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C30" w:rsidRPr="00A55BDB" w:rsidRDefault="00137C30" w:rsidP="00A13031">
      <w:pPr>
        <w:pStyle w:val="Title"/>
        <w:spacing w:after="240"/>
        <w:jc w:val="left"/>
        <w:rPr>
          <w:sz w:val="24"/>
          <w:szCs w:val="24"/>
        </w:rPr>
      </w:pPr>
      <w:r w:rsidRPr="00A55BDB">
        <w:rPr>
          <w:sz w:val="24"/>
          <w:szCs w:val="24"/>
        </w:rPr>
        <w:t>Product Information</w:t>
      </w:r>
    </w:p>
    <w:p w:rsidR="00137C30" w:rsidRPr="00B1677F" w:rsidRDefault="009D6286" w:rsidP="00B1677F">
      <w:pPr>
        <w:pStyle w:val="Heading1"/>
        <w:numPr>
          <w:ilvl w:val="0"/>
          <w:numId w:val="0"/>
        </w:numPr>
        <w:ind w:left="1649" w:hanging="1649"/>
      </w:pPr>
      <w:r>
        <w:t>IDELVION</w:t>
      </w:r>
      <w:r w:rsidR="00151E18" w:rsidRPr="00151E18">
        <w:rPr>
          <w:vertAlign w:val="superscript"/>
        </w:rPr>
        <w:t>®</w:t>
      </w:r>
    </w:p>
    <w:p w:rsidR="00137C30" w:rsidRPr="00B1677F" w:rsidRDefault="00137C30" w:rsidP="00B1677F">
      <w:pPr>
        <w:pStyle w:val="DocumentText"/>
        <w:rPr>
          <w:b/>
        </w:rPr>
      </w:pPr>
      <w:r w:rsidRPr="00B1677F">
        <w:rPr>
          <w:b/>
        </w:rPr>
        <w:t>Australia</w:t>
      </w:r>
    </w:p>
    <w:p w:rsidR="00137C30" w:rsidRPr="00B1677F" w:rsidRDefault="00137C30" w:rsidP="00B1677F">
      <w:pPr>
        <w:pStyle w:val="Heading2"/>
        <w:numPr>
          <w:ilvl w:val="0"/>
          <w:numId w:val="0"/>
        </w:numPr>
        <w:ind w:left="1901" w:hanging="1901"/>
      </w:pPr>
      <w:r w:rsidRPr="00B1677F">
        <w:t>NAME OF THE MEDICINE</w:t>
      </w:r>
    </w:p>
    <w:p w:rsidR="00137C30" w:rsidRPr="00B1677F" w:rsidRDefault="009D6286" w:rsidP="00B1677F">
      <w:pPr>
        <w:pStyle w:val="DocumentText"/>
      </w:pPr>
      <w:r>
        <w:t>IDELVION</w:t>
      </w:r>
      <w:r w:rsidR="00151E18" w:rsidRPr="00151E18">
        <w:rPr>
          <w:vertAlign w:val="superscript"/>
        </w:rPr>
        <w:t>®</w:t>
      </w:r>
      <w:r w:rsidR="00FD286B">
        <w:t xml:space="preserve"> (r</w:t>
      </w:r>
      <w:r w:rsidR="00FD286B" w:rsidRPr="00624191">
        <w:t>ecombinant fusion protein linking coagulation f</w:t>
      </w:r>
      <w:r w:rsidR="00FD286B">
        <w:t>actor IX with a</w:t>
      </w:r>
      <w:r w:rsidR="00FD286B" w:rsidRPr="00624191">
        <w:t>lbumin (rIX-FP)</w:t>
      </w:r>
      <w:r w:rsidR="00FD286B">
        <w:t xml:space="preserve">; </w:t>
      </w:r>
      <w:r w:rsidR="00FD286B">
        <w:rPr>
          <w:kern w:val="0"/>
        </w:rPr>
        <w:t>Albutrepenonacog alfa)</w:t>
      </w:r>
      <w:r w:rsidR="00FD286B" w:rsidRPr="0035649B">
        <w:t>, powder and solvent for solution for injection.</w:t>
      </w:r>
    </w:p>
    <w:p w:rsidR="00137C30" w:rsidRPr="00B1677F" w:rsidRDefault="00137C30" w:rsidP="00B1677F">
      <w:pPr>
        <w:pStyle w:val="Heading2"/>
        <w:numPr>
          <w:ilvl w:val="0"/>
          <w:numId w:val="0"/>
        </w:numPr>
        <w:ind w:left="1901" w:hanging="1901"/>
      </w:pPr>
      <w:r w:rsidRPr="00B1677F">
        <w:t>DESCRIPTION</w:t>
      </w:r>
    </w:p>
    <w:p w:rsidR="00FD286B" w:rsidRDefault="00B0568A" w:rsidP="00FD286B">
      <w:pPr>
        <w:pStyle w:val="DocumentText"/>
        <w:rPr>
          <w:kern w:val="0"/>
        </w:rPr>
      </w:pPr>
      <w:r>
        <w:t>A</w:t>
      </w:r>
      <w:r w:rsidR="00FD286B" w:rsidRPr="0076421B">
        <w:t xml:space="preserve">lbutrepenonacog alfa is a purified protein produced by recombinant DNA technology, generated by the genetic fusion of </w:t>
      </w:r>
      <w:r w:rsidR="00DA6971">
        <w:t xml:space="preserve">recombinant </w:t>
      </w:r>
      <w:r w:rsidR="00FD286B" w:rsidRPr="0076421B">
        <w:t>albumin to recombinant coagulation factor IX</w:t>
      </w:r>
      <w:r w:rsidR="00FD286B">
        <w:t xml:space="preserve"> (FIX)</w:t>
      </w:r>
      <w:r w:rsidR="00FD286B" w:rsidRPr="0076421B">
        <w:t xml:space="preserve">. The genetic fusion of the cDNA of human albumin to the cDNA of human coagulation </w:t>
      </w:r>
      <w:r w:rsidR="00FD286B">
        <w:t>F</w:t>
      </w:r>
      <w:r w:rsidR="00FD286B" w:rsidRPr="0076421B">
        <w:t xml:space="preserve">IX enables the protein to be produced as a single recombinant protein and assures product homogeneity by avoiding chemical conjugation. The recombinant </w:t>
      </w:r>
      <w:r w:rsidR="00FD286B">
        <w:t>F</w:t>
      </w:r>
      <w:r w:rsidR="00FD286B" w:rsidRPr="0076421B">
        <w:t xml:space="preserve">IX portion is identical to the Thr148 allelic form of plasma-derived </w:t>
      </w:r>
      <w:r w:rsidR="00FD286B">
        <w:t>F</w:t>
      </w:r>
      <w:r w:rsidR="00FD286B" w:rsidRPr="0076421B">
        <w:t xml:space="preserve">IX. The cleavable linker between the recombinant </w:t>
      </w:r>
      <w:r w:rsidR="00FD286B">
        <w:t>F</w:t>
      </w:r>
      <w:r w:rsidR="00FD286B" w:rsidRPr="0076421B">
        <w:t xml:space="preserve">IX and albumin molecules is derived from the endogenous activation peptide in native </w:t>
      </w:r>
      <w:r w:rsidR="00FD286B">
        <w:t>F</w:t>
      </w:r>
      <w:r w:rsidR="00FD286B" w:rsidRPr="0076421B">
        <w:t>IX</w:t>
      </w:r>
      <w:r w:rsidR="00FD286B">
        <w:t>.</w:t>
      </w:r>
      <w:r w:rsidR="0089350A">
        <w:t xml:space="preserve"> </w:t>
      </w:r>
      <w:r w:rsidR="009D6286">
        <w:t>IDELVION</w:t>
      </w:r>
      <w:r w:rsidR="00151E18" w:rsidRPr="00151E18">
        <w:rPr>
          <w:vertAlign w:val="superscript"/>
        </w:rPr>
        <w:t>®</w:t>
      </w:r>
      <w:r w:rsidR="0089350A">
        <w:t xml:space="preserve"> remains intact in the circulation until FIX is activated, whereupon albumin is </w:t>
      </w:r>
      <w:r w:rsidR="0089350A" w:rsidRPr="00EB3141">
        <w:t>cleaved</w:t>
      </w:r>
      <w:r w:rsidR="0089350A">
        <w:t>, releasing activated FIX (FIXa) when it is needed for coagulation.</w:t>
      </w:r>
    </w:p>
    <w:p w:rsidR="0089350A" w:rsidRDefault="0089350A" w:rsidP="0089350A">
      <w:pPr>
        <w:pStyle w:val="DocumentText"/>
      </w:pPr>
      <w:r>
        <w:t>No human or animal</w:t>
      </w:r>
      <w:r w:rsidR="004D377F">
        <w:t xml:space="preserve"> derived</w:t>
      </w:r>
      <w:r>
        <w:t xml:space="preserve"> proteins are added during any stage of manufacturing or formulation of</w:t>
      </w:r>
      <w:r w:rsidR="00151E18" w:rsidRPr="00151E18">
        <w:t xml:space="preserve"> </w:t>
      </w:r>
      <w:r w:rsidR="009D6286">
        <w:t>IDELVION</w:t>
      </w:r>
      <w:r w:rsidR="00151E18" w:rsidRPr="00151E18">
        <w:rPr>
          <w:vertAlign w:val="superscript"/>
        </w:rPr>
        <w:t>®</w:t>
      </w:r>
      <w:r>
        <w:t>.</w:t>
      </w:r>
    </w:p>
    <w:p w:rsidR="00F94847" w:rsidRDefault="00FD286B" w:rsidP="00B1677F">
      <w:pPr>
        <w:pStyle w:val="DocumentText"/>
      </w:pPr>
      <w:r>
        <w:t>Full</w:t>
      </w:r>
      <w:r>
        <w:noBreakHyphen/>
        <w:t>length rIX-FP is expressed in recombinant Chinese hamster ovary (CHO) cells as a single chain glycopeptide of 1018 amino acids with a molecular weight of ~125</w:t>
      </w:r>
      <w:r w:rsidR="00032506">
        <w:t> </w:t>
      </w:r>
      <w:r>
        <w:t>kD.</w:t>
      </w:r>
    </w:p>
    <w:p w:rsidR="00FD286B" w:rsidRDefault="00FD286B" w:rsidP="00B1677F">
      <w:pPr>
        <w:pStyle w:val="DocumentText"/>
      </w:pPr>
      <w:r w:rsidRPr="0076421B">
        <w:t xml:space="preserve">The potency </w:t>
      </w:r>
      <w:r w:rsidR="0088641F">
        <w:t xml:space="preserve">in </w:t>
      </w:r>
      <w:r w:rsidRPr="0076421B">
        <w:t xml:space="preserve">International Units </w:t>
      </w:r>
      <w:r w:rsidR="0089350A">
        <w:t>(</w:t>
      </w:r>
      <w:r w:rsidRPr="0076421B">
        <w:t xml:space="preserve">IU) is determined using an </w:t>
      </w:r>
      <w:r w:rsidRPr="00FC2360">
        <w:rPr>
          <w:i/>
        </w:rPr>
        <w:t>in</w:t>
      </w:r>
      <w:r w:rsidR="000B3DA3" w:rsidRPr="00FC2360">
        <w:rPr>
          <w:i/>
        </w:rPr>
        <w:t> </w:t>
      </w:r>
      <w:r w:rsidRPr="00FC2360">
        <w:rPr>
          <w:i/>
        </w:rPr>
        <w:t>vitro</w:t>
      </w:r>
      <w:r w:rsidRPr="0076421B">
        <w:t xml:space="preserve"> activated partial thromboplastin time (aPTT)-based </w:t>
      </w:r>
      <w:r w:rsidR="00974C45">
        <w:t>one</w:t>
      </w:r>
      <w:r w:rsidRPr="0076421B">
        <w:t>-stage clotting assay calibrated against the World Health Organi</w:t>
      </w:r>
      <w:r w:rsidR="007E4F53">
        <w:t>s</w:t>
      </w:r>
      <w:r w:rsidRPr="0076421B">
        <w:t xml:space="preserve">ation (WHO) International Standard for </w:t>
      </w:r>
      <w:r>
        <w:t>F</w:t>
      </w:r>
      <w:r w:rsidRPr="0076421B">
        <w:t>IX</w:t>
      </w:r>
      <w:r>
        <w:t xml:space="preserve"> concentrate.</w:t>
      </w:r>
    </w:p>
    <w:p w:rsidR="0089350A" w:rsidRPr="005F2088" w:rsidRDefault="009D6286" w:rsidP="00B1677F">
      <w:pPr>
        <w:pStyle w:val="DocumentText"/>
      </w:pPr>
      <w:r>
        <w:t>IDELVION</w:t>
      </w:r>
      <w:r w:rsidR="00151E18" w:rsidRPr="005F2088">
        <w:rPr>
          <w:vertAlign w:val="superscript"/>
        </w:rPr>
        <w:t>®</w:t>
      </w:r>
      <w:r w:rsidR="0089350A" w:rsidRPr="005F2088">
        <w:t xml:space="preserve"> is a preservative free, sterile, non-pyrogenic, lyophili</w:t>
      </w:r>
      <w:r w:rsidR="007E4F53">
        <w:t>s</w:t>
      </w:r>
      <w:r w:rsidR="0089350A" w:rsidRPr="005F2088">
        <w:t xml:space="preserve">ed powder to be reconstituted with </w:t>
      </w:r>
      <w:r w:rsidR="00275CD4">
        <w:t>W</w:t>
      </w:r>
      <w:r w:rsidR="0089350A" w:rsidRPr="005F2088">
        <w:t xml:space="preserve">ater for </w:t>
      </w:r>
      <w:r w:rsidR="00275CD4">
        <w:t>I</w:t>
      </w:r>
      <w:r w:rsidR="0089350A" w:rsidRPr="005F2088">
        <w:t>njections (WFI) for intravenous injection.</w:t>
      </w:r>
    </w:p>
    <w:p w:rsidR="00FD286B" w:rsidRDefault="009D6286" w:rsidP="00B1677F">
      <w:pPr>
        <w:pStyle w:val="DocumentText"/>
      </w:pPr>
      <w:r>
        <w:t>IDELVION</w:t>
      </w:r>
      <w:r w:rsidR="00151E18" w:rsidRPr="00151E18">
        <w:rPr>
          <w:vertAlign w:val="superscript"/>
        </w:rPr>
        <w:t>®</w:t>
      </w:r>
      <w:r w:rsidR="00151E18">
        <w:t xml:space="preserve"> </w:t>
      </w:r>
      <w:r w:rsidR="00FD286B">
        <w:t>is a p</w:t>
      </w:r>
      <w:r w:rsidR="00FD286B" w:rsidRPr="009E09F1">
        <w:t>ale yellow to white powder</w:t>
      </w:r>
      <w:r w:rsidR="0089350A">
        <w:t>.</w:t>
      </w:r>
      <w:r w:rsidR="00FD286B" w:rsidRPr="009E09F1">
        <w:t xml:space="preserve"> </w:t>
      </w:r>
      <w:r w:rsidR="0089350A">
        <w:t>The solvent (</w:t>
      </w:r>
      <w:r w:rsidR="00D12884">
        <w:t>WFI</w:t>
      </w:r>
      <w:r w:rsidR="0089350A">
        <w:t xml:space="preserve">) is a clear colourless solution for reconstitution. </w:t>
      </w:r>
      <w:r w:rsidR="00FD286B" w:rsidRPr="0076421B">
        <w:t xml:space="preserve">One vial </w:t>
      </w:r>
      <w:r w:rsidR="007A3796">
        <w:t xml:space="preserve">of </w:t>
      </w:r>
      <w:r>
        <w:t>IDELVION</w:t>
      </w:r>
      <w:r w:rsidR="00151E18" w:rsidRPr="00151E18">
        <w:rPr>
          <w:vertAlign w:val="superscript"/>
        </w:rPr>
        <w:t>®</w:t>
      </w:r>
      <w:r w:rsidR="00151E18">
        <w:t xml:space="preserve"> </w:t>
      </w:r>
      <w:r w:rsidR="00FD286B" w:rsidRPr="0076421B">
        <w:t>contains nominally 250/500/1000/2000 IU of the a</w:t>
      </w:r>
      <w:r w:rsidR="00FD286B">
        <w:t>ctive substance,</w:t>
      </w:r>
      <w:r w:rsidR="00FD286B" w:rsidRPr="00F346B3">
        <w:rPr>
          <w:lang w:val="en-AU"/>
        </w:rPr>
        <w:t xml:space="preserve"> albutrepenonacog</w:t>
      </w:r>
      <w:r w:rsidR="00FD286B">
        <w:t xml:space="preserve"> alfa.</w:t>
      </w:r>
    </w:p>
    <w:p w:rsidR="00FD286B" w:rsidRDefault="00FD286B" w:rsidP="00FD286B">
      <w:pPr>
        <w:pStyle w:val="DocumentText"/>
      </w:pPr>
      <w:r w:rsidRPr="0076421B">
        <w:lastRenderedPageBreak/>
        <w:t>After reconstitution with 2.5 </w:t>
      </w:r>
      <w:r>
        <w:t>mL</w:t>
      </w:r>
      <w:r w:rsidRPr="0076421B">
        <w:t xml:space="preserve"> </w:t>
      </w:r>
      <w:r w:rsidR="00275CD4">
        <w:t>W</w:t>
      </w:r>
      <w:r w:rsidRPr="0076421B">
        <w:t xml:space="preserve">ater for </w:t>
      </w:r>
      <w:r w:rsidR="00275CD4">
        <w:t>I</w:t>
      </w:r>
      <w:r w:rsidRPr="0076421B">
        <w:t>njections (250/500/1000 IU) the solution contains 100/200/400 IU/</w:t>
      </w:r>
      <w:r>
        <w:t>mL</w:t>
      </w:r>
      <w:r w:rsidRPr="0076421B">
        <w:t xml:space="preserve"> of albutrepenonacog alfa. When reconstituted with 5 </w:t>
      </w:r>
      <w:r>
        <w:t>mL</w:t>
      </w:r>
      <w:r w:rsidRPr="0076421B">
        <w:t xml:space="preserve"> </w:t>
      </w:r>
      <w:r w:rsidR="00275CD4">
        <w:t>W</w:t>
      </w:r>
      <w:r w:rsidRPr="0076421B">
        <w:t xml:space="preserve">ater for </w:t>
      </w:r>
      <w:r w:rsidR="00275CD4">
        <w:t>I</w:t>
      </w:r>
      <w:r w:rsidRPr="0076421B">
        <w:t>njections (2000 IU) the solution contains 400 IU/</w:t>
      </w:r>
      <w:r>
        <w:t>mL</w:t>
      </w:r>
      <w:r w:rsidRPr="0076421B">
        <w:t xml:space="preserve"> of albutrepenonacog alfa</w:t>
      </w:r>
      <w:r>
        <w:t>.</w:t>
      </w:r>
    </w:p>
    <w:p w:rsidR="00FD286B" w:rsidRPr="00FD286B" w:rsidRDefault="00FD286B" w:rsidP="008640B7">
      <w:pPr>
        <w:pStyle w:val="Caption"/>
        <w:ind w:left="0" w:firstLine="0"/>
      </w:pPr>
      <w:r w:rsidRPr="00FD286B">
        <w:t xml:space="preserve">Table 1: </w:t>
      </w:r>
      <w:r w:rsidR="009D6286">
        <w:t>IDELVION</w:t>
      </w:r>
      <w:r w:rsidR="00151E18" w:rsidRPr="00151E18">
        <w:rPr>
          <w:vertAlign w:val="superscript"/>
        </w:rPr>
        <w:t>®</w:t>
      </w:r>
      <w:r w:rsidR="00151E18" w:rsidRPr="00151E18">
        <w:t xml:space="preserve"> </w:t>
      </w:r>
      <w:r w:rsidR="0028436A">
        <w:t>c</w:t>
      </w:r>
      <w:r w:rsidRPr="00FD286B">
        <w:t>omposition</w:t>
      </w:r>
      <w:r w:rsidR="00EE2B2B">
        <w:t xml:space="preserve"> after reconstitution</w:t>
      </w:r>
      <w:r w:rsidRPr="00FD286B">
        <w:rPr>
          <w:vertAlign w:val="superscript"/>
        </w:rPr>
        <w:t>a</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559"/>
        <w:gridCol w:w="1559"/>
        <w:gridCol w:w="1559"/>
        <w:gridCol w:w="1560"/>
      </w:tblGrid>
      <w:tr w:rsidR="00FD286B" w:rsidRPr="00866DA1" w:rsidTr="005409DF">
        <w:trPr>
          <w:cantSplit/>
        </w:trPr>
        <w:tc>
          <w:tcPr>
            <w:tcW w:w="2694" w:type="dxa"/>
            <w:tcBorders>
              <w:bottom w:val="single" w:sz="4" w:space="0" w:color="auto"/>
            </w:tcBorders>
            <w:shd w:val="pct15" w:color="auto" w:fill="auto"/>
            <w:vAlign w:val="center"/>
          </w:tcPr>
          <w:p w:rsidR="00FD286B" w:rsidRPr="00866DA1" w:rsidRDefault="00FD286B" w:rsidP="00032506">
            <w:pPr>
              <w:pStyle w:val="TableCellHeading10pt"/>
              <w:jc w:val="left"/>
              <w:rPr>
                <w:szCs w:val="20"/>
                <w:lang w:val="en-AU"/>
              </w:rPr>
            </w:pPr>
          </w:p>
        </w:tc>
        <w:tc>
          <w:tcPr>
            <w:tcW w:w="1559" w:type="dxa"/>
            <w:tcBorders>
              <w:bottom w:val="single" w:sz="4" w:space="0" w:color="auto"/>
            </w:tcBorders>
            <w:shd w:val="pct15" w:color="auto" w:fill="auto"/>
          </w:tcPr>
          <w:p w:rsidR="00FD286B" w:rsidRPr="00866DA1" w:rsidRDefault="00FD286B" w:rsidP="00032506">
            <w:pPr>
              <w:pStyle w:val="TableCellHeading10pt"/>
              <w:rPr>
                <w:szCs w:val="20"/>
                <w:lang w:val="en-AU"/>
              </w:rPr>
            </w:pPr>
            <w:r w:rsidRPr="00866DA1">
              <w:rPr>
                <w:szCs w:val="20"/>
                <w:lang w:val="en-AU"/>
              </w:rPr>
              <w:t>250 IU vial</w:t>
            </w:r>
          </w:p>
        </w:tc>
        <w:tc>
          <w:tcPr>
            <w:tcW w:w="1559" w:type="dxa"/>
            <w:tcBorders>
              <w:bottom w:val="single" w:sz="4" w:space="0" w:color="auto"/>
            </w:tcBorders>
            <w:shd w:val="pct15" w:color="auto" w:fill="auto"/>
          </w:tcPr>
          <w:p w:rsidR="00FD286B" w:rsidRPr="00866DA1" w:rsidRDefault="00FD286B" w:rsidP="00032506">
            <w:pPr>
              <w:pStyle w:val="TableCellHeading10pt"/>
              <w:rPr>
                <w:szCs w:val="20"/>
                <w:lang w:val="en-AU"/>
              </w:rPr>
            </w:pPr>
            <w:r w:rsidRPr="00866DA1">
              <w:rPr>
                <w:szCs w:val="20"/>
                <w:lang w:val="en-AU"/>
              </w:rPr>
              <w:t>500 IU vial</w:t>
            </w:r>
          </w:p>
        </w:tc>
        <w:tc>
          <w:tcPr>
            <w:tcW w:w="1559" w:type="dxa"/>
            <w:tcBorders>
              <w:bottom w:val="single" w:sz="4" w:space="0" w:color="auto"/>
            </w:tcBorders>
            <w:shd w:val="pct15" w:color="auto" w:fill="auto"/>
          </w:tcPr>
          <w:p w:rsidR="00FD286B" w:rsidRPr="00866DA1" w:rsidRDefault="00FD286B" w:rsidP="00032506">
            <w:pPr>
              <w:pStyle w:val="TableCellHeading10pt"/>
              <w:rPr>
                <w:szCs w:val="20"/>
                <w:lang w:val="en-AU"/>
              </w:rPr>
            </w:pPr>
            <w:r w:rsidRPr="00866DA1">
              <w:rPr>
                <w:szCs w:val="20"/>
                <w:lang w:val="en-AU"/>
              </w:rPr>
              <w:t>1000 IU vial</w:t>
            </w:r>
          </w:p>
        </w:tc>
        <w:tc>
          <w:tcPr>
            <w:tcW w:w="1560" w:type="dxa"/>
            <w:tcBorders>
              <w:bottom w:val="single" w:sz="4" w:space="0" w:color="auto"/>
            </w:tcBorders>
            <w:shd w:val="pct15" w:color="auto" w:fill="auto"/>
          </w:tcPr>
          <w:p w:rsidR="00FD286B" w:rsidRPr="00866DA1" w:rsidRDefault="00FD286B" w:rsidP="00032506">
            <w:pPr>
              <w:pStyle w:val="TableCellHeading10pt"/>
              <w:rPr>
                <w:szCs w:val="20"/>
                <w:lang w:val="en-AU"/>
              </w:rPr>
            </w:pPr>
            <w:r w:rsidRPr="00866DA1">
              <w:rPr>
                <w:szCs w:val="20"/>
                <w:lang w:val="en-AU"/>
              </w:rPr>
              <w:t>2000 IU vial</w:t>
            </w:r>
          </w:p>
        </w:tc>
      </w:tr>
      <w:tr w:rsidR="00FD286B" w:rsidRPr="00866DA1" w:rsidTr="005409DF">
        <w:trPr>
          <w:cantSplit/>
        </w:trPr>
        <w:tc>
          <w:tcPr>
            <w:tcW w:w="8931" w:type="dxa"/>
            <w:gridSpan w:val="5"/>
            <w:shd w:val="pct10" w:color="auto" w:fill="auto"/>
            <w:vAlign w:val="center"/>
          </w:tcPr>
          <w:p w:rsidR="00FD286B" w:rsidRPr="00866DA1" w:rsidRDefault="00FD286B" w:rsidP="00EE2B2B">
            <w:pPr>
              <w:pStyle w:val="TableCellText10pt"/>
              <w:rPr>
                <w:b/>
                <w:szCs w:val="20"/>
                <w:lang w:val="en-AU"/>
              </w:rPr>
            </w:pPr>
            <w:r w:rsidRPr="00866DA1">
              <w:rPr>
                <w:b/>
                <w:szCs w:val="20"/>
                <w:lang w:val="en-AU"/>
              </w:rPr>
              <w:t>Active ingredients (IU/</w:t>
            </w:r>
            <w:r w:rsidR="00EE2B2B">
              <w:rPr>
                <w:b/>
                <w:szCs w:val="20"/>
                <w:lang w:val="en-AU"/>
              </w:rPr>
              <w:t>mL</w:t>
            </w:r>
            <w:r w:rsidRPr="00866DA1">
              <w:rPr>
                <w:b/>
                <w:szCs w:val="20"/>
                <w:lang w:val="en-AU"/>
              </w:rPr>
              <w:t>)</w:t>
            </w:r>
          </w:p>
        </w:tc>
      </w:tr>
      <w:tr w:rsidR="00FD286B" w:rsidRPr="00866DA1" w:rsidTr="005409DF">
        <w:trPr>
          <w:cantSplit/>
        </w:trPr>
        <w:tc>
          <w:tcPr>
            <w:tcW w:w="2694" w:type="dxa"/>
            <w:tcBorders>
              <w:bottom w:val="single" w:sz="4" w:space="0" w:color="auto"/>
            </w:tcBorders>
            <w:shd w:val="clear" w:color="auto" w:fill="auto"/>
            <w:vAlign w:val="center"/>
          </w:tcPr>
          <w:p w:rsidR="00FD286B" w:rsidRPr="00866DA1" w:rsidRDefault="00FD286B" w:rsidP="00032506">
            <w:pPr>
              <w:pStyle w:val="TableCellText10pt"/>
              <w:rPr>
                <w:szCs w:val="20"/>
                <w:lang w:val="en-AU"/>
              </w:rPr>
            </w:pPr>
            <w:r w:rsidRPr="00866DA1">
              <w:rPr>
                <w:szCs w:val="20"/>
                <w:lang w:val="en-AU"/>
              </w:rPr>
              <w:t>Factor IX</w:t>
            </w:r>
          </w:p>
        </w:tc>
        <w:tc>
          <w:tcPr>
            <w:tcW w:w="1559" w:type="dxa"/>
            <w:tcBorders>
              <w:bottom w:val="single" w:sz="4" w:space="0" w:color="auto"/>
            </w:tcBorders>
            <w:shd w:val="clear" w:color="auto" w:fill="auto"/>
          </w:tcPr>
          <w:p w:rsidR="00FD286B" w:rsidRPr="00866DA1" w:rsidRDefault="00EE2B2B" w:rsidP="00032506">
            <w:pPr>
              <w:pStyle w:val="TableCellText10pt"/>
              <w:jc w:val="center"/>
              <w:rPr>
                <w:szCs w:val="20"/>
                <w:lang w:val="en-AU"/>
              </w:rPr>
            </w:pPr>
            <w:r>
              <w:rPr>
                <w:szCs w:val="20"/>
                <w:lang w:val="en-AU"/>
              </w:rPr>
              <w:t>100</w:t>
            </w:r>
          </w:p>
        </w:tc>
        <w:tc>
          <w:tcPr>
            <w:tcW w:w="1559" w:type="dxa"/>
            <w:tcBorders>
              <w:bottom w:val="single" w:sz="4" w:space="0" w:color="auto"/>
            </w:tcBorders>
            <w:shd w:val="clear" w:color="auto" w:fill="auto"/>
          </w:tcPr>
          <w:p w:rsidR="00FD286B" w:rsidRPr="00866DA1" w:rsidRDefault="00EE2B2B" w:rsidP="00032506">
            <w:pPr>
              <w:pStyle w:val="TableCellText10pt"/>
              <w:jc w:val="center"/>
              <w:rPr>
                <w:szCs w:val="20"/>
                <w:lang w:val="en-AU"/>
              </w:rPr>
            </w:pPr>
            <w:r>
              <w:rPr>
                <w:szCs w:val="20"/>
                <w:lang w:val="en-AU"/>
              </w:rPr>
              <w:t>200</w:t>
            </w:r>
          </w:p>
        </w:tc>
        <w:tc>
          <w:tcPr>
            <w:tcW w:w="1559" w:type="dxa"/>
            <w:tcBorders>
              <w:bottom w:val="single" w:sz="4" w:space="0" w:color="auto"/>
            </w:tcBorders>
            <w:shd w:val="clear" w:color="auto" w:fill="auto"/>
          </w:tcPr>
          <w:p w:rsidR="00FD286B" w:rsidRPr="00866DA1" w:rsidRDefault="00EE2B2B" w:rsidP="00032506">
            <w:pPr>
              <w:pStyle w:val="TableCellText10pt"/>
              <w:jc w:val="center"/>
              <w:rPr>
                <w:szCs w:val="20"/>
                <w:lang w:val="en-AU"/>
              </w:rPr>
            </w:pPr>
            <w:r>
              <w:rPr>
                <w:szCs w:val="20"/>
                <w:lang w:val="en-AU"/>
              </w:rPr>
              <w:t>400</w:t>
            </w:r>
          </w:p>
        </w:tc>
        <w:tc>
          <w:tcPr>
            <w:tcW w:w="1560" w:type="dxa"/>
            <w:tcBorders>
              <w:bottom w:val="single" w:sz="4" w:space="0" w:color="auto"/>
            </w:tcBorders>
            <w:shd w:val="clear" w:color="auto" w:fill="auto"/>
          </w:tcPr>
          <w:p w:rsidR="00FD286B" w:rsidRPr="00866DA1" w:rsidRDefault="00EE2B2B" w:rsidP="00032506">
            <w:pPr>
              <w:pStyle w:val="TableCellText10pt"/>
              <w:jc w:val="center"/>
              <w:rPr>
                <w:szCs w:val="20"/>
                <w:lang w:val="en-AU"/>
              </w:rPr>
            </w:pPr>
            <w:r>
              <w:rPr>
                <w:szCs w:val="20"/>
                <w:lang w:val="en-AU"/>
              </w:rPr>
              <w:t>400</w:t>
            </w:r>
          </w:p>
        </w:tc>
      </w:tr>
      <w:tr w:rsidR="00FD286B" w:rsidRPr="00866DA1" w:rsidTr="005409DF">
        <w:trPr>
          <w:cantSplit/>
        </w:trPr>
        <w:tc>
          <w:tcPr>
            <w:tcW w:w="8931" w:type="dxa"/>
            <w:gridSpan w:val="5"/>
            <w:shd w:val="pct10" w:color="auto" w:fill="auto"/>
            <w:vAlign w:val="center"/>
          </w:tcPr>
          <w:p w:rsidR="00FD286B" w:rsidRPr="00866DA1" w:rsidRDefault="00FD286B" w:rsidP="00FC2360">
            <w:pPr>
              <w:pStyle w:val="TableCellText10pt"/>
              <w:rPr>
                <w:b/>
                <w:szCs w:val="20"/>
                <w:lang w:val="en-AU"/>
              </w:rPr>
            </w:pPr>
            <w:r w:rsidRPr="00866DA1">
              <w:rPr>
                <w:b/>
                <w:szCs w:val="20"/>
                <w:lang w:val="en-AU"/>
              </w:rPr>
              <w:t>Excipients</w:t>
            </w:r>
          </w:p>
        </w:tc>
      </w:tr>
      <w:tr w:rsidR="00FD286B" w:rsidRPr="00E61F7A" w:rsidTr="005409DF">
        <w:trPr>
          <w:cantSplit/>
        </w:trPr>
        <w:tc>
          <w:tcPr>
            <w:tcW w:w="2694" w:type="dxa"/>
            <w:shd w:val="clear" w:color="auto" w:fill="auto"/>
            <w:vAlign w:val="center"/>
          </w:tcPr>
          <w:p w:rsidR="00FD286B" w:rsidRPr="00E61F7A" w:rsidRDefault="00FD286B" w:rsidP="00032506">
            <w:pPr>
              <w:pStyle w:val="TableCellText10pt"/>
              <w:rPr>
                <w:szCs w:val="20"/>
                <w:lang w:val="en-AU"/>
              </w:rPr>
            </w:pPr>
            <w:r w:rsidRPr="00E61F7A">
              <w:rPr>
                <w:szCs w:val="20"/>
              </w:rPr>
              <w:t>Tri-sodium citrate</w:t>
            </w:r>
          </w:p>
        </w:tc>
        <w:tc>
          <w:tcPr>
            <w:tcW w:w="1559" w:type="dxa"/>
            <w:shd w:val="clear" w:color="auto" w:fill="auto"/>
          </w:tcPr>
          <w:p w:rsidR="00FD286B" w:rsidRPr="00E61F7A" w:rsidRDefault="00FD286B" w:rsidP="00032506">
            <w:pPr>
              <w:pStyle w:val="TableCellText10pt"/>
              <w:jc w:val="center"/>
              <w:rPr>
                <w:szCs w:val="20"/>
                <w:lang w:val="en-AU"/>
              </w:rPr>
            </w:pPr>
            <w:r w:rsidRPr="00E61F7A">
              <w:rPr>
                <w:szCs w:val="20"/>
                <w:lang w:val="en-AU"/>
              </w:rPr>
              <w:t>25 mM</w:t>
            </w:r>
          </w:p>
        </w:tc>
        <w:tc>
          <w:tcPr>
            <w:tcW w:w="1559" w:type="dxa"/>
            <w:shd w:val="clear" w:color="auto" w:fill="auto"/>
          </w:tcPr>
          <w:p w:rsidR="00FD286B" w:rsidRPr="00E61F7A" w:rsidRDefault="00FD286B" w:rsidP="00032506">
            <w:pPr>
              <w:pStyle w:val="TableCellText10pt"/>
              <w:jc w:val="center"/>
              <w:rPr>
                <w:szCs w:val="20"/>
                <w:lang w:val="en-AU"/>
              </w:rPr>
            </w:pPr>
            <w:r w:rsidRPr="00E61F7A">
              <w:rPr>
                <w:szCs w:val="20"/>
                <w:lang w:val="en-AU"/>
              </w:rPr>
              <w:t>25 mM</w:t>
            </w:r>
          </w:p>
        </w:tc>
        <w:tc>
          <w:tcPr>
            <w:tcW w:w="1559" w:type="dxa"/>
            <w:shd w:val="clear" w:color="auto" w:fill="auto"/>
          </w:tcPr>
          <w:p w:rsidR="00FD286B" w:rsidRPr="00E61F7A" w:rsidRDefault="00FD286B" w:rsidP="00032506">
            <w:pPr>
              <w:pStyle w:val="TableCellText10pt"/>
              <w:jc w:val="center"/>
              <w:rPr>
                <w:szCs w:val="20"/>
                <w:lang w:val="en-AU"/>
              </w:rPr>
            </w:pPr>
            <w:r w:rsidRPr="00E61F7A">
              <w:rPr>
                <w:szCs w:val="20"/>
                <w:lang w:val="en-AU"/>
              </w:rPr>
              <w:t>25 mM</w:t>
            </w:r>
          </w:p>
        </w:tc>
        <w:tc>
          <w:tcPr>
            <w:tcW w:w="1560" w:type="dxa"/>
            <w:shd w:val="clear" w:color="auto" w:fill="auto"/>
          </w:tcPr>
          <w:p w:rsidR="00FD286B" w:rsidRPr="00E61F7A" w:rsidRDefault="00FD286B" w:rsidP="00032506">
            <w:pPr>
              <w:pStyle w:val="TableCellText10pt"/>
              <w:jc w:val="center"/>
              <w:rPr>
                <w:szCs w:val="20"/>
                <w:lang w:val="en-AU"/>
              </w:rPr>
            </w:pPr>
            <w:r w:rsidRPr="00E61F7A">
              <w:rPr>
                <w:szCs w:val="20"/>
                <w:lang w:val="en-AU"/>
              </w:rPr>
              <w:t>25 mM</w:t>
            </w:r>
          </w:p>
        </w:tc>
      </w:tr>
      <w:tr w:rsidR="00FD286B" w:rsidRPr="00E61F7A" w:rsidTr="005409DF">
        <w:trPr>
          <w:cantSplit/>
        </w:trPr>
        <w:tc>
          <w:tcPr>
            <w:tcW w:w="2694" w:type="dxa"/>
            <w:shd w:val="clear" w:color="auto" w:fill="auto"/>
            <w:vAlign w:val="center"/>
          </w:tcPr>
          <w:p w:rsidR="00FD286B" w:rsidRPr="00E61F7A" w:rsidRDefault="00FD286B" w:rsidP="00032506">
            <w:pPr>
              <w:pStyle w:val="TableCellText10pt"/>
              <w:rPr>
                <w:szCs w:val="20"/>
                <w:lang w:val="en-AU"/>
              </w:rPr>
            </w:pPr>
            <w:r w:rsidRPr="00E61F7A">
              <w:rPr>
                <w:szCs w:val="20"/>
              </w:rPr>
              <w:t>Polysorbate 80</w:t>
            </w:r>
          </w:p>
        </w:tc>
        <w:tc>
          <w:tcPr>
            <w:tcW w:w="1559" w:type="dxa"/>
            <w:shd w:val="clear" w:color="auto" w:fill="auto"/>
          </w:tcPr>
          <w:p w:rsidR="00FD286B" w:rsidRPr="00E61F7A" w:rsidRDefault="00FD286B" w:rsidP="00032506">
            <w:pPr>
              <w:pStyle w:val="TableCellText10pt"/>
              <w:jc w:val="center"/>
              <w:rPr>
                <w:szCs w:val="20"/>
                <w:lang w:val="en-AU"/>
              </w:rPr>
            </w:pPr>
            <w:r w:rsidRPr="00E61F7A">
              <w:rPr>
                <w:szCs w:val="20"/>
                <w:lang w:val="en-AU"/>
              </w:rPr>
              <w:t>0.006% w/v</w:t>
            </w:r>
          </w:p>
        </w:tc>
        <w:tc>
          <w:tcPr>
            <w:tcW w:w="1559" w:type="dxa"/>
            <w:shd w:val="clear" w:color="auto" w:fill="auto"/>
          </w:tcPr>
          <w:p w:rsidR="00FD286B" w:rsidRPr="00E61F7A" w:rsidRDefault="00FD286B" w:rsidP="00032506">
            <w:pPr>
              <w:pStyle w:val="TableCellText10pt"/>
              <w:jc w:val="center"/>
              <w:rPr>
                <w:szCs w:val="20"/>
                <w:lang w:val="en-AU"/>
              </w:rPr>
            </w:pPr>
            <w:r w:rsidRPr="00E61F7A">
              <w:rPr>
                <w:szCs w:val="20"/>
                <w:lang w:val="en-AU"/>
              </w:rPr>
              <w:t>0.012% w/v</w:t>
            </w:r>
          </w:p>
        </w:tc>
        <w:tc>
          <w:tcPr>
            <w:tcW w:w="1559" w:type="dxa"/>
            <w:shd w:val="clear" w:color="auto" w:fill="auto"/>
          </w:tcPr>
          <w:p w:rsidR="00FD286B" w:rsidRPr="00E61F7A" w:rsidRDefault="00FD286B" w:rsidP="00032506">
            <w:pPr>
              <w:pStyle w:val="TableCellText10pt"/>
              <w:jc w:val="center"/>
              <w:rPr>
                <w:szCs w:val="20"/>
                <w:lang w:val="en-AU"/>
              </w:rPr>
            </w:pPr>
            <w:r w:rsidRPr="00E61F7A">
              <w:rPr>
                <w:szCs w:val="20"/>
                <w:lang w:val="en-AU"/>
              </w:rPr>
              <w:t>0.024% w/v</w:t>
            </w:r>
          </w:p>
        </w:tc>
        <w:tc>
          <w:tcPr>
            <w:tcW w:w="1560" w:type="dxa"/>
            <w:shd w:val="clear" w:color="auto" w:fill="auto"/>
          </w:tcPr>
          <w:p w:rsidR="00FD286B" w:rsidRPr="00E61F7A" w:rsidRDefault="00FD286B" w:rsidP="00032506">
            <w:pPr>
              <w:pStyle w:val="TableCellText10pt"/>
              <w:jc w:val="center"/>
              <w:rPr>
                <w:szCs w:val="20"/>
                <w:lang w:val="en-AU"/>
              </w:rPr>
            </w:pPr>
            <w:r w:rsidRPr="00E61F7A">
              <w:rPr>
                <w:szCs w:val="20"/>
                <w:lang w:val="en-AU"/>
              </w:rPr>
              <w:t>0.024% w/v</w:t>
            </w:r>
          </w:p>
        </w:tc>
      </w:tr>
      <w:tr w:rsidR="00FD286B" w:rsidRPr="00E61F7A" w:rsidTr="005409DF">
        <w:trPr>
          <w:cantSplit/>
        </w:trPr>
        <w:tc>
          <w:tcPr>
            <w:tcW w:w="2694" w:type="dxa"/>
            <w:shd w:val="clear" w:color="auto" w:fill="auto"/>
            <w:vAlign w:val="center"/>
          </w:tcPr>
          <w:p w:rsidR="00FD286B" w:rsidRPr="00E61F7A" w:rsidRDefault="00FD286B" w:rsidP="00032506">
            <w:pPr>
              <w:pStyle w:val="TableCellText10pt"/>
              <w:rPr>
                <w:szCs w:val="20"/>
                <w:lang w:val="en-AU"/>
              </w:rPr>
            </w:pPr>
            <w:r w:rsidRPr="00E61F7A">
              <w:rPr>
                <w:szCs w:val="20"/>
              </w:rPr>
              <w:t>Mannitol</w:t>
            </w:r>
          </w:p>
        </w:tc>
        <w:tc>
          <w:tcPr>
            <w:tcW w:w="1559" w:type="dxa"/>
            <w:shd w:val="clear" w:color="auto" w:fill="auto"/>
          </w:tcPr>
          <w:p w:rsidR="00FD286B" w:rsidRPr="00E61F7A" w:rsidRDefault="00FD286B" w:rsidP="00032506">
            <w:pPr>
              <w:pStyle w:val="TableCellText10pt"/>
              <w:jc w:val="center"/>
              <w:rPr>
                <w:szCs w:val="20"/>
                <w:lang w:val="en-AU"/>
              </w:rPr>
            </w:pPr>
            <w:r w:rsidRPr="00E61F7A">
              <w:rPr>
                <w:szCs w:val="20"/>
                <w:lang w:val="en-AU"/>
              </w:rPr>
              <w:t>18 mg/mL</w:t>
            </w:r>
          </w:p>
        </w:tc>
        <w:tc>
          <w:tcPr>
            <w:tcW w:w="1559" w:type="dxa"/>
            <w:shd w:val="clear" w:color="auto" w:fill="auto"/>
          </w:tcPr>
          <w:p w:rsidR="00FD286B" w:rsidRPr="00E61F7A" w:rsidRDefault="00FD286B" w:rsidP="00032506">
            <w:pPr>
              <w:pStyle w:val="TableCellText10pt"/>
              <w:jc w:val="center"/>
              <w:rPr>
                <w:szCs w:val="20"/>
                <w:lang w:val="en-AU"/>
              </w:rPr>
            </w:pPr>
            <w:r w:rsidRPr="00E61F7A">
              <w:rPr>
                <w:szCs w:val="20"/>
                <w:lang w:val="en-AU"/>
              </w:rPr>
              <w:t>29 mg/mL</w:t>
            </w:r>
          </w:p>
        </w:tc>
        <w:tc>
          <w:tcPr>
            <w:tcW w:w="1559" w:type="dxa"/>
            <w:shd w:val="clear" w:color="auto" w:fill="auto"/>
          </w:tcPr>
          <w:p w:rsidR="00FD286B" w:rsidRPr="00E61F7A" w:rsidRDefault="00FD286B" w:rsidP="00032506">
            <w:pPr>
              <w:pStyle w:val="TableCellText10pt"/>
              <w:jc w:val="center"/>
              <w:rPr>
                <w:szCs w:val="20"/>
                <w:lang w:val="en-AU"/>
              </w:rPr>
            </w:pPr>
            <w:r w:rsidRPr="00E61F7A">
              <w:rPr>
                <w:szCs w:val="20"/>
                <w:lang w:val="en-AU"/>
              </w:rPr>
              <w:t>29 mg/mL</w:t>
            </w:r>
          </w:p>
        </w:tc>
        <w:tc>
          <w:tcPr>
            <w:tcW w:w="1560" w:type="dxa"/>
            <w:shd w:val="clear" w:color="auto" w:fill="auto"/>
          </w:tcPr>
          <w:p w:rsidR="00FD286B" w:rsidRPr="00E61F7A" w:rsidRDefault="00FD286B" w:rsidP="00032506">
            <w:pPr>
              <w:pStyle w:val="TableCellText10pt"/>
              <w:jc w:val="center"/>
              <w:rPr>
                <w:szCs w:val="20"/>
                <w:lang w:val="en-AU"/>
              </w:rPr>
            </w:pPr>
            <w:r w:rsidRPr="00E61F7A">
              <w:rPr>
                <w:szCs w:val="20"/>
                <w:lang w:val="en-AU"/>
              </w:rPr>
              <w:t>29 mg/mL</w:t>
            </w:r>
          </w:p>
        </w:tc>
      </w:tr>
      <w:tr w:rsidR="00FD286B" w:rsidRPr="00866DA1" w:rsidTr="005409DF">
        <w:trPr>
          <w:cantSplit/>
        </w:trPr>
        <w:tc>
          <w:tcPr>
            <w:tcW w:w="2694" w:type="dxa"/>
            <w:tcBorders>
              <w:bottom w:val="single" w:sz="4" w:space="0" w:color="auto"/>
            </w:tcBorders>
            <w:shd w:val="clear" w:color="auto" w:fill="auto"/>
            <w:vAlign w:val="center"/>
          </w:tcPr>
          <w:p w:rsidR="00FD286B" w:rsidRPr="00E61F7A" w:rsidRDefault="00FD286B" w:rsidP="00032506">
            <w:pPr>
              <w:pStyle w:val="TableCellText10pt"/>
              <w:rPr>
                <w:szCs w:val="20"/>
                <w:lang w:val="en-AU"/>
              </w:rPr>
            </w:pPr>
            <w:r w:rsidRPr="00E61F7A">
              <w:rPr>
                <w:szCs w:val="20"/>
              </w:rPr>
              <w:t>Sucrose</w:t>
            </w:r>
          </w:p>
        </w:tc>
        <w:tc>
          <w:tcPr>
            <w:tcW w:w="1559" w:type="dxa"/>
            <w:tcBorders>
              <w:bottom w:val="single" w:sz="4" w:space="0" w:color="auto"/>
            </w:tcBorders>
            <w:shd w:val="clear" w:color="auto" w:fill="auto"/>
          </w:tcPr>
          <w:p w:rsidR="00FD286B" w:rsidRPr="00E61F7A" w:rsidRDefault="00FD286B" w:rsidP="00032506">
            <w:pPr>
              <w:pStyle w:val="TableCellText10pt"/>
              <w:jc w:val="center"/>
              <w:rPr>
                <w:szCs w:val="20"/>
                <w:lang w:val="en-AU"/>
              </w:rPr>
            </w:pPr>
            <w:r w:rsidRPr="00E61F7A">
              <w:rPr>
                <w:szCs w:val="20"/>
                <w:lang w:val="en-AU"/>
              </w:rPr>
              <w:t>7 mg/mL</w:t>
            </w:r>
          </w:p>
        </w:tc>
        <w:tc>
          <w:tcPr>
            <w:tcW w:w="1559" w:type="dxa"/>
            <w:tcBorders>
              <w:bottom w:val="single" w:sz="4" w:space="0" w:color="auto"/>
            </w:tcBorders>
            <w:shd w:val="clear" w:color="auto" w:fill="auto"/>
          </w:tcPr>
          <w:p w:rsidR="00FD286B" w:rsidRPr="00E61F7A" w:rsidRDefault="00FD286B" w:rsidP="00032506">
            <w:pPr>
              <w:pStyle w:val="TableCellText10pt"/>
              <w:jc w:val="center"/>
              <w:rPr>
                <w:szCs w:val="20"/>
                <w:lang w:val="en-AU"/>
              </w:rPr>
            </w:pPr>
            <w:r w:rsidRPr="00E61F7A">
              <w:rPr>
                <w:szCs w:val="20"/>
                <w:lang w:val="en-AU"/>
              </w:rPr>
              <w:t>12 mg/mL</w:t>
            </w:r>
          </w:p>
        </w:tc>
        <w:tc>
          <w:tcPr>
            <w:tcW w:w="1559" w:type="dxa"/>
            <w:tcBorders>
              <w:bottom w:val="single" w:sz="4" w:space="0" w:color="auto"/>
            </w:tcBorders>
            <w:shd w:val="clear" w:color="auto" w:fill="auto"/>
          </w:tcPr>
          <w:p w:rsidR="00FD286B" w:rsidRPr="00E61F7A" w:rsidRDefault="00FD286B" w:rsidP="00032506">
            <w:pPr>
              <w:pStyle w:val="TableCellText10pt"/>
              <w:jc w:val="center"/>
              <w:rPr>
                <w:szCs w:val="20"/>
                <w:lang w:val="en-AU"/>
              </w:rPr>
            </w:pPr>
            <w:r w:rsidRPr="00E61F7A">
              <w:rPr>
                <w:szCs w:val="20"/>
                <w:lang w:val="en-AU"/>
              </w:rPr>
              <w:t>12 mg/mL</w:t>
            </w:r>
          </w:p>
        </w:tc>
        <w:tc>
          <w:tcPr>
            <w:tcW w:w="1560" w:type="dxa"/>
            <w:tcBorders>
              <w:bottom w:val="single" w:sz="4" w:space="0" w:color="auto"/>
            </w:tcBorders>
            <w:shd w:val="clear" w:color="auto" w:fill="auto"/>
          </w:tcPr>
          <w:p w:rsidR="00FD286B" w:rsidRPr="00E61F7A" w:rsidRDefault="00FD286B" w:rsidP="00032506">
            <w:pPr>
              <w:pStyle w:val="TableCellText10pt"/>
              <w:jc w:val="center"/>
              <w:rPr>
                <w:szCs w:val="20"/>
                <w:lang w:val="en-AU"/>
              </w:rPr>
            </w:pPr>
            <w:r w:rsidRPr="00E61F7A">
              <w:rPr>
                <w:szCs w:val="20"/>
                <w:lang w:val="en-AU"/>
              </w:rPr>
              <w:t>12 mg/mL</w:t>
            </w:r>
          </w:p>
        </w:tc>
      </w:tr>
      <w:tr w:rsidR="00FD286B" w:rsidRPr="00866DA1" w:rsidTr="005409DF">
        <w:trPr>
          <w:cantSplit/>
        </w:trPr>
        <w:tc>
          <w:tcPr>
            <w:tcW w:w="2694" w:type="dxa"/>
            <w:shd w:val="pct10" w:color="auto" w:fill="auto"/>
            <w:vAlign w:val="center"/>
          </w:tcPr>
          <w:p w:rsidR="00FD286B" w:rsidRPr="00866DA1" w:rsidRDefault="00FD286B" w:rsidP="00032506">
            <w:pPr>
              <w:pStyle w:val="TableCellText10pt"/>
              <w:rPr>
                <w:b/>
                <w:szCs w:val="20"/>
                <w:lang w:val="en-AU"/>
              </w:rPr>
            </w:pPr>
            <w:r w:rsidRPr="00866DA1">
              <w:rPr>
                <w:b/>
                <w:szCs w:val="20"/>
                <w:lang w:val="en-AU"/>
              </w:rPr>
              <w:t>Reconstitution volume (mL)</w:t>
            </w:r>
          </w:p>
        </w:tc>
        <w:tc>
          <w:tcPr>
            <w:tcW w:w="1559" w:type="dxa"/>
            <w:shd w:val="pct10" w:color="auto" w:fill="auto"/>
          </w:tcPr>
          <w:p w:rsidR="00FD286B" w:rsidRPr="00866DA1" w:rsidRDefault="00FD286B" w:rsidP="00032506">
            <w:pPr>
              <w:pStyle w:val="TableCellText10pt"/>
              <w:jc w:val="center"/>
              <w:rPr>
                <w:b/>
                <w:szCs w:val="20"/>
                <w:lang w:val="en-AU"/>
              </w:rPr>
            </w:pPr>
            <w:r w:rsidRPr="00866DA1">
              <w:rPr>
                <w:b/>
                <w:szCs w:val="20"/>
                <w:lang w:val="en-AU"/>
              </w:rPr>
              <w:t>2.5</w:t>
            </w:r>
          </w:p>
        </w:tc>
        <w:tc>
          <w:tcPr>
            <w:tcW w:w="1559" w:type="dxa"/>
            <w:shd w:val="pct10" w:color="auto" w:fill="auto"/>
          </w:tcPr>
          <w:p w:rsidR="00FD286B" w:rsidRPr="00866DA1" w:rsidRDefault="00FD286B" w:rsidP="00032506">
            <w:pPr>
              <w:pStyle w:val="TableCellText10pt"/>
              <w:jc w:val="center"/>
              <w:rPr>
                <w:b/>
                <w:szCs w:val="20"/>
                <w:lang w:val="en-AU"/>
              </w:rPr>
            </w:pPr>
            <w:r w:rsidRPr="00866DA1">
              <w:rPr>
                <w:b/>
                <w:szCs w:val="20"/>
                <w:lang w:val="en-AU"/>
              </w:rPr>
              <w:t>2.5</w:t>
            </w:r>
          </w:p>
        </w:tc>
        <w:tc>
          <w:tcPr>
            <w:tcW w:w="1559" w:type="dxa"/>
            <w:shd w:val="pct10" w:color="auto" w:fill="auto"/>
          </w:tcPr>
          <w:p w:rsidR="00FD286B" w:rsidRPr="00866DA1" w:rsidRDefault="00FD286B" w:rsidP="00032506">
            <w:pPr>
              <w:pStyle w:val="TableCellText10pt"/>
              <w:jc w:val="center"/>
              <w:rPr>
                <w:b/>
                <w:szCs w:val="20"/>
                <w:lang w:val="en-AU"/>
              </w:rPr>
            </w:pPr>
            <w:r w:rsidRPr="00866DA1">
              <w:rPr>
                <w:b/>
                <w:szCs w:val="20"/>
                <w:lang w:val="en-AU"/>
              </w:rPr>
              <w:t>2.5</w:t>
            </w:r>
          </w:p>
        </w:tc>
        <w:tc>
          <w:tcPr>
            <w:tcW w:w="1560" w:type="dxa"/>
            <w:shd w:val="pct10" w:color="auto" w:fill="auto"/>
          </w:tcPr>
          <w:p w:rsidR="00FD286B" w:rsidRPr="00866DA1" w:rsidRDefault="00FD286B" w:rsidP="00032506">
            <w:pPr>
              <w:pStyle w:val="TableCellText10pt"/>
              <w:jc w:val="center"/>
              <w:rPr>
                <w:b/>
                <w:szCs w:val="20"/>
                <w:lang w:val="en-AU"/>
              </w:rPr>
            </w:pPr>
            <w:r w:rsidRPr="00866DA1">
              <w:rPr>
                <w:b/>
                <w:szCs w:val="20"/>
                <w:lang w:val="en-AU"/>
              </w:rPr>
              <w:t>5</w:t>
            </w:r>
          </w:p>
        </w:tc>
      </w:tr>
    </w:tbl>
    <w:p w:rsidR="00DE4090" w:rsidRDefault="00FD286B" w:rsidP="00DE4090">
      <w:pPr>
        <w:pStyle w:val="DocumentText"/>
        <w:spacing w:after="120"/>
      </w:pPr>
      <w:r w:rsidRPr="000F76AF">
        <w:rPr>
          <w:sz w:val="20"/>
          <w:szCs w:val="20"/>
          <w:vertAlign w:val="superscript"/>
          <w:lang w:val="en-AU"/>
        </w:rPr>
        <w:t>a</w:t>
      </w:r>
      <w:r w:rsidR="00105A30" w:rsidRPr="009E09F1">
        <w:t> </w:t>
      </w:r>
      <w:r w:rsidRPr="000F76AF">
        <w:rPr>
          <w:sz w:val="20"/>
          <w:szCs w:val="20"/>
          <w:lang w:val="en-AU"/>
        </w:rPr>
        <w:t>Nominal values.</w:t>
      </w:r>
    </w:p>
    <w:p w:rsidR="00FD286B" w:rsidRPr="000F76AF" w:rsidRDefault="00DE4090" w:rsidP="00FD286B">
      <w:pPr>
        <w:pStyle w:val="DocumentText"/>
        <w:rPr>
          <w:sz w:val="20"/>
          <w:szCs w:val="20"/>
        </w:rPr>
      </w:pPr>
      <w:r>
        <w:t>The sodium content is approximately 75 mmol/L (1.7243 g/L).</w:t>
      </w:r>
    </w:p>
    <w:p w:rsidR="00137C30" w:rsidRPr="00B1677F" w:rsidRDefault="00137C30" w:rsidP="00B349E4">
      <w:pPr>
        <w:pStyle w:val="Heading2"/>
        <w:numPr>
          <w:ilvl w:val="0"/>
          <w:numId w:val="0"/>
        </w:numPr>
        <w:ind w:left="1901" w:hanging="1901"/>
      </w:pPr>
      <w:r w:rsidRPr="00B1677F">
        <w:t>PHARMACOLOGY</w:t>
      </w:r>
    </w:p>
    <w:p w:rsidR="003C74A1" w:rsidRDefault="003C74A1" w:rsidP="00B1677F">
      <w:pPr>
        <w:pStyle w:val="Heading3"/>
        <w:numPr>
          <w:ilvl w:val="0"/>
          <w:numId w:val="0"/>
        </w:numPr>
        <w:ind w:left="2138" w:hanging="2138"/>
      </w:pPr>
      <w:r>
        <w:t>Pharmacodynamics</w:t>
      </w:r>
    </w:p>
    <w:p w:rsidR="00C93C5B" w:rsidRDefault="00C93C5B" w:rsidP="00C93C5B">
      <w:pPr>
        <w:pStyle w:val="DocumentText"/>
      </w:pPr>
      <w:r w:rsidRPr="00F346B3">
        <w:rPr>
          <w:lang w:val="en-AU"/>
        </w:rPr>
        <w:t>Haemophilia</w:t>
      </w:r>
      <w:r w:rsidRPr="009E09F1">
        <w:t xml:space="preserve"> B is a sex linked hereditary disorder of blood coagulation due to decreased levels of </w:t>
      </w:r>
      <w:r>
        <w:t>F</w:t>
      </w:r>
      <w:r w:rsidRPr="009E09F1">
        <w:t xml:space="preserve">IX and results in profuse bleeding into joints, muscles or internal organs, either spontaneously or as a result of accidental or surgical trauma. By replacement therapy the plasma levels of </w:t>
      </w:r>
      <w:r>
        <w:t>F</w:t>
      </w:r>
      <w:r w:rsidRPr="009E09F1">
        <w:t xml:space="preserve">IX </w:t>
      </w:r>
      <w:r w:rsidR="009C3013">
        <w:t>are</w:t>
      </w:r>
      <w:r w:rsidR="009C3013" w:rsidRPr="009E09F1">
        <w:t xml:space="preserve"> </w:t>
      </w:r>
      <w:r w:rsidRPr="009E09F1">
        <w:t>increased, thereby enabling a temporary correction of the factor deficiency and correction of the bleeding tendencies</w:t>
      </w:r>
      <w:r>
        <w:t>.</w:t>
      </w:r>
    </w:p>
    <w:p w:rsidR="006B092C" w:rsidRDefault="009D6286" w:rsidP="006B092C">
      <w:pPr>
        <w:pStyle w:val="DocumentText"/>
      </w:pPr>
      <w:r>
        <w:t>IDELVION</w:t>
      </w:r>
      <w:r w:rsidR="00151E18" w:rsidRPr="00151E18">
        <w:rPr>
          <w:vertAlign w:val="superscript"/>
        </w:rPr>
        <w:t>®</w:t>
      </w:r>
      <w:r w:rsidR="00151E18">
        <w:t xml:space="preserve"> </w:t>
      </w:r>
      <w:r w:rsidR="00FD286B">
        <w:t>(a</w:t>
      </w:r>
      <w:r w:rsidR="00FD286B" w:rsidRPr="009E09F1">
        <w:t>lbutrepenonacog alfa</w:t>
      </w:r>
      <w:r w:rsidR="00FD286B">
        <w:t>)</w:t>
      </w:r>
      <w:r w:rsidR="00FD286B" w:rsidRPr="009E09F1">
        <w:t xml:space="preserve"> is a recombinant fusion protein linking </w:t>
      </w:r>
      <w:r w:rsidR="00DC3273">
        <w:t xml:space="preserve">recombinant </w:t>
      </w:r>
      <w:r w:rsidR="00FD286B" w:rsidRPr="009E09F1">
        <w:t xml:space="preserve">coagulation </w:t>
      </w:r>
      <w:r w:rsidR="00FD286B">
        <w:t>F</w:t>
      </w:r>
      <w:r w:rsidR="00FD286B" w:rsidRPr="009E09F1">
        <w:t xml:space="preserve">IX with </w:t>
      </w:r>
      <w:r w:rsidR="00DC3273">
        <w:t xml:space="preserve">recombinant </w:t>
      </w:r>
      <w:r w:rsidR="00FD286B" w:rsidRPr="009E09F1">
        <w:t xml:space="preserve">albumin that effectively replaces the missing coagulation </w:t>
      </w:r>
      <w:r w:rsidR="00FD286B">
        <w:t>F</w:t>
      </w:r>
      <w:r w:rsidR="00FD286B" w:rsidRPr="009E09F1">
        <w:t>IX needed for</w:t>
      </w:r>
      <w:r w:rsidR="00FD286B" w:rsidRPr="00F346B3">
        <w:rPr>
          <w:lang w:val="en-AU"/>
        </w:rPr>
        <w:t xml:space="preserve"> haemostasis</w:t>
      </w:r>
      <w:r w:rsidR="00FD286B" w:rsidRPr="009E09F1">
        <w:t xml:space="preserve"> and provides for longer dose regimens. The prolongation of the half-life</w:t>
      </w:r>
      <w:r w:rsidR="00FD286B">
        <w:t xml:space="preserve"> of </w:t>
      </w:r>
      <w:r w:rsidR="003538EB">
        <w:t>FIX</w:t>
      </w:r>
      <w:r w:rsidR="00151E18">
        <w:t xml:space="preserve"> </w:t>
      </w:r>
      <w:r w:rsidR="00FD286B" w:rsidRPr="009E09F1">
        <w:t xml:space="preserve">and the enhanced systemic exposure are achieved by fusion with </w:t>
      </w:r>
      <w:r w:rsidR="00DA6971">
        <w:t xml:space="preserve">recombinant </w:t>
      </w:r>
      <w:r w:rsidR="00FD286B" w:rsidRPr="009E09F1">
        <w:t>albumin</w:t>
      </w:r>
      <w:r w:rsidR="00D21C73">
        <w:t>.</w:t>
      </w:r>
      <w:r w:rsidR="00FD286B" w:rsidRPr="009E09F1">
        <w:t xml:space="preserve"> </w:t>
      </w:r>
      <w:r w:rsidR="006B092C" w:rsidRPr="00957E7B">
        <w:t xml:space="preserve">Albumin is a natural, inert carrier protein in plasma with a long half-life of approximately 20 days that is not involved in immune </w:t>
      </w:r>
      <w:r w:rsidR="006A289B" w:rsidRPr="00957E7B">
        <w:t>defen</w:t>
      </w:r>
      <w:r w:rsidR="006A289B">
        <w:t>c</w:t>
      </w:r>
      <w:r w:rsidR="006A289B" w:rsidRPr="00957E7B">
        <w:t xml:space="preserve">e </w:t>
      </w:r>
      <w:r w:rsidR="006B092C" w:rsidRPr="00957E7B">
        <w:t xml:space="preserve">or immune response. Genetic fusion of recombinant coagulation FIX with albumin extends the half-life of FIX (see </w:t>
      </w:r>
      <w:r w:rsidR="006B092C" w:rsidRPr="00957E7B">
        <w:rPr>
          <w:b/>
        </w:rPr>
        <w:t>Pharmacokinetics</w:t>
      </w:r>
      <w:r w:rsidR="006B092C" w:rsidRPr="00957E7B">
        <w:t>).</w:t>
      </w:r>
    </w:p>
    <w:p w:rsidR="0055535B" w:rsidRDefault="009D6286" w:rsidP="0055535B">
      <w:pPr>
        <w:pStyle w:val="DocumentText"/>
      </w:pPr>
      <w:r>
        <w:t>IDELVION</w:t>
      </w:r>
      <w:r w:rsidR="0055535B" w:rsidRPr="00151E18">
        <w:rPr>
          <w:vertAlign w:val="superscript"/>
        </w:rPr>
        <w:t>®</w:t>
      </w:r>
      <w:r w:rsidR="0055535B" w:rsidRPr="0055535B">
        <w:t xml:space="preserve"> </w:t>
      </w:r>
      <w:r w:rsidR="0055535B" w:rsidRPr="009E09F1">
        <w:t xml:space="preserve">remains intact in the circulation until </w:t>
      </w:r>
      <w:r w:rsidR="0055535B">
        <w:t>F</w:t>
      </w:r>
      <w:r w:rsidR="0055535B" w:rsidRPr="009E09F1">
        <w:t xml:space="preserve">IX is activated, whereupon albumin is cleaved, releasing activated </w:t>
      </w:r>
      <w:r w:rsidR="0055535B">
        <w:t>F</w:t>
      </w:r>
      <w:r w:rsidR="0055535B" w:rsidRPr="009E09F1">
        <w:t>IX (FIXa) when it is needed for coagulation.</w:t>
      </w:r>
    </w:p>
    <w:p w:rsidR="00FD286B" w:rsidRDefault="00FD286B" w:rsidP="003C74A1">
      <w:pPr>
        <w:pStyle w:val="DocumentText"/>
      </w:pPr>
      <w:r w:rsidRPr="009E09F1">
        <w:lastRenderedPageBreak/>
        <w:t xml:space="preserve">FIX is activated by factor VII/tissue factor complex in the extrinsic pathway as well as factor XIa in the intrinsic coagulation pathway. Activated </w:t>
      </w:r>
      <w:r>
        <w:t>F</w:t>
      </w:r>
      <w:r w:rsidRPr="009E09F1">
        <w:t>IX, in combination with activated factor VIII, activate</w:t>
      </w:r>
      <w:r>
        <w:t>s</w:t>
      </w:r>
      <w:r w:rsidRPr="009E09F1">
        <w:t xml:space="preserve"> factor X. This results ultimately in the conversion of prothrombin to thrombin. Thrombin then converts fibrinogen into fibrin and a clot can be formed. FIX activity is absent or greatly reduced in patients with haemophilia B and substitution therapy may be required.</w:t>
      </w:r>
    </w:p>
    <w:p w:rsidR="001B7CD7" w:rsidRPr="00B1677F" w:rsidRDefault="001B7CD7" w:rsidP="00B1677F">
      <w:pPr>
        <w:pStyle w:val="Heading3"/>
        <w:numPr>
          <w:ilvl w:val="0"/>
          <w:numId w:val="0"/>
        </w:numPr>
        <w:ind w:left="2138" w:hanging="2138"/>
      </w:pPr>
      <w:r w:rsidRPr="00B1677F">
        <w:t>Pharmacokinetics</w:t>
      </w:r>
    </w:p>
    <w:p w:rsidR="001B7CD7" w:rsidRPr="0082193A" w:rsidRDefault="00FD286B" w:rsidP="00BE1AC6">
      <w:pPr>
        <w:pStyle w:val="DocumentText"/>
        <w:keepNext/>
        <w:spacing w:after="120"/>
        <w:rPr>
          <w:b/>
          <w:i/>
          <w:sz w:val="28"/>
          <w:szCs w:val="28"/>
        </w:rPr>
      </w:pPr>
      <w:r w:rsidRPr="0082193A">
        <w:rPr>
          <w:b/>
          <w:i/>
          <w:sz w:val="28"/>
          <w:szCs w:val="28"/>
        </w:rPr>
        <w:t>Adult population</w:t>
      </w:r>
      <w:r w:rsidR="00EF28C4">
        <w:rPr>
          <w:b/>
          <w:i/>
          <w:sz w:val="28"/>
          <w:szCs w:val="28"/>
        </w:rPr>
        <w:t xml:space="preserve"> </w:t>
      </w:r>
      <w:r w:rsidR="009D6286" w:rsidRPr="005577DA">
        <w:rPr>
          <w:b/>
          <w:i/>
        </w:rPr>
        <w:t>(≥18 years to &lt;65 years)</w:t>
      </w:r>
    </w:p>
    <w:p w:rsidR="00FD286B" w:rsidRDefault="00FD286B" w:rsidP="00B1677F">
      <w:pPr>
        <w:pStyle w:val="DocumentText"/>
      </w:pPr>
      <w:r w:rsidRPr="009E09F1">
        <w:t xml:space="preserve">The pharmacokinetics (PK) of </w:t>
      </w:r>
      <w:r w:rsidR="009D6286">
        <w:t>IDELVION</w:t>
      </w:r>
      <w:r w:rsidR="00151E18" w:rsidRPr="00151E18">
        <w:rPr>
          <w:vertAlign w:val="superscript"/>
        </w:rPr>
        <w:t>®</w:t>
      </w:r>
      <w:r w:rsidR="00151E18">
        <w:t xml:space="preserve"> </w:t>
      </w:r>
      <w:r w:rsidRPr="009E09F1">
        <w:t>were evaluated following an intravenous injection of a single dose of 25,</w:t>
      </w:r>
      <w:r w:rsidR="00BE761A" w:rsidRPr="00A00251">
        <w:t> </w:t>
      </w:r>
      <w:r w:rsidRPr="009E09F1">
        <w:t>50</w:t>
      </w:r>
      <w:r w:rsidR="00BE761A" w:rsidRPr="00A00251">
        <w:t> </w:t>
      </w:r>
      <w:r w:rsidRPr="009E09F1">
        <w:t xml:space="preserve">and 75 IU/kg. The PK parameters (see </w:t>
      </w:r>
      <w:r w:rsidRPr="009E09F1">
        <w:rPr>
          <w:b/>
          <w:lang w:val="en-AU"/>
        </w:rPr>
        <w:t>Table 2</w:t>
      </w:r>
      <w:r w:rsidRPr="009E09F1">
        <w:t xml:space="preserve">) were based on plasma </w:t>
      </w:r>
      <w:r>
        <w:t>F</w:t>
      </w:r>
      <w:r w:rsidRPr="009E09F1">
        <w:t xml:space="preserve">IX activity measured by the </w:t>
      </w:r>
      <w:r w:rsidR="005361FA">
        <w:t>one</w:t>
      </w:r>
      <w:r w:rsidRPr="009E09F1">
        <w:t>-stage clotting assay. Blood samples for PK analysis were collected prior to dosing and up to 336 hours (14 days) after dosing.</w:t>
      </w:r>
    </w:p>
    <w:p w:rsidR="00FD286B" w:rsidRPr="00FD286B" w:rsidRDefault="00FD286B" w:rsidP="008640B7">
      <w:pPr>
        <w:pStyle w:val="Caption"/>
        <w:ind w:left="0" w:firstLine="0"/>
      </w:pPr>
      <w:r w:rsidRPr="00FD286B">
        <w:t xml:space="preserve">Table 2: Pharmacokinetic </w:t>
      </w:r>
      <w:r w:rsidR="00EE4D51">
        <w:t>p</w:t>
      </w:r>
      <w:r w:rsidRPr="00FD286B">
        <w:t>arameters (</w:t>
      </w:r>
      <w:r w:rsidR="00B93A4C">
        <w:t>a</w:t>
      </w:r>
      <w:r w:rsidRPr="00FD286B">
        <w:t xml:space="preserve">rithmetic </w:t>
      </w:r>
      <w:r w:rsidR="00EE4D51">
        <w:t>m</w:t>
      </w:r>
      <w:r w:rsidRPr="00FD286B">
        <w:t xml:space="preserve">ean, CV%) </w:t>
      </w:r>
      <w:r w:rsidR="00EE4D51">
        <w:t>f</w:t>
      </w:r>
      <w:r w:rsidRPr="00FD286B">
        <w:t xml:space="preserve">ollowing a </w:t>
      </w:r>
      <w:r w:rsidR="00EE4D51">
        <w:t>s</w:t>
      </w:r>
      <w:r w:rsidRPr="00FD286B">
        <w:t xml:space="preserve">ingle </w:t>
      </w:r>
      <w:r w:rsidR="00EE4D51">
        <w:t>i</w:t>
      </w:r>
      <w:r w:rsidRPr="00FD286B">
        <w:t>njection of 50</w:t>
      </w:r>
      <w:r w:rsidR="00A763F2">
        <w:t> </w:t>
      </w:r>
      <w:r w:rsidRPr="00FD286B">
        <w:t>IU/kg</w:t>
      </w:r>
      <w:r w:rsidR="00151E18" w:rsidRPr="00151E18">
        <w:t xml:space="preserve"> </w:t>
      </w:r>
      <w:r w:rsidR="009D6286">
        <w:t>IDELVION</w:t>
      </w:r>
      <w:r w:rsidR="00151E18" w:rsidRPr="00C26C99">
        <w:rPr>
          <w:vertAlign w:val="superscript"/>
        </w:rPr>
        <w:t>®</w:t>
      </w:r>
      <w:r w:rsidR="00C26C99">
        <w:t xml:space="preserve"> i</w:t>
      </w:r>
      <w:r w:rsidR="006B092C" w:rsidRPr="00C26C99">
        <w:t>n 18 to 65</w:t>
      </w:r>
      <w:r w:rsidR="00BE761A" w:rsidRPr="00A00251">
        <w:t> </w:t>
      </w:r>
      <w:r w:rsidR="006B092C" w:rsidRPr="00C26C99">
        <w:t>year old adults</w:t>
      </w:r>
    </w:p>
    <w:tbl>
      <w:tblPr>
        <w:tblW w:w="69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7"/>
        <w:gridCol w:w="3488"/>
      </w:tblGrid>
      <w:tr w:rsidR="00FD286B" w:rsidRPr="009E09F1" w:rsidTr="005409DF">
        <w:trPr>
          <w:trHeight w:hRule="exact" w:val="910"/>
        </w:trPr>
        <w:tc>
          <w:tcPr>
            <w:tcW w:w="3487" w:type="dxa"/>
            <w:shd w:val="pct15" w:color="auto" w:fill="auto"/>
            <w:vAlign w:val="center"/>
          </w:tcPr>
          <w:p w:rsidR="00FD286B" w:rsidRPr="009E09F1" w:rsidRDefault="00FD286B" w:rsidP="005409DF">
            <w:pPr>
              <w:pStyle w:val="TableCellHeading10pt"/>
              <w:keepLines/>
              <w:spacing w:beforeLines="40" w:before="96" w:afterLines="40" w:after="96"/>
              <w:jc w:val="left"/>
              <w:rPr>
                <w:szCs w:val="20"/>
              </w:rPr>
            </w:pPr>
            <w:r w:rsidRPr="009E09F1">
              <w:rPr>
                <w:szCs w:val="20"/>
              </w:rPr>
              <w:t xml:space="preserve">PK </w:t>
            </w:r>
            <w:r w:rsidR="00EE4D51">
              <w:rPr>
                <w:szCs w:val="20"/>
              </w:rPr>
              <w:t>p</w:t>
            </w:r>
            <w:r w:rsidRPr="009E09F1">
              <w:rPr>
                <w:szCs w:val="20"/>
              </w:rPr>
              <w:t>arameters</w:t>
            </w:r>
          </w:p>
        </w:tc>
        <w:tc>
          <w:tcPr>
            <w:tcW w:w="3488" w:type="dxa"/>
            <w:shd w:val="pct15" w:color="auto" w:fill="auto"/>
            <w:vAlign w:val="center"/>
          </w:tcPr>
          <w:p w:rsidR="00FD286B" w:rsidRPr="009E09F1" w:rsidRDefault="009D6286" w:rsidP="005409DF">
            <w:pPr>
              <w:pStyle w:val="TableCellHeading10pt"/>
              <w:keepLines/>
              <w:rPr>
                <w:szCs w:val="20"/>
              </w:rPr>
            </w:pPr>
            <w:r>
              <w:t>IDELVION</w:t>
            </w:r>
            <w:r w:rsidR="00151E18" w:rsidRPr="00151E18">
              <w:rPr>
                <w:vertAlign w:val="superscript"/>
              </w:rPr>
              <w:t>®</w:t>
            </w:r>
            <w:r w:rsidR="00151E18">
              <w:t xml:space="preserve"> </w:t>
            </w:r>
            <w:r w:rsidR="00FD286B">
              <w:rPr>
                <w:szCs w:val="20"/>
              </w:rPr>
              <w:t>(50</w:t>
            </w:r>
            <w:r w:rsidR="00825D55">
              <w:t> </w:t>
            </w:r>
            <w:r w:rsidR="00FD286B" w:rsidRPr="009E09F1">
              <w:rPr>
                <w:szCs w:val="20"/>
              </w:rPr>
              <w:t>IU/kg)</w:t>
            </w:r>
          </w:p>
          <w:p w:rsidR="00FD286B" w:rsidRPr="009E09F1" w:rsidRDefault="00FD286B" w:rsidP="00825D55">
            <w:pPr>
              <w:pStyle w:val="TableCellHeading10pt"/>
              <w:keepLines/>
              <w:rPr>
                <w:szCs w:val="20"/>
              </w:rPr>
            </w:pPr>
            <w:r w:rsidRPr="009E09F1">
              <w:rPr>
                <w:szCs w:val="20"/>
              </w:rPr>
              <w:t>(N</w:t>
            </w:r>
            <w:r w:rsidR="00825D55">
              <w:t> </w:t>
            </w:r>
            <w:r w:rsidRPr="009E09F1">
              <w:rPr>
                <w:szCs w:val="20"/>
              </w:rPr>
              <w:t>=</w:t>
            </w:r>
            <w:r w:rsidR="00825D55">
              <w:t> </w:t>
            </w:r>
            <w:r w:rsidRPr="009E09F1">
              <w:rPr>
                <w:szCs w:val="20"/>
              </w:rPr>
              <w:t>47)</w:t>
            </w:r>
          </w:p>
        </w:tc>
      </w:tr>
      <w:tr w:rsidR="00FD286B" w:rsidRPr="009E09F1" w:rsidTr="005409DF">
        <w:tc>
          <w:tcPr>
            <w:tcW w:w="3487" w:type="dxa"/>
            <w:shd w:val="clear" w:color="auto" w:fill="auto"/>
            <w:vAlign w:val="center"/>
          </w:tcPr>
          <w:p w:rsidR="00FD286B" w:rsidRPr="009E09F1" w:rsidRDefault="00FD286B" w:rsidP="005409DF">
            <w:pPr>
              <w:spacing w:before="40" w:after="40" w:line="240" w:lineRule="auto"/>
              <w:rPr>
                <w:kern w:val="0"/>
                <w:sz w:val="20"/>
                <w:szCs w:val="20"/>
                <w:lang w:val="en-AU"/>
              </w:rPr>
            </w:pPr>
            <w:r>
              <w:rPr>
                <w:kern w:val="0"/>
                <w:sz w:val="20"/>
                <w:szCs w:val="20"/>
                <w:lang w:val="en-AU"/>
              </w:rPr>
              <w:t>IR (IU/dL</w:t>
            </w:r>
            <w:r w:rsidRPr="009E09F1">
              <w:rPr>
                <w:kern w:val="0"/>
                <w:sz w:val="20"/>
                <w:szCs w:val="20"/>
                <w:lang w:val="en-AU"/>
              </w:rPr>
              <w:t>)/(IU/kg)</w:t>
            </w:r>
          </w:p>
        </w:tc>
        <w:tc>
          <w:tcPr>
            <w:tcW w:w="3488" w:type="dxa"/>
            <w:shd w:val="clear" w:color="auto" w:fill="auto"/>
            <w:vAlign w:val="center"/>
          </w:tcPr>
          <w:p w:rsidR="00FD286B" w:rsidRPr="009E09F1" w:rsidRDefault="00FD286B" w:rsidP="005409DF">
            <w:pPr>
              <w:spacing w:before="40" w:after="40" w:line="240" w:lineRule="auto"/>
              <w:jc w:val="center"/>
              <w:rPr>
                <w:kern w:val="0"/>
                <w:sz w:val="20"/>
                <w:szCs w:val="20"/>
                <w:lang w:val="en-AU"/>
              </w:rPr>
            </w:pPr>
            <w:r w:rsidRPr="009E09F1">
              <w:rPr>
                <w:kern w:val="0"/>
                <w:sz w:val="20"/>
                <w:szCs w:val="20"/>
                <w:lang w:val="en-AU"/>
              </w:rPr>
              <w:t>1.30 (23.8)</w:t>
            </w:r>
          </w:p>
        </w:tc>
      </w:tr>
      <w:tr w:rsidR="00FD286B" w:rsidRPr="009E09F1" w:rsidTr="005409DF">
        <w:tc>
          <w:tcPr>
            <w:tcW w:w="3487" w:type="dxa"/>
            <w:shd w:val="clear" w:color="auto" w:fill="auto"/>
            <w:vAlign w:val="center"/>
          </w:tcPr>
          <w:p w:rsidR="00FD286B" w:rsidRPr="009E09F1" w:rsidRDefault="00FD286B" w:rsidP="00BE761A">
            <w:pPr>
              <w:spacing w:before="40" w:after="40" w:line="240" w:lineRule="auto"/>
              <w:rPr>
                <w:kern w:val="0"/>
                <w:sz w:val="20"/>
                <w:szCs w:val="20"/>
                <w:lang w:val="en-AU"/>
              </w:rPr>
            </w:pPr>
            <w:r>
              <w:rPr>
                <w:kern w:val="0"/>
                <w:sz w:val="20"/>
                <w:szCs w:val="20"/>
                <w:lang w:val="en-AU"/>
              </w:rPr>
              <w:t>Cmax</w:t>
            </w:r>
            <w:r w:rsidR="00BE761A" w:rsidRPr="00A00251">
              <w:t> </w:t>
            </w:r>
            <w:r>
              <w:rPr>
                <w:kern w:val="0"/>
                <w:sz w:val="20"/>
                <w:szCs w:val="20"/>
                <w:lang w:val="en-AU"/>
              </w:rPr>
              <w:t>(IU/dL</w:t>
            </w:r>
            <w:r w:rsidRPr="009E09F1">
              <w:rPr>
                <w:kern w:val="0"/>
                <w:sz w:val="20"/>
                <w:szCs w:val="20"/>
                <w:lang w:val="en-AU"/>
              </w:rPr>
              <w:t>)</w:t>
            </w:r>
          </w:p>
        </w:tc>
        <w:tc>
          <w:tcPr>
            <w:tcW w:w="3488" w:type="dxa"/>
            <w:shd w:val="clear" w:color="auto" w:fill="auto"/>
            <w:vAlign w:val="center"/>
          </w:tcPr>
          <w:p w:rsidR="00FD286B" w:rsidRPr="009E09F1" w:rsidRDefault="00FD286B" w:rsidP="005409DF">
            <w:pPr>
              <w:spacing w:before="40" w:after="40" w:line="240" w:lineRule="auto"/>
              <w:jc w:val="center"/>
              <w:rPr>
                <w:kern w:val="0"/>
                <w:sz w:val="20"/>
                <w:szCs w:val="20"/>
                <w:lang w:val="en-AU"/>
              </w:rPr>
            </w:pPr>
            <w:r w:rsidRPr="009E09F1">
              <w:rPr>
                <w:kern w:val="0"/>
                <w:sz w:val="20"/>
                <w:szCs w:val="20"/>
                <w:lang w:val="en-AU"/>
              </w:rPr>
              <w:t>66.6 (26.7)</w:t>
            </w:r>
          </w:p>
        </w:tc>
      </w:tr>
      <w:tr w:rsidR="00FD286B" w:rsidRPr="009E09F1" w:rsidTr="005409DF">
        <w:tc>
          <w:tcPr>
            <w:tcW w:w="3487" w:type="dxa"/>
            <w:shd w:val="clear" w:color="auto" w:fill="auto"/>
            <w:vAlign w:val="center"/>
          </w:tcPr>
          <w:p w:rsidR="00FD286B" w:rsidRPr="0023282E" w:rsidRDefault="00FD286B" w:rsidP="00B17476">
            <w:pPr>
              <w:spacing w:before="40" w:after="40" w:line="240" w:lineRule="auto"/>
              <w:rPr>
                <w:kern w:val="0"/>
                <w:sz w:val="20"/>
                <w:szCs w:val="20"/>
                <w:lang w:val="de-DE"/>
              </w:rPr>
            </w:pPr>
            <w:r w:rsidRPr="0023282E">
              <w:rPr>
                <w:kern w:val="0"/>
                <w:sz w:val="20"/>
                <w:szCs w:val="20"/>
                <w:lang w:val="de-DE"/>
              </w:rPr>
              <w:t>AUC</w:t>
            </w:r>
            <w:r w:rsidRPr="0023282E">
              <w:rPr>
                <w:kern w:val="0"/>
                <w:sz w:val="20"/>
                <w:szCs w:val="20"/>
                <w:vertAlign w:val="subscript"/>
                <w:lang w:val="de-DE"/>
              </w:rPr>
              <w:t>0-inf</w:t>
            </w:r>
            <w:r w:rsidR="00BE761A" w:rsidRPr="0023282E">
              <w:rPr>
                <w:lang w:val="de-DE"/>
              </w:rPr>
              <w:t> </w:t>
            </w:r>
            <w:r w:rsidRPr="0023282E">
              <w:rPr>
                <w:kern w:val="0"/>
                <w:sz w:val="20"/>
                <w:szCs w:val="20"/>
                <w:lang w:val="de-DE"/>
              </w:rPr>
              <w:t>(h</w:t>
            </w:r>
            <w:r w:rsidR="00B17476" w:rsidRPr="0023282E">
              <w:rPr>
                <w:kern w:val="0"/>
                <w:sz w:val="20"/>
                <w:szCs w:val="20"/>
                <w:lang w:val="de-DE"/>
              </w:rPr>
              <w:t>.</w:t>
            </w:r>
            <w:r w:rsidRPr="0023282E">
              <w:rPr>
                <w:kern w:val="0"/>
                <w:sz w:val="20"/>
                <w:szCs w:val="20"/>
                <w:lang w:val="de-DE"/>
              </w:rPr>
              <w:t>IU/dL)</w:t>
            </w:r>
          </w:p>
        </w:tc>
        <w:tc>
          <w:tcPr>
            <w:tcW w:w="3488" w:type="dxa"/>
            <w:shd w:val="clear" w:color="auto" w:fill="auto"/>
            <w:vAlign w:val="center"/>
          </w:tcPr>
          <w:p w:rsidR="00FD286B" w:rsidRPr="009E09F1" w:rsidRDefault="00FD286B" w:rsidP="005409DF">
            <w:pPr>
              <w:spacing w:before="40" w:after="40" w:line="240" w:lineRule="auto"/>
              <w:jc w:val="center"/>
              <w:rPr>
                <w:kern w:val="0"/>
                <w:sz w:val="20"/>
                <w:szCs w:val="20"/>
                <w:lang w:val="en-AU"/>
              </w:rPr>
            </w:pPr>
            <w:r w:rsidRPr="009E09F1">
              <w:rPr>
                <w:kern w:val="0"/>
                <w:sz w:val="20"/>
                <w:szCs w:val="20"/>
                <w:lang w:val="en-AU"/>
              </w:rPr>
              <w:t>7482 (28.4)</w:t>
            </w:r>
          </w:p>
        </w:tc>
      </w:tr>
      <w:tr w:rsidR="00FD286B" w:rsidRPr="009E09F1" w:rsidTr="005409DF">
        <w:tc>
          <w:tcPr>
            <w:tcW w:w="3487" w:type="dxa"/>
            <w:tcBorders>
              <w:top w:val="single" w:sz="4" w:space="0" w:color="auto"/>
              <w:left w:val="single" w:sz="4" w:space="0" w:color="auto"/>
              <w:bottom w:val="single" w:sz="4" w:space="0" w:color="auto"/>
              <w:right w:val="single" w:sz="4" w:space="0" w:color="auto"/>
            </w:tcBorders>
            <w:shd w:val="clear" w:color="auto" w:fill="auto"/>
            <w:vAlign w:val="center"/>
          </w:tcPr>
          <w:p w:rsidR="00FD286B" w:rsidRPr="009E09F1" w:rsidRDefault="00FD286B" w:rsidP="00BE761A">
            <w:pPr>
              <w:spacing w:before="40" w:after="40" w:line="240" w:lineRule="auto"/>
              <w:rPr>
                <w:kern w:val="0"/>
                <w:sz w:val="20"/>
                <w:szCs w:val="20"/>
                <w:lang w:val="en-AU"/>
              </w:rPr>
            </w:pPr>
            <w:r w:rsidRPr="009E09F1">
              <w:rPr>
                <w:kern w:val="0"/>
                <w:sz w:val="20"/>
                <w:szCs w:val="20"/>
                <w:lang w:val="en-AU"/>
              </w:rPr>
              <w:t>t</w:t>
            </w:r>
            <w:r w:rsidRPr="009E09F1">
              <w:rPr>
                <w:kern w:val="0"/>
                <w:sz w:val="20"/>
                <w:szCs w:val="20"/>
                <w:vertAlign w:val="subscript"/>
                <w:lang w:val="en-AU"/>
              </w:rPr>
              <w:t>1/2</w:t>
            </w:r>
            <w:r w:rsidR="00BE761A" w:rsidRPr="00A00251">
              <w:t> </w:t>
            </w:r>
            <w:r w:rsidRPr="009E09F1">
              <w:rPr>
                <w:kern w:val="0"/>
                <w:sz w:val="20"/>
                <w:szCs w:val="20"/>
                <w:lang w:val="en-AU"/>
              </w:rPr>
              <w:t>(h)</w:t>
            </w:r>
          </w:p>
        </w:tc>
        <w:tc>
          <w:tcPr>
            <w:tcW w:w="3488" w:type="dxa"/>
            <w:tcBorders>
              <w:top w:val="single" w:sz="4" w:space="0" w:color="auto"/>
              <w:left w:val="single" w:sz="4" w:space="0" w:color="auto"/>
              <w:bottom w:val="single" w:sz="4" w:space="0" w:color="auto"/>
              <w:right w:val="single" w:sz="4" w:space="0" w:color="auto"/>
            </w:tcBorders>
            <w:shd w:val="clear" w:color="auto" w:fill="auto"/>
            <w:vAlign w:val="center"/>
          </w:tcPr>
          <w:p w:rsidR="00FD286B" w:rsidRPr="009E09F1" w:rsidRDefault="00FD286B" w:rsidP="005409DF">
            <w:pPr>
              <w:spacing w:before="40" w:after="40" w:line="240" w:lineRule="auto"/>
              <w:jc w:val="center"/>
              <w:rPr>
                <w:kern w:val="0"/>
                <w:sz w:val="20"/>
                <w:szCs w:val="20"/>
                <w:lang w:val="en-AU"/>
              </w:rPr>
            </w:pPr>
            <w:r w:rsidRPr="009E09F1">
              <w:rPr>
                <w:kern w:val="0"/>
                <w:sz w:val="20"/>
                <w:szCs w:val="20"/>
                <w:lang w:val="en-AU"/>
              </w:rPr>
              <w:t>104.2 (25.4)</w:t>
            </w:r>
          </w:p>
        </w:tc>
      </w:tr>
      <w:tr w:rsidR="00FD286B" w:rsidRPr="009E09F1" w:rsidTr="005409DF">
        <w:tc>
          <w:tcPr>
            <w:tcW w:w="3487" w:type="dxa"/>
            <w:tcBorders>
              <w:top w:val="single" w:sz="4" w:space="0" w:color="auto"/>
              <w:left w:val="single" w:sz="4" w:space="0" w:color="auto"/>
              <w:bottom w:val="single" w:sz="4" w:space="0" w:color="auto"/>
              <w:right w:val="single" w:sz="4" w:space="0" w:color="auto"/>
            </w:tcBorders>
            <w:shd w:val="clear" w:color="auto" w:fill="auto"/>
            <w:vAlign w:val="center"/>
          </w:tcPr>
          <w:p w:rsidR="00FD286B" w:rsidRPr="009E09F1" w:rsidRDefault="00FD286B" w:rsidP="00BE761A">
            <w:pPr>
              <w:spacing w:before="40" w:after="40" w:line="240" w:lineRule="auto"/>
              <w:rPr>
                <w:kern w:val="0"/>
                <w:sz w:val="20"/>
                <w:szCs w:val="20"/>
                <w:lang w:val="en-AU"/>
              </w:rPr>
            </w:pPr>
            <w:r w:rsidRPr="009E09F1">
              <w:rPr>
                <w:kern w:val="0"/>
                <w:sz w:val="20"/>
                <w:szCs w:val="20"/>
                <w:lang w:val="en-AU"/>
              </w:rPr>
              <w:t>MRT</w:t>
            </w:r>
            <w:r w:rsidR="00BE761A" w:rsidRPr="00A00251">
              <w:t> </w:t>
            </w:r>
            <w:r w:rsidRPr="009E09F1">
              <w:rPr>
                <w:kern w:val="0"/>
                <w:sz w:val="20"/>
                <w:szCs w:val="20"/>
                <w:lang w:val="en-AU"/>
              </w:rPr>
              <w:t>(h)</w:t>
            </w:r>
          </w:p>
        </w:tc>
        <w:tc>
          <w:tcPr>
            <w:tcW w:w="3488" w:type="dxa"/>
            <w:tcBorders>
              <w:top w:val="single" w:sz="4" w:space="0" w:color="auto"/>
              <w:left w:val="single" w:sz="4" w:space="0" w:color="auto"/>
              <w:bottom w:val="single" w:sz="4" w:space="0" w:color="auto"/>
              <w:right w:val="single" w:sz="4" w:space="0" w:color="auto"/>
            </w:tcBorders>
            <w:shd w:val="clear" w:color="auto" w:fill="auto"/>
            <w:vAlign w:val="center"/>
          </w:tcPr>
          <w:p w:rsidR="00FD286B" w:rsidRPr="009E09F1" w:rsidRDefault="00FD286B" w:rsidP="005409DF">
            <w:pPr>
              <w:spacing w:before="40" w:after="40" w:line="240" w:lineRule="auto"/>
              <w:jc w:val="center"/>
              <w:rPr>
                <w:kern w:val="0"/>
                <w:sz w:val="20"/>
                <w:szCs w:val="20"/>
                <w:lang w:val="en-AU"/>
              </w:rPr>
            </w:pPr>
            <w:r w:rsidRPr="009E09F1">
              <w:rPr>
                <w:kern w:val="0"/>
                <w:sz w:val="20"/>
                <w:szCs w:val="20"/>
                <w:lang w:val="en-AU"/>
              </w:rPr>
              <w:t>142.8 (22.7)</w:t>
            </w:r>
          </w:p>
        </w:tc>
      </w:tr>
      <w:tr w:rsidR="00FD286B" w:rsidRPr="009E09F1" w:rsidTr="005409DF">
        <w:tc>
          <w:tcPr>
            <w:tcW w:w="3487" w:type="dxa"/>
            <w:shd w:val="clear" w:color="auto" w:fill="auto"/>
            <w:vAlign w:val="center"/>
          </w:tcPr>
          <w:p w:rsidR="00FD286B" w:rsidRPr="009E09F1" w:rsidRDefault="00FD286B" w:rsidP="00BE761A">
            <w:pPr>
              <w:spacing w:before="40" w:after="40" w:line="240" w:lineRule="auto"/>
              <w:rPr>
                <w:kern w:val="0"/>
                <w:sz w:val="20"/>
                <w:szCs w:val="20"/>
                <w:lang w:val="en-AU"/>
              </w:rPr>
            </w:pPr>
            <w:r w:rsidRPr="009E09F1">
              <w:rPr>
                <w:kern w:val="0"/>
                <w:sz w:val="20"/>
                <w:szCs w:val="20"/>
                <w:lang w:val="en-AU"/>
              </w:rPr>
              <w:t>CL</w:t>
            </w:r>
            <w:r w:rsidR="00BE761A" w:rsidRPr="00A00251">
              <w:t> </w:t>
            </w:r>
            <w:r w:rsidRPr="009E09F1">
              <w:rPr>
                <w:kern w:val="0"/>
                <w:sz w:val="20"/>
                <w:szCs w:val="20"/>
                <w:lang w:val="en-AU"/>
              </w:rPr>
              <w:t>(mL/h/kg)</w:t>
            </w:r>
          </w:p>
        </w:tc>
        <w:tc>
          <w:tcPr>
            <w:tcW w:w="3488" w:type="dxa"/>
            <w:shd w:val="clear" w:color="auto" w:fill="auto"/>
            <w:vAlign w:val="center"/>
          </w:tcPr>
          <w:p w:rsidR="00FD286B" w:rsidRPr="009E09F1" w:rsidRDefault="00FD286B" w:rsidP="005409DF">
            <w:pPr>
              <w:spacing w:before="40" w:after="40" w:line="240" w:lineRule="auto"/>
              <w:jc w:val="center"/>
              <w:rPr>
                <w:kern w:val="0"/>
                <w:sz w:val="20"/>
                <w:szCs w:val="20"/>
                <w:lang w:val="en-AU"/>
              </w:rPr>
            </w:pPr>
            <w:r w:rsidRPr="009E09F1">
              <w:rPr>
                <w:kern w:val="0"/>
                <w:sz w:val="20"/>
                <w:szCs w:val="20"/>
                <w:lang w:val="en-AU"/>
              </w:rPr>
              <w:t>0.731 (26.8)</w:t>
            </w:r>
          </w:p>
        </w:tc>
      </w:tr>
      <w:tr w:rsidR="00FD286B" w:rsidRPr="009E09F1" w:rsidTr="005409DF">
        <w:tc>
          <w:tcPr>
            <w:tcW w:w="3487" w:type="dxa"/>
            <w:shd w:val="clear" w:color="auto" w:fill="auto"/>
            <w:vAlign w:val="center"/>
          </w:tcPr>
          <w:p w:rsidR="00FD286B" w:rsidRPr="009E09F1" w:rsidRDefault="00FD286B" w:rsidP="00BE761A">
            <w:pPr>
              <w:spacing w:before="40" w:after="40" w:line="240" w:lineRule="auto"/>
              <w:rPr>
                <w:kern w:val="0"/>
                <w:sz w:val="20"/>
                <w:szCs w:val="20"/>
                <w:lang w:val="en-AU"/>
              </w:rPr>
            </w:pPr>
            <w:r>
              <w:rPr>
                <w:kern w:val="0"/>
                <w:sz w:val="20"/>
                <w:szCs w:val="20"/>
                <w:lang w:val="en-AU"/>
              </w:rPr>
              <w:t>Vss</w:t>
            </w:r>
            <w:r w:rsidR="00BE761A" w:rsidRPr="00A00251">
              <w:t> </w:t>
            </w:r>
            <w:r>
              <w:rPr>
                <w:kern w:val="0"/>
                <w:sz w:val="20"/>
                <w:szCs w:val="20"/>
                <w:lang w:val="en-AU"/>
              </w:rPr>
              <w:t>(dL</w:t>
            </w:r>
            <w:r w:rsidRPr="009E09F1">
              <w:rPr>
                <w:kern w:val="0"/>
                <w:sz w:val="20"/>
                <w:szCs w:val="20"/>
                <w:lang w:val="en-AU"/>
              </w:rPr>
              <w:t>/kg)</w:t>
            </w:r>
          </w:p>
        </w:tc>
        <w:tc>
          <w:tcPr>
            <w:tcW w:w="3488" w:type="dxa"/>
            <w:shd w:val="clear" w:color="auto" w:fill="auto"/>
            <w:vAlign w:val="center"/>
          </w:tcPr>
          <w:p w:rsidR="00FD286B" w:rsidRPr="009E09F1" w:rsidRDefault="00FD286B" w:rsidP="005409DF">
            <w:pPr>
              <w:spacing w:before="40" w:after="40" w:line="240" w:lineRule="auto"/>
              <w:jc w:val="center"/>
              <w:rPr>
                <w:kern w:val="0"/>
                <w:sz w:val="20"/>
                <w:szCs w:val="20"/>
                <w:lang w:val="en-AU"/>
              </w:rPr>
            </w:pPr>
            <w:r w:rsidRPr="009E09F1">
              <w:rPr>
                <w:kern w:val="0"/>
                <w:sz w:val="20"/>
                <w:szCs w:val="20"/>
                <w:lang w:val="en-AU"/>
              </w:rPr>
              <w:t>1.020 (27.9)</w:t>
            </w:r>
          </w:p>
        </w:tc>
      </w:tr>
      <w:tr w:rsidR="00FD286B" w:rsidRPr="009E09F1" w:rsidTr="005409DF">
        <w:tc>
          <w:tcPr>
            <w:tcW w:w="3487" w:type="dxa"/>
            <w:shd w:val="clear" w:color="auto" w:fill="auto"/>
            <w:vAlign w:val="center"/>
          </w:tcPr>
          <w:p w:rsidR="00FD286B" w:rsidRPr="009E09F1" w:rsidRDefault="00FD286B" w:rsidP="005409DF">
            <w:pPr>
              <w:spacing w:before="40" w:after="40" w:line="240" w:lineRule="auto"/>
              <w:rPr>
                <w:kern w:val="0"/>
                <w:sz w:val="20"/>
                <w:szCs w:val="20"/>
                <w:lang w:val="en-AU"/>
              </w:rPr>
            </w:pPr>
            <w:r w:rsidRPr="009E09F1">
              <w:rPr>
                <w:kern w:val="0"/>
                <w:sz w:val="20"/>
                <w:szCs w:val="20"/>
                <w:lang w:val="en-AU"/>
              </w:rPr>
              <w:t xml:space="preserve">Time to 1% </w:t>
            </w:r>
            <w:r>
              <w:rPr>
                <w:kern w:val="0"/>
                <w:sz w:val="20"/>
                <w:szCs w:val="20"/>
                <w:lang w:val="en-AU"/>
              </w:rPr>
              <w:t>FIX</w:t>
            </w:r>
            <w:r w:rsidRPr="009E09F1">
              <w:rPr>
                <w:kern w:val="0"/>
                <w:sz w:val="20"/>
                <w:szCs w:val="20"/>
                <w:lang w:val="en-AU"/>
              </w:rPr>
              <w:t xml:space="preserve"> activity (d</w:t>
            </w:r>
            <w:r w:rsidR="0088641F">
              <w:rPr>
                <w:kern w:val="0"/>
                <w:sz w:val="20"/>
                <w:szCs w:val="20"/>
                <w:lang w:val="en-AU"/>
              </w:rPr>
              <w:t>ays</w:t>
            </w:r>
            <w:r w:rsidRPr="009E09F1">
              <w:rPr>
                <w:kern w:val="0"/>
                <w:sz w:val="20"/>
                <w:szCs w:val="20"/>
                <w:lang w:val="en-AU"/>
              </w:rPr>
              <w:t>)</w:t>
            </w:r>
            <w:r w:rsidRPr="009E09F1">
              <w:rPr>
                <w:kern w:val="0"/>
                <w:sz w:val="20"/>
                <w:szCs w:val="20"/>
                <w:vertAlign w:val="superscript"/>
                <w:lang w:val="en-AU"/>
              </w:rPr>
              <w:t>a</w:t>
            </w:r>
          </w:p>
        </w:tc>
        <w:tc>
          <w:tcPr>
            <w:tcW w:w="3488" w:type="dxa"/>
            <w:shd w:val="clear" w:color="auto" w:fill="auto"/>
            <w:vAlign w:val="center"/>
          </w:tcPr>
          <w:p w:rsidR="00FD286B" w:rsidRPr="009E09F1" w:rsidRDefault="00FD286B" w:rsidP="009F4DC8">
            <w:pPr>
              <w:spacing w:before="40" w:after="40" w:line="240" w:lineRule="auto"/>
              <w:jc w:val="center"/>
              <w:rPr>
                <w:kern w:val="0"/>
                <w:sz w:val="20"/>
                <w:szCs w:val="20"/>
                <w:lang w:val="en-AU"/>
              </w:rPr>
            </w:pPr>
            <w:r w:rsidRPr="009E09F1">
              <w:rPr>
                <w:kern w:val="0"/>
                <w:sz w:val="20"/>
                <w:szCs w:val="20"/>
                <w:lang w:val="en-AU"/>
              </w:rPr>
              <w:t>2</w:t>
            </w:r>
            <w:r w:rsidR="009F4DC8">
              <w:rPr>
                <w:kern w:val="0"/>
                <w:sz w:val="20"/>
                <w:szCs w:val="20"/>
                <w:lang w:val="en-AU"/>
              </w:rPr>
              <w:t>3</w:t>
            </w:r>
            <w:r w:rsidRPr="009E09F1">
              <w:rPr>
                <w:kern w:val="0"/>
                <w:sz w:val="20"/>
                <w:szCs w:val="20"/>
                <w:lang w:val="en-AU"/>
              </w:rPr>
              <w:t>.0</w:t>
            </w:r>
          </w:p>
        </w:tc>
      </w:tr>
      <w:tr w:rsidR="00FD286B" w:rsidRPr="009E09F1" w:rsidTr="005409DF">
        <w:tc>
          <w:tcPr>
            <w:tcW w:w="3487" w:type="dxa"/>
            <w:shd w:val="clear" w:color="auto" w:fill="auto"/>
            <w:vAlign w:val="center"/>
          </w:tcPr>
          <w:p w:rsidR="00FD286B" w:rsidRPr="009E09F1" w:rsidRDefault="00FD286B" w:rsidP="005409DF">
            <w:pPr>
              <w:spacing w:before="40" w:after="40" w:line="240" w:lineRule="auto"/>
              <w:rPr>
                <w:kern w:val="0"/>
                <w:sz w:val="20"/>
                <w:szCs w:val="20"/>
                <w:lang w:val="en-AU"/>
              </w:rPr>
            </w:pPr>
            <w:r w:rsidRPr="009E09F1">
              <w:rPr>
                <w:kern w:val="0"/>
                <w:sz w:val="20"/>
                <w:szCs w:val="20"/>
                <w:lang w:val="en-AU"/>
              </w:rPr>
              <w:t xml:space="preserve">Time to 3% </w:t>
            </w:r>
            <w:r>
              <w:rPr>
                <w:kern w:val="0"/>
                <w:sz w:val="20"/>
                <w:szCs w:val="20"/>
                <w:lang w:val="en-AU"/>
              </w:rPr>
              <w:t>FIX</w:t>
            </w:r>
            <w:r w:rsidRPr="009E09F1">
              <w:rPr>
                <w:kern w:val="0"/>
                <w:sz w:val="20"/>
                <w:szCs w:val="20"/>
                <w:lang w:val="en-AU"/>
              </w:rPr>
              <w:t xml:space="preserve"> activity (d</w:t>
            </w:r>
            <w:r w:rsidR="0088641F">
              <w:rPr>
                <w:kern w:val="0"/>
                <w:sz w:val="20"/>
                <w:szCs w:val="20"/>
                <w:lang w:val="en-AU"/>
              </w:rPr>
              <w:t>ays</w:t>
            </w:r>
            <w:r w:rsidRPr="009E09F1">
              <w:rPr>
                <w:kern w:val="0"/>
                <w:sz w:val="20"/>
                <w:szCs w:val="20"/>
                <w:lang w:val="en-AU"/>
              </w:rPr>
              <w:t>)</w:t>
            </w:r>
            <w:r w:rsidRPr="009E09F1">
              <w:rPr>
                <w:kern w:val="0"/>
                <w:sz w:val="20"/>
                <w:szCs w:val="20"/>
                <w:vertAlign w:val="superscript"/>
                <w:lang w:val="en-AU"/>
              </w:rPr>
              <w:t>a</w:t>
            </w:r>
          </w:p>
        </w:tc>
        <w:tc>
          <w:tcPr>
            <w:tcW w:w="3488" w:type="dxa"/>
            <w:shd w:val="clear" w:color="auto" w:fill="auto"/>
            <w:vAlign w:val="center"/>
          </w:tcPr>
          <w:p w:rsidR="00FD286B" w:rsidRPr="009E09F1" w:rsidDel="009D03F7" w:rsidRDefault="00FD286B" w:rsidP="009F4DC8">
            <w:pPr>
              <w:spacing w:before="40" w:after="40" w:line="240" w:lineRule="auto"/>
              <w:jc w:val="center"/>
              <w:rPr>
                <w:kern w:val="0"/>
                <w:sz w:val="20"/>
                <w:szCs w:val="20"/>
                <w:lang w:val="en-AU"/>
              </w:rPr>
            </w:pPr>
            <w:r w:rsidRPr="009E09F1">
              <w:rPr>
                <w:kern w:val="0"/>
                <w:sz w:val="20"/>
                <w:szCs w:val="20"/>
                <w:lang w:val="en-AU"/>
              </w:rPr>
              <w:t>1</w:t>
            </w:r>
            <w:r w:rsidR="009F4DC8">
              <w:rPr>
                <w:kern w:val="0"/>
                <w:sz w:val="20"/>
                <w:szCs w:val="20"/>
                <w:lang w:val="en-AU"/>
              </w:rPr>
              <w:t>6</w:t>
            </w:r>
            <w:r w:rsidRPr="009E09F1">
              <w:rPr>
                <w:kern w:val="0"/>
                <w:sz w:val="20"/>
                <w:szCs w:val="20"/>
                <w:lang w:val="en-AU"/>
              </w:rPr>
              <w:t>.</w:t>
            </w:r>
            <w:r w:rsidR="009F4DC8">
              <w:rPr>
                <w:kern w:val="0"/>
                <w:sz w:val="20"/>
                <w:szCs w:val="20"/>
                <w:lang w:val="en-AU"/>
              </w:rPr>
              <w:t>0</w:t>
            </w:r>
          </w:p>
        </w:tc>
      </w:tr>
      <w:tr w:rsidR="008C0F4A" w:rsidRPr="009E09F1" w:rsidTr="005409DF">
        <w:tc>
          <w:tcPr>
            <w:tcW w:w="3487" w:type="dxa"/>
            <w:shd w:val="clear" w:color="auto" w:fill="auto"/>
            <w:vAlign w:val="center"/>
          </w:tcPr>
          <w:p w:rsidR="008C0F4A" w:rsidRPr="00957E7B" w:rsidRDefault="008C0F4A" w:rsidP="005409DF">
            <w:pPr>
              <w:spacing w:before="40" w:after="40" w:line="240" w:lineRule="auto"/>
              <w:rPr>
                <w:kern w:val="0"/>
                <w:sz w:val="20"/>
                <w:szCs w:val="20"/>
                <w:lang w:val="en-AU"/>
              </w:rPr>
            </w:pPr>
            <w:r w:rsidRPr="00957E7B">
              <w:rPr>
                <w:kern w:val="0"/>
                <w:sz w:val="20"/>
                <w:szCs w:val="20"/>
                <w:lang w:val="en-AU"/>
              </w:rPr>
              <w:t>Time to 5% FIX activity (d</w:t>
            </w:r>
            <w:r w:rsidR="0088641F">
              <w:rPr>
                <w:kern w:val="0"/>
                <w:sz w:val="20"/>
                <w:szCs w:val="20"/>
                <w:lang w:val="en-AU"/>
              </w:rPr>
              <w:t>ays</w:t>
            </w:r>
            <w:r w:rsidRPr="00957E7B">
              <w:rPr>
                <w:kern w:val="0"/>
                <w:sz w:val="20"/>
                <w:szCs w:val="20"/>
                <w:lang w:val="en-AU"/>
              </w:rPr>
              <w:t>)</w:t>
            </w:r>
            <w:r w:rsidRPr="00957E7B">
              <w:rPr>
                <w:kern w:val="0"/>
                <w:sz w:val="20"/>
                <w:szCs w:val="20"/>
                <w:vertAlign w:val="superscript"/>
                <w:lang w:val="en-AU"/>
              </w:rPr>
              <w:t>a</w:t>
            </w:r>
          </w:p>
        </w:tc>
        <w:tc>
          <w:tcPr>
            <w:tcW w:w="3488" w:type="dxa"/>
            <w:shd w:val="clear" w:color="auto" w:fill="auto"/>
            <w:vAlign w:val="center"/>
          </w:tcPr>
          <w:p w:rsidR="008C0F4A" w:rsidRPr="009E09F1" w:rsidRDefault="008C0F4A" w:rsidP="006D2F42">
            <w:pPr>
              <w:spacing w:before="40" w:after="40" w:line="240" w:lineRule="auto"/>
              <w:jc w:val="center"/>
              <w:rPr>
                <w:kern w:val="0"/>
                <w:sz w:val="20"/>
                <w:szCs w:val="20"/>
                <w:lang w:val="en-AU"/>
              </w:rPr>
            </w:pPr>
            <w:r w:rsidRPr="00957E7B">
              <w:rPr>
                <w:kern w:val="0"/>
                <w:sz w:val="20"/>
                <w:szCs w:val="20"/>
                <w:lang w:val="en-AU"/>
              </w:rPr>
              <w:t>12.</w:t>
            </w:r>
            <w:r w:rsidR="009F4DC8">
              <w:rPr>
                <w:kern w:val="0"/>
                <w:sz w:val="20"/>
                <w:szCs w:val="20"/>
                <w:lang w:val="en-AU"/>
              </w:rPr>
              <w:t>5</w:t>
            </w:r>
          </w:p>
        </w:tc>
      </w:tr>
    </w:tbl>
    <w:p w:rsidR="00FD286B" w:rsidRPr="00237C8B" w:rsidRDefault="00FD286B" w:rsidP="00237C8B">
      <w:pPr>
        <w:pStyle w:val="DocumentText"/>
        <w:keepNext/>
        <w:spacing w:after="0"/>
        <w:rPr>
          <w:kern w:val="20"/>
          <w:sz w:val="20"/>
          <w:szCs w:val="20"/>
        </w:rPr>
      </w:pPr>
      <w:r w:rsidRPr="00237C8B">
        <w:rPr>
          <w:kern w:val="20"/>
          <w:sz w:val="20"/>
          <w:szCs w:val="20"/>
        </w:rPr>
        <w:t>a = estimated time to median FIX activity above the pre-specified %.</w:t>
      </w:r>
    </w:p>
    <w:p w:rsidR="00FD286B" w:rsidRPr="00237C8B" w:rsidRDefault="00F346B3" w:rsidP="00237C8B">
      <w:pPr>
        <w:pStyle w:val="DocumentText"/>
        <w:keepNext/>
        <w:rPr>
          <w:kern w:val="20"/>
          <w:sz w:val="20"/>
          <w:szCs w:val="20"/>
        </w:rPr>
      </w:pPr>
      <w:r w:rsidRPr="00237C8B">
        <w:rPr>
          <w:kern w:val="20"/>
          <w:sz w:val="20"/>
          <w:szCs w:val="20"/>
        </w:rPr>
        <w:t>IR = incremental recovery; Cmax = maximum concentration; AUC = area under the FIX activity time curve; t</w:t>
      </w:r>
      <w:r w:rsidRPr="008A4CE7">
        <w:rPr>
          <w:kern w:val="20"/>
          <w:sz w:val="20"/>
          <w:szCs w:val="20"/>
          <w:vertAlign w:val="subscript"/>
        </w:rPr>
        <w:t>1/2</w:t>
      </w:r>
      <w:r w:rsidRPr="008A4CE7">
        <w:rPr>
          <w:kern w:val="20"/>
          <w:sz w:val="20"/>
          <w:szCs w:val="20"/>
        </w:rPr>
        <w:t> </w:t>
      </w:r>
      <w:r w:rsidRPr="00237C8B">
        <w:rPr>
          <w:kern w:val="20"/>
          <w:sz w:val="20"/>
          <w:szCs w:val="20"/>
        </w:rPr>
        <w:t>= half-life;</w:t>
      </w:r>
      <w:r w:rsidR="00FA72C6" w:rsidRPr="00237C8B">
        <w:rPr>
          <w:kern w:val="20"/>
          <w:sz w:val="20"/>
          <w:szCs w:val="20"/>
        </w:rPr>
        <w:t xml:space="preserve"> </w:t>
      </w:r>
      <w:r w:rsidRPr="00237C8B">
        <w:rPr>
          <w:kern w:val="20"/>
          <w:sz w:val="20"/>
          <w:szCs w:val="20"/>
        </w:rPr>
        <w:t>MRT = mean residence time; CL = body weight adjusted clearance; Vss = body weight adjusted volume of distribution at steady-state; time to 1% FIX activity = estimated time in days after dose when FIX activity has declined to approximately 1 IU/dL above baseline.</w:t>
      </w:r>
    </w:p>
    <w:p w:rsidR="00FD286B" w:rsidRDefault="00FD286B" w:rsidP="00B1677F">
      <w:pPr>
        <w:pStyle w:val="DocumentText"/>
      </w:pPr>
      <w:r w:rsidRPr="009E09F1">
        <w:t xml:space="preserve">The PK data demonstrate that </w:t>
      </w:r>
      <w:r w:rsidR="009D6286">
        <w:t>IDELVION</w:t>
      </w:r>
      <w:r w:rsidR="00151E18" w:rsidRPr="00151E18">
        <w:rPr>
          <w:vertAlign w:val="superscript"/>
        </w:rPr>
        <w:t>®</w:t>
      </w:r>
      <w:r w:rsidR="00151E18">
        <w:t xml:space="preserve"> </w:t>
      </w:r>
      <w:r w:rsidRPr="009E09F1">
        <w:t xml:space="preserve">has </w:t>
      </w:r>
      <w:r>
        <w:t xml:space="preserve">an improved PK profile with </w:t>
      </w:r>
      <w:r w:rsidRPr="009E09F1">
        <w:t xml:space="preserve">a prolonged circulating half-life, </w:t>
      </w:r>
      <w:r>
        <w:t>increased</w:t>
      </w:r>
      <w:r w:rsidRPr="009E09F1">
        <w:t xml:space="preserve"> area under the </w:t>
      </w:r>
      <w:r>
        <w:t>FI</w:t>
      </w:r>
      <w:r w:rsidRPr="009E09F1">
        <w:t xml:space="preserve">X activity time curve, </w:t>
      </w:r>
      <w:r w:rsidRPr="006E1406">
        <w:t>lower</w:t>
      </w:r>
      <w:r w:rsidRPr="009E09F1">
        <w:t xml:space="preserve"> clearance and an increased incremental recovery. In the pivotal </w:t>
      </w:r>
      <w:r w:rsidR="00A32314">
        <w:t>study</w:t>
      </w:r>
      <w:r w:rsidRPr="009E09F1">
        <w:t>, the mean</w:t>
      </w:r>
      <w:r w:rsidR="00017017">
        <w:t xml:space="preserve"> (CV%)</w:t>
      </w:r>
      <w:r w:rsidRPr="009E09F1">
        <w:t xml:space="preserve"> incremental recovery </w:t>
      </w:r>
      <w:r w:rsidRPr="009E09F1">
        <w:lastRenderedPageBreak/>
        <w:t xml:space="preserve">of </w:t>
      </w:r>
      <w:r w:rsidR="009D6286">
        <w:t>IDELVION</w:t>
      </w:r>
      <w:r w:rsidR="00151E18" w:rsidRPr="00151E18">
        <w:rPr>
          <w:vertAlign w:val="superscript"/>
        </w:rPr>
        <w:t>®</w:t>
      </w:r>
      <w:r w:rsidR="00151E18">
        <w:t xml:space="preserve"> </w:t>
      </w:r>
      <w:r w:rsidRPr="009E09F1">
        <w:t>was 1.30 (23.8%) which is higher than that achieved 1.00</w:t>
      </w:r>
      <w:r w:rsidR="00D2513D">
        <w:t xml:space="preserve"> (</w:t>
      </w:r>
      <w:r w:rsidRPr="009E09F1">
        <w:t xml:space="preserve">25.7%) with the previous </w:t>
      </w:r>
      <w:r>
        <w:t>F</w:t>
      </w:r>
      <w:r w:rsidRPr="009E09F1">
        <w:t>IX product (p</w:t>
      </w:r>
      <w:r w:rsidR="00BA4F9E">
        <w:t>lasma-</w:t>
      </w:r>
      <w:r w:rsidRPr="009E09F1">
        <w:t>d</w:t>
      </w:r>
      <w:r w:rsidR="00BA4F9E">
        <w:t xml:space="preserve">erived </w:t>
      </w:r>
      <w:r w:rsidRPr="009E09F1">
        <w:t>FIX</w:t>
      </w:r>
      <w:r w:rsidR="00BA4F9E">
        <w:t xml:space="preserve"> (pdFIX)</w:t>
      </w:r>
      <w:r w:rsidRPr="009E09F1">
        <w:t xml:space="preserve"> or r</w:t>
      </w:r>
      <w:r w:rsidR="00BA4F9E">
        <w:t xml:space="preserve">ecombinant </w:t>
      </w:r>
      <w:r w:rsidRPr="009E09F1">
        <w:t>FIX</w:t>
      </w:r>
      <w:r w:rsidR="00BA4F9E">
        <w:t xml:space="preserve"> (rFIX)</w:t>
      </w:r>
      <w:r w:rsidRPr="009E09F1">
        <w:t xml:space="preserve">). Therefore, </w:t>
      </w:r>
      <w:r w:rsidR="00B0568A">
        <w:t>1 </w:t>
      </w:r>
      <w:r w:rsidRPr="009E09F1">
        <w:t xml:space="preserve">IU/kg </w:t>
      </w:r>
      <w:r w:rsidR="009D6286">
        <w:t>IDELVION</w:t>
      </w:r>
      <w:r w:rsidR="00230BB3" w:rsidRPr="00151E18">
        <w:rPr>
          <w:vertAlign w:val="superscript"/>
        </w:rPr>
        <w:t>®</w:t>
      </w:r>
      <w:r w:rsidR="00230BB3">
        <w:t xml:space="preserve"> </w:t>
      </w:r>
      <w:r w:rsidRPr="009E09F1">
        <w:t>provides a mean in</w:t>
      </w:r>
      <w:r>
        <w:t>crease of 1.30 IU/dL</w:t>
      </w:r>
      <w:r w:rsidRPr="009E09F1">
        <w:t xml:space="preserve"> in the circulating level of </w:t>
      </w:r>
      <w:r>
        <w:t>FIX</w:t>
      </w:r>
      <w:r w:rsidRPr="009E09F1">
        <w:t>.</w:t>
      </w:r>
    </w:p>
    <w:p w:rsidR="00FD286B" w:rsidRDefault="00FD286B" w:rsidP="00B1677F">
      <w:pPr>
        <w:pStyle w:val="DocumentText"/>
      </w:pPr>
      <w:r w:rsidRPr="009E09F1">
        <w:t xml:space="preserve">Repeat PK assessment for up to 30 weeks demonstrated a stable </w:t>
      </w:r>
      <w:r>
        <w:t>PK</w:t>
      </w:r>
      <w:r w:rsidRPr="009E09F1">
        <w:t xml:space="preserve"> profile and incremental recovery was consistent over time.</w:t>
      </w:r>
    </w:p>
    <w:p w:rsidR="00FD286B" w:rsidRDefault="00FD286B" w:rsidP="00B1677F">
      <w:pPr>
        <w:pStyle w:val="DocumentText"/>
      </w:pPr>
      <w:r w:rsidRPr="009E09F1">
        <w:t xml:space="preserve">The PK after a single dose of 75 IU/kg </w:t>
      </w:r>
      <w:r w:rsidR="009D6286">
        <w:t>IDELVION</w:t>
      </w:r>
      <w:r w:rsidR="00151E18" w:rsidRPr="00151E18">
        <w:rPr>
          <w:vertAlign w:val="superscript"/>
        </w:rPr>
        <w:t>®</w:t>
      </w:r>
      <w:r w:rsidR="00151E18">
        <w:t xml:space="preserve"> </w:t>
      </w:r>
      <w:r w:rsidRPr="009E09F1">
        <w:t xml:space="preserve">was derived from 8 evaluable subjects. The mean </w:t>
      </w:r>
      <w:r>
        <w:t>F</w:t>
      </w:r>
      <w:r w:rsidRPr="009E09F1">
        <w:t>IX activity at day 14 was 6.65%.</w:t>
      </w:r>
      <w:r w:rsidR="002159F4">
        <w:t xml:space="preserve"> </w:t>
      </w:r>
      <w:r w:rsidRPr="009E09F1">
        <w:t xml:space="preserve">The estimated time to 1% of </w:t>
      </w:r>
      <w:r>
        <w:t>F</w:t>
      </w:r>
      <w:r w:rsidRPr="009E09F1">
        <w:t>IX activity is approximately 27</w:t>
      </w:r>
      <w:r w:rsidR="00825D55">
        <w:t> </w:t>
      </w:r>
      <w:r w:rsidRPr="009E09F1">
        <w:t>days after a single dose of 75 IU/kg</w:t>
      </w:r>
      <w:r w:rsidR="00230BB3" w:rsidRPr="00230BB3">
        <w:t xml:space="preserve"> </w:t>
      </w:r>
      <w:r w:rsidR="009D6286">
        <w:t>IDELVION</w:t>
      </w:r>
      <w:r w:rsidR="00230BB3" w:rsidRPr="00151E18">
        <w:rPr>
          <w:vertAlign w:val="superscript"/>
        </w:rPr>
        <w:t>®</w:t>
      </w:r>
      <w:r w:rsidRPr="009E09F1">
        <w:t>, based on population PK modelling simulations.</w:t>
      </w:r>
    </w:p>
    <w:p w:rsidR="00FD286B" w:rsidRDefault="00FD286B" w:rsidP="00B1677F">
      <w:pPr>
        <w:pStyle w:val="DocumentText"/>
      </w:pPr>
      <w:r w:rsidRPr="009E09F1">
        <w:t>The PK after a single dose of 25</w:t>
      </w:r>
      <w:r w:rsidR="00350E4F">
        <w:t> </w:t>
      </w:r>
      <w:r w:rsidRPr="009E09F1">
        <w:t xml:space="preserve">IU/kg </w:t>
      </w:r>
      <w:r w:rsidR="009D6286">
        <w:t>IDELVION</w:t>
      </w:r>
      <w:r w:rsidR="00230BB3" w:rsidRPr="00151E18">
        <w:rPr>
          <w:vertAlign w:val="superscript"/>
        </w:rPr>
        <w:t>®</w:t>
      </w:r>
      <w:r w:rsidR="00230BB3">
        <w:t xml:space="preserve"> </w:t>
      </w:r>
      <w:r w:rsidRPr="009E09F1">
        <w:t xml:space="preserve">was derived from 7 evaluable subjects. The mean </w:t>
      </w:r>
      <w:r>
        <w:t>FIX activity at day 14 was 2.97</w:t>
      </w:r>
      <w:r w:rsidRPr="009E09F1">
        <w:t xml:space="preserve">%. The estimated time to 1% </w:t>
      </w:r>
      <w:r>
        <w:t>F</w:t>
      </w:r>
      <w:r w:rsidRPr="009E09F1">
        <w:t>IX activity is approximately 16.5 days after a single dose of 25 IU/kg</w:t>
      </w:r>
      <w:r w:rsidR="00230BB3" w:rsidRPr="00230BB3">
        <w:t xml:space="preserve"> </w:t>
      </w:r>
      <w:r w:rsidR="009D6286">
        <w:t>IDELVION</w:t>
      </w:r>
      <w:r w:rsidR="00230BB3" w:rsidRPr="00151E18">
        <w:rPr>
          <w:vertAlign w:val="superscript"/>
        </w:rPr>
        <w:t>®</w:t>
      </w:r>
      <w:r w:rsidRPr="009E09F1">
        <w:t>, based on population PK modelling simulations.</w:t>
      </w:r>
    </w:p>
    <w:p w:rsidR="00FD286B" w:rsidRPr="0082193A" w:rsidRDefault="00FD286B" w:rsidP="00BE1AC6">
      <w:pPr>
        <w:pStyle w:val="DocumentText"/>
        <w:keepNext/>
        <w:spacing w:after="120"/>
        <w:rPr>
          <w:b/>
          <w:i/>
          <w:sz w:val="28"/>
          <w:szCs w:val="28"/>
        </w:rPr>
      </w:pPr>
      <w:r w:rsidRPr="0082193A">
        <w:rPr>
          <w:b/>
          <w:i/>
          <w:sz w:val="28"/>
          <w:szCs w:val="28"/>
        </w:rPr>
        <w:t>Paediatric population</w:t>
      </w:r>
    </w:p>
    <w:p w:rsidR="00FD286B" w:rsidRDefault="00FD286B" w:rsidP="00B1677F">
      <w:pPr>
        <w:pStyle w:val="DocumentText"/>
      </w:pPr>
      <w:r>
        <w:t xml:space="preserve">The </w:t>
      </w:r>
      <w:r w:rsidRPr="00A00251">
        <w:t xml:space="preserve">PK parameters of </w:t>
      </w:r>
      <w:r w:rsidR="009D6286">
        <w:t>IDELVION</w:t>
      </w:r>
      <w:r w:rsidR="00151E18" w:rsidRPr="00151E18">
        <w:rPr>
          <w:vertAlign w:val="superscript"/>
        </w:rPr>
        <w:t>®</w:t>
      </w:r>
      <w:r w:rsidR="00151E18">
        <w:t xml:space="preserve"> </w:t>
      </w:r>
      <w:r w:rsidRPr="00A00251">
        <w:t>were evaluated in 8 adolescents (12 to &lt;18 years of age) and 27 children (1 to &lt;12 years of age) in open-label, multi-centre studies following an intravenous injection of a single dose of 50 IU/kg. The PK samples were collected prior to dosing and at multiple time points up to 336 hours (14 days) after dosing.</w:t>
      </w:r>
    </w:p>
    <w:p w:rsidR="00FD286B" w:rsidRDefault="00AF6D91" w:rsidP="00B1677F">
      <w:pPr>
        <w:pStyle w:val="DocumentText"/>
      </w:pPr>
      <w:r w:rsidRPr="00A00251">
        <w:t xml:space="preserve">PK parameters were estimated based on the plasma </w:t>
      </w:r>
      <w:r>
        <w:t>F</w:t>
      </w:r>
      <w:r w:rsidRPr="00A00251">
        <w:t>IX activity over time profile.</w:t>
      </w:r>
      <w:r>
        <w:t xml:space="preserve"> </w:t>
      </w:r>
      <w:r w:rsidR="00FD286B" w:rsidRPr="00A00251">
        <w:rPr>
          <w:b/>
          <w:lang w:val="en-AU"/>
        </w:rPr>
        <w:t>Table 3</w:t>
      </w:r>
      <w:r w:rsidR="00FD286B" w:rsidRPr="007F1545">
        <w:rPr>
          <w:lang w:val="en-AU"/>
        </w:rPr>
        <w:t xml:space="preserve"> </w:t>
      </w:r>
      <w:r w:rsidR="00FD286B" w:rsidRPr="00A00251">
        <w:t>summari</w:t>
      </w:r>
      <w:r w:rsidR="007E4F53">
        <w:t>s</w:t>
      </w:r>
      <w:r w:rsidR="00FD286B" w:rsidRPr="00A00251">
        <w:t>es the PK parameters calculated from the paediatric data of 35 subjects</w:t>
      </w:r>
      <w:r w:rsidR="0088641F">
        <w:t>,</w:t>
      </w:r>
      <w:r w:rsidR="00FD286B" w:rsidRPr="00A00251">
        <w:t xml:space="preserve"> 1 to &lt;18 years of age. Compared </w:t>
      </w:r>
      <w:r w:rsidR="00FD286B">
        <w:t>with</w:t>
      </w:r>
      <w:r w:rsidR="00FD286B" w:rsidRPr="00A00251">
        <w:t xml:space="preserve"> adults, incremental recovery appeared to be slightly lower and body</w:t>
      </w:r>
      <w:r w:rsidR="00BE761A" w:rsidRPr="00A00251">
        <w:t> </w:t>
      </w:r>
      <w:r w:rsidR="00FD286B" w:rsidRPr="00A00251">
        <w:t>weight</w:t>
      </w:r>
      <w:r>
        <w:t xml:space="preserve"> </w:t>
      </w:r>
      <w:r w:rsidR="00FD286B" w:rsidRPr="00A00251">
        <w:t>adjusted clearance appeared to be higher in children.</w:t>
      </w:r>
    </w:p>
    <w:p w:rsidR="00FD286B" w:rsidRPr="00FD286B" w:rsidRDefault="00FD286B" w:rsidP="00091E44">
      <w:pPr>
        <w:pStyle w:val="Caption"/>
        <w:ind w:left="0" w:firstLine="0"/>
      </w:pPr>
      <w:r w:rsidRPr="00FD286B">
        <w:lastRenderedPageBreak/>
        <w:t xml:space="preserve">Table 3: Comparison of </w:t>
      </w:r>
      <w:r w:rsidR="00CF65F7">
        <w:t>pharmacokinetic p</w:t>
      </w:r>
      <w:r w:rsidRPr="00FD286B">
        <w:t xml:space="preserve">arameters of </w:t>
      </w:r>
      <w:r w:rsidR="009D6286">
        <w:t>IDELVION</w:t>
      </w:r>
      <w:r w:rsidR="00151E18" w:rsidRPr="00151E18">
        <w:rPr>
          <w:vertAlign w:val="superscript"/>
        </w:rPr>
        <w:t>®</w:t>
      </w:r>
      <w:r w:rsidR="00151E18" w:rsidRPr="00151E18">
        <w:t xml:space="preserve"> </w:t>
      </w:r>
      <w:r w:rsidRPr="00151E18">
        <w:t>by</w:t>
      </w:r>
      <w:r w:rsidR="00CF65F7">
        <w:t xml:space="preserve"> age category (arithmetic mean, CV</w:t>
      </w:r>
      <w:r w:rsidR="00DA60C8" w:rsidRPr="00A00251">
        <w:t> </w:t>
      </w:r>
      <w:r w:rsidR="00CF65F7">
        <w:t>%) f</w:t>
      </w:r>
      <w:r w:rsidRPr="00FD286B">
        <w:t xml:space="preserve">ollowing a </w:t>
      </w:r>
      <w:r w:rsidR="00CF65F7">
        <w:t>s</w:t>
      </w:r>
      <w:r w:rsidRPr="00FD286B">
        <w:t xml:space="preserve">ingle </w:t>
      </w:r>
      <w:r w:rsidR="00CF65F7">
        <w:t>i</w:t>
      </w:r>
      <w:r w:rsidRPr="00FD286B">
        <w:t xml:space="preserve">njection of 50 IU/kg </w:t>
      </w:r>
      <w:r w:rsidR="009D6286">
        <w:t>IDELVION</w:t>
      </w:r>
      <w:r w:rsidR="00151E18" w:rsidRPr="00151E18">
        <w:rPr>
          <w:vertAlign w:val="superscript"/>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2"/>
        <w:gridCol w:w="2233"/>
        <w:gridCol w:w="2233"/>
        <w:gridCol w:w="2233"/>
      </w:tblGrid>
      <w:tr w:rsidR="00FD286B" w:rsidRPr="00A717DA" w:rsidTr="005409DF">
        <w:tc>
          <w:tcPr>
            <w:tcW w:w="2232" w:type="dxa"/>
            <w:shd w:val="pct15" w:color="auto" w:fill="auto"/>
            <w:vAlign w:val="center"/>
          </w:tcPr>
          <w:p w:rsidR="00FD286B" w:rsidRPr="005409DF" w:rsidRDefault="0052356F" w:rsidP="005409DF">
            <w:pPr>
              <w:pStyle w:val="TableCellHeading10pt"/>
              <w:keepLines/>
              <w:spacing w:beforeLines="40" w:before="96" w:afterLines="40" w:after="96"/>
              <w:jc w:val="left"/>
              <w:rPr>
                <w:szCs w:val="20"/>
              </w:rPr>
            </w:pPr>
            <w:r>
              <w:rPr>
                <w:szCs w:val="20"/>
              </w:rPr>
              <w:t>PK p</w:t>
            </w:r>
            <w:r w:rsidR="00FD286B" w:rsidRPr="005409DF">
              <w:rPr>
                <w:szCs w:val="20"/>
              </w:rPr>
              <w:t>arameters</w:t>
            </w:r>
          </w:p>
        </w:tc>
        <w:tc>
          <w:tcPr>
            <w:tcW w:w="2233" w:type="dxa"/>
            <w:shd w:val="pct15" w:color="auto" w:fill="auto"/>
            <w:vAlign w:val="bottom"/>
          </w:tcPr>
          <w:p w:rsidR="00A717DA" w:rsidRDefault="00FD286B" w:rsidP="00A717DA">
            <w:pPr>
              <w:pStyle w:val="TableCellHeading10pt"/>
              <w:keepLines/>
              <w:spacing w:beforeLines="40" w:before="96" w:afterLines="40" w:after="96"/>
              <w:rPr>
                <w:szCs w:val="20"/>
              </w:rPr>
            </w:pPr>
            <w:r w:rsidRPr="005409DF">
              <w:rPr>
                <w:szCs w:val="20"/>
              </w:rPr>
              <w:t>1 to &lt;6 years</w:t>
            </w:r>
          </w:p>
          <w:p w:rsidR="00FD286B" w:rsidRPr="005409DF" w:rsidRDefault="00FD286B" w:rsidP="00A717DA">
            <w:pPr>
              <w:pStyle w:val="TableCellHeading10pt"/>
              <w:keepLines/>
              <w:spacing w:beforeLines="40" w:before="96" w:afterLines="40" w:after="96"/>
              <w:rPr>
                <w:szCs w:val="20"/>
              </w:rPr>
            </w:pPr>
            <w:r w:rsidRPr="005409DF">
              <w:rPr>
                <w:szCs w:val="20"/>
              </w:rPr>
              <w:t>(N</w:t>
            </w:r>
            <w:r w:rsidR="00825D55" w:rsidRPr="00A717DA">
              <w:rPr>
                <w:szCs w:val="20"/>
              </w:rPr>
              <w:t> </w:t>
            </w:r>
            <w:r w:rsidRPr="005409DF">
              <w:rPr>
                <w:szCs w:val="20"/>
              </w:rPr>
              <w:t>=</w:t>
            </w:r>
            <w:r w:rsidR="00825D55" w:rsidRPr="00A717DA">
              <w:rPr>
                <w:szCs w:val="20"/>
              </w:rPr>
              <w:t> </w:t>
            </w:r>
            <w:r w:rsidRPr="005409DF">
              <w:rPr>
                <w:szCs w:val="20"/>
              </w:rPr>
              <w:t>12)</w:t>
            </w:r>
          </w:p>
        </w:tc>
        <w:tc>
          <w:tcPr>
            <w:tcW w:w="2233" w:type="dxa"/>
            <w:shd w:val="pct15" w:color="auto" w:fill="auto"/>
            <w:vAlign w:val="bottom"/>
          </w:tcPr>
          <w:p w:rsidR="00A717DA" w:rsidRDefault="00FD286B" w:rsidP="00A717DA">
            <w:pPr>
              <w:pStyle w:val="TableCellHeading10pt"/>
              <w:keepLines/>
              <w:spacing w:beforeLines="40" w:before="96" w:afterLines="40" w:after="96"/>
              <w:rPr>
                <w:szCs w:val="20"/>
              </w:rPr>
            </w:pPr>
            <w:r w:rsidRPr="005409DF">
              <w:rPr>
                <w:szCs w:val="20"/>
              </w:rPr>
              <w:t>6 to &lt;12 years</w:t>
            </w:r>
          </w:p>
          <w:p w:rsidR="00FD286B" w:rsidRPr="005409DF" w:rsidRDefault="00FD286B" w:rsidP="00A717DA">
            <w:pPr>
              <w:pStyle w:val="TableCellHeading10pt"/>
              <w:keepLines/>
              <w:spacing w:beforeLines="40" w:before="96" w:afterLines="40" w:after="96"/>
              <w:rPr>
                <w:szCs w:val="20"/>
              </w:rPr>
            </w:pPr>
            <w:r w:rsidRPr="005409DF">
              <w:rPr>
                <w:szCs w:val="20"/>
              </w:rPr>
              <w:t>(N</w:t>
            </w:r>
            <w:r w:rsidR="00825D55" w:rsidRPr="00A717DA">
              <w:rPr>
                <w:szCs w:val="20"/>
              </w:rPr>
              <w:t> </w:t>
            </w:r>
            <w:r w:rsidRPr="005409DF">
              <w:rPr>
                <w:szCs w:val="20"/>
              </w:rPr>
              <w:t>=</w:t>
            </w:r>
            <w:r w:rsidR="00825D55" w:rsidRPr="00A717DA">
              <w:rPr>
                <w:szCs w:val="20"/>
              </w:rPr>
              <w:t> </w:t>
            </w:r>
            <w:r w:rsidRPr="005409DF">
              <w:rPr>
                <w:szCs w:val="20"/>
              </w:rPr>
              <w:t>15)</w:t>
            </w:r>
          </w:p>
        </w:tc>
        <w:tc>
          <w:tcPr>
            <w:tcW w:w="2233" w:type="dxa"/>
            <w:shd w:val="pct15" w:color="auto" w:fill="auto"/>
            <w:vAlign w:val="bottom"/>
          </w:tcPr>
          <w:p w:rsidR="00A717DA" w:rsidRDefault="00FD286B" w:rsidP="00A717DA">
            <w:pPr>
              <w:pStyle w:val="TableCellHeading10pt"/>
              <w:keepLines/>
              <w:spacing w:beforeLines="40" w:before="96" w:afterLines="40" w:after="96"/>
              <w:rPr>
                <w:szCs w:val="20"/>
              </w:rPr>
            </w:pPr>
            <w:r w:rsidRPr="005409DF">
              <w:rPr>
                <w:szCs w:val="20"/>
              </w:rPr>
              <w:t>12 to &lt;18 years</w:t>
            </w:r>
          </w:p>
          <w:p w:rsidR="00FD286B" w:rsidRPr="005409DF" w:rsidRDefault="00FD286B" w:rsidP="00A717DA">
            <w:pPr>
              <w:pStyle w:val="TableCellHeading10pt"/>
              <w:keepLines/>
              <w:spacing w:beforeLines="40" w:before="96" w:afterLines="40" w:after="96"/>
              <w:rPr>
                <w:szCs w:val="20"/>
              </w:rPr>
            </w:pPr>
            <w:r w:rsidRPr="005409DF">
              <w:rPr>
                <w:szCs w:val="20"/>
              </w:rPr>
              <w:t>(N</w:t>
            </w:r>
            <w:r w:rsidR="00825D55" w:rsidRPr="00A717DA">
              <w:rPr>
                <w:szCs w:val="20"/>
              </w:rPr>
              <w:t> </w:t>
            </w:r>
            <w:r w:rsidRPr="005409DF">
              <w:rPr>
                <w:szCs w:val="20"/>
              </w:rPr>
              <w:t>=</w:t>
            </w:r>
            <w:r w:rsidR="00825D55" w:rsidRPr="00A717DA">
              <w:rPr>
                <w:szCs w:val="20"/>
              </w:rPr>
              <w:t> </w:t>
            </w:r>
            <w:r w:rsidRPr="005409DF">
              <w:rPr>
                <w:szCs w:val="20"/>
              </w:rPr>
              <w:t>8)</w:t>
            </w:r>
          </w:p>
        </w:tc>
      </w:tr>
      <w:tr w:rsidR="00FD286B" w:rsidRPr="005409DF" w:rsidTr="005409DF">
        <w:tc>
          <w:tcPr>
            <w:tcW w:w="2232" w:type="dxa"/>
            <w:shd w:val="clear" w:color="auto" w:fill="auto"/>
            <w:vAlign w:val="center"/>
          </w:tcPr>
          <w:p w:rsidR="00FD286B" w:rsidRPr="005409DF" w:rsidRDefault="00FD286B" w:rsidP="005409DF">
            <w:pPr>
              <w:keepNext/>
              <w:spacing w:before="40" w:after="40" w:line="240" w:lineRule="auto"/>
              <w:rPr>
                <w:kern w:val="0"/>
                <w:sz w:val="20"/>
                <w:szCs w:val="20"/>
                <w:lang w:val="en-AU"/>
              </w:rPr>
            </w:pPr>
            <w:r w:rsidRPr="005409DF">
              <w:rPr>
                <w:kern w:val="0"/>
                <w:sz w:val="20"/>
                <w:szCs w:val="20"/>
                <w:lang w:val="en-AU"/>
              </w:rPr>
              <w:t>IR (IU/d</w:t>
            </w:r>
            <w:r w:rsidR="00350E4F" w:rsidRPr="005409DF">
              <w:rPr>
                <w:kern w:val="0"/>
                <w:sz w:val="20"/>
                <w:szCs w:val="20"/>
                <w:lang w:val="en-AU"/>
              </w:rPr>
              <w:t>L</w:t>
            </w:r>
            <w:r w:rsidRPr="005409DF">
              <w:rPr>
                <w:kern w:val="0"/>
                <w:sz w:val="20"/>
                <w:szCs w:val="20"/>
                <w:lang w:val="en-AU"/>
              </w:rPr>
              <w:t>)/(IU/kg)</w:t>
            </w:r>
          </w:p>
        </w:tc>
        <w:tc>
          <w:tcPr>
            <w:tcW w:w="2233" w:type="dxa"/>
            <w:shd w:val="clear" w:color="auto" w:fill="auto"/>
          </w:tcPr>
          <w:p w:rsidR="00FD286B" w:rsidRPr="005409DF" w:rsidRDefault="00FD286B" w:rsidP="005409DF">
            <w:pPr>
              <w:keepNext/>
              <w:spacing w:before="40" w:after="40" w:line="240" w:lineRule="auto"/>
              <w:jc w:val="center"/>
              <w:rPr>
                <w:kern w:val="0"/>
                <w:sz w:val="20"/>
                <w:szCs w:val="20"/>
                <w:lang w:val="en-AU"/>
              </w:rPr>
            </w:pPr>
            <w:r w:rsidRPr="005409DF">
              <w:rPr>
                <w:kern w:val="0"/>
                <w:sz w:val="20"/>
                <w:szCs w:val="20"/>
                <w:lang w:val="en-AU"/>
              </w:rPr>
              <w:t>0.951 (21.5)</w:t>
            </w:r>
          </w:p>
        </w:tc>
        <w:tc>
          <w:tcPr>
            <w:tcW w:w="2233" w:type="dxa"/>
            <w:shd w:val="clear" w:color="auto" w:fill="auto"/>
            <w:vAlign w:val="center"/>
          </w:tcPr>
          <w:p w:rsidR="00FD286B" w:rsidRPr="005409DF" w:rsidRDefault="00FD286B" w:rsidP="005409DF">
            <w:pPr>
              <w:keepNext/>
              <w:spacing w:before="40" w:after="40" w:line="240" w:lineRule="auto"/>
              <w:jc w:val="center"/>
              <w:rPr>
                <w:kern w:val="0"/>
                <w:sz w:val="20"/>
                <w:szCs w:val="20"/>
                <w:lang w:val="en-AU"/>
              </w:rPr>
            </w:pPr>
            <w:r w:rsidRPr="005409DF">
              <w:rPr>
                <w:kern w:val="0"/>
                <w:sz w:val="20"/>
                <w:szCs w:val="20"/>
                <w:lang w:val="en-AU"/>
              </w:rPr>
              <w:t>1.06 (22.6)</w:t>
            </w:r>
          </w:p>
        </w:tc>
        <w:tc>
          <w:tcPr>
            <w:tcW w:w="2233" w:type="dxa"/>
            <w:shd w:val="clear" w:color="auto" w:fill="auto"/>
            <w:vAlign w:val="center"/>
          </w:tcPr>
          <w:p w:rsidR="00FD286B" w:rsidRPr="005409DF" w:rsidRDefault="00FD286B" w:rsidP="005409DF">
            <w:pPr>
              <w:keepNext/>
              <w:spacing w:before="40" w:after="40" w:line="240" w:lineRule="auto"/>
              <w:jc w:val="center"/>
              <w:rPr>
                <w:kern w:val="0"/>
                <w:sz w:val="20"/>
                <w:szCs w:val="20"/>
                <w:lang w:val="en-AU"/>
              </w:rPr>
            </w:pPr>
            <w:r w:rsidRPr="005409DF">
              <w:rPr>
                <w:kern w:val="0"/>
                <w:sz w:val="20"/>
                <w:szCs w:val="20"/>
                <w:lang w:val="en-AU"/>
              </w:rPr>
              <w:t>1.11 (27.7)</w:t>
            </w:r>
          </w:p>
        </w:tc>
      </w:tr>
      <w:tr w:rsidR="00FD286B" w:rsidRPr="005409DF" w:rsidTr="005409DF">
        <w:tc>
          <w:tcPr>
            <w:tcW w:w="2232" w:type="dxa"/>
            <w:shd w:val="clear" w:color="auto" w:fill="auto"/>
            <w:vAlign w:val="center"/>
          </w:tcPr>
          <w:p w:rsidR="00FD286B" w:rsidRPr="005409DF" w:rsidRDefault="00FD286B" w:rsidP="005409DF">
            <w:pPr>
              <w:keepNext/>
              <w:spacing w:before="40" w:after="40" w:line="240" w:lineRule="auto"/>
              <w:rPr>
                <w:kern w:val="0"/>
                <w:sz w:val="20"/>
                <w:szCs w:val="20"/>
                <w:lang w:val="en-AU"/>
              </w:rPr>
            </w:pPr>
            <w:r w:rsidRPr="005409DF">
              <w:rPr>
                <w:kern w:val="0"/>
                <w:sz w:val="20"/>
                <w:szCs w:val="20"/>
                <w:lang w:val="en-AU"/>
              </w:rPr>
              <w:t>Cmax (IU/d</w:t>
            </w:r>
            <w:r w:rsidR="00350E4F" w:rsidRPr="005409DF">
              <w:rPr>
                <w:kern w:val="0"/>
                <w:sz w:val="20"/>
                <w:szCs w:val="20"/>
                <w:lang w:val="en-AU"/>
              </w:rPr>
              <w:t>L</w:t>
            </w:r>
            <w:r w:rsidRPr="005409DF">
              <w:rPr>
                <w:kern w:val="0"/>
                <w:sz w:val="20"/>
                <w:szCs w:val="20"/>
                <w:lang w:val="en-AU"/>
              </w:rPr>
              <w:t>)</w:t>
            </w:r>
          </w:p>
        </w:tc>
        <w:tc>
          <w:tcPr>
            <w:tcW w:w="2233" w:type="dxa"/>
            <w:shd w:val="clear" w:color="auto" w:fill="auto"/>
            <w:vAlign w:val="center"/>
          </w:tcPr>
          <w:p w:rsidR="00FD286B" w:rsidRPr="005409DF" w:rsidRDefault="00FD286B" w:rsidP="005409DF">
            <w:pPr>
              <w:keepNext/>
              <w:spacing w:before="40" w:after="40" w:line="240" w:lineRule="auto"/>
              <w:jc w:val="center"/>
              <w:rPr>
                <w:kern w:val="0"/>
                <w:sz w:val="20"/>
                <w:szCs w:val="20"/>
                <w:lang w:val="en-AU"/>
              </w:rPr>
            </w:pPr>
            <w:r w:rsidRPr="005409DF">
              <w:rPr>
                <w:kern w:val="0"/>
                <w:sz w:val="20"/>
                <w:szCs w:val="20"/>
                <w:lang w:val="en-AU"/>
              </w:rPr>
              <w:t>48.3 (19.0)</w:t>
            </w:r>
          </w:p>
        </w:tc>
        <w:tc>
          <w:tcPr>
            <w:tcW w:w="2233" w:type="dxa"/>
            <w:shd w:val="clear" w:color="auto" w:fill="auto"/>
            <w:vAlign w:val="center"/>
          </w:tcPr>
          <w:p w:rsidR="00FD286B" w:rsidRPr="005409DF" w:rsidRDefault="00FD286B" w:rsidP="005409DF">
            <w:pPr>
              <w:keepNext/>
              <w:spacing w:before="40" w:after="40" w:line="240" w:lineRule="auto"/>
              <w:jc w:val="center"/>
              <w:rPr>
                <w:kern w:val="0"/>
                <w:sz w:val="20"/>
                <w:szCs w:val="20"/>
                <w:lang w:val="en-AU"/>
              </w:rPr>
            </w:pPr>
            <w:r w:rsidRPr="005409DF">
              <w:rPr>
                <w:kern w:val="0"/>
                <w:sz w:val="20"/>
                <w:szCs w:val="20"/>
                <w:lang w:val="en-AU"/>
              </w:rPr>
              <w:t>52.9 (23.2)</w:t>
            </w:r>
          </w:p>
        </w:tc>
        <w:tc>
          <w:tcPr>
            <w:tcW w:w="2233" w:type="dxa"/>
            <w:shd w:val="clear" w:color="auto" w:fill="auto"/>
            <w:vAlign w:val="center"/>
          </w:tcPr>
          <w:p w:rsidR="00FD286B" w:rsidRPr="005409DF" w:rsidRDefault="00FD286B" w:rsidP="005409DF">
            <w:pPr>
              <w:keepNext/>
              <w:spacing w:before="40" w:after="40" w:line="240" w:lineRule="auto"/>
              <w:jc w:val="center"/>
              <w:rPr>
                <w:kern w:val="0"/>
                <w:sz w:val="20"/>
                <w:szCs w:val="20"/>
                <w:lang w:val="en-AU"/>
              </w:rPr>
            </w:pPr>
            <w:r w:rsidRPr="005409DF">
              <w:rPr>
                <w:kern w:val="0"/>
                <w:sz w:val="20"/>
                <w:szCs w:val="20"/>
                <w:lang w:val="en-AU"/>
              </w:rPr>
              <w:t>55.3 (28.1)</w:t>
            </w:r>
          </w:p>
        </w:tc>
      </w:tr>
      <w:tr w:rsidR="00FD286B" w:rsidRPr="005409DF" w:rsidTr="005409DF">
        <w:tc>
          <w:tcPr>
            <w:tcW w:w="2232" w:type="dxa"/>
            <w:shd w:val="clear" w:color="auto" w:fill="auto"/>
            <w:vAlign w:val="center"/>
          </w:tcPr>
          <w:p w:rsidR="00FD286B" w:rsidRPr="0023282E" w:rsidRDefault="00FD286B" w:rsidP="00B17476">
            <w:pPr>
              <w:keepNext/>
              <w:spacing w:before="40" w:after="40" w:line="240" w:lineRule="auto"/>
              <w:rPr>
                <w:kern w:val="0"/>
                <w:sz w:val="20"/>
                <w:szCs w:val="20"/>
                <w:lang w:val="de-DE"/>
              </w:rPr>
            </w:pPr>
            <w:r w:rsidRPr="0023282E">
              <w:rPr>
                <w:kern w:val="0"/>
                <w:sz w:val="20"/>
                <w:szCs w:val="20"/>
                <w:lang w:val="de-DE"/>
              </w:rPr>
              <w:t>AUC</w:t>
            </w:r>
            <w:r w:rsidRPr="0023282E">
              <w:rPr>
                <w:kern w:val="0"/>
                <w:sz w:val="20"/>
                <w:szCs w:val="20"/>
                <w:vertAlign w:val="subscript"/>
                <w:lang w:val="de-DE"/>
              </w:rPr>
              <w:t>0-inf</w:t>
            </w:r>
            <w:r w:rsidRPr="0023282E">
              <w:rPr>
                <w:kern w:val="0"/>
                <w:sz w:val="20"/>
                <w:szCs w:val="20"/>
                <w:lang w:val="de-DE"/>
              </w:rPr>
              <w:t xml:space="preserve"> (h</w:t>
            </w:r>
            <w:r w:rsidR="00B17476" w:rsidRPr="0023282E">
              <w:rPr>
                <w:kern w:val="0"/>
                <w:sz w:val="20"/>
                <w:szCs w:val="20"/>
                <w:lang w:val="de-DE"/>
              </w:rPr>
              <w:t>.</w:t>
            </w:r>
            <w:r w:rsidRPr="0023282E">
              <w:rPr>
                <w:kern w:val="0"/>
                <w:sz w:val="20"/>
                <w:szCs w:val="20"/>
                <w:lang w:val="de-DE"/>
              </w:rPr>
              <w:t>IU/d</w:t>
            </w:r>
            <w:r w:rsidR="00350E4F" w:rsidRPr="0023282E">
              <w:rPr>
                <w:kern w:val="0"/>
                <w:sz w:val="20"/>
                <w:szCs w:val="20"/>
                <w:lang w:val="de-DE"/>
              </w:rPr>
              <w:t>L</w:t>
            </w:r>
            <w:r w:rsidRPr="0023282E">
              <w:rPr>
                <w:kern w:val="0"/>
                <w:sz w:val="20"/>
                <w:szCs w:val="20"/>
                <w:lang w:val="de-DE"/>
              </w:rPr>
              <w:t>)</w:t>
            </w:r>
          </w:p>
        </w:tc>
        <w:tc>
          <w:tcPr>
            <w:tcW w:w="2233" w:type="dxa"/>
            <w:shd w:val="clear" w:color="auto" w:fill="auto"/>
            <w:vAlign w:val="center"/>
          </w:tcPr>
          <w:p w:rsidR="00FD286B" w:rsidRPr="005409DF" w:rsidRDefault="00FD286B" w:rsidP="005409DF">
            <w:pPr>
              <w:keepNext/>
              <w:spacing w:before="40" w:after="40" w:line="240" w:lineRule="auto"/>
              <w:jc w:val="center"/>
              <w:rPr>
                <w:kern w:val="0"/>
                <w:sz w:val="20"/>
                <w:szCs w:val="20"/>
                <w:lang w:val="en-AU"/>
              </w:rPr>
            </w:pPr>
            <w:r w:rsidRPr="005409DF">
              <w:rPr>
                <w:kern w:val="0"/>
                <w:sz w:val="20"/>
                <w:szCs w:val="20"/>
                <w:lang w:val="en-AU"/>
              </w:rPr>
              <w:t>4583 (33.2)</w:t>
            </w:r>
          </w:p>
        </w:tc>
        <w:tc>
          <w:tcPr>
            <w:tcW w:w="2233" w:type="dxa"/>
            <w:shd w:val="clear" w:color="auto" w:fill="auto"/>
            <w:vAlign w:val="center"/>
          </w:tcPr>
          <w:p w:rsidR="00FD286B" w:rsidRPr="005409DF" w:rsidRDefault="003A7377" w:rsidP="00A74B13">
            <w:pPr>
              <w:keepNext/>
              <w:spacing w:before="40" w:after="40" w:line="240" w:lineRule="auto"/>
              <w:jc w:val="center"/>
              <w:rPr>
                <w:kern w:val="0"/>
                <w:sz w:val="20"/>
                <w:szCs w:val="20"/>
                <w:lang w:val="en-AU"/>
              </w:rPr>
            </w:pPr>
            <w:r>
              <w:rPr>
                <w:kern w:val="0"/>
                <w:sz w:val="20"/>
                <w:szCs w:val="20"/>
                <w:lang w:val="en-AU"/>
              </w:rPr>
              <w:t>5</w:t>
            </w:r>
            <w:r w:rsidR="00763317">
              <w:rPr>
                <w:kern w:val="0"/>
                <w:sz w:val="20"/>
                <w:szCs w:val="20"/>
                <w:lang w:val="en-AU"/>
              </w:rPr>
              <w:t>123</w:t>
            </w:r>
            <w:r w:rsidR="00CB1CDA">
              <w:rPr>
                <w:kern w:val="0"/>
                <w:sz w:val="20"/>
                <w:szCs w:val="20"/>
                <w:lang w:val="en-AU"/>
              </w:rPr>
              <w:t xml:space="preserve"> </w:t>
            </w:r>
            <w:r w:rsidR="00763317">
              <w:rPr>
                <w:kern w:val="0"/>
                <w:sz w:val="20"/>
                <w:szCs w:val="20"/>
                <w:lang w:val="en-AU"/>
              </w:rPr>
              <w:t>(31.</w:t>
            </w:r>
            <w:r w:rsidR="00A74B13">
              <w:rPr>
                <w:kern w:val="0"/>
                <w:sz w:val="20"/>
                <w:szCs w:val="20"/>
                <w:lang w:val="en-AU"/>
              </w:rPr>
              <w:t>4</w:t>
            </w:r>
            <w:r>
              <w:rPr>
                <w:kern w:val="0"/>
                <w:sz w:val="20"/>
                <w:szCs w:val="20"/>
                <w:lang w:val="en-AU"/>
              </w:rPr>
              <w:t>)</w:t>
            </w:r>
          </w:p>
        </w:tc>
        <w:tc>
          <w:tcPr>
            <w:tcW w:w="2233" w:type="dxa"/>
            <w:shd w:val="clear" w:color="auto" w:fill="auto"/>
            <w:vAlign w:val="center"/>
          </w:tcPr>
          <w:p w:rsidR="00FD286B" w:rsidRPr="005409DF" w:rsidRDefault="00FD286B" w:rsidP="005409DF">
            <w:pPr>
              <w:keepNext/>
              <w:spacing w:before="40" w:after="40" w:line="240" w:lineRule="auto"/>
              <w:jc w:val="center"/>
              <w:rPr>
                <w:kern w:val="0"/>
                <w:sz w:val="20"/>
                <w:szCs w:val="20"/>
                <w:lang w:val="en-AU"/>
              </w:rPr>
            </w:pPr>
            <w:r w:rsidRPr="005409DF">
              <w:rPr>
                <w:kern w:val="0"/>
                <w:sz w:val="20"/>
                <w:szCs w:val="20"/>
                <w:lang w:val="en-AU"/>
              </w:rPr>
              <w:t>5347 (48.2)</w:t>
            </w:r>
          </w:p>
        </w:tc>
      </w:tr>
      <w:tr w:rsidR="00FD286B" w:rsidRPr="005409DF" w:rsidTr="005409DF">
        <w:tc>
          <w:tcPr>
            <w:tcW w:w="2232" w:type="dxa"/>
            <w:shd w:val="clear" w:color="auto" w:fill="auto"/>
            <w:vAlign w:val="center"/>
          </w:tcPr>
          <w:p w:rsidR="00FD286B" w:rsidRPr="005409DF" w:rsidRDefault="00FD286B" w:rsidP="005409DF">
            <w:pPr>
              <w:keepNext/>
              <w:spacing w:before="40" w:after="40" w:line="240" w:lineRule="auto"/>
              <w:rPr>
                <w:kern w:val="0"/>
                <w:sz w:val="20"/>
                <w:szCs w:val="20"/>
                <w:lang w:val="en-AU"/>
              </w:rPr>
            </w:pPr>
            <w:r w:rsidRPr="005409DF">
              <w:rPr>
                <w:kern w:val="0"/>
                <w:sz w:val="20"/>
                <w:szCs w:val="20"/>
                <w:lang w:val="en-AU"/>
              </w:rPr>
              <w:t>t</w:t>
            </w:r>
            <w:r w:rsidRPr="005409DF">
              <w:rPr>
                <w:kern w:val="0"/>
                <w:sz w:val="20"/>
                <w:szCs w:val="20"/>
                <w:vertAlign w:val="subscript"/>
                <w:lang w:val="en-AU"/>
              </w:rPr>
              <w:t>1/2</w:t>
            </w:r>
            <w:r w:rsidRPr="005409DF">
              <w:rPr>
                <w:kern w:val="0"/>
                <w:sz w:val="20"/>
                <w:szCs w:val="20"/>
                <w:lang w:val="en-AU"/>
              </w:rPr>
              <w:t xml:space="preserve"> (h)</w:t>
            </w:r>
          </w:p>
        </w:tc>
        <w:tc>
          <w:tcPr>
            <w:tcW w:w="2233" w:type="dxa"/>
            <w:shd w:val="clear" w:color="auto" w:fill="auto"/>
            <w:vAlign w:val="center"/>
          </w:tcPr>
          <w:p w:rsidR="00FD286B" w:rsidRPr="005409DF" w:rsidRDefault="00FD286B" w:rsidP="005409DF">
            <w:pPr>
              <w:keepNext/>
              <w:spacing w:before="40" w:after="40" w:line="240" w:lineRule="auto"/>
              <w:jc w:val="center"/>
              <w:rPr>
                <w:kern w:val="0"/>
                <w:sz w:val="20"/>
                <w:szCs w:val="20"/>
                <w:lang w:val="en-AU"/>
              </w:rPr>
            </w:pPr>
            <w:r w:rsidRPr="005409DF">
              <w:rPr>
                <w:kern w:val="0"/>
                <w:sz w:val="20"/>
                <w:szCs w:val="20"/>
                <w:lang w:val="en-AU"/>
              </w:rPr>
              <w:t>89.6 (12.5)</w:t>
            </w:r>
          </w:p>
        </w:tc>
        <w:tc>
          <w:tcPr>
            <w:tcW w:w="2233" w:type="dxa"/>
            <w:shd w:val="clear" w:color="auto" w:fill="auto"/>
            <w:vAlign w:val="center"/>
          </w:tcPr>
          <w:p w:rsidR="00FD286B" w:rsidRPr="005409DF" w:rsidRDefault="003A7377" w:rsidP="005409DF">
            <w:pPr>
              <w:keepNext/>
              <w:spacing w:before="40" w:after="40" w:line="240" w:lineRule="auto"/>
              <w:jc w:val="center"/>
              <w:rPr>
                <w:kern w:val="0"/>
                <w:sz w:val="20"/>
                <w:szCs w:val="20"/>
                <w:lang w:val="en-AU"/>
              </w:rPr>
            </w:pPr>
            <w:r>
              <w:rPr>
                <w:kern w:val="0"/>
                <w:sz w:val="20"/>
                <w:szCs w:val="20"/>
                <w:lang w:val="en-AU"/>
              </w:rPr>
              <w:t>92.8</w:t>
            </w:r>
            <w:r w:rsidR="00CB1CDA">
              <w:rPr>
                <w:kern w:val="0"/>
                <w:sz w:val="20"/>
                <w:szCs w:val="20"/>
                <w:lang w:val="en-AU"/>
              </w:rPr>
              <w:t xml:space="preserve"> </w:t>
            </w:r>
            <w:r>
              <w:rPr>
                <w:kern w:val="0"/>
                <w:sz w:val="20"/>
                <w:szCs w:val="20"/>
                <w:lang w:val="en-AU"/>
              </w:rPr>
              <w:t>(20.5)</w:t>
            </w:r>
          </w:p>
        </w:tc>
        <w:tc>
          <w:tcPr>
            <w:tcW w:w="2233" w:type="dxa"/>
            <w:shd w:val="clear" w:color="auto" w:fill="auto"/>
            <w:vAlign w:val="center"/>
          </w:tcPr>
          <w:p w:rsidR="00FD286B" w:rsidRPr="005409DF" w:rsidRDefault="00FD286B" w:rsidP="005409DF">
            <w:pPr>
              <w:keepNext/>
              <w:spacing w:before="40" w:after="40" w:line="240" w:lineRule="auto"/>
              <w:jc w:val="center"/>
              <w:rPr>
                <w:kern w:val="0"/>
                <w:sz w:val="20"/>
                <w:szCs w:val="20"/>
                <w:lang w:val="en-AU"/>
              </w:rPr>
            </w:pPr>
            <w:r w:rsidRPr="005409DF">
              <w:rPr>
                <w:kern w:val="0"/>
                <w:sz w:val="20"/>
                <w:szCs w:val="20"/>
                <w:lang w:val="en-AU"/>
              </w:rPr>
              <w:t>87.3 (35.7)</w:t>
            </w:r>
          </w:p>
        </w:tc>
      </w:tr>
      <w:tr w:rsidR="00FD286B" w:rsidRPr="005409DF" w:rsidTr="005409DF">
        <w:tc>
          <w:tcPr>
            <w:tcW w:w="2232" w:type="dxa"/>
            <w:shd w:val="clear" w:color="auto" w:fill="auto"/>
            <w:vAlign w:val="center"/>
          </w:tcPr>
          <w:p w:rsidR="00FD286B" w:rsidRPr="005409DF" w:rsidRDefault="00FD286B" w:rsidP="005409DF">
            <w:pPr>
              <w:keepNext/>
              <w:spacing w:before="40" w:after="40" w:line="240" w:lineRule="auto"/>
              <w:rPr>
                <w:kern w:val="0"/>
                <w:sz w:val="20"/>
                <w:szCs w:val="20"/>
                <w:lang w:val="en-AU"/>
              </w:rPr>
            </w:pPr>
            <w:r w:rsidRPr="005409DF">
              <w:rPr>
                <w:kern w:val="0"/>
                <w:sz w:val="20"/>
                <w:szCs w:val="20"/>
                <w:lang w:val="en-AU"/>
              </w:rPr>
              <w:t>MRT (h)</w:t>
            </w:r>
          </w:p>
        </w:tc>
        <w:tc>
          <w:tcPr>
            <w:tcW w:w="2233" w:type="dxa"/>
            <w:shd w:val="clear" w:color="auto" w:fill="auto"/>
            <w:vAlign w:val="center"/>
          </w:tcPr>
          <w:p w:rsidR="00FD286B" w:rsidRPr="005409DF" w:rsidRDefault="00FD286B" w:rsidP="005409DF">
            <w:pPr>
              <w:keepNext/>
              <w:spacing w:before="40" w:after="40" w:line="240" w:lineRule="auto"/>
              <w:jc w:val="center"/>
              <w:rPr>
                <w:kern w:val="0"/>
                <w:sz w:val="20"/>
                <w:szCs w:val="20"/>
                <w:lang w:val="en-AU"/>
              </w:rPr>
            </w:pPr>
            <w:r w:rsidRPr="005409DF">
              <w:rPr>
                <w:kern w:val="0"/>
                <w:sz w:val="20"/>
                <w:szCs w:val="20"/>
                <w:lang w:val="en-AU"/>
              </w:rPr>
              <w:t>123 (14.2)</w:t>
            </w:r>
          </w:p>
        </w:tc>
        <w:tc>
          <w:tcPr>
            <w:tcW w:w="2233" w:type="dxa"/>
            <w:shd w:val="clear" w:color="auto" w:fill="auto"/>
            <w:vAlign w:val="center"/>
          </w:tcPr>
          <w:p w:rsidR="00FD286B" w:rsidRPr="005409DF" w:rsidRDefault="003A7377" w:rsidP="005409DF">
            <w:pPr>
              <w:keepNext/>
              <w:spacing w:before="40" w:after="40" w:line="240" w:lineRule="auto"/>
              <w:jc w:val="center"/>
              <w:rPr>
                <w:kern w:val="0"/>
                <w:sz w:val="20"/>
                <w:szCs w:val="20"/>
                <w:lang w:val="en-AU"/>
              </w:rPr>
            </w:pPr>
            <w:r>
              <w:rPr>
                <w:kern w:val="0"/>
                <w:sz w:val="20"/>
                <w:szCs w:val="20"/>
                <w:lang w:val="en-AU"/>
              </w:rPr>
              <w:t>129.2</w:t>
            </w:r>
            <w:r w:rsidR="00CB1CDA">
              <w:rPr>
                <w:kern w:val="0"/>
                <w:sz w:val="20"/>
                <w:szCs w:val="20"/>
                <w:lang w:val="en-AU"/>
              </w:rPr>
              <w:t xml:space="preserve"> </w:t>
            </w:r>
            <w:r>
              <w:rPr>
                <w:kern w:val="0"/>
                <w:sz w:val="20"/>
                <w:szCs w:val="20"/>
                <w:lang w:val="en-AU"/>
              </w:rPr>
              <w:t>(19.0)</w:t>
            </w:r>
          </w:p>
        </w:tc>
        <w:tc>
          <w:tcPr>
            <w:tcW w:w="2233" w:type="dxa"/>
            <w:shd w:val="clear" w:color="auto" w:fill="auto"/>
            <w:vAlign w:val="center"/>
          </w:tcPr>
          <w:p w:rsidR="00FD286B" w:rsidRPr="005409DF" w:rsidRDefault="00FD286B" w:rsidP="005409DF">
            <w:pPr>
              <w:keepNext/>
              <w:spacing w:before="40" w:after="40" w:line="240" w:lineRule="auto"/>
              <w:jc w:val="center"/>
              <w:rPr>
                <w:kern w:val="0"/>
                <w:sz w:val="20"/>
                <w:szCs w:val="20"/>
                <w:lang w:val="en-AU"/>
              </w:rPr>
            </w:pPr>
            <w:r w:rsidRPr="005409DF">
              <w:rPr>
                <w:kern w:val="0"/>
                <w:sz w:val="20"/>
                <w:szCs w:val="20"/>
                <w:lang w:val="en-AU"/>
              </w:rPr>
              <w:t>119 (31.2)</w:t>
            </w:r>
          </w:p>
        </w:tc>
      </w:tr>
      <w:tr w:rsidR="00FD286B" w:rsidRPr="005409DF" w:rsidTr="005409DF">
        <w:tc>
          <w:tcPr>
            <w:tcW w:w="2232" w:type="dxa"/>
            <w:shd w:val="clear" w:color="auto" w:fill="auto"/>
            <w:vAlign w:val="center"/>
          </w:tcPr>
          <w:p w:rsidR="00FD286B" w:rsidRPr="005409DF" w:rsidRDefault="00FD286B" w:rsidP="00022C5E">
            <w:pPr>
              <w:keepNext/>
              <w:spacing w:before="40" w:after="40" w:line="240" w:lineRule="auto"/>
              <w:rPr>
                <w:kern w:val="0"/>
                <w:sz w:val="20"/>
                <w:szCs w:val="20"/>
                <w:lang w:val="en-AU"/>
              </w:rPr>
            </w:pPr>
            <w:r w:rsidRPr="005409DF">
              <w:rPr>
                <w:kern w:val="0"/>
                <w:sz w:val="20"/>
                <w:szCs w:val="20"/>
                <w:lang w:val="en-AU"/>
              </w:rPr>
              <w:t>CL (mL/h/kg)</w:t>
            </w:r>
          </w:p>
        </w:tc>
        <w:tc>
          <w:tcPr>
            <w:tcW w:w="2233" w:type="dxa"/>
            <w:shd w:val="clear" w:color="auto" w:fill="auto"/>
            <w:vAlign w:val="center"/>
          </w:tcPr>
          <w:p w:rsidR="00FD286B" w:rsidRPr="005409DF" w:rsidRDefault="00FD286B" w:rsidP="005409DF">
            <w:pPr>
              <w:keepNext/>
              <w:spacing w:before="40" w:after="40" w:line="240" w:lineRule="auto"/>
              <w:jc w:val="center"/>
              <w:rPr>
                <w:kern w:val="0"/>
                <w:sz w:val="20"/>
                <w:szCs w:val="20"/>
                <w:lang w:val="en-AU"/>
              </w:rPr>
            </w:pPr>
            <w:r w:rsidRPr="005409DF">
              <w:rPr>
                <w:kern w:val="0"/>
                <w:sz w:val="20"/>
                <w:szCs w:val="20"/>
                <w:lang w:val="en-AU"/>
              </w:rPr>
              <w:t>1.18 (27.8)</w:t>
            </w:r>
          </w:p>
        </w:tc>
        <w:tc>
          <w:tcPr>
            <w:tcW w:w="2233" w:type="dxa"/>
            <w:shd w:val="clear" w:color="auto" w:fill="auto"/>
            <w:vAlign w:val="center"/>
          </w:tcPr>
          <w:p w:rsidR="00FD286B" w:rsidRPr="005409DF" w:rsidRDefault="003A7377" w:rsidP="005409DF">
            <w:pPr>
              <w:keepNext/>
              <w:spacing w:before="40" w:after="40" w:line="240" w:lineRule="auto"/>
              <w:jc w:val="center"/>
              <w:rPr>
                <w:kern w:val="0"/>
                <w:sz w:val="20"/>
                <w:szCs w:val="20"/>
                <w:lang w:val="en-AU"/>
              </w:rPr>
            </w:pPr>
            <w:r>
              <w:rPr>
                <w:kern w:val="0"/>
                <w:sz w:val="20"/>
                <w:szCs w:val="20"/>
                <w:lang w:val="en-AU"/>
              </w:rPr>
              <w:t>1.06</w:t>
            </w:r>
            <w:r w:rsidR="00CB1CDA">
              <w:rPr>
                <w:kern w:val="0"/>
                <w:sz w:val="20"/>
                <w:szCs w:val="20"/>
                <w:lang w:val="en-AU"/>
              </w:rPr>
              <w:t xml:space="preserve"> </w:t>
            </w:r>
            <w:r>
              <w:rPr>
                <w:kern w:val="0"/>
                <w:sz w:val="20"/>
                <w:szCs w:val="20"/>
                <w:lang w:val="en-AU"/>
              </w:rPr>
              <w:t>(28.5)</w:t>
            </w:r>
          </w:p>
        </w:tc>
        <w:tc>
          <w:tcPr>
            <w:tcW w:w="2233" w:type="dxa"/>
            <w:shd w:val="clear" w:color="auto" w:fill="auto"/>
            <w:vAlign w:val="center"/>
          </w:tcPr>
          <w:p w:rsidR="00FD286B" w:rsidRPr="005409DF" w:rsidRDefault="00FD286B" w:rsidP="005409DF">
            <w:pPr>
              <w:keepNext/>
              <w:spacing w:before="40" w:after="40" w:line="240" w:lineRule="auto"/>
              <w:jc w:val="center"/>
              <w:rPr>
                <w:kern w:val="0"/>
                <w:sz w:val="20"/>
                <w:szCs w:val="20"/>
                <w:lang w:val="en-AU"/>
              </w:rPr>
            </w:pPr>
            <w:r w:rsidRPr="005409DF">
              <w:rPr>
                <w:kern w:val="0"/>
                <w:sz w:val="20"/>
                <w:szCs w:val="20"/>
                <w:lang w:val="en-AU"/>
              </w:rPr>
              <w:t>1.08 (39.3)</w:t>
            </w:r>
          </w:p>
        </w:tc>
      </w:tr>
      <w:tr w:rsidR="00FD286B" w:rsidRPr="005409DF" w:rsidTr="005409DF">
        <w:tc>
          <w:tcPr>
            <w:tcW w:w="2232" w:type="dxa"/>
            <w:shd w:val="clear" w:color="auto" w:fill="auto"/>
            <w:vAlign w:val="center"/>
          </w:tcPr>
          <w:p w:rsidR="00FD286B" w:rsidRPr="005409DF" w:rsidRDefault="00FD286B" w:rsidP="005409DF">
            <w:pPr>
              <w:keepNext/>
              <w:spacing w:before="40" w:after="40" w:line="240" w:lineRule="auto"/>
              <w:rPr>
                <w:kern w:val="0"/>
                <w:sz w:val="20"/>
                <w:szCs w:val="20"/>
                <w:lang w:val="en-AU"/>
              </w:rPr>
            </w:pPr>
            <w:r w:rsidRPr="005409DF">
              <w:rPr>
                <w:kern w:val="0"/>
                <w:sz w:val="20"/>
                <w:szCs w:val="20"/>
                <w:lang w:val="en-AU"/>
              </w:rPr>
              <w:t>Vss (d</w:t>
            </w:r>
            <w:r w:rsidR="00350E4F" w:rsidRPr="005409DF">
              <w:rPr>
                <w:kern w:val="0"/>
                <w:sz w:val="20"/>
                <w:szCs w:val="20"/>
                <w:lang w:val="en-AU"/>
              </w:rPr>
              <w:t>L</w:t>
            </w:r>
            <w:r w:rsidRPr="005409DF">
              <w:rPr>
                <w:kern w:val="0"/>
                <w:sz w:val="20"/>
                <w:szCs w:val="20"/>
                <w:lang w:val="en-AU"/>
              </w:rPr>
              <w:t>/kg)</w:t>
            </w:r>
          </w:p>
        </w:tc>
        <w:tc>
          <w:tcPr>
            <w:tcW w:w="2233" w:type="dxa"/>
            <w:shd w:val="clear" w:color="auto" w:fill="auto"/>
            <w:vAlign w:val="center"/>
          </w:tcPr>
          <w:p w:rsidR="00FD286B" w:rsidRPr="005409DF" w:rsidRDefault="00FD286B" w:rsidP="005409DF">
            <w:pPr>
              <w:keepNext/>
              <w:spacing w:before="40" w:after="40" w:line="240" w:lineRule="auto"/>
              <w:jc w:val="center"/>
              <w:rPr>
                <w:kern w:val="0"/>
                <w:sz w:val="20"/>
                <w:szCs w:val="20"/>
                <w:lang w:val="en-AU"/>
              </w:rPr>
            </w:pPr>
            <w:r w:rsidRPr="005409DF">
              <w:rPr>
                <w:kern w:val="0"/>
                <w:sz w:val="20"/>
                <w:szCs w:val="20"/>
                <w:lang w:val="en-AU"/>
              </w:rPr>
              <w:t>1.43 (24.1)</w:t>
            </w:r>
          </w:p>
        </w:tc>
        <w:tc>
          <w:tcPr>
            <w:tcW w:w="2233" w:type="dxa"/>
            <w:shd w:val="clear" w:color="auto" w:fill="auto"/>
            <w:vAlign w:val="center"/>
          </w:tcPr>
          <w:p w:rsidR="00FD286B" w:rsidRPr="005409DF" w:rsidRDefault="003A7377" w:rsidP="005409DF">
            <w:pPr>
              <w:keepNext/>
              <w:spacing w:before="40" w:after="40" w:line="240" w:lineRule="auto"/>
              <w:jc w:val="center"/>
              <w:rPr>
                <w:kern w:val="0"/>
                <w:sz w:val="20"/>
                <w:szCs w:val="20"/>
                <w:lang w:val="en-AU"/>
              </w:rPr>
            </w:pPr>
            <w:r>
              <w:rPr>
                <w:kern w:val="0"/>
                <w:sz w:val="20"/>
                <w:szCs w:val="20"/>
                <w:lang w:val="en-AU"/>
              </w:rPr>
              <w:t>1.32</w:t>
            </w:r>
            <w:r w:rsidR="00CB1CDA">
              <w:rPr>
                <w:kern w:val="0"/>
                <w:sz w:val="20"/>
                <w:szCs w:val="20"/>
                <w:lang w:val="en-AU"/>
              </w:rPr>
              <w:t xml:space="preserve"> </w:t>
            </w:r>
            <w:r>
              <w:rPr>
                <w:kern w:val="0"/>
                <w:sz w:val="20"/>
                <w:szCs w:val="20"/>
                <w:lang w:val="en-AU"/>
              </w:rPr>
              <w:t>(19.7)</w:t>
            </w:r>
          </w:p>
        </w:tc>
        <w:tc>
          <w:tcPr>
            <w:tcW w:w="2233" w:type="dxa"/>
            <w:shd w:val="clear" w:color="auto" w:fill="auto"/>
            <w:vAlign w:val="center"/>
          </w:tcPr>
          <w:p w:rsidR="00FD286B" w:rsidRPr="005409DF" w:rsidRDefault="00FD286B" w:rsidP="005409DF">
            <w:pPr>
              <w:keepNext/>
              <w:spacing w:before="40" w:after="40" w:line="240" w:lineRule="auto"/>
              <w:jc w:val="center"/>
              <w:rPr>
                <w:kern w:val="0"/>
                <w:sz w:val="20"/>
                <w:szCs w:val="20"/>
                <w:lang w:val="en-AU"/>
              </w:rPr>
            </w:pPr>
            <w:r w:rsidRPr="005409DF">
              <w:rPr>
                <w:kern w:val="0"/>
                <w:sz w:val="20"/>
                <w:szCs w:val="20"/>
                <w:lang w:val="en-AU"/>
              </w:rPr>
              <w:t>1.16 (14.0)</w:t>
            </w:r>
          </w:p>
        </w:tc>
      </w:tr>
    </w:tbl>
    <w:p w:rsidR="00900F32" w:rsidRDefault="00FD286B" w:rsidP="00BC4155">
      <w:pPr>
        <w:pStyle w:val="DocumentText"/>
        <w:keepNext/>
        <w:rPr>
          <w:kern w:val="20"/>
          <w:sz w:val="20"/>
          <w:szCs w:val="20"/>
        </w:rPr>
      </w:pPr>
      <w:r w:rsidRPr="005409DF">
        <w:rPr>
          <w:kern w:val="20"/>
          <w:sz w:val="20"/>
          <w:szCs w:val="20"/>
        </w:rPr>
        <w:t>IR</w:t>
      </w:r>
      <w:r w:rsidR="00DA60C8" w:rsidRPr="00022C5E">
        <w:rPr>
          <w:kern w:val="20"/>
          <w:sz w:val="20"/>
          <w:szCs w:val="20"/>
        </w:rPr>
        <w:t> </w:t>
      </w:r>
      <w:r w:rsidRPr="005409DF">
        <w:rPr>
          <w:kern w:val="20"/>
          <w:sz w:val="20"/>
          <w:szCs w:val="20"/>
        </w:rPr>
        <w:t>=</w:t>
      </w:r>
      <w:r w:rsidR="00DA60C8" w:rsidRPr="00022C5E">
        <w:rPr>
          <w:kern w:val="20"/>
          <w:sz w:val="20"/>
          <w:szCs w:val="20"/>
        </w:rPr>
        <w:t> </w:t>
      </w:r>
      <w:r w:rsidRPr="005409DF">
        <w:rPr>
          <w:kern w:val="20"/>
          <w:sz w:val="20"/>
          <w:szCs w:val="20"/>
        </w:rPr>
        <w:t xml:space="preserve">incremental recovery; </w:t>
      </w:r>
      <w:r w:rsidR="003538EB" w:rsidRPr="00022C5E">
        <w:rPr>
          <w:kern w:val="20"/>
          <w:sz w:val="20"/>
          <w:szCs w:val="20"/>
        </w:rPr>
        <w:t xml:space="preserve">Cmax = maximum concentration; </w:t>
      </w:r>
      <w:r w:rsidRPr="005409DF">
        <w:rPr>
          <w:kern w:val="20"/>
          <w:sz w:val="20"/>
          <w:szCs w:val="20"/>
        </w:rPr>
        <w:t>AUC</w:t>
      </w:r>
      <w:r w:rsidR="00DA60C8" w:rsidRPr="00022C5E">
        <w:rPr>
          <w:kern w:val="20"/>
          <w:sz w:val="20"/>
          <w:szCs w:val="20"/>
        </w:rPr>
        <w:t> </w:t>
      </w:r>
      <w:r w:rsidRPr="005409DF">
        <w:rPr>
          <w:kern w:val="20"/>
          <w:sz w:val="20"/>
          <w:szCs w:val="20"/>
        </w:rPr>
        <w:t>=</w:t>
      </w:r>
      <w:r w:rsidR="00DA60C8" w:rsidRPr="00022C5E">
        <w:rPr>
          <w:kern w:val="20"/>
          <w:sz w:val="20"/>
          <w:szCs w:val="20"/>
        </w:rPr>
        <w:t> </w:t>
      </w:r>
      <w:r w:rsidRPr="005409DF">
        <w:rPr>
          <w:kern w:val="20"/>
          <w:sz w:val="20"/>
          <w:szCs w:val="20"/>
        </w:rPr>
        <w:t xml:space="preserve">area under the FIX activity time curve; </w:t>
      </w:r>
      <w:r w:rsidR="00DE4090" w:rsidRPr="005409DF">
        <w:rPr>
          <w:kern w:val="20"/>
          <w:sz w:val="20"/>
          <w:szCs w:val="20"/>
        </w:rPr>
        <w:t>t</w:t>
      </w:r>
      <w:r w:rsidR="00DE4090" w:rsidRPr="008A4CE7">
        <w:rPr>
          <w:kern w:val="20"/>
          <w:sz w:val="20"/>
          <w:szCs w:val="20"/>
          <w:vertAlign w:val="subscript"/>
        </w:rPr>
        <w:t>1/2</w:t>
      </w:r>
      <w:r w:rsidR="00DE4090" w:rsidRPr="008A4CE7">
        <w:rPr>
          <w:kern w:val="20"/>
          <w:sz w:val="20"/>
          <w:szCs w:val="20"/>
        </w:rPr>
        <w:t> </w:t>
      </w:r>
      <w:r w:rsidR="00DE4090" w:rsidRPr="005409DF">
        <w:rPr>
          <w:kern w:val="20"/>
          <w:sz w:val="20"/>
          <w:szCs w:val="20"/>
        </w:rPr>
        <w:t>=</w:t>
      </w:r>
      <w:r w:rsidR="00DE4090" w:rsidRPr="00022C5E">
        <w:rPr>
          <w:kern w:val="20"/>
          <w:sz w:val="20"/>
          <w:szCs w:val="20"/>
        </w:rPr>
        <w:t> </w:t>
      </w:r>
      <w:r w:rsidR="00DE4090" w:rsidRPr="005409DF">
        <w:rPr>
          <w:kern w:val="20"/>
          <w:sz w:val="20"/>
          <w:szCs w:val="20"/>
        </w:rPr>
        <w:t>half-life; MRT</w:t>
      </w:r>
      <w:r w:rsidR="00DE4090" w:rsidRPr="00022C5E">
        <w:rPr>
          <w:kern w:val="20"/>
          <w:sz w:val="20"/>
          <w:szCs w:val="20"/>
        </w:rPr>
        <w:t> </w:t>
      </w:r>
      <w:r w:rsidR="00DE4090" w:rsidRPr="005409DF">
        <w:rPr>
          <w:kern w:val="20"/>
          <w:sz w:val="20"/>
          <w:szCs w:val="20"/>
        </w:rPr>
        <w:t>=</w:t>
      </w:r>
      <w:r w:rsidR="00DE4090" w:rsidRPr="00022C5E">
        <w:rPr>
          <w:kern w:val="20"/>
          <w:sz w:val="20"/>
          <w:szCs w:val="20"/>
        </w:rPr>
        <w:t> </w:t>
      </w:r>
      <w:r w:rsidR="00DE4090" w:rsidRPr="005409DF">
        <w:rPr>
          <w:kern w:val="20"/>
          <w:sz w:val="20"/>
          <w:szCs w:val="20"/>
        </w:rPr>
        <w:t>mean residence time</w:t>
      </w:r>
      <w:r w:rsidR="00A5443D">
        <w:rPr>
          <w:kern w:val="20"/>
          <w:sz w:val="20"/>
          <w:szCs w:val="20"/>
        </w:rPr>
        <w:t>;</w:t>
      </w:r>
      <w:r w:rsidR="00DE4090" w:rsidRPr="005409DF">
        <w:rPr>
          <w:kern w:val="20"/>
          <w:sz w:val="20"/>
          <w:szCs w:val="20"/>
        </w:rPr>
        <w:t xml:space="preserve"> </w:t>
      </w:r>
      <w:r w:rsidRPr="005409DF">
        <w:rPr>
          <w:kern w:val="20"/>
          <w:sz w:val="20"/>
          <w:szCs w:val="20"/>
        </w:rPr>
        <w:t>CL</w:t>
      </w:r>
      <w:r w:rsidR="00DA60C8" w:rsidRPr="00022C5E">
        <w:rPr>
          <w:kern w:val="20"/>
          <w:sz w:val="20"/>
          <w:szCs w:val="20"/>
        </w:rPr>
        <w:t> </w:t>
      </w:r>
      <w:r w:rsidRPr="005409DF">
        <w:rPr>
          <w:kern w:val="20"/>
          <w:sz w:val="20"/>
          <w:szCs w:val="20"/>
        </w:rPr>
        <w:t>=</w:t>
      </w:r>
      <w:r w:rsidR="00DA60C8" w:rsidRPr="00022C5E">
        <w:rPr>
          <w:kern w:val="20"/>
          <w:sz w:val="20"/>
          <w:szCs w:val="20"/>
        </w:rPr>
        <w:t> </w:t>
      </w:r>
      <w:r w:rsidRPr="005409DF">
        <w:rPr>
          <w:kern w:val="20"/>
          <w:sz w:val="20"/>
          <w:szCs w:val="20"/>
        </w:rPr>
        <w:t>body</w:t>
      </w:r>
      <w:r w:rsidR="00BE761A" w:rsidRPr="00022C5E">
        <w:rPr>
          <w:kern w:val="20"/>
          <w:sz w:val="20"/>
          <w:szCs w:val="20"/>
        </w:rPr>
        <w:t> </w:t>
      </w:r>
      <w:r w:rsidRPr="005409DF">
        <w:rPr>
          <w:kern w:val="20"/>
          <w:sz w:val="20"/>
          <w:szCs w:val="20"/>
        </w:rPr>
        <w:t>weight adjusted clearance; Vss</w:t>
      </w:r>
      <w:r w:rsidR="00DA60C8" w:rsidRPr="00022C5E">
        <w:rPr>
          <w:kern w:val="20"/>
          <w:sz w:val="20"/>
          <w:szCs w:val="20"/>
        </w:rPr>
        <w:t> </w:t>
      </w:r>
      <w:r w:rsidRPr="005409DF">
        <w:rPr>
          <w:kern w:val="20"/>
          <w:sz w:val="20"/>
          <w:szCs w:val="20"/>
        </w:rPr>
        <w:t>=</w:t>
      </w:r>
      <w:r w:rsidR="00DA60C8" w:rsidRPr="00022C5E">
        <w:rPr>
          <w:kern w:val="20"/>
          <w:sz w:val="20"/>
          <w:szCs w:val="20"/>
        </w:rPr>
        <w:t> </w:t>
      </w:r>
      <w:r w:rsidRPr="005409DF">
        <w:rPr>
          <w:kern w:val="20"/>
          <w:sz w:val="20"/>
          <w:szCs w:val="20"/>
        </w:rPr>
        <w:t>body</w:t>
      </w:r>
      <w:r w:rsidR="00BE761A" w:rsidRPr="00022C5E">
        <w:rPr>
          <w:kern w:val="20"/>
          <w:sz w:val="20"/>
          <w:szCs w:val="20"/>
        </w:rPr>
        <w:t> </w:t>
      </w:r>
      <w:r w:rsidRPr="005409DF">
        <w:rPr>
          <w:kern w:val="20"/>
          <w:sz w:val="20"/>
          <w:szCs w:val="20"/>
        </w:rPr>
        <w:t>weight adjusted volume of distribution at steady-state</w:t>
      </w:r>
      <w:r w:rsidR="00E56125">
        <w:rPr>
          <w:kern w:val="20"/>
          <w:sz w:val="20"/>
          <w:szCs w:val="20"/>
        </w:rPr>
        <w:t>.</w:t>
      </w:r>
    </w:p>
    <w:p w:rsidR="00D30C6F" w:rsidRPr="0056333D" w:rsidRDefault="004664D0" w:rsidP="00D30C6F">
      <w:pPr>
        <w:pStyle w:val="DocumentText"/>
        <w:keepNext/>
        <w:spacing w:before="120" w:after="120"/>
        <w:rPr>
          <w:b/>
          <w:kern w:val="20"/>
        </w:rPr>
      </w:pPr>
      <w:r w:rsidRPr="0056333D">
        <w:rPr>
          <w:b/>
          <w:kern w:val="20"/>
        </w:rPr>
        <w:t>Population PK modelling</w:t>
      </w:r>
    </w:p>
    <w:p w:rsidR="00BC4155" w:rsidRDefault="0014254D" w:rsidP="00617732">
      <w:pPr>
        <w:pStyle w:val="DocumentText"/>
      </w:pPr>
      <w:r w:rsidRPr="00BC4155">
        <w:t>Based on population PK modelling simulations</w:t>
      </w:r>
      <w:r w:rsidR="006E2C28">
        <w:t xml:space="preserve"> (median data)</w:t>
      </w:r>
      <w:r w:rsidRPr="00BC4155">
        <w:t xml:space="preserve">, </w:t>
      </w:r>
      <w:r w:rsidR="00D73E8E" w:rsidRPr="00D02A16">
        <w:t>the</w:t>
      </w:r>
      <w:r w:rsidR="00D73E8E">
        <w:t xml:space="preserve"> estimated</w:t>
      </w:r>
      <w:r w:rsidR="00D73E8E" w:rsidRPr="00D02A16">
        <w:t xml:space="preserve"> time to reach </w:t>
      </w:r>
      <w:r w:rsidR="00617732">
        <w:t xml:space="preserve">1% and </w:t>
      </w:r>
      <w:r w:rsidR="00D73E8E" w:rsidRPr="00D02A16">
        <w:t>5% plasma FIX activity fol</w:t>
      </w:r>
      <w:r w:rsidR="00D73E8E">
        <w:t xml:space="preserve">lowing a single </w:t>
      </w:r>
      <w:r>
        <w:t>dose</w:t>
      </w:r>
      <w:r w:rsidR="00D73E8E">
        <w:t xml:space="preserve"> of</w:t>
      </w:r>
      <w:r w:rsidR="001718EE">
        <w:t xml:space="preserve"> 25 </w:t>
      </w:r>
      <w:r w:rsidR="00617732">
        <w:t>IU/kg,</w:t>
      </w:r>
      <w:r w:rsidR="00D73E8E">
        <w:t xml:space="preserve"> 50 </w:t>
      </w:r>
      <w:r w:rsidR="00D73E8E" w:rsidRPr="00D02A16">
        <w:t>I</w:t>
      </w:r>
      <w:r w:rsidR="00D73E8E">
        <w:t xml:space="preserve">U/kg </w:t>
      </w:r>
      <w:r w:rsidR="003A4397">
        <w:t>and</w:t>
      </w:r>
      <w:r w:rsidR="00617732">
        <w:t xml:space="preserve"> 7</w:t>
      </w:r>
      <w:r w:rsidR="00C3266B">
        <w:t>5</w:t>
      </w:r>
      <w:r w:rsidR="001718EE">
        <w:t> </w:t>
      </w:r>
      <w:r w:rsidR="00617732">
        <w:t xml:space="preserve">IU/kg </w:t>
      </w:r>
      <w:r w:rsidR="00611D7A">
        <w:t>IDELVION</w:t>
      </w:r>
      <w:r w:rsidR="00611D7A">
        <w:rPr>
          <w:vertAlign w:val="superscript"/>
        </w:rPr>
        <w:t>®</w:t>
      </w:r>
      <w:r w:rsidR="00D73E8E">
        <w:t xml:space="preserve"> </w:t>
      </w:r>
      <w:r w:rsidR="00617732">
        <w:t xml:space="preserve">are shown in </w:t>
      </w:r>
      <w:r w:rsidR="001718EE">
        <w:rPr>
          <w:b/>
        </w:rPr>
        <w:t>Table </w:t>
      </w:r>
      <w:r w:rsidR="00617732" w:rsidRPr="00617732">
        <w:rPr>
          <w:b/>
        </w:rPr>
        <w:t>4</w:t>
      </w:r>
      <w:r w:rsidR="00617732">
        <w:t>.</w:t>
      </w:r>
    </w:p>
    <w:p w:rsidR="00617732" w:rsidRPr="00A3680C" w:rsidRDefault="00617732" w:rsidP="00091E44">
      <w:pPr>
        <w:pStyle w:val="DocumentText"/>
        <w:spacing w:before="240" w:after="120" w:line="240" w:lineRule="auto"/>
        <w:rPr>
          <w:b/>
        </w:rPr>
      </w:pPr>
      <w:r w:rsidRPr="00617732">
        <w:rPr>
          <w:b/>
        </w:rPr>
        <w:t>Table 4</w:t>
      </w:r>
      <w:r w:rsidR="00C3266B">
        <w:rPr>
          <w:b/>
        </w:rPr>
        <w:t>:</w:t>
      </w:r>
      <w:r>
        <w:rPr>
          <w:b/>
        </w:rPr>
        <w:t xml:space="preserve"> E</w:t>
      </w:r>
      <w:r w:rsidR="00091E44">
        <w:rPr>
          <w:b/>
        </w:rPr>
        <w:t xml:space="preserve">stimated time to reach </w:t>
      </w:r>
      <w:r>
        <w:rPr>
          <w:b/>
        </w:rPr>
        <w:t>1% and 5%</w:t>
      </w:r>
      <w:r w:rsidR="00091E44">
        <w:rPr>
          <w:b/>
        </w:rPr>
        <w:t xml:space="preserve"> median</w:t>
      </w:r>
      <w:r>
        <w:rPr>
          <w:b/>
        </w:rPr>
        <w:t xml:space="preserve"> plasma FIX activity following a single dose of IDELVION</w:t>
      </w:r>
      <w:r w:rsidR="00A3680C">
        <w:rPr>
          <w:b/>
          <w:vertAlign w:val="superscript"/>
        </w:rPr>
        <w:t>®</w:t>
      </w:r>
    </w:p>
    <w:tbl>
      <w:tblPr>
        <w:tblStyle w:val="TableGrid11"/>
        <w:tblW w:w="0" w:type="auto"/>
        <w:tblLook w:val="04A0" w:firstRow="1" w:lastRow="0" w:firstColumn="1" w:lastColumn="0" w:noHBand="0" w:noVBand="1"/>
      </w:tblPr>
      <w:tblGrid>
        <w:gridCol w:w="2376"/>
        <w:gridCol w:w="1985"/>
        <w:gridCol w:w="2268"/>
        <w:gridCol w:w="2268"/>
      </w:tblGrid>
      <w:tr w:rsidR="00C3266B" w:rsidRPr="00CD1BEF" w:rsidTr="00C3266B">
        <w:tc>
          <w:tcPr>
            <w:tcW w:w="2376" w:type="dxa"/>
            <w:vMerge w:val="restart"/>
            <w:tcBorders>
              <w:top w:val="single" w:sz="4" w:space="0" w:color="auto"/>
              <w:left w:val="single" w:sz="4" w:space="0" w:color="auto"/>
              <w:right w:val="single" w:sz="4" w:space="0" w:color="auto"/>
            </w:tcBorders>
            <w:shd w:val="clear" w:color="auto" w:fill="D9D9D9" w:themeFill="background1" w:themeFillShade="D9"/>
          </w:tcPr>
          <w:p w:rsidR="00C3266B" w:rsidRPr="00CD1BEF" w:rsidRDefault="00C3266B" w:rsidP="00C3266B">
            <w:pPr>
              <w:spacing w:before="40" w:after="40" w:line="240" w:lineRule="auto"/>
              <w:rPr>
                <w:rFonts w:ascii="Times New Roman" w:hAnsi="Times New Roman"/>
                <w:b/>
                <w:sz w:val="20"/>
                <w:szCs w:val="20"/>
              </w:rPr>
            </w:pPr>
          </w:p>
        </w:tc>
        <w:tc>
          <w:tcPr>
            <w:tcW w:w="652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3266B" w:rsidRPr="00CD1BEF" w:rsidRDefault="00C3266B" w:rsidP="008A4CE7">
            <w:pPr>
              <w:spacing w:before="40" w:after="40" w:line="240" w:lineRule="auto"/>
              <w:jc w:val="center"/>
              <w:rPr>
                <w:rFonts w:ascii="Times New Roman" w:hAnsi="Times New Roman"/>
                <w:b/>
                <w:sz w:val="20"/>
                <w:szCs w:val="20"/>
              </w:rPr>
            </w:pPr>
            <w:r w:rsidRPr="00CD1BEF">
              <w:rPr>
                <w:rFonts w:ascii="Times New Roman" w:hAnsi="Times New Roman"/>
                <w:b/>
                <w:sz w:val="20"/>
                <w:szCs w:val="20"/>
              </w:rPr>
              <w:t>Estimated time to median FIX activity above specified % (days)</w:t>
            </w:r>
          </w:p>
        </w:tc>
      </w:tr>
      <w:tr w:rsidR="00C3266B" w:rsidRPr="00CD1BEF" w:rsidTr="00C3266B">
        <w:tc>
          <w:tcPr>
            <w:tcW w:w="2376" w:type="dxa"/>
            <w:vMerge/>
            <w:tcBorders>
              <w:left w:val="single" w:sz="4" w:space="0" w:color="auto"/>
              <w:bottom w:val="single" w:sz="4" w:space="0" w:color="auto"/>
              <w:right w:val="single" w:sz="4" w:space="0" w:color="auto"/>
            </w:tcBorders>
            <w:shd w:val="clear" w:color="auto" w:fill="D9D9D9" w:themeFill="background1" w:themeFillShade="D9"/>
          </w:tcPr>
          <w:p w:rsidR="00C3266B" w:rsidRPr="00CD1BEF" w:rsidRDefault="00C3266B" w:rsidP="00C3266B">
            <w:pPr>
              <w:spacing w:before="40" w:after="40" w:line="240" w:lineRule="auto"/>
              <w:rPr>
                <w:rFonts w:ascii="Times New Roman" w:hAnsi="Times New Roman"/>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3266B" w:rsidRPr="00CD1BEF" w:rsidRDefault="00C3266B" w:rsidP="00C3266B">
            <w:pPr>
              <w:spacing w:before="40" w:after="40" w:line="240" w:lineRule="auto"/>
              <w:jc w:val="center"/>
              <w:rPr>
                <w:rFonts w:ascii="Times New Roman" w:hAnsi="Times New Roman"/>
                <w:b/>
                <w:sz w:val="20"/>
                <w:szCs w:val="20"/>
              </w:rPr>
            </w:pPr>
            <w:r w:rsidRPr="00CD1BEF">
              <w:rPr>
                <w:rFonts w:ascii="Times New Roman" w:hAnsi="Times New Roman"/>
                <w:b/>
                <w:sz w:val="20"/>
                <w:szCs w:val="20"/>
              </w:rPr>
              <w:t>0 to &lt;6 years</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3266B" w:rsidRPr="00CD1BEF" w:rsidRDefault="00C3266B" w:rsidP="00C3266B">
            <w:pPr>
              <w:spacing w:before="40" w:after="40" w:line="240" w:lineRule="auto"/>
              <w:jc w:val="center"/>
              <w:rPr>
                <w:rFonts w:ascii="Times New Roman" w:hAnsi="Times New Roman"/>
                <w:b/>
                <w:sz w:val="20"/>
                <w:szCs w:val="20"/>
              </w:rPr>
            </w:pPr>
            <w:r w:rsidRPr="00CD1BEF">
              <w:rPr>
                <w:rFonts w:ascii="Times New Roman" w:hAnsi="Times New Roman"/>
                <w:b/>
                <w:sz w:val="20"/>
                <w:szCs w:val="20"/>
              </w:rPr>
              <w:t xml:space="preserve">6 to &lt;12 years </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3266B" w:rsidRPr="00CD1BEF" w:rsidRDefault="00C3266B" w:rsidP="00C3266B">
            <w:pPr>
              <w:spacing w:before="40" w:after="40" w:line="240" w:lineRule="auto"/>
              <w:jc w:val="center"/>
              <w:rPr>
                <w:rFonts w:ascii="Times New Roman" w:hAnsi="Times New Roman"/>
                <w:b/>
                <w:sz w:val="20"/>
                <w:szCs w:val="20"/>
              </w:rPr>
            </w:pPr>
            <w:r w:rsidRPr="00CD1BEF">
              <w:rPr>
                <w:rFonts w:ascii="Times New Roman" w:hAnsi="Times New Roman"/>
                <w:b/>
                <w:sz w:val="20"/>
                <w:szCs w:val="20"/>
              </w:rPr>
              <w:t xml:space="preserve">12 to &lt;18 years </w:t>
            </w:r>
          </w:p>
        </w:tc>
      </w:tr>
      <w:tr w:rsidR="00C3266B" w:rsidRPr="00CD1BEF" w:rsidTr="00C3266B">
        <w:tc>
          <w:tcPr>
            <w:tcW w:w="889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3266B" w:rsidRPr="00CD1BEF" w:rsidRDefault="00C3266B" w:rsidP="00C3266B">
            <w:pPr>
              <w:spacing w:before="40" w:after="40" w:line="240" w:lineRule="auto"/>
              <w:rPr>
                <w:rFonts w:ascii="Times New Roman" w:hAnsi="Times New Roman"/>
                <w:b/>
                <w:sz w:val="20"/>
                <w:szCs w:val="20"/>
              </w:rPr>
            </w:pPr>
            <w:r w:rsidRPr="00CD1BEF">
              <w:rPr>
                <w:rFonts w:ascii="Times New Roman" w:hAnsi="Times New Roman"/>
                <w:b/>
                <w:sz w:val="20"/>
                <w:szCs w:val="20"/>
              </w:rPr>
              <w:t>Time to 1%</w:t>
            </w:r>
          </w:p>
        </w:tc>
      </w:tr>
      <w:tr w:rsidR="00C3266B" w:rsidRPr="00CD1BEF" w:rsidTr="00C3266B">
        <w:trPr>
          <w:trHeight w:val="267"/>
        </w:trPr>
        <w:tc>
          <w:tcPr>
            <w:tcW w:w="2376" w:type="dxa"/>
            <w:tcBorders>
              <w:top w:val="single" w:sz="4" w:space="0" w:color="auto"/>
              <w:left w:val="single" w:sz="4" w:space="0" w:color="auto"/>
              <w:bottom w:val="single" w:sz="4" w:space="0" w:color="auto"/>
              <w:right w:val="single" w:sz="4" w:space="0" w:color="auto"/>
            </w:tcBorders>
            <w:hideMark/>
          </w:tcPr>
          <w:p w:rsidR="00C3266B" w:rsidRPr="00CD1BEF" w:rsidRDefault="00C3266B" w:rsidP="00C3266B">
            <w:pPr>
              <w:spacing w:before="40" w:after="40" w:line="240" w:lineRule="auto"/>
              <w:rPr>
                <w:rFonts w:ascii="Times New Roman" w:hAnsi="Times New Roman"/>
                <w:sz w:val="20"/>
                <w:szCs w:val="20"/>
              </w:rPr>
            </w:pPr>
            <w:r w:rsidRPr="00CD1BEF">
              <w:rPr>
                <w:rFonts w:ascii="Times New Roman" w:hAnsi="Times New Roman"/>
                <w:sz w:val="20"/>
                <w:szCs w:val="20"/>
              </w:rPr>
              <w:t>25 IU/kg</w:t>
            </w:r>
          </w:p>
        </w:tc>
        <w:tc>
          <w:tcPr>
            <w:tcW w:w="1985" w:type="dxa"/>
            <w:tcBorders>
              <w:top w:val="single" w:sz="4" w:space="0" w:color="auto"/>
              <w:left w:val="single" w:sz="4" w:space="0" w:color="auto"/>
              <w:bottom w:val="single" w:sz="4" w:space="0" w:color="auto"/>
              <w:right w:val="single" w:sz="4" w:space="0" w:color="auto"/>
            </w:tcBorders>
          </w:tcPr>
          <w:p w:rsidR="00C3266B" w:rsidRPr="00CD1BEF" w:rsidRDefault="00C3266B" w:rsidP="00C3266B">
            <w:pPr>
              <w:spacing w:before="40" w:after="40" w:line="240" w:lineRule="auto"/>
              <w:jc w:val="center"/>
              <w:rPr>
                <w:rFonts w:ascii="Times New Roman" w:hAnsi="Times New Roman"/>
                <w:sz w:val="20"/>
                <w:szCs w:val="20"/>
              </w:rPr>
            </w:pPr>
            <w:r w:rsidRPr="00CD1BEF">
              <w:rPr>
                <w:rFonts w:ascii="Times New Roman" w:hAnsi="Times New Roman"/>
                <w:sz w:val="20"/>
                <w:szCs w:val="20"/>
              </w:rPr>
              <w:t>9</w:t>
            </w:r>
          </w:p>
        </w:tc>
        <w:tc>
          <w:tcPr>
            <w:tcW w:w="2268" w:type="dxa"/>
            <w:tcBorders>
              <w:top w:val="single" w:sz="4" w:space="0" w:color="auto"/>
              <w:left w:val="single" w:sz="4" w:space="0" w:color="auto"/>
              <w:bottom w:val="single" w:sz="4" w:space="0" w:color="auto"/>
              <w:right w:val="single" w:sz="4" w:space="0" w:color="auto"/>
            </w:tcBorders>
          </w:tcPr>
          <w:p w:rsidR="00C3266B" w:rsidRPr="00CD1BEF" w:rsidRDefault="00C3266B" w:rsidP="00C3266B">
            <w:pPr>
              <w:spacing w:before="40" w:after="40" w:line="240" w:lineRule="auto"/>
              <w:jc w:val="center"/>
              <w:rPr>
                <w:rFonts w:ascii="Times New Roman" w:hAnsi="Times New Roman"/>
                <w:sz w:val="20"/>
                <w:szCs w:val="20"/>
              </w:rPr>
            </w:pPr>
            <w:r w:rsidRPr="00CD1BEF">
              <w:rPr>
                <w:rFonts w:ascii="Times New Roman" w:hAnsi="Times New Roman"/>
                <w:sz w:val="20"/>
                <w:szCs w:val="20"/>
              </w:rPr>
              <w:t>12</w:t>
            </w:r>
          </w:p>
        </w:tc>
        <w:tc>
          <w:tcPr>
            <w:tcW w:w="2268" w:type="dxa"/>
            <w:tcBorders>
              <w:top w:val="single" w:sz="4" w:space="0" w:color="auto"/>
              <w:left w:val="single" w:sz="4" w:space="0" w:color="auto"/>
              <w:bottom w:val="single" w:sz="4" w:space="0" w:color="auto"/>
              <w:right w:val="single" w:sz="4" w:space="0" w:color="auto"/>
            </w:tcBorders>
          </w:tcPr>
          <w:p w:rsidR="00C3266B" w:rsidRPr="00CD1BEF" w:rsidRDefault="00C3266B" w:rsidP="00C3266B">
            <w:pPr>
              <w:spacing w:before="40" w:after="40" w:line="240" w:lineRule="auto"/>
              <w:jc w:val="center"/>
              <w:rPr>
                <w:rFonts w:ascii="Times New Roman" w:hAnsi="Times New Roman"/>
                <w:sz w:val="20"/>
                <w:szCs w:val="20"/>
              </w:rPr>
            </w:pPr>
            <w:r w:rsidRPr="00CD1BEF">
              <w:rPr>
                <w:rFonts w:ascii="Times New Roman" w:hAnsi="Times New Roman"/>
                <w:sz w:val="20"/>
                <w:szCs w:val="20"/>
              </w:rPr>
              <w:t>14</w:t>
            </w:r>
          </w:p>
        </w:tc>
      </w:tr>
      <w:tr w:rsidR="00C3266B" w:rsidRPr="00CD1BEF" w:rsidTr="00C3266B">
        <w:trPr>
          <w:trHeight w:val="357"/>
        </w:trPr>
        <w:tc>
          <w:tcPr>
            <w:tcW w:w="2376" w:type="dxa"/>
            <w:tcBorders>
              <w:top w:val="single" w:sz="4" w:space="0" w:color="auto"/>
              <w:left w:val="single" w:sz="4" w:space="0" w:color="auto"/>
              <w:bottom w:val="single" w:sz="4" w:space="0" w:color="auto"/>
              <w:right w:val="single" w:sz="4" w:space="0" w:color="auto"/>
            </w:tcBorders>
          </w:tcPr>
          <w:p w:rsidR="00C3266B" w:rsidRPr="00CD1BEF" w:rsidRDefault="00C3266B" w:rsidP="00C3266B">
            <w:pPr>
              <w:spacing w:before="40" w:after="40" w:line="240" w:lineRule="auto"/>
              <w:rPr>
                <w:rFonts w:ascii="Times New Roman" w:hAnsi="Times New Roman"/>
                <w:sz w:val="20"/>
                <w:szCs w:val="20"/>
              </w:rPr>
            </w:pPr>
            <w:r w:rsidRPr="00CD1BEF">
              <w:rPr>
                <w:rFonts w:ascii="Times New Roman" w:hAnsi="Times New Roman"/>
                <w:sz w:val="20"/>
                <w:szCs w:val="20"/>
              </w:rPr>
              <w:t>50 IU/kg</w:t>
            </w:r>
          </w:p>
        </w:tc>
        <w:tc>
          <w:tcPr>
            <w:tcW w:w="1985" w:type="dxa"/>
            <w:tcBorders>
              <w:top w:val="single" w:sz="4" w:space="0" w:color="auto"/>
              <w:left w:val="single" w:sz="4" w:space="0" w:color="auto"/>
              <w:bottom w:val="single" w:sz="4" w:space="0" w:color="auto"/>
              <w:right w:val="single" w:sz="4" w:space="0" w:color="auto"/>
            </w:tcBorders>
          </w:tcPr>
          <w:p w:rsidR="00C3266B" w:rsidRPr="00CD1BEF" w:rsidRDefault="00C3266B" w:rsidP="00C3266B">
            <w:pPr>
              <w:spacing w:before="40" w:after="40" w:line="240" w:lineRule="auto"/>
              <w:jc w:val="center"/>
              <w:rPr>
                <w:rFonts w:ascii="Times New Roman" w:hAnsi="Times New Roman"/>
                <w:sz w:val="20"/>
                <w:szCs w:val="20"/>
              </w:rPr>
            </w:pPr>
            <w:r w:rsidRPr="00CD1BEF">
              <w:rPr>
                <w:rFonts w:ascii="Times New Roman" w:hAnsi="Times New Roman"/>
                <w:sz w:val="20"/>
                <w:szCs w:val="20"/>
              </w:rPr>
              <w:t>14</w:t>
            </w:r>
          </w:p>
        </w:tc>
        <w:tc>
          <w:tcPr>
            <w:tcW w:w="2268" w:type="dxa"/>
            <w:tcBorders>
              <w:top w:val="single" w:sz="4" w:space="0" w:color="auto"/>
              <w:left w:val="single" w:sz="4" w:space="0" w:color="auto"/>
              <w:bottom w:val="single" w:sz="4" w:space="0" w:color="auto"/>
              <w:right w:val="single" w:sz="4" w:space="0" w:color="auto"/>
            </w:tcBorders>
          </w:tcPr>
          <w:p w:rsidR="00C3266B" w:rsidRPr="00CD1BEF" w:rsidRDefault="00C3266B" w:rsidP="00C3266B">
            <w:pPr>
              <w:spacing w:before="40" w:after="40" w:line="240" w:lineRule="auto"/>
              <w:jc w:val="center"/>
              <w:rPr>
                <w:rFonts w:ascii="Times New Roman" w:hAnsi="Times New Roman"/>
                <w:sz w:val="20"/>
                <w:szCs w:val="20"/>
              </w:rPr>
            </w:pPr>
            <w:r w:rsidRPr="00CD1BEF">
              <w:rPr>
                <w:rFonts w:ascii="Times New Roman" w:hAnsi="Times New Roman"/>
                <w:sz w:val="20"/>
                <w:szCs w:val="20"/>
              </w:rPr>
              <w:t>17</w:t>
            </w:r>
          </w:p>
        </w:tc>
        <w:tc>
          <w:tcPr>
            <w:tcW w:w="2268" w:type="dxa"/>
            <w:tcBorders>
              <w:top w:val="single" w:sz="4" w:space="0" w:color="auto"/>
              <w:left w:val="single" w:sz="4" w:space="0" w:color="auto"/>
              <w:bottom w:val="single" w:sz="4" w:space="0" w:color="auto"/>
              <w:right w:val="single" w:sz="4" w:space="0" w:color="auto"/>
            </w:tcBorders>
          </w:tcPr>
          <w:p w:rsidR="00C3266B" w:rsidRPr="00CD1BEF" w:rsidRDefault="00C3266B" w:rsidP="00C3266B">
            <w:pPr>
              <w:spacing w:before="40" w:after="40" w:line="240" w:lineRule="auto"/>
              <w:jc w:val="center"/>
              <w:rPr>
                <w:rFonts w:ascii="Times New Roman" w:hAnsi="Times New Roman"/>
                <w:sz w:val="20"/>
                <w:szCs w:val="20"/>
              </w:rPr>
            </w:pPr>
            <w:r w:rsidRPr="00CD1BEF">
              <w:rPr>
                <w:rFonts w:ascii="Times New Roman" w:hAnsi="Times New Roman"/>
                <w:sz w:val="20"/>
                <w:szCs w:val="20"/>
              </w:rPr>
              <w:t>21</w:t>
            </w:r>
          </w:p>
        </w:tc>
      </w:tr>
      <w:tr w:rsidR="00C3266B" w:rsidRPr="00CD1BEF" w:rsidTr="00C3266B">
        <w:trPr>
          <w:trHeight w:val="274"/>
        </w:trPr>
        <w:tc>
          <w:tcPr>
            <w:tcW w:w="2376" w:type="dxa"/>
            <w:tcBorders>
              <w:top w:val="single" w:sz="4" w:space="0" w:color="auto"/>
              <w:left w:val="single" w:sz="4" w:space="0" w:color="auto"/>
              <w:bottom w:val="single" w:sz="4" w:space="0" w:color="auto"/>
              <w:right w:val="single" w:sz="4" w:space="0" w:color="auto"/>
            </w:tcBorders>
          </w:tcPr>
          <w:p w:rsidR="00C3266B" w:rsidRPr="00CD1BEF" w:rsidRDefault="00C3266B" w:rsidP="00C3266B">
            <w:pPr>
              <w:spacing w:before="40" w:after="40" w:line="240" w:lineRule="auto"/>
              <w:rPr>
                <w:rFonts w:ascii="Times New Roman" w:hAnsi="Times New Roman"/>
                <w:sz w:val="20"/>
                <w:szCs w:val="20"/>
              </w:rPr>
            </w:pPr>
            <w:r w:rsidRPr="00CD1BEF">
              <w:rPr>
                <w:rFonts w:ascii="Times New Roman" w:hAnsi="Times New Roman"/>
                <w:sz w:val="20"/>
                <w:szCs w:val="20"/>
              </w:rPr>
              <w:t>75 IU/kg</w:t>
            </w:r>
          </w:p>
        </w:tc>
        <w:tc>
          <w:tcPr>
            <w:tcW w:w="1985" w:type="dxa"/>
            <w:tcBorders>
              <w:top w:val="single" w:sz="4" w:space="0" w:color="auto"/>
              <w:left w:val="single" w:sz="4" w:space="0" w:color="auto"/>
              <w:bottom w:val="single" w:sz="4" w:space="0" w:color="auto"/>
              <w:right w:val="single" w:sz="4" w:space="0" w:color="auto"/>
            </w:tcBorders>
          </w:tcPr>
          <w:p w:rsidR="00C3266B" w:rsidRPr="00CD1BEF" w:rsidRDefault="00C3266B" w:rsidP="00C3266B">
            <w:pPr>
              <w:spacing w:before="40" w:after="40" w:line="240" w:lineRule="auto"/>
              <w:jc w:val="center"/>
              <w:rPr>
                <w:rFonts w:ascii="Times New Roman" w:hAnsi="Times New Roman"/>
                <w:sz w:val="20"/>
                <w:szCs w:val="20"/>
              </w:rPr>
            </w:pPr>
            <w:r w:rsidRPr="00CD1BEF">
              <w:rPr>
                <w:rFonts w:ascii="Times New Roman" w:hAnsi="Times New Roman"/>
                <w:sz w:val="20"/>
                <w:szCs w:val="20"/>
              </w:rPr>
              <w:t>17</w:t>
            </w:r>
          </w:p>
        </w:tc>
        <w:tc>
          <w:tcPr>
            <w:tcW w:w="2268" w:type="dxa"/>
            <w:tcBorders>
              <w:top w:val="single" w:sz="4" w:space="0" w:color="auto"/>
              <w:left w:val="single" w:sz="4" w:space="0" w:color="auto"/>
              <w:bottom w:val="single" w:sz="4" w:space="0" w:color="auto"/>
              <w:right w:val="single" w:sz="4" w:space="0" w:color="auto"/>
            </w:tcBorders>
          </w:tcPr>
          <w:p w:rsidR="00C3266B" w:rsidRPr="00CD1BEF" w:rsidRDefault="00C3266B" w:rsidP="00C3266B">
            <w:pPr>
              <w:spacing w:before="40" w:after="40" w:line="240" w:lineRule="auto"/>
              <w:jc w:val="center"/>
              <w:rPr>
                <w:rFonts w:ascii="Times New Roman" w:hAnsi="Times New Roman"/>
                <w:sz w:val="20"/>
                <w:szCs w:val="20"/>
              </w:rPr>
            </w:pPr>
            <w:r w:rsidRPr="00CD1BEF">
              <w:rPr>
                <w:rFonts w:ascii="Times New Roman" w:hAnsi="Times New Roman"/>
                <w:sz w:val="20"/>
                <w:szCs w:val="20"/>
              </w:rPr>
              <w:t>21</w:t>
            </w:r>
          </w:p>
        </w:tc>
        <w:tc>
          <w:tcPr>
            <w:tcW w:w="2268" w:type="dxa"/>
            <w:tcBorders>
              <w:top w:val="single" w:sz="4" w:space="0" w:color="auto"/>
              <w:left w:val="single" w:sz="4" w:space="0" w:color="auto"/>
              <w:bottom w:val="single" w:sz="4" w:space="0" w:color="auto"/>
              <w:right w:val="single" w:sz="4" w:space="0" w:color="auto"/>
            </w:tcBorders>
          </w:tcPr>
          <w:p w:rsidR="00C3266B" w:rsidRPr="00CD1BEF" w:rsidRDefault="00C3266B" w:rsidP="00C3266B">
            <w:pPr>
              <w:spacing w:before="40" w:after="40" w:line="240" w:lineRule="auto"/>
              <w:jc w:val="center"/>
              <w:rPr>
                <w:rFonts w:ascii="Times New Roman" w:hAnsi="Times New Roman"/>
                <w:sz w:val="20"/>
                <w:szCs w:val="20"/>
              </w:rPr>
            </w:pPr>
            <w:r w:rsidRPr="00CD1BEF">
              <w:rPr>
                <w:rFonts w:ascii="Times New Roman" w:hAnsi="Times New Roman"/>
                <w:sz w:val="20"/>
                <w:szCs w:val="20"/>
              </w:rPr>
              <w:t>25</w:t>
            </w:r>
          </w:p>
        </w:tc>
      </w:tr>
      <w:tr w:rsidR="00C3266B" w:rsidRPr="00CD1BEF" w:rsidTr="00C3266B">
        <w:tc>
          <w:tcPr>
            <w:tcW w:w="889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3266B" w:rsidRPr="00CD1BEF" w:rsidRDefault="00C3266B" w:rsidP="00C3266B">
            <w:pPr>
              <w:spacing w:before="40" w:after="40" w:line="240" w:lineRule="auto"/>
              <w:rPr>
                <w:rFonts w:ascii="Times New Roman" w:hAnsi="Times New Roman"/>
                <w:b/>
                <w:sz w:val="20"/>
                <w:szCs w:val="20"/>
              </w:rPr>
            </w:pPr>
            <w:r w:rsidRPr="00CD1BEF">
              <w:rPr>
                <w:rFonts w:ascii="Times New Roman" w:hAnsi="Times New Roman"/>
                <w:b/>
                <w:sz w:val="20"/>
                <w:szCs w:val="20"/>
              </w:rPr>
              <w:t>Time to 5%</w:t>
            </w:r>
          </w:p>
        </w:tc>
      </w:tr>
      <w:tr w:rsidR="00C3266B" w:rsidRPr="00CD1BEF" w:rsidTr="006C0EFD">
        <w:trPr>
          <w:trHeight w:val="253"/>
        </w:trPr>
        <w:tc>
          <w:tcPr>
            <w:tcW w:w="2376" w:type="dxa"/>
            <w:tcBorders>
              <w:top w:val="single" w:sz="4" w:space="0" w:color="auto"/>
              <w:left w:val="single" w:sz="4" w:space="0" w:color="auto"/>
              <w:bottom w:val="single" w:sz="4" w:space="0" w:color="auto"/>
              <w:right w:val="single" w:sz="4" w:space="0" w:color="auto"/>
            </w:tcBorders>
            <w:hideMark/>
          </w:tcPr>
          <w:p w:rsidR="00C3266B" w:rsidRPr="00CD1BEF" w:rsidRDefault="00C3266B" w:rsidP="006C0EFD">
            <w:pPr>
              <w:spacing w:before="40" w:after="40" w:line="240" w:lineRule="auto"/>
              <w:rPr>
                <w:rFonts w:ascii="Times New Roman" w:hAnsi="Times New Roman"/>
                <w:sz w:val="20"/>
                <w:szCs w:val="20"/>
              </w:rPr>
            </w:pPr>
            <w:r w:rsidRPr="00CD1BEF">
              <w:rPr>
                <w:rFonts w:ascii="Times New Roman" w:hAnsi="Times New Roman"/>
                <w:sz w:val="20"/>
                <w:szCs w:val="20"/>
              </w:rPr>
              <w:t>25 IU/kg</w:t>
            </w:r>
          </w:p>
        </w:tc>
        <w:tc>
          <w:tcPr>
            <w:tcW w:w="1985" w:type="dxa"/>
            <w:tcBorders>
              <w:top w:val="single" w:sz="4" w:space="0" w:color="auto"/>
              <w:left w:val="single" w:sz="4" w:space="0" w:color="auto"/>
              <w:bottom w:val="single" w:sz="4" w:space="0" w:color="auto"/>
              <w:right w:val="single" w:sz="4" w:space="0" w:color="auto"/>
            </w:tcBorders>
          </w:tcPr>
          <w:p w:rsidR="00C3266B" w:rsidRPr="00CD1BEF" w:rsidRDefault="00C3266B" w:rsidP="006C0EFD">
            <w:pPr>
              <w:spacing w:before="40" w:after="40" w:line="240" w:lineRule="auto"/>
              <w:jc w:val="center"/>
              <w:rPr>
                <w:rFonts w:ascii="Times New Roman" w:hAnsi="Times New Roman"/>
                <w:sz w:val="20"/>
                <w:szCs w:val="20"/>
              </w:rPr>
            </w:pPr>
            <w:r w:rsidRPr="00CD1BEF">
              <w:rPr>
                <w:rFonts w:ascii="Times New Roman" w:hAnsi="Times New Roman"/>
                <w:sz w:val="20"/>
                <w:szCs w:val="20"/>
              </w:rPr>
              <w:t>4</w:t>
            </w:r>
          </w:p>
        </w:tc>
        <w:tc>
          <w:tcPr>
            <w:tcW w:w="2268" w:type="dxa"/>
            <w:tcBorders>
              <w:top w:val="single" w:sz="4" w:space="0" w:color="auto"/>
              <w:left w:val="single" w:sz="4" w:space="0" w:color="auto"/>
              <w:bottom w:val="single" w:sz="4" w:space="0" w:color="auto"/>
              <w:right w:val="single" w:sz="4" w:space="0" w:color="auto"/>
            </w:tcBorders>
          </w:tcPr>
          <w:p w:rsidR="00C3266B" w:rsidRPr="00CD1BEF" w:rsidRDefault="00C3266B" w:rsidP="006C0EFD">
            <w:pPr>
              <w:spacing w:before="40" w:after="40" w:line="240" w:lineRule="auto"/>
              <w:jc w:val="center"/>
              <w:rPr>
                <w:rFonts w:ascii="Times New Roman" w:hAnsi="Times New Roman"/>
                <w:sz w:val="20"/>
                <w:szCs w:val="20"/>
              </w:rPr>
            </w:pPr>
            <w:r w:rsidRPr="00CD1BEF">
              <w:rPr>
                <w:rFonts w:ascii="Times New Roman" w:hAnsi="Times New Roman"/>
                <w:sz w:val="20"/>
                <w:szCs w:val="20"/>
              </w:rPr>
              <w:t>5</w:t>
            </w:r>
          </w:p>
        </w:tc>
        <w:tc>
          <w:tcPr>
            <w:tcW w:w="2268" w:type="dxa"/>
            <w:tcBorders>
              <w:top w:val="single" w:sz="4" w:space="0" w:color="auto"/>
              <w:left w:val="single" w:sz="4" w:space="0" w:color="auto"/>
              <w:bottom w:val="single" w:sz="4" w:space="0" w:color="auto"/>
              <w:right w:val="single" w:sz="4" w:space="0" w:color="auto"/>
            </w:tcBorders>
          </w:tcPr>
          <w:p w:rsidR="00C3266B" w:rsidRPr="00CD1BEF" w:rsidRDefault="00C3266B" w:rsidP="006C0EFD">
            <w:pPr>
              <w:spacing w:before="40" w:after="40" w:line="240" w:lineRule="auto"/>
              <w:jc w:val="center"/>
              <w:rPr>
                <w:rFonts w:ascii="Times New Roman" w:hAnsi="Times New Roman"/>
                <w:sz w:val="20"/>
                <w:szCs w:val="20"/>
              </w:rPr>
            </w:pPr>
            <w:r w:rsidRPr="00CD1BEF">
              <w:rPr>
                <w:rFonts w:ascii="Times New Roman" w:hAnsi="Times New Roman"/>
                <w:sz w:val="20"/>
                <w:szCs w:val="20"/>
              </w:rPr>
              <w:t>6</w:t>
            </w:r>
          </w:p>
        </w:tc>
      </w:tr>
      <w:tr w:rsidR="00C3266B" w:rsidRPr="00CD1BEF" w:rsidTr="006C0EFD">
        <w:trPr>
          <w:trHeight w:val="280"/>
        </w:trPr>
        <w:tc>
          <w:tcPr>
            <w:tcW w:w="2376" w:type="dxa"/>
            <w:tcBorders>
              <w:top w:val="single" w:sz="4" w:space="0" w:color="auto"/>
              <w:left w:val="single" w:sz="4" w:space="0" w:color="auto"/>
              <w:bottom w:val="single" w:sz="4" w:space="0" w:color="auto"/>
              <w:right w:val="single" w:sz="4" w:space="0" w:color="auto"/>
            </w:tcBorders>
          </w:tcPr>
          <w:p w:rsidR="00C3266B" w:rsidRPr="00CD1BEF" w:rsidRDefault="001718EE" w:rsidP="00C3266B">
            <w:pPr>
              <w:spacing w:before="40" w:after="40" w:line="240" w:lineRule="auto"/>
              <w:rPr>
                <w:rFonts w:ascii="Times New Roman" w:hAnsi="Times New Roman"/>
                <w:sz w:val="20"/>
                <w:szCs w:val="20"/>
              </w:rPr>
            </w:pPr>
            <w:r w:rsidRPr="00CD1BEF">
              <w:rPr>
                <w:rFonts w:ascii="Times New Roman" w:hAnsi="Times New Roman"/>
                <w:sz w:val="20"/>
                <w:szCs w:val="20"/>
              </w:rPr>
              <w:t>50 IU/kg</w:t>
            </w:r>
          </w:p>
        </w:tc>
        <w:tc>
          <w:tcPr>
            <w:tcW w:w="1985" w:type="dxa"/>
            <w:tcBorders>
              <w:top w:val="single" w:sz="4" w:space="0" w:color="auto"/>
              <w:left w:val="single" w:sz="4" w:space="0" w:color="auto"/>
              <w:bottom w:val="single" w:sz="4" w:space="0" w:color="auto"/>
              <w:right w:val="single" w:sz="4" w:space="0" w:color="auto"/>
            </w:tcBorders>
          </w:tcPr>
          <w:p w:rsidR="00C3266B" w:rsidRPr="00CD1BEF" w:rsidRDefault="001718EE" w:rsidP="001718EE">
            <w:pPr>
              <w:spacing w:before="40" w:after="40" w:line="240" w:lineRule="auto"/>
              <w:jc w:val="center"/>
              <w:rPr>
                <w:rFonts w:ascii="Times New Roman" w:hAnsi="Times New Roman"/>
                <w:sz w:val="20"/>
                <w:szCs w:val="20"/>
              </w:rPr>
            </w:pPr>
            <w:r w:rsidRPr="00CD1BEF">
              <w:rPr>
                <w:rFonts w:ascii="Times New Roman" w:hAnsi="Times New Roman"/>
                <w:sz w:val="20"/>
                <w:szCs w:val="20"/>
              </w:rPr>
              <w:t>7</w:t>
            </w:r>
          </w:p>
        </w:tc>
        <w:tc>
          <w:tcPr>
            <w:tcW w:w="2268" w:type="dxa"/>
            <w:tcBorders>
              <w:top w:val="single" w:sz="4" w:space="0" w:color="auto"/>
              <w:left w:val="single" w:sz="4" w:space="0" w:color="auto"/>
              <w:bottom w:val="single" w:sz="4" w:space="0" w:color="auto"/>
              <w:right w:val="single" w:sz="4" w:space="0" w:color="auto"/>
            </w:tcBorders>
          </w:tcPr>
          <w:p w:rsidR="00C3266B" w:rsidRPr="00CD1BEF" w:rsidRDefault="001718EE" w:rsidP="001718EE">
            <w:pPr>
              <w:spacing w:before="40" w:after="40" w:line="240" w:lineRule="auto"/>
              <w:jc w:val="center"/>
              <w:rPr>
                <w:rFonts w:ascii="Times New Roman" w:hAnsi="Times New Roman"/>
                <w:sz w:val="20"/>
                <w:szCs w:val="20"/>
              </w:rPr>
            </w:pPr>
            <w:r w:rsidRPr="00CD1BEF">
              <w:rPr>
                <w:rFonts w:ascii="Times New Roman" w:hAnsi="Times New Roman"/>
                <w:sz w:val="20"/>
                <w:szCs w:val="20"/>
              </w:rPr>
              <w:t>9</w:t>
            </w:r>
          </w:p>
        </w:tc>
        <w:tc>
          <w:tcPr>
            <w:tcW w:w="2268" w:type="dxa"/>
            <w:tcBorders>
              <w:top w:val="single" w:sz="4" w:space="0" w:color="auto"/>
              <w:left w:val="single" w:sz="4" w:space="0" w:color="auto"/>
              <w:bottom w:val="single" w:sz="4" w:space="0" w:color="auto"/>
              <w:right w:val="single" w:sz="4" w:space="0" w:color="auto"/>
            </w:tcBorders>
          </w:tcPr>
          <w:p w:rsidR="00C3266B" w:rsidRPr="00CD1BEF" w:rsidRDefault="001718EE" w:rsidP="001718EE">
            <w:pPr>
              <w:spacing w:before="40" w:after="40" w:line="240" w:lineRule="auto"/>
              <w:jc w:val="center"/>
              <w:rPr>
                <w:rFonts w:ascii="Times New Roman" w:hAnsi="Times New Roman"/>
                <w:sz w:val="20"/>
                <w:szCs w:val="20"/>
              </w:rPr>
            </w:pPr>
            <w:r w:rsidRPr="00CD1BEF">
              <w:rPr>
                <w:rFonts w:ascii="Times New Roman" w:hAnsi="Times New Roman"/>
                <w:sz w:val="20"/>
                <w:szCs w:val="20"/>
              </w:rPr>
              <w:t>11</w:t>
            </w:r>
          </w:p>
        </w:tc>
      </w:tr>
      <w:tr w:rsidR="00C3266B" w:rsidRPr="00CD1BEF" w:rsidTr="006C0EFD">
        <w:trPr>
          <w:trHeight w:val="191"/>
        </w:trPr>
        <w:tc>
          <w:tcPr>
            <w:tcW w:w="2376" w:type="dxa"/>
            <w:tcBorders>
              <w:top w:val="single" w:sz="4" w:space="0" w:color="auto"/>
              <w:left w:val="single" w:sz="4" w:space="0" w:color="auto"/>
              <w:bottom w:val="single" w:sz="4" w:space="0" w:color="auto"/>
              <w:right w:val="single" w:sz="4" w:space="0" w:color="auto"/>
            </w:tcBorders>
          </w:tcPr>
          <w:p w:rsidR="00C3266B" w:rsidRPr="00CD1BEF" w:rsidRDefault="001718EE" w:rsidP="00C3266B">
            <w:pPr>
              <w:spacing w:before="40" w:after="40" w:line="240" w:lineRule="auto"/>
              <w:rPr>
                <w:rFonts w:ascii="Times New Roman" w:hAnsi="Times New Roman"/>
                <w:sz w:val="20"/>
                <w:szCs w:val="20"/>
              </w:rPr>
            </w:pPr>
            <w:r w:rsidRPr="00CD1BEF">
              <w:rPr>
                <w:rFonts w:ascii="Times New Roman" w:hAnsi="Times New Roman"/>
                <w:sz w:val="20"/>
                <w:szCs w:val="20"/>
              </w:rPr>
              <w:t>75 IU/kg</w:t>
            </w:r>
          </w:p>
        </w:tc>
        <w:tc>
          <w:tcPr>
            <w:tcW w:w="1985" w:type="dxa"/>
            <w:tcBorders>
              <w:top w:val="single" w:sz="4" w:space="0" w:color="auto"/>
              <w:left w:val="single" w:sz="4" w:space="0" w:color="auto"/>
              <w:bottom w:val="single" w:sz="4" w:space="0" w:color="auto"/>
              <w:right w:val="single" w:sz="4" w:space="0" w:color="auto"/>
            </w:tcBorders>
          </w:tcPr>
          <w:p w:rsidR="00C3266B" w:rsidRPr="00CD1BEF" w:rsidRDefault="001718EE" w:rsidP="001718EE">
            <w:pPr>
              <w:spacing w:before="40" w:after="40" w:line="240" w:lineRule="auto"/>
              <w:jc w:val="center"/>
              <w:rPr>
                <w:rFonts w:ascii="Times New Roman" w:hAnsi="Times New Roman"/>
                <w:sz w:val="20"/>
                <w:szCs w:val="20"/>
              </w:rPr>
            </w:pPr>
            <w:r w:rsidRPr="00CD1BEF">
              <w:rPr>
                <w:rFonts w:ascii="Times New Roman" w:hAnsi="Times New Roman"/>
                <w:sz w:val="20"/>
                <w:szCs w:val="20"/>
              </w:rPr>
              <w:t>9</w:t>
            </w:r>
          </w:p>
        </w:tc>
        <w:tc>
          <w:tcPr>
            <w:tcW w:w="2268" w:type="dxa"/>
            <w:tcBorders>
              <w:top w:val="single" w:sz="4" w:space="0" w:color="auto"/>
              <w:left w:val="single" w:sz="4" w:space="0" w:color="auto"/>
              <w:bottom w:val="single" w:sz="4" w:space="0" w:color="auto"/>
              <w:right w:val="single" w:sz="4" w:space="0" w:color="auto"/>
            </w:tcBorders>
          </w:tcPr>
          <w:p w:rsidR="00C3266B" w:rsidRPr="00CD1BEF" w:rsidRDefault="001718EE" w:rsidP="001718EE">
            <w:pPr>
              <w:spacing w:before="40" w:after="40" w:line="240" w:lineRule="auto"/>
              <w:jc w:val="center"/>
              <w:rPr>
                <w:rFonts w:ascii="Times New Roman" w:hAnsi="Times New Roman"/>
                <w:sz w:val="20"/>
                <w:szCs w:val="20"/>
              </w:rPr>
            </w:pPr>
            <w:r w:rsidRPr="00CD1BEF">
              <w:rPr>
                <w:rFonts w:ascii="Times New Roman" w:hAnsi="Times New Roman"/>
                <w:sz w:val="20"/>
                <w:szCs w:val="20"/>
              </w:rPr>
              <w:t>12</w:t>
            </w:r>
          </w:p>
        </w:tc>
        <w:tc>
          <w:tcPr>
            <w:tcW w:w="2268" w:type="dxa"/>
            <w:tcBorders>
              <w:top w:val="single" w:sz="4" w:space="0" w:color="auto"/>
              <w:left w:val="single" w:sz="4" w:space="0" w:color="auto"/>
              <w:bottom w:val="single" w:sz="4" w:space="0" w:color="auto"/>
              <w:right w:val="single" w:sz="4" w:space="0" w:color="auto"/>
            </w:tcBorders>
          </w:tcPr>
          <w:p w:rsidR="00C3266B" w:rsidRPr="00CD1BEF" w:rsidRDefault="001718EE" w:rsidP="001718EE">
            <w:pPr>
              <w:spacing w:before="40" w:after="40" w:line="240" w:lineRule="auto"/>
              <w:jc w:val="center"/>
              <w:rPr>
                <w:rFonts w:ascii="Times New Roman" w:hAnsi="Times New Roman"/>
                <w:sz w:val="20"/>
                <w:szCs w:val="20"/>
              </w:rPr>
            </w:pPr>
            <w:r w:rsidRPr="00CD1BEF">
              <w:rPr>
                <w:rFonts w:ascii="Times New Roman" w:hAnsi="Times New Roman"/>
                <w:sz w:val="20"/>
                <w:szCs w:val="20"/>
              </w:rPr>
              <w:t>14</w:t>
            </w:r>
          </w:p>
        </w:tc>
      </w:tr>
    </w:tbl>
    <w:p w:rsidR="00137C30" w:rsidRPr="00B1677F" w:rsidRDefault="00137C30" w:rsidP="00F87F83">
      <w:pPr>
        <w:pStyle w:val="Heading2"/>
        <w:numPr>
          <w:ilvl w:val="0"/>
          <w:numId w:val="0"/>
        </w:numPr>
        <w:spacing w:before="240"/>
        <w:ind w:left="1899" w:hanging="1899"/>
      </w:pPr>
      <w:r w:rsidRPr="00B1677F">
        <w:t>CLINICAL TRIALS</w:t>
      </w:r>
    </w:p>
    <w:p w:rsidR="00F35B3E" w:rsidRPr="00BF22EC" w:rsidRDefault="007A5B90" w:rsidP="00F35B3E">
      <w:pPr>
        <w:autoSpaceDE w:val="0"/>
        <w:autoSpaceDN w:val="0"/>
        <w:adjustRightInd w:val="0"/>
        <w:rPr>
          <w:rFonts w:eastAsia="TimesNewRoman"/>
          <w:color w:val="000000"/>
        </w:rPr>
      </w:pPr>
      <w:r w:rsidRPr="00BF22EC">
        <w:rPr>
          <w:rFonts w:eastAsia="TimesNewRoman"/>
          <w:color w:val="000000"/>
        </w:rPr>
        <w:t xml:space="preserve">The safety, efficacy and PK of </w:t>
      </w:r>
      <w:r w:rsidR="009D6286">
        <w:t>IDELVION</w:t>
      </w:r>
      <w:r w:rsidRPr="00BF22EC">
        <w:rPr>
          <w:vertAlign w:val="superscript"/>
        </w:rPr>
        <w:t>®</w:t>
      </w:r>
      <w:r w:rsidRPr="00BF22EC">
        <w:t xml:space="preserve"> </w:t>
      </w:r>
      <w:r w:rsidR="00F35B3E" w:rsidRPr="00BF22EC">
        <w:t xml:space="preserve">were evaluated in </w:t>
      </w:r>
      <w:r w:rsidR="00F35B3E" w:rsidRPr="00BF22EC">
        <w:rPr>
          <w:rFonts w:eastAsia="TimesNewRoman"/>
          <w:color w:val="000000"/>
        </w:rPr>
        <w:t>prospective, open-label and multi</w:t>
      </w:r>
      <w:r w:rsidR="005F7EED">
        <w:rPr>
          <w:rFonts w:eastAsia="TimesNewRoman"/>
          <w:color w:val="000000"/>
        </w:rPr>
        <w:t>-</w:t>
      </w:r>
      <w:r w:rsidR="00F35B3E" w:rsidRPr="00BF22EC">
        <w:rPr>
          <w:rFonts w:eastAsia="TimesNewRoman"/>
          <w:color w:val="000000"/>
        </w:rPr>
        <w:t xml:space="preserve">centre </w:t>
      </w:r>
      <w:r w:rsidRPr="00BF22EC">
        <w:rPr>
          <w:rFonts w:eastAsia="TimesNewRoman"/>
          <w:color w:val="000000"/>
        </w:rPr>
        <w:t>clinical studies.</w:t>
      </w:r>
      <w:r w:rsidR="00F35B3E" w:rsidRPr="00BF22EC">
        <w:rPr>
          <w:rFonts w:eastAsia="TimesNewRoman"/>
          <w:color w:val="000000"/>
        </w:rPr>
        <w:t xml:space="preserve"> The relationship of the PK profile to the clinical response; namely the prevention of bleeding episodes with once weekly routine prophylaxis was </w:t>
      </w:r>
      <w:r w:rsidR="00F35B3E" w:rsidRPr="00BF22EC">
        <w:rPr>
          <w:rFonts w:eastAsia="TimesNewRoman"/>
          <w:color w:val="000000"/>
        </w:rPr>
        <w:lastRenderedPageBreak/>
        <w:t xml:space="preserve">explored in a phase </w:t>
      </w:r>
      <w:r w:rsidR="00DE4090">
        <w:rPr>
          <w:rFonts w:eastAsia="TimesNewRoman"/>
          <w:color w:val="000000"/>
        </w:rPr>
        <w:t>I/II</w:t>
      </w:r>
      <w:r w:rsidR="00DA60C8" w:rsidRPr="00A00251">
        <w:t> </w:t>
      </w:r>
      <w:r w:rsidR="00F35B3E" w:rsidRPr="00BF22EC">
        <w:rPr>
          <w:rFonts w:eastAsia="TimesNewRoman"/>
          <w:color w:val="000000"/>
        </w:rPr>
        <w:t>study (Study</w:t>
      </w:r>
      <w:r w:rsidR="00DA60C8" w:rsidRPr="00A00251">
        <w:t> </w:t>
      </w:r>
      <w:r w:rsidR="00F35B3E" w:rsidRPr="00BF22EC">
        <w:rPr>
          <w:rFonts w:eastAsia="TimesNewRoman"/>
          <w:color w:val="000000"/>
        </w:rPr>
        <w:t xml:space="preserve">2004). The efficacy of </w:t>
      </w:r>
      <w:r w:rsidR="009D6286">
        <w:t>IDELVION</w:t>
      </w:r>
      <w:r w:rsidR="00F35B3E" w:rsidRPr="00BF22EC">
        <w:rPr>
          <w:vertAlign w:val="superscript"/>
        </w:rPr>
        <w:t>®</w:t>
      </w:r>
      <w:r w:rsidR="00F35B3E" w:rsidRPr="00BF22EC">
        <w:t xml:space="preserve"> </w:t>
      </w:r>
      <w:r w:rsidR="00861002">
        <w:rPr>
          <w:sz w:val="23"/>
          <w:szCs w:val="23"/>
        </w:rPr>
        <w:t xml:space="preserve">that compared episodic (on </w:t>
      </w:r>
      <w:r w:rsidR="009D6286" w:rsidRPr="005577DA">
        <w:rPr>
          <w:sz w:val="23"/>
          <w:szCs w:val="23"/>
        </w:rPr>
        <w:t>demand) treatment to weekly routine prophylaxis; compared weekly routine prophylaxis to every 10 or 14 day routine prophylaxis; h</w:t>
      </w:r>
      <w:r w:rsidR="00EF28C4">
        <w:rPr>
          <w:sz w:val="23"/>
          <w:szCs w:val="23"/>
        </w:rPr>
        <w:t>a</w:t>
      </w:r>
      <w:r w:rsidR="009D6286" w:rsidRPr="005577DA">
        <w:rPr>
          <w:sz w:val="23"/>
          <w:szCs w:val="23"/>
        </w:rPr>
        <w:t>emostatic efficacy in the treatment of bleeding episodes</w:t>
      </w:r>
      <w:r w:rsidR="00F35B3E" w:rsidRPr="00BF22EC">
        <w:rPr>
          <w:rFonts w:eastAsia="TimesNewRoman"/>
          <w:color w:val="000000"/>
        </w:rPr>
        <w:t xml:space="preserve"> and </w:t>
      </w:r>
      <w:r w:rsidR="009D6286">
        <w:rPr>
          <w:rFonts w:eastAsia="TimesNewRoman"/>
          <w:color w:val="000000"/>
        </w:rPr>
        <w:t xml:space="preserve">in the </w:t>
      </w:r>
      <w:r w:rsidR="00F35B3E" w:rsidRPr="00BF22EC">
        <w:rPr>
          <w:rFonts w:eastAsia="TimesNewRoman"/>
          <w:color w:val="000000"/>
        </w:rPr>
        <w:t xml:space="preserve">perioperative </w:t>
      </w:r>
      <w:r w:rsidR="009D6286">
        <w:rPr>
          <w:rFonts w:eastAsia="TimesNewRoman"/>
          <w:color w:val="000000"/>
        </w:rPr>
        <w:t>se</w:t>
      </w:r>
      <w:r w:rsidR="001256B2">
        <w:rPr>
          <w:rFonts w:eastAsia="TimesNewRoman"/>
          <w:color w:val="000000"/>
        </w:rPr>
        <w:t>t</w:t>
      </w:r>
      <w:r w:rsidR="009D6286">
        <w:rPr>
          <w:rFonts w:eastAsia="TimesNewRoman"/>
          <w:color w:val="000000"/>
        </w:rPr>
        <w:t>ting</w:t>
      </w:r>
      <w:r w:rsidR="00F35B3E" w:rsidRPr="00BF22EC">
        <w:t xml:space="preserve"> was </w:t>
      </w:r>
      <w:r w:rsidR="00F35B3E" w:rsidRPr="00BF22EC">
        <w:rPr>
          <w:rFonts w:eastAsia="TimesNewRoman"/>
          <w:color w:val="000000"/>
        </w:rPr>
        <w:t xml:space="preserve">evaluated in a pivotal phase </w:t>
      </w:r>
      <w:r w:rsidR="006F0DD4">
        <w:rPr>
          <w:rFonts w:eastAsia="TimesNewRoman"/>
          <w:color w:val="000000"/>
        </w:rPr>
        <w:t>II/III</w:t>
      </w:r>
      <w:r w:rsidR="00F35B3E" w:rsidRPr="00BF22EC">
        <w:rPr>
          <w:rFonts w:eastAsia="TimesNewRoman"/>
          <w:color w:val="000000"/>
        </w:rPr>
        <w:t xml:space="preserve"> study (Study</w:t>
      </w:r>
      <w:r w:rsidR="00DA60C8" w:rsidRPr="00A00251">
        <w:t> </w:t>
      </w:r>
      <w:r w:rsidR="00F35B3E" w:rsidRPr="00BF22EC">
        <w:rPr>
          <w:rFonts w:eastAsia="TimesNewRoman"/>
          <w:color w:val="000000"/>
        </w:rPr>
        <w:t>3001). A study in the p</w:t>
      </w:r>
      <w:r w:rsidR="00F639B8">
        <w:rPr>
          <w:rFonts w:eastAsia="TimesNewRoman"/>
          <w:color w:val="000000"/>
        </w:rPr>
        <w:t>a</w:t>
      </w:r>
      <w:r w:rsidR="00F35B3E" w:rsidRPr="00BF22EC">
        <w:rPr>
          <w:rFonts w:eastAsia="TimesNewRoman"/>
          <w:color w:val="000000"/>
        </w:rPr>
        <w:t>ediatric population (Study</w:t>
      </w:r>
      <w:r w:rsidR="00DA60C8" w:rsidRPr="00A00251">
        <w:t> </w:t>
      </w:r>
      <w:r w:rsidR="00F35B3E" w:rsidRPr="00BF22EC">
        <w:rPr>
          <w:rFonts w:eastAsia="TimesNewRoman"/>
          <w:color w:val="000000"/>
        </w:rPr>
        <w:t>3002) also characteri</w:t>
      </w:r>
      <w:r w:rsidR="007E4F53">
        <w:rPr>
          <w:rFonts w:eastAsia="TimesNewRoman"/>
          <w:color w:val="000000"/>
        </w:rPr>
        <w:t>s</w:t>
      </w:r>
      <w:r w:rsidR="00F35B3E" w:rsidRPr="00BF22EC">
        <w:rPr>
          <w:rFonts w:eastAsia="TimesNewRoman"/>
          <w:color w:val="000000"/>
        </w:rPr>
        <w:t xml:space="preserve">ed the safety, PK, and efficacy of </w:t>
      </w:r>
      <w:r w:rsidR="009D6286">
        <w:t>IDELVION</w:t>
      </w:r>
      <w:r w:rsidR="00F35B3E" w:rsidRPr="00BF22EC">
        <w:rPr>
          <w:vertAlign w:val="superscript"/>
        </w:rPr>
        <w:t>®</w:t>
      </w:r>
      <w:r w:rsidR="00F35B3E" w:rsidRPr="00BF22EC">
        <w:t xml:space="preserve"> </w:t>
      </w:r>
      <w:r w:rsidR="00F35B3E" w:rsidRPr="00BF22EC">
        <w:rPr>
          <w:rFonts w:eastAsia="TimesNewRoman"/>
          <w:color w:val="000000"/>
        </w:rPr>
        <w:t>when used as routine prophylaxis (7</w:t>
      </w:r>
      <w:r w:rsidR="00550A4D">
        <w:rPr>
          <w:rFonts w:eastAsia="TimesNewRoman"/>
          <w:color w:val="000000"/>
        </w:rPr>
        <w:t> </w:t>
      </w:r>
      <w:r w:rsidR="00F35B3E" w:rsidRPr="00BF22EC">
        <w:rPr>
          <w:rFonts w:eastAsia="TimesNewRoman"/>
          <w:color w:val="000000"/>
        </w:rPr>
        <w:t xml:space="preserve">day </w:t>
      </w:r>
      <w:r w:rsidR="008C302C">
        <w:rPr>
          <w:rFonts w:eastAsia="TimesNewRoman"/>
          <w:color w:val="000000"/>
        </w:rPr>
        <w:t>dosing</w:t>
      </w:r>
      <w:r w:rsidR="00F35B3E" w:rsidRPr="00BF22EC">
        <w:rPr>
          <w:rFonts w:eastAsia="TimesNewRoman"/>
          <w:color w:val="000000"/>
        </w:rPr>
        <w:t xml:space="preserve"> regimen) for the prevention of bleeding episodes and in the </w:t>
      </w:r>
      <w:r w:rsidR="00FB436F">
        <w:rPr>
          <w:rFonts w:eastAsia="TimesNewRoman"/>
          <w:color w:val="000000"/>
        </w:rPr>
        <w:t>treatment of bleeding episodes.</w:t>
      </w:r>
    </w:p>
    <w:p w:rsidR="007A5B90" w:rsidRPr="00BF22EC" w:rsidRDefault="00F35B3E" w:rsidP="007A5B90">
      <w:pPr>
        <w:autoSpaceDE w:val="0"/>
        <w:autoSpaceDN w:val="0"/>
        <w:adjustRightInd w:val="0"/>
        <w:rPr>
          <w:rFonts w:eastAsia="TimesNewRoman"/>
          <w:color w:val="000000"/>
        </w:rPr>
      </w:pPr>
      <w:r w:rsidRPr="00BF22EC">
        <w:rPr>
          <w:rFonts w:eastAsia="TimesNewRoman"/>
          <w:color w:val="000000"/>
        </w:rPr>
        <w:t xml:space="preserve">The </w:t>
      </w:r>
      <w:r w:rsidR="0088641F" w:rsidRPr="00BF22EC">
        <w:rPr>
          <w:rFonts w:eastAsia="TimesNewRoman"/>
          <w:color w:val="000000"/>
        </w:rPr>
        <w:t xml:space="preserve">subjects </w:t>
      </w:r>
      <w:r w:rsidR="007A5B90" w:rsidRPr="00BF22EC">
        <w:rPr>
          <w:rFonts w:eastAsia="TimesNewRoman"/>
          <w:color w:val="000000"/>
        </w:rPr>
        <w:t>enrolled had previously been treated with FIX replacement products (i.e. rFIX or pdFIX), had no confirmed history of FIX inhibitor formation, and were immunocompetent</w:t>
      </w:r>
      <w:r w:rsidR="007A5B90" w:rsidRPr="001D4821">
        <w:rPr>
          <w:rFonts w:eastAsia="TimesNewRoman"/>
          <w:color w:val="000000"/>
        </w:rPr>
        <w:t xml:space="preserve">. </w:t>
      </w:r>
      <w:r w:rsidR="0088641F" w:rsidRPr="001D4821">
        <w:rPr>
          <w:rFonts w:eastAsia="TimesNewRoman"/>
          <w:color w:val="000000"/>
        </w:rPr>
        <w:t>All</w:t>
      </w:r>
      <w:r w:rsidR="00890042" w:rsidRPr="001D4821">
        <w:rPr>
          <w:rFonts w:eastAsia="TimesNewRoman"/>
          <w:color w:val="000000"/>
        </w:rPr>
        <w:t xml:space="preserve"> s</w:t>
      </w:r>
      <w:r w:rsidR="007A5B90" w:rsidRPr="001D4821">
        <w:rPr>
          <w:rFonts w:eastAsia="TimesNewRoman"/>
          <w:color w:val="000000"/>
        </w:rPr>
        <w:t>ubjects</w:t>
      </w:r>
      <w:r w:rsidR="007A5B90" w:rsidRPr="00BF22EC">
        <w:rPr>
          <w:rFonts w:eastAsia="TimesNewRoman"/>
          <w:color w:val="000000"/>
        </w:rPr>
        <w:t xml:space="preserve"> in studies 2004 and 3001, were between the ages of 12 and 61</w:t>
      </w:r>
      <w:r w:rsidR="00825D55">
        <w:t> </w:t>
      </w:r>
      <w:r w:rsidR="007A5B90" w:rsidRPr="00BF22EC">
        <w:rPr>
          <w:rFonts w:eastAsia="TimesNewRoman"/>
          <w:color w:val="000000"/>
        </w:rPr>
        <w:t>years</w:t>
      </w:r>
      <w:r w:rsidR="006F0DD4">
        <w:rPr>
          <w:rFonts w:eastAsia="TimesNewRoman"/>
          <w:color w:val="000000"/>
        </w:rPr>
        <w:t xml:space="preserve"> and</w:t>
      </w:r>
      <w:r w:rsidR="007A5B90" w:rsidRPr="00BF22EC">
        <w:rPr>
          <w:rFonts w:eastAsia="TimesNewRoman"/>
          <w:color w:val="000000"/>
        </w:rPr>
        <w:t xml:space="preserve"> were required to have &gt;150</w:t>
      </w:r>
      <w:r w:rsidR="009430B3">
        <w:rPr>
          <w:rFonts w:eastAsia="TimesNewRoman"/>
          <w:color w:val="000000"/>
        </w:rPr>
        <w:t xml:space="preserve"> exposure days</w:t>
      </w:r>
      <w:r w:rsidR="00825D55">
        <w:t> </w:t>
      </w:r>
      <w:r w:rsidR="009430B3">
        <w:t>(</w:t>
      </w:r>
      <w:r w:rsidR="007A5B90" w:rsidRPr="00BF22EC">
        <w:rPr>
          <w:rFonts w:eastAsia="TimesNewRoman"/>
          <w:color w:val="000000"/>
        </w:rPr>
        <w:t>EDs</w:t>
      </w:r>
      <w:r w:rsidR="009430B3">
        <w:rPr>
          <w:rFonts w:eastAsia="TimesNewRoman"/>
          <w:color w:val="000000"/>
        </w:rPr>
        <w:t>)</w:t>
      </w:r>
      <w:r w:rsidR="007A5B90" w:rsidRPr="00BF22EC">
        <w:rPr>
          <w:rFonts w:eastAsia="TimesNewRoman"/>
          <w:color w:val="000000"/>
        </w:rPr>
        <w:t xml:space="preserve"> of previous FIX treatment</w:t>
      </w:r>
      <w:r w:rsidR="006F0DD4">
        <w:rPr>
          <w:rFonts w:eastAsia="TimesNewRoman"/>
          <w:color w:val="000000"/>
        </w:rPr>
        <w:t>.</w:t>
      </w:r>
      <w:r w:rsidR="007A5B90" w:rsidRPr="00BF22EC">
        <w:rPr>
          <w:rFonts w:eastAsia="TimesNewRoman"/>
          <w:color w:val="000000"/>
        </w:rPr>
        <w:t xml:space="preserve"> </w:t>
      </w:r>
      <w:r w:rsidR="006F0DD4">
        <w:rPr>
          <w:rFonts w:eastAsia="TimesNewRoman"/>
          <w:color w:val="000000"/>
        </w:rPr>
        <w:t>In</w:t>
      </w:r>
      <w:r w:rsidR="007A5B90" w:rsidRPr="00BF22EC">
        <w:rPr>
          <w:rFonts w:eastAsia="TimesNewRoman"/>
          <w:color w:val="000000"/>
        </w:rPr>
        <w:t xml:space="preserve"> Study</w:t>
      </w:r>
      <w:r w:rsidR="00DA60C8" w:rsidRPr="00A00251">
        <w:t> </w:t>
      </w:r>
      <w:r w:rsidR="007A5B90" w:rsidRPr="00BF22EC">
        <w:rPr>
          <w:rFonts w:eastAsia="TimesNewRoman"/>
          <w:color w:val="000000"/>
        </w:rPr>
        <w:t>3002</w:t>
      </w:r>
      <w:r w:rsidR="00BA4F9E">
        <w:rPr>
          <w:rFonts w:eastAsia="TimesNewRoman"/>
          <w:color w:val="000000"/>
        </w:rPr>
        <w:t xml:space="preserve"> </w:t>
      </w:r>
      <w:r w:rsidR="0088641F">
        <w:rPr>
          <w:rFonts w:eastAsia="TimesNewRoman"/>
          <w:color w:val="000000"/>
        </w:rPr>
        <w:t>all</w:t>
      </w:r>
      <w:r w:rsidR="00890042" w:rsidRPr="00BF22EC">
        <w:rPr>
          <w:rFonts w:eastAsia="TimesNewRoman"/>
          <w:color w:val="000000"/>
        </w:rPr>
        <w:t xml:space="preserve"> </w:t>
      </w:r>
      <w:r w:rsidR="007A5B90" w:rsidRPr="00BF22EC">
        <w:rPr>
          <w:rFonts w:eastAsia="TimesNewRoman"/>
          <w:color w:val="000000"/>
        </w:rPr>
        <w:t>subjects were between 1 and 10</w:t>
      </w:r>
      <w:r w:rsidR="00825D55">
        <w:t> </w:t>
      </w:r>
      <w:r w:rsidR="007A5B90" w:rsidRPr="00BF22EC">
        <w:rPr>
          <w:rFonts w:eastAsia="TimesNewRoman"/>
          <w:color w:val="000000"/>
        </w:rPr>
        <w:t>years (those aged &lt;6</w:t>
      </w:r>
      <w:r w:rsidR="00825D55">
        <w:t> </w:t>
      </w:r>
      <w:r w:rsidR="007A5B90" w:rsidRPr="00BF22EC">
        <w:rPr>
          <w:rFonts w:eastAsia="TimesNewRoman"/>
          <w:color w:val="000000"/>
        </w:rPr>
        <w:t>years were required to have &gt;50</w:t>
      </w:r>
      <w:r w:rsidR="00825D55">
        <w:t> </w:t>
      </w:r>
      <w:r w:rsidR="007A5B90" w:rsidRPr="00BF22EC">
        <w:rPr>
          <w:rFonts w:eastAsia="TimesNewRoman"/>
          <w:color w:val="000000"/>
        </w:rPr>
        <w:t>EDs).</w:t>
      </w:r>
    </w:p>
    <w:p w:rsidR="00FD20F8" w:rsidRPr="00010047" w:rsidRDefault="00FD20F8" w:rsidP="00010047">
      <w:pPr>
        <w:pStyle w:val="Heading3"/>
        <w:numPr>
          <w:ilvl w:val="0"/>
          <w:numId w:val="0"/>
        </w:numPr>
        <w:ind w:left="2138" w:hanging="2138"/>
      </w:pPr>
      <w:r w:rsidRPr="00010047">
        <w:t xml:space="preserve">Routine </w:t>
      </w:r>
      <w:r w:rsidR="006576CA" w:rsidRPr="00010047">
        <w:t>p</w:t>
      </w:r>
      <w:r w:rsidRPr="00010047">
        <w:t>rophylaxis</w:t>
      </w:r>
    </w:p>
    <w:p w:rsidR="00FD20F8" w:rsidRPr="004407E9" w:rsidRDefault="00FD20F8" w:rsidP="00FD20F8">
      <w:pPr>
        <w:autoSpaceDE w:val="0"/>
        <w:autoSpaceDN w:val="0"/>
        <w:adjustRightInd w:val="0"/>
        <w:rPr>
          <w:rFonts w:eastAsia="TimesNewRoman"/>
          <w:color w:val="000000"/>
        </w:rPr>
      </w:pPr>
      <w:r w:rsidRPr="004407E9">
        <w:rPr>
          <w:rFonts w:eastAsia="TimesNewRoman"/>
          <w:color w:val="000000"/>
        </w:rPr>
        <w:t>In studies 2004, 3001 and 3002, the occurrence of bleeding episodes was recorded over the</w:t>
      </w:r>
      <w:r>
        <w:rPr>
          <w:rFonts w:eastAsia="TimesNewRoman"/>
          <w:color w:val="000000"/>
        </w:rPr>
        <w:t xml:space="preserve"> </w:t>
      </w:r>
      <w:r w:rsidRPr="004407E9">
        <w:rPr>
          <w:rFonts w:eastAsia="TimesNewRoman"/>
          <w:color w:val="000000"/>
        </w:rPr>
        <w:t xml:space="preserve">prophylaxis treatment period and the </w:t>
      </w:r>
      <w:r>
        <w:rPr>
          <w:rFonts w:eastAsia="TimesNewRoman"/>
          <w:color w:val="000000"/>
        </w:rPr>
        <w:t>annualised spontaneous bleeding rate (</w:t>
      </w:r>
      <w:r w:rsidRPr="004407E9">
        <w:rPr>
          <w:rFonts w:eastAsia="TimesNewRoman"/>
          <w:color w:val="000000"/>
        </w:rPr>
        <w:t>AsBR</w:t>
      </w:r>
      <w:r>
        <w:rPr>
          <w:rFonts w:eastAsia="TimesNewRoman"/>
          <w:color w:val="000000"/>
        </w:rPr>
        <w:t>)</w:t>
      </w:r>
      <w:r w:rsidRPr="004407E9">
        <w:rPr>
          <w:rFonts w:eastAsia="TimesNewRoman"/>
          <w:color w:val="000000"/>
        </w:rPr>
        <w:t xml:space="preserve"> was determined.</w:t>
      </w:r>
    </w:p>
    <w:p w:rsidR="00FD20F8" w:rsidRPr="0082193A" w:rsidRDefault="00FD20F8" w:rsidP="00BE1AC6">
      <w:pPr>
        <w:pStyle w:val="DocumentText"/>
        <w:keepNext/>
        <w:spacing w:after="120"/>
        <w:rPr>
          <w:b/>
          <w:i/>
          <w:sz w:val="28"/>
          <w:szCs w:val="28"/>
        </w:rPr>
      </w:pPr>
      <w:r w:rsidRPr="0082193A">
        <w:rPr>
          <w:b/>
          <w:i/>
          <w:sz w:val="28"/>
          <w:szCs w:val="28"/>
        </w:rPr>
        <w:t xml:space="preserve">Adult and </w:t>
      </w:r>
      <w:r w:rsidR="0028436A" w:rsidRPr="0082193A">
        <w:rPr>
          <w:b/>
          <w:i/>
          <w:sz w:val="28"/>
          <w:szCs w:val="28"/>
        </w:rPr>
        <w:t>a</w:t>
      </w:r>
      <w:r w:rsidRPr="0082193A">
        <w:rPr>
          <w:b/>
          <w:i/>
          <w:sz w:val="28"/>
          <w:szCs w:val="28"/>
        </w:rPr>
        <w:t xml:space="preserve">dolescent </w:t>
      </w:r>
      <w:r w:rsidR="0028436A" w:rsidRPr="0082193A">
        <w:rPr>
          <w:b/>
          <w:i/>
          <w:sz w:val="28"/>
          <w:szCs w:val="28"/>
        </w:rPr>
        <w:t>s</w:t>
      </w:r>
      <w:r w:rsidRPr="0082193A">
        <w:rPr>
          <w:b/>
          <w:i/>
          <w:sz w:val="28"/>
          <w:szCs w:val="28"/>
        </w:rPr>
        <w:t xml:space="preserve">ubjects (≥12 to 65 </w:t>
      </w:r>
      <w:r w:rsidR="0028436A" w:rsidRPr="0082193A">
        <w:rPr>
          <w:b/>
          <w:i/>
          <w:sz w:val="28"/>
          <w:szCs w:val="28"/>
        </w:rPr>
        <w:t>y</w:t>
      </w:r>
      <w:r w:rsidRPr="0082193A">
        <w:rPr>
          <w:b/>
          <w:i/>
          <w:sz w:val="28"/>
          <w:szCs w:val="28"/>
        </w:rPr>
        <w:t xml:space="preserve">ears of </w:t>
      </w:r>
      <w:r w:rsidR="0028436A" w:rsidRPr="0082193A">
        <w:rPr>
          <w:b/>
          <w:i/>
          <w:sz w:val="28"/>
          <w:szCs w:val="28"/>
        </w:rPr>
        <w:t>a</w:t>
      </w:r>
      <w:r w:rsidRPr="0082193A">
        <w:rPr>
          <w:b/>
          <w:i/>
          <w:sz w:val="28"/>
          <w:szCs w:val="28"/>
        </w:rPr>
        <w:t>ge)</w:t>
      </w:r>
    </w:p>
    <w:p w:rsidR="00050C75" w:rsidRPr="00B349E4" w:rsidRDefault="00050C75" w:rsidP="00050C75">
      <w:pPr>
        <w:autoSpaceDE w:val="0"/>
        <w:autoSpaceDN w:val="0"/>
        <w:adjustRightInd w:val="0"/>
      </w:pPr>
      <w:r w:rsidRPr="008B2ECA">
        <w:rPr>
          <w:rFonts w:eastAsia="TimesNewRoman"/>
          <w:color w:val="000000"/>
        </w:rPr>
        <w:t>In Study</w:t>
      </w:r>
      <w:r w:rsidR="00DA60C8" w:rsidRPr="00A00251">
        <w:t> </w:t>
      </w:r>
      <w:r w:rsidRPr="008B2ECA">
        <w:rPr>
          <w:rFonts w:eastAsia="TimesNewRoman"/>
          <w:color w:val="000000"/>
        </w:rPr>
        <w:t>3001, a</w:t>
      </w:r>
      <w:r w:rsidRPr="00B349E4">
        <w:t xml:space="preserve"> total of 63 male, previously treated patients (</w:t>
      </w:r>
      <w:r w:rsidRPr="00957E7B">
        <w:t>PTPs</w:t>
      </w:r>
      <w:r w:rsidRPr="00B349E4">
        <w:t>) with h</w:t>
      </w:r>
      <w:r w:rsidR="000242FD">
        <w:t>a</w:t>
      </w:r>
      <w:r w:rsidRPr="00B349E4">
        <w:t>emophilia B (≤2% endogenous FIX activity), between 12 and 61</w:t>
      </w:r>
      <w:r w:rsidR="00825D55">
        <w:t> </w:t>
      </w:r>
      <w:r w:rsidRPr="00B349E4">
        <w:t xml:space="preserve">years of age received </w:t>
      </w:r>
      <w:r w:rsidR="009D6286">
        <w:t>IDELVION</w:t>
      </w:r>
      <w:r w:rsidRPr="00B349E4">
        <w:rPr>
          <w:vertAlign w:val="superscript"/>
        </w:rPr>
        <w:t>®</w:t>
      </w:r>
      <w:r w:rsidRPr="00B349E4">
        <w:t xml:space="preserve"> for up to 27</w:t>
      </w:r>
      <w:r w:rsidR="00825D55">
        <w:t> </w:t>
      </w:r>
      <w:r w:rsidRPr="00B349E4">
        <w:t>months. Forty subjects in the prophylaxis arm received weekly routine prophylaxis at an initial dose of 35</w:t>
      </w:r>
      <w:r w:rsidR="009850B0" w:rsidRPr="009850B0">
        <w:t>–</w:t>
      </w:r>
      <w:r w:rsidRPr="00B349E4">
        <w:t>50</w:t>
      </w:r>
      <w:r w:rsidR="00825D55">
        <w:t> </w:t>
      </w:r>
      <w:r w:rsidRPr="00B349E4">
        <w:t>IU/kg, with median dose of 40</w:t>
      </w:r>
      <w:r w:rsidR="00825D55">
        <w:t> </w:t>
      </w:r>
      <w:r w:rsidRPr="00B349E4">
        <w:t xml:space="preserve">IU/kg of </w:t>
      </w:r>
      <w:r w:rsidR="009D6286">
        <w:t>IDELVION</w:t>
      </w:r>
      <w:r w:rsidRPr="00B349E4">
        <w:rPr>
          <w:vertAlign w:val="superscript"/>
        </w:rPr>
        <w:t>®</w:t>
      </w:r>
      <w:r w:rsidRPr="00B349E4">
        <w:t xml:space="preserve"> at the end of the weekly prophylaxis period.</w:t>
      </w:r>
    </w:p>
    <w:p w:rsidR="00006E81" w:rsidRPr="00957E7B" w:rsidRDefault="009D3BA8" w:rsidP="00050C75">
      <w:pPr>
        <w:autoSpaceDE w:val="0"/>
        <w:autoSpaceDN w:val="0"/>
        <w:adjustRightInd w:val="0"/>
      </w:pPr>
      <w:r>
        <w:rPr>
          <w:rFonts w:eastAsia="TimesNewRoman"/>
          <w:color w:val="000000"/>
        </w:rPr>
        <w:t xml:space="preserve">Following </w:t>
      </w:r>
      <w:r w:rsidR="008F7C29">
        <w:rPr>
          <w:rFonts w:eastAsia="TimesNewRoman"/>
          <w:color w:val="000000"/>
        </w:rPr>
        <w:t>≥</w:t>
      </w:r>
      <w:r w:rsidR="00050C75" w:rsidRPr="008B2ECA">
        <w:rPr>
          <w:rFonts w:eastAsia="TimesNewRoman"/>
          <w:color w:val="000000"/>
        </w:rPr>
        <w:t>26</w:t>
      </w:r>
      <w:r w:rsidR="00825D55">
        <w:t> </w:t>
      </w:r>
      <w:r w:rsidR="00050C75" w:rsidRPr="008B2ECA">
        <w:rPr>
          <w:rFonts w:eastAsia="TimesNewRoman"/>
          <w:color w:val="000000"/>
        </w:rPr>
        <w:t xml:space="preserve">weeks </w:t>
      </w:r>
      <w:r w:rsidR="008F7C29">
        <w:rPr>
          <w:rFonts w:eastAsia="TimesNewRoman"/>
          <w:color w:val="000000"/>
        </w:rPr>
        <w:t>of</w:t>
      </w:r>
      <w:r w:rsidR="008F7C29" w:rsidRPr="008B2ECA">
        <w:rPr>
          <w:rFonts w:eastAsia="TimesNewRoman"/>
          <w:color w:val="000000"/>
        </w:rPr>
        <w:t xml:space="preserve"> </w:t>
      </w:r>
      <w:r w:rsidR="00050C75" w:rsidRPr="008B2ECA">
        <w:rPr>
          <w:rFonts w:eastAsia="TimesNewRoman"/>
          <w:color w:val="000000"/>
        </w:rPr>
        <w:t>a 7</w:t>
      </w:r>
      <w:r w:rsidR="00550A4D">
        <w:rPr>
          <w:rFonts w:eastAsia="TimesNewRoman"/>
          <w:color w:val="000000"/>
        </w:rPr>
        <w:t> </w:t>
      </w:r>
      <w:r w:rsidR="00050C75" w:rsidRPr="008B2ECA">
        <w:rPr>
          <w:rFonts w:eastAsia="TimesNewRoman"/>
          <w:color w:val="000000"/>
        </w:rPr>
        <w:t>day</w:t>
      </w:r>
      <w:r w:rsidR="00091E44">
        <w:rPr>
          <w:rFonts w:eastAsia="TimesNewRoman"/>
          <w:color w:val="000000"/>
        </w:rPr>
        <w:t xml:space="preserve"> dosing interval</w:t>
      </w:r>
      <w:r w:rsidR="00050C75" w:rsidRPr="008B2ECA">
        <w:rPr>
          <w:rFonts w:eastAsia="TimesNewRoman"/>
          <w:color w:val="000000"/>
        </w:rPr>
        <w:t xml:space="preserve"> prophylaxis regimen, 26</w:t>
      </w:r>
      <w:r w:rsidR="00050C75" w:rsidRPr="00B349E4">
        <w:t xml:space="preserve"> out of 40</w:t>
      </w:r>
      <w:r w:rsidR="00825D55">
        <w:t> </w:t>
      </w:r>
      <w:r w:rsidR="00050C75" w:rsidRPr="00B349E4">
        <w:t xml:space="preserve">subjects </w:t>
      </w:r>
      <w:r w:rsidR="00800EE9">
        <w:t xml:space="preserve">(26/40) </w:t>
      </w:r>
      <w:r w:rsidR="00050C75" w:rsidRPr="00B349E4">
        <w:t xml:space="preserve">switched to a longer prophylaxis </w:t>
      </w:r>
      <w:r w:rsidR="00AB0441">
        <w:t>dosing</w:t>
      </w:r>
      <w:r w:rsidR="00050C75" w:rsidRPr="00B349E4">
        <w:t xml:space="preserve"> interval of either 10 or 14</w:t>
      </w:r>
      <w:r w:rsidR="00825D55">
        <w:t> </w:t>
      </w:r>
      <w:r w:rsidR="00050C75" w:rsidRPr="00B349E4">
        <w:t>days</w:t>
      </w:r>
      <w:r w:rsidR="00006E81" w:rsidRPr="00B349E4">
        <w:t xml:space="preserve"> </w:t>
      </w:r>
      <w:r w:rsidR="00006E81" w:rsidRPr="008B2ECA">
        <w:rPr>
          <w:rFonts w:eastAsia="TimesNewRoman"/>
          <w:color w:val="000000"/>
        </w:rPr>
        <w:t xml:space="preserve">at a dose of </w:t>
      </w:r>
      <w:r w:rsidR="00006E81" w:rsidRPr="00B349E4">
        <w:t>50</w:t>
      </w:r>
      <w:r w:rsidR="008C7CD5">
        <w:t>–</w:t>
      </w:r>
      <w:r w:rsidR="00006E81" w:rsidRPr="00B349E4">
        <w:t>75</w:t>
      </w:r>
      <w:r w:rsidR="00825D55">
        <w:t> </w:t>
      </w:r>
      <w:r w:rsidR="00FE3FE8">
        <w:t>IU/kg</w:t>
      </w:r>
      <w:r>
        <w:t xml:space="preserve"> b</w:t>
      </w:r>
      <w:r w:rsidR="00A1479A">
        <w:t>ased on</w:t>
      </w:r>
      <w:r w:rsidR="00091E44">
        <w:t xml:space="preserve"> meeting all of</w:t>
      </w:r>
      <w:r w:rsidR="00A1479A">
        <w:t xml:space="preserve"> the following criteria: </w:t>
      </w:r>
      <w:r w:rsidRPr="009D3BA8">
        <w:t>no dose adjustment in the previous month; curre</w:t>
      </w:r>
      <w:r w:rsidR="009A4266">
        <w:t>ntly on weekly prophylaxis of ≤</w:t>
      </w:r>
      <w:r w:rsidRPr="009D3BA8">
        <w:t xml:space="preserve">50 IU/kg; </w:t>
      </w:r>
      <w:r w:rsidR="008F7C29" w:rsidRPr="009E13EC">
        <w:t>did not experience a spontaneous bleeding episode in the previous month</w:t>
      </w:r>
      <w:r w:rsidR="008F7C29">
        <w:t xml:space="preserve"> and </w:t>
      </w:r>
      <w:r w:rsidRPr="009D3BA8">
        <w:t>willing to switch to a longer treatment interval. The extended interval was 10 days if the current weekly dose was &gt;40</w:t>
      </w:r>
      <w:r w:rsidR="009A4266">
        <w:t xml:space="preserve"> to </w:t>
      </w:r>
      <w:r w:rsidRPr="009D3BA8">
        <w:t>≤50 IU/kg, 14 days i</w:t>
      </w:r>
      <w:r w:rsidR="009A4266">
        <w:t>f the current weekly dose was ≤</w:t>
      </w:r>
      <w:r w:rsidRPr="009D3BA8">
        <w:t xml:space="preserve">40 IU/kg. </w:t>
      </w:r>
      <w:r w:rsidR="00FE3FE8">
        <w:t xml:space="preserve">The </w:t>
      </w:r>
      <w:r w:rsidR="00006E81" w:rsidRPr="00B349E4">
        <w:t xml:space="preserve">median dose </w:t>
      </w:r>
      <w:r w:rsidR="00FE3FE8">
        <w:t>was</w:t>
      </w:r>
      <w:r w:rsidR="00006E81" w:rsidRPr="00B349E4">
        <w:t xml:space="preserve"> </w:t>
      </w:r>
      <w:r w:rsidR="00006E81" w:rsidRPr="008B2ECA">
        <w:rPr>
          <w:rFonts w:eastAsia="TimesNewRoman"/>
          <w:color w:val="000000"/>
        </w:rPr>
        <w:t>74.2</w:t>
      </w:r>
      <w:r w:rsidR="00825D55">
        <w:t> </w:t>
      </w:r>
      <w:r w:rsidR="00006E81" w:rsidRPr="008B2ECA">
        <w:rPr>
          <w:rFonts w:eastAsia="TimesNewRoman"/>
          <w:color w:val="000000"/>
        </w:rPr>
        <w:t>IU/kg for 14</w:t>
      </w:r>
      <w:r w:rsidR="00550A4D">
        <w:rPr>
          <w:rFonts w:eastAsia="TimesNewRoman"/>
          <w:color w:val="000000"/>
        </w:rPr>
        <w:t> </w:t>
      </w:r>
      <w:r w:rsidR="00006E81" w:rsidRPr="008B2ECA">
        <w:rPr>
          <w:rFonts w:eastAsia="TimesNewRoman"/>
          <w:color w:val="000000"/>
        </w:rPr>
        <w:t xml:space="preserve">day </w:t>
      </w:r>
      <w:r w:rsidR="00006E81" w:rsidRPr="00957E7B">
        <w:rPr>
          <w:rFonts w:eastAsia="TimesNewRoman"/>
          <w:color w:val="000000"/>
        </w:rPr>
        <w:t>prophylaxis</w:t>
      </w:r>
      <w:r w:rsidR="00050C75" w:rsidRPr="00957E7B">
        <w:t>.</w:t>
      </w:r>
    </w:p>
    <w:p w:rsidR="00E60D64" w:rsidRPr="00957E7B" w:rsidRDefault="00E60D64" w:rsidP="00E60D64">
      <w:pPr>
        <w:autoSpaceDE w:val="0"/>
        <w:autoSpaceDN w:val="0"/>
        <w:adjustRightInd w:val="0"/>
        <w:rPr>
          <w:rFonts w:eastAsia="TimesNewRoman"/>
          <w:color w:val="000000"/>
        </w:rPr>
      </w:pPr>
      <w:r w:rsidRPr="00957E7B">
        <w:rPr>
          <w:rFonts w:eastAsia="TimesNewRoman"/>
          <w:color w:val="000000"/>
        </w:rPr>
        <w:lastRenderedPageBreak/>
        <w:t>The median AsBR of 0.00 for subjects on a 7</w:t>
      </w:r>
      <w:r w:rsidR="00550A4D">
        <w:rPr>
          <w:rFonts w:eastAsia="TimesNewRoman"/>
          <w:color w:val="000000"/>
        </w:rPr>
        <w:t> </w:t>
      </w:r>
      <w:r w:rsidRPr="00957E7B">
        <w:rPr>
          <w:rFonts w:eastAsia="TimesNewRoman"/>
          <w:color w:val="000000"/>
        </w:rPr>
        <w:t>day regimen was the same as that for subjects on the extended treatment intervals: 10</w:t>
      </w:r>
      <w:r w:rsidR="00550A4D">
        <w:rPr>
          <w:rFonts w:eastAsia="TimesNewRoman"/>
          <w:color w:val="000000"/>
        </w:rPr>
        <w:t> </w:t>
      </w:r>
      <w:r w:rsidRPr="00957E7B">
        <w:rPr>
          <w:rFonts w:eastAsia="TimesNewRoman"/>
          <w:color w:val="000000"/>
        </w:rPr>
        <w:t>day regimen, 0.00; 14</w:t>
      </w:r>
      <w:r w:rsidR="00550A4D">
        <w:rPr>
          <w:rFonts w:eastAsia="TimesNewRoman"/>
          <w:color w:val="000000"/>
        </w:rPr>
        <w:t> </w:t>
      </w:r>
      <w:r w:rsidRPr="00957E7B">
        <w:rPr>
          <w:rFonts w:eastAsia="TimesNewRoman"/>
          <w:color w:val="000000"/>
        </w:rPr>
        <w:t>day regimen, 0.00</w:t>
      </w:r>
      <w:r w:rsidR="00DA3662" w:rsidRPr="00957E7B">
        <w:rPr>
          <w:rFonts w:eastAsia="TimesNewRoman"/>
          <w:color w:val="000000"/>
        </w:rPr>
        <w:t xml:space="preserve"> (see </w:t>
      </w:r>
      <w:r w:rsidR="00DA3662" w:rsidRPr="00957E7B">
        <w:rPr>
          <w:rFonts w:eastAsia="TimesNewRoman"/>
          <w:b/>
          <w:color w:val="000000"/>
        </w:rPr>
        <w:t>Table</w:t>
      </w:r>
      <w:r w:rsidR="005B2EE5">
        <w:rPr>
          <w:rFonts w:eastAsia="TimesNewRoman"/>
          <w:b/>
          <w:color w:val="000000"/>
        </w:rPr>
        <w:t> </w:t>
      </w:r>
      <w:r w:rsidR="001F37DA">
        <w:rPr>
          <w:rFonts w:eastAsia="TimesNewRoman"/>
          <w:b/>
          <w:color w:val="000000"/>
        </w:rPr>
        <w:t>5</w:t>
      </w:r>
      <w:r w:rsidR="00DA3662" w:rsidRPr="00957E7B">
        <w:rPr>
          <w:rFonts w:eastAsia="TimesNewRoman"/>
          <w:color w:val="000000"/>
        </w:rPr>
        <w:t>)</w:t>
      </w:r>
      <w:r w:rsidRPr="00957E7B">
        <w:rPr>
          <w:rFonts w:eastAsia="TimesNewRoman"/>
          <w:color w:val="000000"/>
        </w:rPr>
        <w:t>.</w:t>
      </w:r>
    </w:p>
    <w:p w:rsidR="00E60D64" w:rsidRPr="00CC11A4" w:rsidRDefault="00E60D64" w:rsidP="008640B7">
      <w:pPr>
        <w:pStyle w:val="Caption"/>
        <w:ind w:left="0" w:firstLine="0"/>
        <w:rPr>
          <w:rFonts w:eastAsia="TimesNewRoman"/>
        </w:rPr>
      </w:pPr>
      <w:r w:rsidRPr="00957E7B">
        <w:rPr>
          <w:rFonts w:eastAsia="TimesNewRoman"/>
        </w:rPr>
        <w:t xml:space="preserve">Table </w:t>
      </w:r>
      <w:r w:rsidR="001F37DA">
        <w:rPr>
          <w:rFonts w:eastAsia="TimesNewRoman"/>
        </w:rPr>
        <w:t>5</w:t>
      </w:r>
      <w:r w:rsidRPr="00957E7B">
        <w:rPr>
          <w:rFonts w:eastAsia="TimesNewRoman"/>
        </w:rPr>
        <w:t>: Study</w:t>
      </w:r>
      <w:r w:rsidR="00DA60C8" w:rsidRPr="00A00251">
        <w:t> </w:t>
      </w:r>
      <w:r w:rsidRPr="00957E7B">
        <w:rPr>
          <w:rFonts w:eastAsia="TimesNewRoman"/>
        </w:rPr>
        <w:t>3001</w:t>
      </w:r>
      <w:r w:rsidR="008C302C">
        <w:rPr>
          <w:rFonts w:eastAsia="TimesNewRoman"/>
        </w:rPr>
        <w:t>;</w:t>
      </w:r>
      <w:r w:rsidRPr="00957E7B">
        <w:rPr>
          <w:rFonts w:eastAsia="TimesNewRoman"/>
        </w:rPr>
        <w:t xml:space="preserve"> Annualised bleeding rates</w:t>
      </w:r>
      <w:r w:rsidRPr="00CC11A4">
        <w:rPr>
          <w:rFonts w:eastAsia="TimesNewRoman"/>
        </w:rPr>
        <w:t xml:space="preserve"> of </w:t>
      </w:r>
      <w:r>
        <w:rPr>
          <w:rFonts w:eastAsia="TimesNewRoman"/>
        </w:rPr>
        <w:t>p</w:t>
      </w:r>
      <w:r w:rsidRPr="00CC11A4">
        <w:rPr>
          <w:rFonts w:eastAsia="TimesNewRoman"/>
        </w:rPr>
        <w:t xml:space="preserve">rophylaxis </w:t>
      </w:r>
      <w:r>
        <w:rPr>
          <w:rFonts w:eastAsia="TimesNewRoman"/>
        </w:rPr>
        <w:t>r</w:t>
      </w:r>
      <w:r w:rsidRPr="00CC11A4">
        <w:rPr>
          <w:rFonts w:eastAsia="TimesNewRoman"/>
        </w:rPr>
        <w:t xml:space="preserve">egimens and </w:t>
      </w:r>
      <w:r>
        <w:rPr>
          <w:rFonts w:eastAsia="TimesNewRoman"/>
        </w:rPr>
        <w:t>o</w:t>
      </w:r>
      <w:r w:rsidRPr="00CC11A4">
        <w:rPr>
          <w:rFonts w:eastAsia="TimesNewRoman"/>
        </w:rPr>
        <w:t>n</w:t>
      </w:r>
      <w:r>
        <w:rPr>
          <w:rFonts w:eastAsia="TimesNewRoman"/>
        </w:rPr>
        <w:t xml:space="preserve"> d</w:t>
      </w:r>
      <w:r w:rsidRPr="00CC11A4">
        <w:rPr>
          <w:rFonts w:eastAsia="TimesNewRoman"/>
        </w:rPr>
        <w:t xml:space="preserve">emand </w:t>
      </w:r>
      <w:r>
        <w:rPr>
          <w:rFonts w:eastAsia="TimesNewRoman"/>
        </w:rPr>
        <w:t>t</w:t>
      </w:r>
      <w:r w:rsidRPr="00CC11A4">
        <w:rPr>
          <w:rFonts w:eastAsia="TimesNewRoman"/>
        </w:rPr>
        <w:t xml:space="preserve">reatment with </w:t>
      </w:r>
      <w:r w:rsidR="009D6286">
        <w:t>IDELVION</w:t>
      </w:r>
      <w:r w:rsidRPr="00151E18">
        <w:rPr>
          <w:vertAlign w:val="superscript"/>
        </w:rPr>
        <w:t>®</w:t>
      </w:r>
      <w:r>
        <w:t xml:space="preserve"> </w:t>
      </w:r>
      <w:r w:rsidRPr="00CC11A4">
        <w:rPr>
          <w:rFonts w:eastAsia="TimesNewRoman"/>
        </w:rPr>
        <w:t>(</w:t>
      </w:r>
      <w:r>
        <w:rPr>
          <w:rFonts w:eastAsia="TimesNewRoman"/>
        </w:rPr>
        <w:t>e</w:t>
      </w:r>
      <w:r w:rsidRPr="00CC11A4">
        <w:rPr>
          <w:rFonts w:eastAsia="TimesNewRoman"/>
        </w:rPr>
        <w:t xml:space="preserve">fficacy </w:t>
      </w:r>
      <w:r>
        <w:rPr>
          <w:rFonts w:eastAsia="TimesNewRoman"/>
        </w:rPr>
        <w:t>p</w:t>
      </w:r>
      <w:r w:rsidRPr="00CC11A4">
        <w:rPr>
          <w:rFonts w:eastAsia="TimesNewRoman"/>
        </w:rPr>
        <w:t>opulation)</w:t>
      </w:r>
    </w:p>
    <w:tbl>
      <w:tblPr>
        <w:tblStyle w:val="TableGrid"/>
        <w:tblW w:w="0" w:type="auto"/>
        <w:tblInd w:w="108" w:type="dxa"/>
        <w:tblLook w:val="04A0" w:firstRow="1" w:lastRow="0" w:firstColumn="1" w:lastColumn="0" w:noHBand="0" w:noVBand="1"/>
      </w:tblPr>
      <w:tblGrid>
        <w:gridCol w:w="2202"/>
        <w:gridCol w:w="2310"/>
        <w:gridCol w:w="2311"/>
        <w:gridCol w:w="2311"/>
      </w:tblGrid>
      <w:tr w:rsidR="00BF22EC" w:rsidRPr="00A717DA" w:rsidTr="00606E6A">
        <w:tc>
          <w:tcPr>
            <w:tcW w:w="2202" w:type="dxa"/>
            <w:shd w:val="pct15" w:color="auto" w:fill="auto"/>
          </w:tcPr>
          <w:p w:rsidR="00BF22EC" w:rsidRPr="005409DF" w:rsidRDefault="00BF22EC" w:rsidP="0088641F">
            <w:pPr>
              <w:keepNext/>
              <w:autoSpaceDE w:val="0"/>
              <w:autoSpaceDN w:val="0"/>
              <w:adjustRightInd w:val="0"/>
              <w:spacing w:before="40" w:after="40"/>
              <w:jc w:val="center"/>
              <w:rPr>
                <w:rFonts w:eastAsia="TimesNewRoman"/>
                <w:b/>
                <w:color w:val="000000"/>
                <w:sz w:val="20"/>
                <w:szCs w:val="20"/>
              </w:rPr>
            </w:pPr>
          </w:p>
        </w:tc>
        <w:tc>
          <w:tcPr>
            <w:tcW w:w="2310" w:type="dxa"/>
            <w:shd w:val="pct15" w:color="auto" w:fill="auto"/>
          </w:tcPr>
          <w:p w:rsidR="00BF22EC" w:rsidRPr="005409DF" w:rsidRDefault="00BF22EC" w:rsidP="005409DF">
            <w:pPr>
              <w:keepNext/>
              <w:autoSpaceDE w:val="0"/>
              <w:autoSpaceDN w:val="0"/>
              <w:adjustRightInd w:val="0"/>
              <w:spacing w:before="40" w:after="40"/>
              <w:jc w:val="center"/>
              <w:rPr>
                <w:rFonts w:eastAsia="TimesNewRoman"/>
                <w:b/>
                <w:color w:val="000000"/>
                <w:sz w:val="20"/>
                <w:szCs w:val="20"/>
              </w:rPr>
            </w:pPr>
            <w:r w:rsidRPr="005409DF">
              <w:rPr>
                <w:rFonts w:eastAsia="TimesNewRoman"/>
                <w:b/>
                <w:color w:val="000000"/>
                <w:sz w:val="20"/>
                <w:szCs w:val="20"/>
              </w:rPr>
              <w:t>7</w:t>
            </w:r>
            <w:r w:rsidR="00550A4D">
              <w:rPr>
                <w:rFonts w:eastAsia="TimesNewRoman"/>
                <w:b/>
                <w:color w:val="000000"/>
                <w:sz w:val="20"/>
                <w:szCs w:val="20"/>
              </w:rPr>
              <w:t> </w:t>
            </w:r>
            <w:r w:rsidRPr="005409DF">
              <w:rPr>
                <w:rFonts w:eastAsia="TimesNewRoman"/>
                <w:b/>
                <w:color w:val="000000"/>
                <w:sz w:val="20"/>
                <w:szCs w:val="20"/>
              </w:rPr>
              <w:t>day prophylaxis regimen</w:t>
            </w:r>
          </w:p>
          <w:p w:rsidR="00BF22EC" w:rsidRPr="005409DF" w:rsidRDefault="00BF22EC" w:rsidP="00DA60C8">
            <w:pPr>
              <w:keepNext/>
              <w:autoSpaceDE w:val="0"/>
              <w:autoSpaceDN w:val="0"/>
              <w:adjustRightInd w:val="0"/>
              <w:spacing w:before="40" w:after="40"/>
              <w:jc w:val="center"/>
              <w:rPr>
                <w:rFonts w:eastAsia="TimesNewRoman"/>
                <w:b/>
                <w:color w:val="000000"/>
                <w:sz w:val="20"/>
                <w:szCs w:val="20"/>
              </w:rPr>
            </w:pPr>
            <w:r w:rsidRPr="005409DF">
              <w:rPr>
                <w:rFonts w:eastAsia="TimesNewRoman"/>
                <w:b/>
                <w:color w:val="000000"/>
                <w:sz w:val="20"/>
                <w:szCs w:val="20"/>
              </w:rPr>
              <w:t>(N</w:t>
            </w:r>
            <w:r w:rsidR="00DA60C8" w:rsidRPr="00A717DA">
              <w:rPr>
                <w:rFonts w:eastAsia="TimesNewRoman"/>
                <w:b/>
                <w:color w:val="000000"/>
                <w:sz w:val="20"/>
                <w:szCs w:val="20"/>
              </w:rPr>
              <w:t> </w:t>
            </w:r>
            <w:r w:rsidRPr="005409DF">
              <w:rPr>
                <w:rFonts w:eastAsia="TimesNewRoman"/>
                <w:b/>
                <w:color w:val="000000"/>
                <w:sz w:val="20"/>
                <w:szCs w:val="20"/>
              </w:rPr>
              <w:t>=</w:t>
            </w:r>
            <w:r w:rsidR="00DA60C8" w:rsidRPr="00A717DA">
              <w:rPr>
                <w:rFonts w:eastAsia="TimesNewRoman"/>
                <w:b/>
                <w:color w:val="000000"/>
                <w:sz w:val="20"/>
                <w:szCs w:val="20"/>
              </w:rPr>
              <w:t> </w:t>
            </w:r>
            <w:r w:rsidRPr="005409DF">
              <w:rPr>
                <w:rFonts w:eastAsia="TimesNewRoman"/>
                <w:b/>
                <w:color w:val="000000"/>
                <w:sz w:val="20"/>
                <w:szCs w:val="20"/>
              </w:rPr>
              <w:t>59)</w:t>
            </w:r>
            <w:r w:rsidR="005C4E3A">
              <w:rPr>
                <w:rFonts w:eastAsia="TimesNewRoman"/>
                <w:b/>
                <w:color w:val="000000"/>
                <w:sz w:val="20"/>
                <w:szCs w:val="20"/>
              </w:rPr>
              <w:t>*</w:t>
            </w:r>
          </w:p>
        </w:tc>
        <w:tc>
          <w:tcPr>
            <w:tcW w:w="2311" w:type="dxa"/>
            <w:shd w:val="pct15" w:color="auto" w:fill="auto"/>
          </w:tcPr>
          <w:p w:rsidR="00BF22EC" w:rsidRPr="005409DF" w:rsidRDefault="00550A4D" w:rsidP="005409DF">
            <w:pPr>
              <w:keepNext/>
              <w:autoSpaceDE w:val="0"/>
              <w:autoSpaceDN w:val="0"/>
              <w:adjustRightInd w:val="0"/>
              <w:spacing w:before="40" w:after="40"/>
              <w:jc w:val="center"/>
              <w:rPr>
                <w:rFonts w:eastAsia="TimesNewRoman"/>
                <w:b/>
                <w:color w:val="000000"/>
                <w:sz w:val="20"/>
                <w:szCs w:val="20"/>
              </w:rPr>
            </w:pPr>
            <w:r>
              <w:rPr>
                <w:rFonts w:eastAsia="TimesNewRoman"/>
                <w:b/>
                <w:color w:val="000000"/>
                <w:sz w:val="20"/>
                <w:szCs w:val="20"/>
              </w:rPr>
              <w:t>14 </w:t>
            </w:r>
            <w:r w:rsidR="00BF22EC" w:rsidRPr="005409DF">
              <w:rPr>
                <w:rFonts w:eastAsia="TimesNewRoman"/>
                <w:b/>
                <w:color w:val="000000"/>
                <w:sz w:val="20"/>
                <w:szCs w:val="20"/>
              </w:rPr>
              <w:t>day prophylaxis regimen</w:t>
            </w:r>
          </w:p>
          <w:p w:rsidR="00BF22EC" w:rsidRPr="005409DF" w:rsidRDefault="00BF22EC" w:rsidP="00DA60C8">
            <w:pPr>
              <w:keepNext/>
              <w:autoSpaceDE w:val="0"/>
              <w:autoSpaceDN w:val="0"/>
              <w:adjustRightInd w:val="0"/>
              <w:spacing w:before="40" w:after="40"/>
              <w:jc w:val="center"/>
              <w:rPr>
                <w:rFonts w:eastAsia="TimesNewRoman"/>
                <w:b/>
                <w:color w:val="000000"/>
                <w:sz w:val="20"/>
                <w:szCs w:val="20"/>
              </w:rPr>
            </w:pPr>
            <w:r w:rsidRPr="005409DF">
              <w:rPr>
                <w:rFonts w:eastAsia="TimesNewRoman"/>
                <w:b/>
                <w:color w:val="000000"/>
                <w:sz w:val="20"/>
                <w:szCs w:val="20"/>
              </w:rPr>
              <w:t>(N</w:t>
            </w:r>
            <w:r w:rsidR="00DA60C8" w:rsidRPr="00A717DA">
              <w:rPr>
                <w:rFonts w:eastAsia="TimesNewRoman"/>
                <w:b/>
                <w:color w:val="000000"/>
                <w:sz w:val="20"/>
                <w:szCs w:val="20"/>
              </w:rPr>
              <w:t> </w:t>
            </w:r>
            <w:r w:rsidRPr="005409DF">
              <w:rPr>
                <w:rFonts w:eastAsia="TimesNewRoman"/>
                <w:b/>
                <w:color w:val="000000"/>
                <w:sz w:val="20"/>
                <w:szCs w:val="20"/>
              </w:rPr>
              <w:t>=</w:t>
            </w:r>
            <w:r w:rsidR="00DA60C8" w:rsidRPr="00A717DA">
              <w:rPr>
                <w:rFonts w:eastAsia="TimesNewRoman"/>
                <w:b/>
                <w:color w:val="000000"/>
                <w:sz w:val="20"/>
                <w:szCs w:val="20"/>
              </w:rPr>
              <w:t> </w:t>
            </w:r>
            <w:r w:rsidRPr="005409DF">
              <w:rPr>
                <w:rFonts w:eastAsia="TimesNewRoman"/>
                <w:b/>
                <w:color w:val="000000"/>
                <w:sz w:val="20"/>
                <w:szCs w:val="20"/>
              </w:rPr>
              <w:t>21)</w:t>
            </w:r>
          </w:p>
        </w:tc>
        <w:tc>
          <w:tcPr>
            <w:tcW w:w="2311" w:type="dxa"/>
            <w:shd w:val="pct15" w:color="auto" w:fill="auto"/>
          </w:tcPr>
          <w:p w:rsidR="00BF22EC" w:rsidRDefault="00BF22EC" w:rsidP="005409DF">
            <w:pPr>
              <w:keepNext/>
              <w:autoSpaceDE w:val="0"/>
              <w:autoSpaceDN w:val="0"/>
              <w:adjustRightInd w:val="0"/>
              <w:spacing w:before="40" w:after="40"/>
              <w:jc w:val="center"/>
              <w:rPr>
                <w:rFonts w:eastAsia="TimesNewRoman"/>
                <w:b/>
                <w:color w:val="000000"/>
                <w:sz w:val="20"/>
                <w:szCs w:val="20"/>
              </w:rPr>
            </w:pPr>
            <w:r w:rsidRPr="005409DF">
              <w:rPr>
                <w:rFonts w:eastAsia="TimesNewRoman"/>
                <w:b/>
                <w:color w:val="000000"/>
                <w:sz w:val="20"/>
                <w:szCs w:val="20"/>
              </w:rPr>
              <w:t>On demand</w:t>
            </w:r>
          </w:p>
          <w:p w:rsidR="00A717DA" w:rsidRPr="005409DF" w:rsidRDefault="00A717DA" w:rsidP="005409DF">
            <w:pPr>
              <w:keepNext/>
              <w:autoSpaceDE w:val="0"/>
              <w:autoSpaceDN w:val="0"/>
              <w:adjustRightInd w:val="0"/>
              <w:spacing w:before="40" w:after="40"/>
              <w:jc w:val="center"/>
              <w:rPr>
                <w:rFonts w:eastAsia="TimesNewRoman"/>
                <w:b/>
                <w:color w:val="000000"/>
                <w:sz w:val="20"/>
                <w:szCs w:val="20"/>
              </w:rPr>
            </w:pPr>
          </w:p>
          <w:p w:rsidR="00BF22EC" w:rsidRPr="005409DF" w:rsidRDefault="00BF22EC" w:rsidP="00DA60C8">
            <w:pPr>
              <w:keepNext/>
              <w:autoSpaceDE w:val="0"/>
              <w:autoSpaceDN w:val="0"/>
              <w:adjustRightInd w:val="0"/>
              <w:spacing w:before="40" w:after="40"/>
              <w:jc w:val="center"/>
              <w:rPr>
                <w:rFonts w:eastAsia="TimesNewRoman"/>
                <w:b/>
                <w:color w:val="000000"/>
                <w:sz w:val="20"/>
                <w:szCs w:val="20"/>
              </w:rPr>
            </w:pPr>
            <w:r w:rsidRPr="005409DF">
              <w:rPr>
                <w:rFonts w:eastAsia="TimesNewRoman"/>
                <w:b/>
                <w:color w:val="000000"/>
                <w:sz w:val="20"/>
                <w:szCs w:val="20"/>
              </w:rPr>
              <w:t>(N</w:t>
            </w:r>
            <w:r w:rsidR="00DA60C8" w:rsidRPr="00A717DA">
              <w:rPr>
                <w:rFonts w:eastAsia="TimesNewRoman"/>
                <w:b/>
                <w:color w:val="000000"/>
                <w:sz w:val="20"/>
                <w:szCs w:val="20"/>
              </w:rPr>
              <w:t> </w:t>
            </w:r>
            <w:r w:rsidRPr="005409DF">
              <w:rPr>
                <w:rFonts w:eastAsia="TimesNewRoman"/>
                <w:b/>
                <w:color w:val="000000"/>
                <w:sz w:val="20"/>
                <w:szCs w:val="20"/>
              </w:rPr>
              <w:t>=</w:t>
            </w:r>
            <w:r w:rsidR="00DA60C8" w:rsidRPr="00A717DA">
              <w:rPr>
                <w:rFonts w:eastAsia="TimesNewRoman"/>
                <w:b/>
                <w:color w:val="000000"/>
                <w:sz w:val="20"/>
                <w:szCs w:val="20"/>
              </w:rPr>
              <w:t> </w:t>
            </w:r>
            <w:r w:rsidRPr="005409DF">
              <w:rPr>
                <w:rFonts w:eastAsia="TimesNewRoman"/>
                <w:b/>
                <w:color w:val="000000"/>
                <w:sz w:val="20"/>
                <w:szCs w:val="20"/>
              </w:rPr>
              <w:t>23)</w:t>
            </w:r>
          </w:p>
        </w:tc>
      </w:tr>
      <w:tr w:rsidR="00BF22EC" w:rsidRPr="005409DF" w:rsidTr="00606E6A">
        <w:tc>
          <w:tcPr>
            <w:tcW w:w="9134" w:type="dxa"/>
            <w:gridSpan w:val="4"/>
            <w:shd w:val="pct10" w:color="auto" w:fill="auto"/>
          </w:tcPr>
          <w:p w:rsidR="00BF22EC" w:rsidRPr="005409DF" w:rsidRDefault="00BF22EC" w:rsidP="007E4F53">
            <w:pPr>
              <w:keepNext/>
              <w:autoSpaceDE w:val="0"/>
              <w:autoSpaceDN w:val="0"/>
              <w:adjustRightInd w:val="0"/>
              <w:spacing w:before="40" w:after="40"/>
              <w:rPr>
                <w:rFonts w:eastAsia="TimesNewRoman"/>
                <w:b/>
                <w:color w:val="000000"/>
                <w:sz w:val="20"/>
                <w:szCs w:val="20"/>
              </w:rPr>
            </w:pPr>
            <w:r w:rsidRPr="005409DF">
              <w:rPr>
                <w:rFonts w:eastAsia="TimesNewRoman"/>
                <w:b/>
                <w:color w:val="000000"/>
                <w:sz w:val="20"/>
                <w:szCs w:val="20"/>
              </w:rPr>
              <w:t>Annuali</w:t>
            </w:r>
            <w:r w:rsidR="007E4F53">
              <w:rPr>
                <w:rFonts w:eastAsia="TimesNewRoman"/>
                <w:b/>
                <w:color w:val="000000"/>
                <w:sz w:val="20"/>
                <w:szCs w:val="20"/>
              </w:rPr>
              <w:t>s</w:t>
            </w:r>
            <w:r w:rsidRPr="005409DF">
              <w:rPr>
                <w:rFonts w:eastAsia="TimesNewRoman"/>
                <w:b/>
                <w:color w:val="000000"/>
                <w:sz w:val="20"/>
                <w:szCs w:val="20"/>
              </w:rPr>
              <w:t>ed spontaneous bleeding rate (bleeding episodes/year/subject)</w:t>
            </w:r>
          </w:p>
        </w:tc>
      </w:tr>
      <w:tr w:rsidR="00BF22EC" w:rsidRPr="005409DF" w:rsidTr="00606E6A">
        <w:tc>
          <w:tcPr>
            <w:tcW w:w="2202" w:type="dxa"/>
          </w:tcPr>
          <w:p w:rsidR="00BF22EC" w:rsidRPr="005409DF" w:rsidRDefault="00EE0E31" w:rsidP="005409DF">
            <w:pPr>
              <w:keepNext/>
              <w:autoSpaceDE w:val="0"/>
              <w:autoSpaceDN w:val="0"/>
              <w:adjustRightInd w:val="0"/>
              <w:spacing w:before="40" w:after="40"/>
              <w:rPr>
                <w:rFonts w:eastAsia="TimesNewRoman"/>
                <w:color w:val="000000"/>
                <w:sz w:val="20"/>
                <w:szCs w:val="20"/>
              </w:rPr>
            </w:pPr>
            <w:r w:rsidRPr="005409DF">
              <w:rPr>
                <w:rFonts w:eastAsia="TimesNewRoman"/>
                <w:color w:val="000000"/>
                <w:sz w:val="20"/>
                <w:szCs w:val="20"/>
              </w:rPr>
              <w:t>Median (Q1, Q3)</w:t>
            </w:r>
          </w:p>
        </w:tc>
        <w:tc>
          <w:tcPr>
            <w:tcW w:w="2310" w:type="dxa"/>
          </w:tcPr>
          <w:p w:rsidR="00BF22EC" w:rsidRPr="005409DF" w:rsidRDefault="00EE0E31" w:rsidP="005409DF">
            <w:pPr>
              <w:keepNext/>
              <w:autoSpaceDE w:val="0"/>
              <w:autoSpaceDN w:val="0"/>
              <w:adjustRightInd w:val="0"/>
              <w:spacing w:before="40" w:after="40"/>
              <w:jc w:val="center"/>
              <w:rPr>
                <w:rFonts w:eastAsia="TimesNewRoman"/>
                <w:color w:val="000000"/>
                <w:sz w:val="20"/>
                <w:szCs w:val="20"/>
              </w:rPr>
            </w:pPr>
            <w:r w:rsidRPr="005409DF">
              <w:rPr>
                <w:rFonts w:eastAsia="TimesNewRoman"/>
                <w:color w:val="000000"/>
                <w:sz w:val="20"/>
                <w:szCs w:val="20"/>
              </w:rPr>
              <w:t>0.00 (0.00, 0.75)</w:t>
            </w:r>
          </w:p>
        </w:tc>
        <w:tc>
          <w:tcPr>
            <w:tcW w:w="2311" w:type="dxa"/>
          </w:tcPr>
          <w:p w:rsidR="00BF22EC" w:rsidRPr="005409DF" w:rsidRDefault="00EE0E31" w:rsidP="005409DF">
            <w:pPr>
              <w:keepNext/>
              <w:autoSpaceDE w:val="0"/>
              <w:autoSpaceDN w:val="0"/>
              <w:adjustRightInd w:val="0"/>
              <w:spacing w:before="40" w:after="40"/>
              <w:jc w:val="center"/>
              <w:rPr>
                <w:rFonts w:eastAsia="TimesNewRoman"/>
                <w:color w:val="000000"/>
                <w:sz w:val="20"/>
                <w:szCs w:val="20"/>
              </w:rPr>
            </w:pPr>
            <w:r w:rsidRPr="005409DF">
              <w:rPr>
                <w:rFonts w:eastAsia="TimesNewRoman"/>
                <w:color w:val="000000"/>
                <w:sz w:val="20"/>
                <w:szCs w:val="20"/>
              </w:rPr>
              <w:t>0.00 (0.00, 1.00)</w:t>
            </w:r>
          </w:p>
        </w:tc>
        <w:tc>
          <w:tcPr>
            <w:tcW w:w="2311" w:type="dxa"/>
          </w:tcPr>
          <w:p w:rsidR="00BF22EC" w:rsidRPr="005409DF" w:rsidRDefault="00EE0E31" w:rsidP="005409DF">
            <w:pPr>
              <w:keepNext/>
              <w:autoSpaceDE w:val="0"/>
              <w:autoSpaceDN w:val="0"/>
              <w:adjustRightInd w:val="0"/>
              <w:spacing w:before="40" w:after="40"/>
              <w:jc w:val="center"/>
              <w:rPr>
                <w:rFonts w:eastAsia="TimesNewRoman"/>
                <w:color w:val="000000"/>
                <w:sz w:val="20"/>
                <w:szCs w:val="20"/>
              </w:rPr>
            </w:pPr>
            <w:r w:rsidRPr="005409DF">
              <w:rPr>
                <w:rFonts w:eastAsia="TimesNewRoman"/>
                <w:color w:val="000000"/>
                <w:sz w:val="20"/>
                <w:szCs w:val="20"/>
              </w:rPr>
              <w:t>11.57 (7.69, 17.03)</w:t>
            </w:r>
          </w:p>
        </w:tc>
      </w:tr>
      <w:tr w:rsidR="00BF22EC" w:rsidRPr="005409DF" w:rsidTr="00606E6A">
        <w:tc>
          <w:tcPr>
            <w:tcW w:w="2202" w:type="dxa"/>
          </w:tcPr>
          <w:p w:rsidR="00BF22EC" w:rsidRPr="005409DF" w:rsidRDefault="00EE0E31" w:rsidP="006D2F42">
            <w:pPr>
              <w:keepNext/>
              <w:autoSpaceDE w:val="0"/>
              <w:autoSpaceDN w:val="0"/>
              <w:adjustRightInd w:val="0"/>
              <w:spacing w:before="40" w:after="40"/>
              <w:rPr>
                <w:rFonts w:eastAsia="TimesNewRoman"/>
                <w:color w:val="000000"/>
                <w:sz w:val="20"/>
                <w:szCs w:val="20"/>
              </w:rPr>
            </w:pPr>
            <w:r w:rsidRPr="005409DF">
              <w:rPr>
                <w:rFonts w:eastAsia="TimesNewRoman"/>
                <w:color w:val="000000"/>
                <w:sz w:val="20"/>
                <w:szCs w:val="20"/>
              </w:rPr>
              <w:t>Mean (SD)</w:t>
            </w:r>
          </w:p>
        </w:tc>
        <w:tc>
          <w:tcPr>
            <w:tcW w:w="2310" w:type="dxa"/>
          </w:tcPr>
          <w:p w:rsidR="00BF22EC" w:rsidRPr="005409DF" w:rsidRDefault="00EE0E31" w:rsidP="006D2F42">
            <w:pPr>
              <w:keepNext/>
              <w:autoSpaceDE w:val="0"/>
              <w:autoSpaceDN w:val="0"/>
              <w:adjustRightInd w:val="0"/>
              <w:spacing w:before="40" w:after="40"/>
              <w:jc w:val="center"/>
              <w:rPr>
                <w:rFonts w:eastAsia="TimesNewRoman"/>
                <w:color w:val="000000"/>
                <w:sz w:val="20"/>
                <w:szCs w:val="20"/>
              </w:rPr>
            </w:pPr>
            <w:r w:rsidRPr="005409DF">
              <w:rPr>
                <w:rFonts w:eastAsia="TimesNewRoman"/>
                <w:color w:val="000000"/>
                <w:sz w:val="20"/>
                <w:szCs w:val="20"/>
              </w:rPr>
              <w:t>0.59 (1.139)</w:t>
            </w:r>
          </w:p>
        </w:tc>
        <w:tc>
          <w:tcPr>
            <w:tcW w:w="2311" w:type="dxa"/>
          </w:tcPr>
          <w:p w:rsidR="00BF22EC" w:rsidRPr="005409DF" w:rsidRDefault="00EE0E31" w:rsidP="006D2F42">
            <w:pPr>
              <w:keepNext/>
              <w:autoSpaceDE w:val="0"/>
              <w:autoSpaceDN w:val="0"/>
              <w:adjustRightInd w:val="0"/>
              <w:spacing w:before="40" w:after="40"/>
              <w:jc w:val="center"/>
              <w:rPr>
                <w:rFonts w:eastAsia="TimesNewRoman"/>
                <w:color w:val="000000"/>
                <w:sz w:val="20"/>
                <w:szCs w:val="20"/>
              </w:rPr>
            </w:pPr>
            <w:r w:rsidRPr="005409DF">
              <w:rPr>
                <w:rFonts w:eastAsia="TimesNewRoman"/>
                <w:color w:val="000000"/>
                <w:sz w:val="20"/>
                <w:szCs w:val="20"/>
              </w:rPr>
              <w:t>1.07 (2.114)</w:t>
            </w:r>
          </w:p>
        </w:tc>
        <w:tc>
          <w:tcPr>
            <w:tcW w:w="2311" w:type="dxa"/>
          </w:tcPr>
          <w:p w:rsidR="00BF22EC" w:rsidRPr="005409DF" w:rsidRDefault="00EE0E31" w:rsidP="006D2F42">
            <w:pPr>
              <w:keepNext/>
              <w:autoSpaceDE w:val="0"/>
              <w:autoSpaceDN w:val="0"/>
              <w:adjustRightInd w:val="0"/>
              <w:spacing w:before="40" w:after="40"/>
              <w:jc w:val="center"/>
              <w:rPr>
                <w:rFonts w:eastAsia="TimesNewRoman"/>
                <w:color w:val="000000"/>
                <w:sz w:val="20"/>
                <w:szCs w:val="20"/>
              </w:rPr>
            </w:pPr>
            <w:r w:rsidRPr="005409DF">
              <w:rPr>
                <w:rFonts w:eastAsia="TimesNewRoman"/>
                <w:color w:val="000000"/>
                <w:sz w:val="20"/>
                <w:szCs w:val="20"/>
              </w:rPr>
              <w:t>13.26 (8.613)</w:t>
            </w:r>
          </w:p>
        </w:tc>
      </w:tr>
      <w:tr w:rsidR="00BF22EC" w:rsidRPr="005409DF" w:rsidTr="00606E6A">
        <w:tc>
          <w:tcPr>
            <w:tcW w:w="9134" w:type="dxa"/>
            <w:gridSpan w:val="4"/>
            <w:shd w:val="pct10" w:color="auto" w:fill="auto"/>
          </w:tcPr>
          <w:p w:rsidR="00BF22EC" w:rsidRPr="005409DF" w:rsidRDefault="007E4F53" w:rsidP="005409DF">
            <w:pPr>
              <w:keepNext/>
              <w:autoSpaceDE w:val="0"/>
              <w:autoSpaceDN w:val="0"/>
              <w:adjustRightInd w:val="0"/>
              <w:spacing w:before="40" w:after="40"/>
              <w:rPr>
                <w:rFonts w:eastAsia="TimesNewRoman"/>
                <w:b/>
                <w:color w:val="000000"/>
                <w:sz w:val="20"/>
                <w:szCs w:val="20"/>
              </w:rPr>
            </w:pPr>
            <w:r>
              <w:rPr>
                <w:rFonts w:eastAsia="TimesNewRoman"/>
                <w:b/>
                <w:color w:val="000000"/>
                <w:sz w:val="20"/>
                <w:szCs w:val="20"/>
              </w:rPr>
              <w:t>Total annualis</w:t>
            </w:r>
            <w:r w:rsidR="00BF22EC" w:rsidRPr="005409DF">
              <w:rPr>
                <w:rFonts w:eastAsia="TimesNewRoman"/>
                <w:b/>
                <w:color w:val="000000"/>
                <w:sz w:val="20"/>
                <w:szCs w:val="20"/>
              </w:rPr>
              <w:t>ed bleeding rate (bleeding episodes/year/subject)</w:t>
            </w:r>
          </w:p>
        </w:tc>
      </w:tr>
      <w:tr w:rsidR="00BF22EC" w:rsidRPr="005409DF" w:rsidTr="00606E6A">
        <w:tc>
          <w:tcPr>
            <w:tcW w:w="2202" w:type="dxa"/>
          </w:tcPr>
          <w:p w:rsidR="00BF22EC" w:rsidRPr="005409DF" w:rsidRDefault="00EE0E31" w:rsidP="005409DF">
            <w:pPr>
              <w:keepNext/>
              <w:autoSpaceDE w:val="0"/>
              <w:autoSpaceDN w:val="0"/>
              <w:adjustRightInd w:val="0"/>
              <w:spacing w:before="40" w:after="40"/>
              <w:rPr>
                <w:rFonts w:eastAsia="TimesNewRoman"/>
                <w:color w:val="000000"/>
                <w:sz w:val="20"/>
                <w:szCs w:val="20"/>
              </w:rPr>
            </w:pPr>
            <w:r w:rsidRPr="005409DF">
              <w:rPr>
                <w:rFonts w:eastAsia="TimesNewRoman"/>
                <w:color w:val="000000"/>
                <w:sz w:val="20"/>
                <w:szCs w:val="20"/>
              </w:rPr>
              <w:t>Median (Q1, Q3)</w:t>
            </w:r>
          </w:p>
        </w:tc>
        <w:tc>
          <w:tcPr>
            <w:tcW w:w="2310" w:type="dxa"/>
          </w:tcPr>
          <w:p w:rsidR="00BF22EC" w:rsidRPr="005409DF" w:rsidRDefault="00EE0E31" w:rsidP="00800EE9">
            <w:pPr>
              <w:keepNext/>
              <w:autoSpaceDE w:val="0"/>
              <w:autoSpaceDN w:val="0"/>
              <w:adjustRightInd w:val="0"/>
              <w:spacing w:before="40" w:after="40"/>
              <w:jc w:val="center"/>
              <w:rPr>
                <w:rFonts w:eastAsia="TimesNewRoman"/>
                <w:color w:val="000000"/>
                <w:sz w:val="20"/>
                <w:szCs w:val="20"/>
              </w:rPr>
            </w:pPr>
            <w:r w:rsidRPr="005409DF">
              <w:rPr>
                <w:rFonts w:eastAsia="TimesNewRoman"/>
                <w:color w:val="000000"/>
                <w:sz w:val="20"/>
                <w:szCs w:val="20"/>
              </w:rPr>
              <w:t>0.61 (0.00, 2.57)</w:t>
            </w:r>
          </w:p>
        </w:tc>
        <w:tc>
          <w:tcPr>
            <w:tcW w:w="2311" w:type="dxa"/>
          </w:tcPr>
          <w:p w:rsidR="00BF22EC" w:rsidRPr="005409DF" w:rsidRDefault="00EE0E31" w:rsidP="005409DF">
            <w:pPr>
              <w:keepNext/>
              <w:autoSpaceDE w:val="0"/>
              <w:autoSpaceDN w:val="0"/>
              <w:adjustRightInd w:val="0"/>
              <w:spacing w:before="40" w:after="40"/>
              <w:jc w:val="center"/>
              <w:rPr>
                <w:rFonts w:eastAsia="TimesNewRoman"/>
                <w:color w:val="000000"/>
                <w:sz w:val="20"/>
                <w:szCs w:val="20"/>
              </w:rPr>
            </w:pPr>
            <w:r w:rsidRPr="005409DF">
              <w:rPr>
                <w:rFonts w:eastAsia="TimesNewRoman"/>
                <w:color w:val="000000"/>
                <w:sz w:val="20"/>
                <w:szCs w:val="20"/>
              </w:rPr>
              <w:t>1.08 (0.00, 2.70)</w:t>
            </w:r>
          </w:p>
        </w:tc>
        <w:tc>
          <w:tcPr>
            <w:tcW w:w="2311" w:type="dxa"/>
          </w:tcPr>
          <w:p w:rsidR="00BF22EC" w:rsidRPr="006D2F42" w:rsidRDefault="00EE0E31" w:rsidP="00800EE9">
            <w:pPr>
              <w:keepNext/>
              <w:autoSpaceDE w:val="0"/>
              <w:autoSpaceDN w:val="0"/>
              <w:adjustRightInd w:val="0"/>
              <w:spacing w:before="40" w:after="40"/>
              <w:jc w:val="center"/>
              <w:rPr>
                <w:rFonts w:eastAsia="TimesNewRoman"/>
                <w:color w:val="000000"/>
                <w:sz w:val="20"/>
                <w:szCs w:val="20"/>
              </w:rPr>
            </w:pPr>
            <w:r w:rsidRPr="005409DF">
              <w:rPr>
                <w:rFonts w:eastAsia="TimesNewRoman"/>
                <w:color w:val="000000"/>
                <w:sz w:val="20"/>
                <w:szCs w:val="20"/>
              </w:rPr>
              <w:t>18.65 (16.70, 25.53)</w:t>
            </w:r>
          </w:p>
        </w:tc>
      </w:tr>
      <w:tr w:rsidR="00BF22EC" w:rsidRPr="005409DF" w:rsidTr="00606E6A">
        <w:tc>
          <w:tcPr>
            <w:tcW w:w="2202" w:type="dxa"/>
          </w:tcPr>
          <w:p w:rsidR="00BF22EC" w:rsidRPr="005409DF" w:rsidRDefault="00EE0E31" w:rsidP="006D2F42">
            <w:pPr>
              <w:keepNext/>
              <w:autoSpaceDE w:val="0"/>
              <w:autoSpaceDN w:val="0"/>
              <w:adjustRightInd w:val="0"/>
              <w:spacing w:before="40" w:after="40"/>
              <w:rPr>
                <w:rFonts w:eastAsia="TimesNewRoman"/>
                <w:color w:val="000000"/>
                <w:sz w:val="20"/>
                <w:szCs w:val="20"/>
              </w:rPr>
            </w:pPr>
            <w:r w:rsidRPr="005409DF">
              <w:rPr>
                <w:rFonts w:eastAsia="TimesNewRoman"/>
                <w:color w:val="000000"/>
                <w:sz w:val="20"/>
                <w:szCs w:val="20"/>
              </w:rPr>
              <w:t>Mean (SD)</w:t>
            </w:r>
          </w:p>
        </w:tc>
        <w:tc>
          <w:tcPr>
            <w:tcW w:w="2310" w:type="dxa"/>
          </w:tcPr>
          <w:p w:rsidR="00BF22EC" w:rsidRPr="005409DF" w:rsidRDefault="00EE0E31" w:rsidP="006D2F42">
            <w:pPr>
              <w:keepNext/>
              <w:autoSpaceDE w:val="0"/>
              <w:autoSpaceDN w:val="0"/>
              <w:adjustRightInd w:val="0"/>
              <w:spacing w:before="40" w:after="40"/>
              <w:jc w:val="center"/>
              <w:rPr>
                <w:rFonts w:eastAsia="TimesNewRoman"/>
                <w:color w:val="000000"/>
                <w:sz w:val="20"/>
                <w:szCs w:val="20"/>
              </w:rPr>
            </w:pPr>
            <w:r w:rsidRPr="005409DF">
              <w:rPr>
                <w:rFonts w:eastAsia="TimesNewRoman"/>
                <w:color w:val="000000"/>
                <w:sz w:val="20"/>
                <w:szCs w:val="20"/>
              </w:rPr>
              <w:t>1.76 (3.209)</w:t>
            </w:r>
          </w:p>
        </w:tc>
        <w:tc>
          <w:tcPr>
            <w:tcW w:w="2311" w:type="dxa"/>
          </w:tcPr>
          <w:p w:rsidR="00BF22EC" w:rsidRPr="005409DF" w:rsidRDefault="00EE0E31" w:rsidP="006D2F42">
            <w:pPr>
              <w:keepNext/>
              <w:autoSpaceDE w:val="0"/>
              <w:autoSpaceDN w:val="0"/>
              <w:adjustRightInd w:val="0"/>
              <w:spacing w:before="40" w:after="40"/>
              <w:jc w:val="center"/>
              <w:rPr>
                <w:rFonts w:eastAsia="TimesNewRoman"/>
                <w:color w:val="000000"/>
                <w:sz w:val="20"/>
                <w:szCs w:val="20"/>
              </w:rPr>
            </w:pPr>
            <w:r w:rsidRPr="005409DF">
              <w:rPr>
                <w:rFonts w:eastAsia="TimesNewRoman"/>
                <w:color w:val="000000"/>
                <w:sz w:val="20"/>
                <w:szCs w:val="20"/>
              </w:rPr>
              <w:t>1.96 (2.653)</w:t>
            </w:r>
          </w:p>
        </w:tc>
        <w:tc>
          <w:tcPr>
            <w:tcW w:w="2311" w:type="dxa"/>
          </w:tcPr>
          <w:p w:rsidR="00BF22EC" w:rsidRPr="005409DF" w:rsidRDefault="00EE0E31" w:rsidP="006D2F42">
            <w:pPr>
              <w:keepNext/>
              <w:autoSpaceDE w:val="0"/>
              <w:autoSpaceDN w:val="0"/>
              <w:adjustRightInd w:val="0"/>
              <w:spacing w:before="40" w:after="40"/>
              <w:jc w:val="center"/>
              <w:rPr>
                <w:rFonts w:eastAsia="TimesNewRoman"/>
                <w:color w:val="000000"/>
                <w:sz w:val="20"/>
                <w:szCs w:val="20"/>
              </w:rPr>
            </w:pPr>
            <w:r w:rsidRPr="005409DF">
              <w:rPr>
                <w:rFonts w:eastAsia="TimesNewRoman"/>
                <w:color w:val="000000"/>
                <w:sz w:val="20"/>
                <w:szCs w:val="20"/>
              </w:rPr>
              <w:t>20.28 (8.616)</w:t>
            </w:r>
          </w:p>
        </w:tc>
      </w:tr>
    </w:tbl>
    <w:p w:rsidR="006F0DD4" w:rsidRPr="003658D1" w:rsidRDefault="006F0DD4" w:rsidP="006F0DD4">
      <w:pPr>
        <w:pStyle w:val="DocumentText"/>
        <w:spacing w:after="0"/>
        <w:rPr>
          <w:rFonts w:eastAsia="TimesNewRoman"/>
          <w:color w:val="000000"/>
          <w:sz w:val="20"/>
          <w:szCs w:val="20"/>
        </w:rPr>
      </w:pPr>
      <w:r w:rsidRPr="003658D1">
        <w:rPr>
          <w:rFonts w:eastAsia="TimesNewRoman"/>
          <w:color w:val="000000"/>
          <w:sz w:val="20"/>
          <w:szCs w:val="20"/>
        </w:rPr>
        <w:t>*</w:t>
      </w:r>
      <w:r w:rsidRPr="009E09F1">
        <w:t> </w:t>
      </w:r>
      <w:r w:rsidRPr="003658D1">
        <w:rPr>
          <w:rFonts w:eastAsia="TimesNewRoman"/>
          <w:color w:val="000000"/>
          <w:sz w:val="20"/>
          <w:szCs w:val="20"/>
        </w:rPr>
        <w:t xml:space="preserve">Includes </w:t>
      </w:r>
      <w:r>
        <w:rPr>
          <w:rFonts w:eastAsia="TimesNewRoman"/>
          <w:color w:val="000000"/>
          <w:sz w:val="20"/>
          <w:szCs w:val="20"/>
        </w:rPr>
        <w:t xml:space="preserve">19 </w:t>
      </w:r>
      <w:r w:rsidR="00861002">
        <w:rPr>
          <w:rFonts w:eastAsia="TimesNewRoman"/>
          <w:color w:val="000000"/>
          <w:sz w:val="20"/>
          <w:szCs w:val="20"/>
        </w:rPr>
        <w:t xml:space="preserve">subjects who switched from on </w:t>
      </w:r>
      <w:r w:rsidRPr="003658D1">
        <w:rPr>
          <w:rFonts w:eastAsia="TimesNewRoman"/>
          <w:color w:val="000000"/>
          <w:sz w:val="20"/>
          <w:szCs w:val="20"/>
        </w:rPr>
        <w:t>demand to 7</w:t>
      </w:r>
      <w:r>
        <w:rPr>
          <w:rFonts w:eastAsia="TimesNewRoman"/>
          <w:color w:val="000000"/>
          <w:sz w:val="20"/>
          <w:szCs w:val="20"/>
        </w:rPr>
        <w:t> </w:t>
      </w:r>
      <w:r w:rsidRPr="003658D1">
        <w:rPr>
          <w:rFonts w:eastAsia="TimesNewRoman"/>
          <w:color w:val="000000"/>
          <w:sz w:val="20"/>
          <w:szCs w:val="20"/>
        </w:rPr>
        <w:t>day prophylaxis</w:t>
      </w:r>
      <w:r>
        <w:rPr>
          <w:rFonts w:eastAsia="TimesNewRoman"/>
          <w:color w:val="000000"/>
          <w:sz w:val="20"/>
          <w:szCs w:val="20"/>
        </w:rPr>
        <w:t>.</w:t>
      </w:r>
    </w:p>
    <w:p w:rsidR="00E60D64" w:rsidRDefault="00E60D64" w:rsidP="00A717DA">
      <w:pPr>
        <w:pStyle w:val="DocumentText"/>
        <w:spacing w:after="0"/>
        <w:rPr>
          <w:rFonts w:eastAsia="TimesNewRoman"/>
          <w:color w:val="000000"/>
          <w:sz w:val="20"/>
          <w:szCs w:val="20"/>
        </w:rPr>
      </w:pPr>
      <w:r w:rsidRPr="00601671">
        <w:rPr>
          <w:rFonts w:eastAsia="TimesNewRoman"/>
          <w:color w:val="000000"/>
          <w:sz w:val="20"/>
          <w:szCs w:val="20"/>
        </w:rPr>
        <w:t>Q1</w:t>
      </w:r>
      <w:r w:rsidR="006F0DD4">
        <w:rPr>
          <w:rFonts w:eastAsia="TimesNewRoman"/>
          <w:color w:val="000000"/>
          <w:sz w:val="20"/>
          <w:szCs w:val="20"/>
        </w:rPr>
        <w:t xml:space="preserve"> = </w:t>
      </w:r>
      <w:r w:rsidRPr="00601671">
        <w:rPr>
          <w:rFonts w:eastAsia="TimesNewRoman"/>
          <w:color w:val="000000"/>
          <w:sz w:val="20"/>
          <w:szCs w:val="20"/>
        </w:rPr>
        <w:t>first quartile; Q3</w:t>
      </w:r>
      <w:r w:rsidR="006F0DD4">
        <w:rPr>
          <w:rFonts w:eastAsia="TimesNewRoman"/>
          <w:color w:val="000000"/>
          <w:sz w:val="20"/>
          <w:szCs w:val="20"/>
        </w:rPr>
        <w:t xml:space="preserve"> = </w:t>
      </w:r>
      <w:r w:rsidRPr="00601671">
        <w:rPr>
          <w:rFonts w:eastAsia="TimesNewRoman"/>
          <w:color w:val="000000"/>
          <w:sz w:val="20"/>
          <w:szCs w:val="20"/>
        </w:rPr>
        <w:t>third quartile; SD</w:t>
      </w:r>
      <w:r w:rsidR="006F0DD4">
        <w:rPr>
          <w:rFonts w:eastAsia="TimesNewRoman"/>
          <w:color w:val="000000"/>
          <w:sz w:val="20"/>
          <w:szCs w:val="20"/>
        </w:rPr>
        <w:t xml:space="preserve"> = </w:t>
      </w:r>
      <w:r w:rsidRPr="00601671">
        <w:rPr>
          <w:rFonts w:eastAsia="TimesNewRoman"/>
          <w:color w:val="000000"/>
          <w:sz w:val="20"/>
          <w:szCs w:val="20"/>
        </w:rPr>
        <w:t>standard deviation.</w:t>
      </w:r>
    </w:p>
    <w:p w:rsidR="00A5443D" w:rsidRPr="00601671" w:rsidRDefault="00A5443D" w:rsidP="00A717DA">
      <w:pPr>
        <w:pStyle w:val="DocumentText"/>
        <w:spacing w:after="0"/>
        <w:rPr>
          <w:rFonts w:eastAsia="TimesNewRoman"/>
          <w:color w:val="000000"/>
          <w:sz w:val="20"/>
          <w:szCs w:val="20"/>
        </w:rPr>
      </w:pPr>
    </w:p>
    <w:p w:rsidR="008B2ECA" w:rsidRPr="00957E7B" w:rsidRDefault="0017039A" w:rsidP="008B2ECA">
      <w:pPr>
        <w:autoSpaceDE w:val="0"/>
        <w:autoSpaceDN w:val="0"/>
        <w:adjustRightInd w:val="0"/>
        <w:rPr>
          <w:rFonts w:eastAsia="TimesNewRoman"/>
          <w:color w:val="000000"/>
        </w:rPr>
      </w:pPr>
      <w:r>
        <w:rPr>
          <w:rFonts w:eastAsia="TimesNewRoman"/>
          <w:color w:val="000000"/>
        </w:rPr>
        <w:t>In addition, b</w:t>
      </w:r>
      <w:r w:rsidR="008B2ECA" w:rsidRPr="0067381E">
        <w:rPr>
          <w:rFonts w:eastAsia="TimesNewRoman"/>
          <w:color w:val="000000"/>
        </w:rPr>
        <w:t>ased on a matched pairs design, every 14</w:t>
      </w:r>
      <w:r w:rsidR="00825D55">
        <w:t> </w:t>
      </w:r>
      <w:r w:rsidR="008B2ECA" w:rsidRPr="0067381E">
        <w:rPr>
          <w:rFonts w:eastAsia="TimesNewRoman"/>
          <w:color w:val="000000"/>
        </w:rPr>
        <w:t xml:space="preserve">day prophylaxis with </w:t>
      </w:r>
      <w:r w:rsidR="009D6286">
        <w:t>IDELVION</w:t>
      </w:r>
      <w:r w:rsidR="008B2ECA" w:rsidRPr="00151E18">
        <w:rPr>
          <w:vertAlign w:val="superscript"/>
        </w:rPr>
        <w:t>®</w:t>
      </w:r>
      <w:r w:rsidR="008B2ECA">
        <w:rPr>
          <w:vertAlign w:val="superscript"/>
        </w:rPr>
        <w:t xml:space="preserve"> </w:t>
      </w:r>
      <w:r w:rsidR="008B2ECA" w:rsidRPr="0067381E">
        <w:rPr>
          <w:rFonts w:eastAsia="TimesNewRoman"/>
          <w:color w:val="000000"/>
        </w:rPr>
        <w:t>was demonstrated to be as effective as every 7</w:t>
      </w:r>
      <w:r w:rsidR="00825D55">
        <w:t> </w:t>
      </w:r>
      <w:r w:rsidR="008B2ECA" w:rsidRPr="0067381E">
        <w:rPr>
          <w:rFonts w:eastAsia="TimesNewRoman"/>
          <w:color w:val="000000"/>
        </w:rPr>
        <w:t xml:space="preserve">day prophylaxis with </w:t>
      </w:r>
      <w:r w:rsidR="009D6286">
        <w:t>IDELVION</w:t>
      </w:r>
      <w:r w:rsidR="008B2ECA" w:rsidRPr="00151E18">
        <w:rPr>
          <w:vertAlign w:val="superscript"/>
        </w:rPr>
        <w:t>®</w:t>
      </w:r>
      <w:r w:rsidR="008B2ECA" w:rsidRPr="0067381E">
        <w:rPr>
          <w:rFonts w:eastAsia="TimesNewRoman"/>
          <w:color w:val="000000"/>
        </w:rPr>
        <w:t xml:space="preserve">. The AsBRs for </w:t>
      </w:r>
      <w:r w:rsidR="001245D9">
        <w:rPr>
          <w:rFonts w:eastAsia="TimesNewRoman"/>
          <w:color w:val="000000"/>
        </w:rPr>
        <w:t>7</w:t>
      </w:r>
      <w:r w:rsidR="00825D55">
        <w:t> </w:t>
      </w:r>
      <w:r w:rsidR="001245D9">
        <w:rPr>
          <w:rFonts w:eastAsia="TimesNewRoman"/>
          <w:color w:val="000000"/>
        </w:rPr>
        <w:t>day</w:t>
      </w:r>
      <w:r w:rsidR="001245D9" w:rsidRPr="0067381E">
        <w:rPr>
          <w:rFonts w:eastAsia="TimesNewRoman"/>
          <w:color w:val="000000"/>
        </w:rPr>
        <w:t xml:space="preserve"> </w:t>
      </w:r>
      <w:r w:rsidR="008B2ECA" w:rsidRPr="0067381E">
        <w:rPr>
          <w:rFonts w:eastAsia="TimesNewRoman"/>
          <w:color w:val="000000"/>
        </w:rPr>
        <w:t>and 14</w:t>
      </w:r>
      <w:r w:rsidR="00550A4D">
        <w:rPr>
          <w:rFonts w:eastAsia="TimesNewRoman"/>
          <w:color w:val="000000"/>
        </w:rPr>
        <w:t> </w:t>
      </w:r>
      <w:r w:rsidR="008B2ECA" w:rsidRPr="0067381E">
        <w:rPr>
          <w:rFonts w:eastAsia="TimesNewRoman"/>
          <w:color w:val="000000"/>
        </w:rPr>
        <w:t xml:space="preserve">day prophylaxis </w:t>
      </w:r>
      <w:r w:rsidR="008B2ECA" w:rsidRPr="00957E7B">
        <w:rPr>
          <w:rFonts w:eastAsia="TimesNewRoman"/>
          <w:color w:val="000000"/>
        </w:rPr>
        <w:t>are summari</w:t>
      </w:r>
      <w:r w:rsidR="007E4F53">
        <w:rPr>
          <w:rFonts w:eastAsia="TimesNewRoman"/>
          <w:color w:val="000000"/>
        </w:rPr>
        <w:t>s</w:t>
      </w:r>
      <w:r w:rsidR="008B2ECA" w:rsidRPr="00957E7B">
        <w:rPr>
          <w:rFonts w:eastAsia="TimesNewRoman"/>
          <w:color w:val="000000"/>
        </w:rPr>
        <w:t xml:space="preserve">ed in </w:t>
      </w:r>
      <w:r w:rsidR="008B2ECA" w:rsidRPr="00957E7B">
        <w:rPr>
          <w:rFonts w:eastAsia="TimesNewRoman"/>
          <w:b/>
          <w:color w:val="000000"/>
        </w:rPr>
        <w:t>Table</w:t>
      </w:r>
      <w:r w:rsidR="005B2EE5">
        <w:rPr>
          <w:rFonts w:eastAsia="TimesNewRoman"/>
          <w:b/>
          <w:color w:val="000000"/>
        </w:rPr>
        <w:t> </w:t>
      </w:r>
      <w:r w:rsidR="001F37DA">
        <w:rPr>
          <w:rFonts w:eastAsia="TimesNewRoman"/>
          <w:b/>
          <w:color w:val="000000"/>
        </w:rPr>
        <w:t>6</w:t>
      </w:r>
      <w:r w:rsidR="008B2ECA" w:rsidRPr="00957E7B">
        <w:rPr>
          <w:rFonts w:eastAsia="TimesNewRoman"/>
          <w:color w:val="000000"/>
        </w:rPr>
        <w:t>.</w:t>
      </w:r>
    </w:p>
    <w:p w:rsidR="008B2ECA" w:rsidRPr="00A22F3F" w:rsidRDefault="008B2ECA" w:rsidP="006D2F42">
      <w:pPr>
        <w:pStyle w:val="Caption"/>
      </w:pPr>
      <w:r w:rsidRPr="00957E7B">
        <w:t xml:space="preserve">Table </w:t>
      </w:r>
      <w:r w:rsidR="001F37DA">
        <w:t>6</w:t>
      </w:r>
      <w:r w:rsidRPr="00957E7B">
        <w:t xml:space="preserve">: </w:t>
      </w:r>
      <w:r w:rsidR="005F3F8F">
        <w:t>Study</w:t>
      </w:r>
      <w:r w:rsidR="00DA60C8" w:rsidRPr="00A00251">
        <w:t> </w:t>
      </w:r>
      <w:r w:rsidR="005F3F8F">
        <w:t>3001</w:t>
      </w:r>
      <w:r w:rsidR="00DD5831">
        <w:t>;</w:t>
      </w:r>
      <w:r w:rsidR="005F3F8F">
        <w:t xml:space="preserve"> </w:t>
      </w:r>
      <w:r w:rsidRPr="00957E7B">
        <w:t>Comparison of annuali</w:t>
      </w:r>
      <w:r w:rsidR="0078783B">
        <w:t>s</w:t>
      </w:r>
      <w:r w:rsidRPr="00A22F3F">
        <w:t>ed bleeding rate by prophylaxis regimen</w:t>
      </w:r>
    </w:p>
    <w:tbl>
      <w:tblPr>
        <w:tblStyle w:val="TableGrid"/>
        <w:tblW w:w="0" w:type="auto"/>
        <w:tblInd w:w="108" w:type="dxa"/>
        <w:tblLook w:val="04A0" w:firstRow="1" w:lastRow="0" w:firstColumn="1" w:lastColumn="0" w:noHBand="0" w:noVBand="1"/>
      </w:tblPr>
      <w:tblGrid>
        <w:gridCol w:w="2410"/>
        <w:gridCol w:w="2268"/>
        <w:gridCol w:w="1843"/>
        <w:gridCol w:w="1984"/>
      </w:tblGrid>
      <w:tr w:rsidR="00C711E2" w:rsidRPr="00105A30" w:rsidTr="00281984">
        <w:tc>
          <w:tcPr>
            <w:tcW w:w="2410" w:type="dxa"/>
            <w:shd w:val="pct15" w:color="auto" w:fill="auto"/>
          </w:tcPr>
          <w:p w:rsidR="00C711E2" w:rsidRPr="00105A30" w:rsidRDefault="00C711E2" w:rsidP="006D2F42">
            <w:pPr>
              <w:keepNext/>
              <w:autoSpaceDE w:val="0"/>
              <w:autoSpaceDN w:val="0"/>
              <w:adjustRightInd w:val="0"/>
              <w:spacing w:before="40" w:after="40"/>
              <w:rPr>
                <w:rFonts w:eastAsia="TimesNewRoman"/>
                <w:b/>
                <w:color w:val="000000"/>
                <w:sz w:val="20"/>
                <w:szCs w:val="20"/>
              </w:rPr>
            </w:pPr>
            <w:r w:rsidRPr="00105A30">
              <w:rPr>
                <w:rFonts w:eastAsia="TimesNewRoman"/>
                <w:b/>
                <w:color w:val="000000"/>
                <w:sz w:val="20"/>
                <w:szCs w:val="20"/>
              </w:rPr>
              <w:t xml:space="preserve">Bleeding episode </w:t>
            </w:r>
            <w:r w:rsidR="00CA55C3">
              <w:rPr>
                <w:rFonts w:eastAsia="TimesNewRoman"/>
                <w:b/>
                <w:color w:val="000000"/>
                <w:sz w:val="20"/>
                <w:szCs w:val="20"/>
              </w:rPr>
              <w:t>a</w:t>
            </w:r>
            <w:r w:rsidRPr="00105A30">
              <w:rPr>
                <w:rFonts w:eastAsia="TimesNewRoman"/>
                <w:b/>
                <w:color w:val="000000"/>
                <w:sz w:val="20"/>
                <w:szCs w:val="20"/>
              </w:rPr>
              <w:t>etiology</w:t>
            </w:r>
          </w:p>
        </w:tc>
        <w:tc>
          <w:tcPr>
            <w:tcW w:w="2268" w:type="dxa"/>
            <w:shd w:val="pct15" w:color="auto" w:fill="auto"/>
          </w:tcPr>
          <w:p w:rsidR="00C711E2" w:rsidRPr="00105A30" w:rsidRDefault="00C711E2" w:rsidP="006D2F42">
            <w:pPr>
              <w:keepNext/>
              <w:autoSpaceDE w:val="0"/>
              <w:autoSpaceDN w:val="0"/>
              <w:adjustRightInd w:val="0"/>
              <w:spacing w:before="40" w:after="40"/>
              <w:jc w:val="center"/>
              <w:rPr>
                <w:rFonts w:eastAsia="TimesNewRoman"/>
                <w:b/>
                <w:color w:val="000000"/>
                <w:sz w:val="20"/>
                <w:szCs w:val="20"/>
              </w:rPr>
            </w:pPr>
            <w:r w:rsidRPr="00105A30">
              <w:rPr>
                <w:rFonts w:eastAsia="TimesNewRoman"/>
                <w:b/>
                <w:color w:val="000000"/>
                <w:sz w:val="20"/>
                <w:szCs w:val="20"/>
              </w:rPr>
              <w:t>7 day prophylaxis</w:t>
            </w:r>
          </w:p>
          <w:p w:rsidR="00C711E2" w:rsidRPr="00105A30" w:rsidRDefault="00C711E2" w:rsidP="006D2F42">
            <w:pPr>
              <w:keepNext/>
              <w:autoSpaceDE w:val="0"/>
              <w:autoSpaceDN w:val="0"/>
              <w:adjustRightInd w:val="0"/>
              <w:spacing w:before="40" w:after="40"/>
              <w:jc w:val="center"/>
              <w:rPr>
                <w:rFonts w:eastAsia="TimesNewRoman"/>
                <w:b/>
                <w:color w:val="000000"/>
                <w:sz w:val="20"/>
                <w:szCs w:val="20"/>
              </w:rPr>
            </w:pPr>
            <w:r w:rsidRPr="00105A30">
              <w:rPr>
                <w:rFonts w:eastAsia="TimesNewRoman"/>
                <w:b/>
                <w:color w:val="000000"/>
                <w:sz w:val="20"/>
                <w:szCs w:val="20"/>
              </w:rPr>
              <w:t>(N = 21)</w:t>
            </w:r>
          </w:p>
        </w:tc>
        <w:tc>
          <w:tcPr>
            <w:tcW w:w="1843" w:type="dxa"/>
            <w:shd w:val="pct15" w:color="auto" w:fill="auto"/>
          </w:tcPr>
          <w:p w:rsidR="00C711E2" w:rsidRPr="00105A30" w:rsidRDefault="00C711E2" w:rsidP="006D2F42">
            <w:pPr>
              <w:keepNext/>
              <w:autoSpaceDE w:val="0"/>
              <w:autoSpaceDN w:val="0"/>
              <w:adjustRightInd w:val="0"/>
              <w:spacing w:before="40" w:after="40"/>
              <w:jc w:val="center"/>
              <w:rPr>
                <w:rFonts w:eastAsia="TimesNewRoman"/>
                <w:b/>
                <w:color w:val="000000"/>
                <w:sz w:val="20"/>
                <w:szCs w:val="20"/>
              </w:rPr>
            </w:pPr>
            <w:r w:rsidRPr="00105A30">
              <w:rPr>
                <w:rFonts w:eastAsia="TimesNewRoman"/>
                <w:b/>
                <w:color w:val="000000"/>
                <w:sz w:val="20"/>
                <w:szCs w:val="20"/>
              </w:rPr>
              <w:t>14 day prophylaxis</w:t>
            </w:r>
          </w:p>
          <w:p w:rsidR="00C711E2" w:rsidRPr="00105A30" w:rsidRDefault="00C711E2" w:rsidP="006D2F42">
            <w:pPr>
              <w:keepNext/>
              <w:autoSpaceDE w:val="0"/>
              <w:autoSpaceDN w:val="0"/>
              <w:adjustRightInd w:val="0"/>
              <w:spacing w:before="40" w:after="40"/>
              <w:jc w:val="center"/>
              <w:rPr>
                <w:rFonts w:eastAsia="TimesNewRoman"/>
                <w:b/>
                <w:color w:val="000000"/>
                <w:sz w:val="20"/>
                <w:szCs w:val="20"/>
              </w:rPr>
            </w:pPr>
            <w:r w:rsidRPr="00105A30">
              <w:rPr>
                <w:rFonts w:eastAsia="TimesNewRoman"/>
                <w:b/>
                <w:color w:val="000000"/>
                <w:sz w:val="20"/>
                <w:szCs w:val="20"/>
              </w:rPr>
              <w:t>(N = 21)</w:t>
            </w:r>
          </w:p>
        </w:tc>
        <w:tc>
          <w:tcPr>
            <w:tcW w:w="1984" w:type="dxa"/>
            <w:shd w:val="pct15" w:color="auto" w:fill="auto"/>
          </w:tcPr>
          <w:p w:rsidR="00C711E2" w:rsidRPr="00105A30" w:rsidRDefault="00C711E2" w:rsidP="006D2F42">
            <w:pPr>
              <w:keepNext/>
              <w:autoSpaceDE w:val="0"/>
              <w:autoSpaceDN w:val="0"/>
              <w:adjustRightInd w:val="0"/>
              <w:spacing w:before="40" w:after="40"/>
              <w:jc w:val="center"/>
              <w:rPr>
                <w:rFonts w:eastAsia="TimesNewRoman"/>
                <w:b/>
                <w:color w:val="000000"/>
                <w:sz w:val="20"/>
                <w:szCs w:val="20"/>
              </w:rPr>
            </w:pPr>
            <w:r w:rsidRPr="00C711E2">
              <w:rPr>
                <w:rFonts w:eastAsia="TimesNewRoman"/>
                <w:b/>
                <w:color w:val="000000"/>
                <w:sz w:val="20"/>
                <w:szCs w:val="20"/>
              </w:rPr>
              <w:t>Mean difference (95% CI)*</w:t>
            </w:r>
          </w:p>
        </w:tc>
      </w:tr>
      <w:tr w:rsidR="00C711E2" w:rsidRPr="005409DF" w:rsidTr="00281984">
        <w:tc>
          <w:tcPr>
            <w:tcW w:w="2410" w:type="dxa"/>
          </w:tcPr>
          <w:p w:rsidR="00C711E2" w:rsidRPr="005409DF" w:rsidRDefault="00C711E2" w:rsidP="006D2F42">
            <w:pPr>
              <w:pStyle w:val="Default"/>
              <w:keepNext/>
              <w:spacing w:before="40" w:after="40" w:line="240" w:lineRule="auto"/>
              <w:rPr>
                <w:sz w:val="20"/>
                <w:szCs w:val="20"/>
              </w:rPr>
            </w:pPr>
            <w:r w:rsidRPr="005409DF">
              <w:rPr>
                <w:b/>
                <w:bCs/>
                <w:sz w:val="20"/>
                <w:szCs w:val="20"/>
              </w:rPr>
              <w:t>Spontaneous</w:t>
            </w:r>
          </w:p>
          <w:p w:rsidR="00C711E2" w:rsidRPr="005409DF" w:rsidRDefault="00C711E2" w:rsidP="006D2F42">
            <w:pPr>
              <w:pStyle w:val="Default"/>
              <w:keepNext/>
              <w:spacing w:before="40" w:after="40"/>
              <w:ind w:left="284" w:hanging="284"/>
              <w:rPr>
                <w:sz w:val="20"/>
                <w:szCs w:val="20"/>
                <w:lang w:eastAsia="en-AU"/>
              </w:rPr>
            </w:pPr>
            <w:r>
              <w:rPr>
                <w:sz w:val="20"/>
                <w:szCs w:val="20"/>
              </w:rPr>
              <w:tab/>
            </w:r>
            <w:r w:rsidRPr="005409DF">
              <w:rPr>
                <w:sz w:val="20"/>
                <w:szCs w:val="20"/>
              </w:rPr>
              <w:t>Median</w:t>
            </w:r>
            <w:r>
              <w:rPr>
                <w:sz w:val="20"/>
                <w:szCs w:val="20"/>
              </w:rPr>
              <w:t xml:space="preserve"> </w:t>
            </w:r>
            <w:r w:rsidRPr="005409DF">
              <w:rPr>
                <w:rFonts w:eastAsia="TimesNewRoman"/>
                <w:sz w:val="20"/>
                <w:szCs w:val="20"/>
              </w:rPr>
              <w:t>(Q1, Q3)</w:t>
            </w:r>
          </w:p>
          <w:p w:rsidR="00C711E2" w:rsidRPr="005409DF" w:rsidRDefault="00C711E2" w:rsidP="006D2F42">
            <w:pPr>
              <w:pStyle w:val="Default"/>
              <w:keepNext/>
              <w:spacing w:before="40" w:after="40"/>
              <w:ind w:left="284" w:hanging="284"/>
              <w:rPr>
                <w:rFonts w:eastAsia="TimesNewRoman"/>
                <w:sz w:val="20"/>
                <w:szCs w:val="20"/>
              </w:rPr>
            </w:pPr>
            <w:r>
              <w:rPr>
                <w:sz w:val="20"/>
                <w:szCs w:val="20"/>
              </w:rPr>
              <w:tab/>
            </w:r>
            <w:r w:rsidRPr="005409DF">
              <w:rPr>
                <w:sz w:val="20"/>
                <w:szCs w:val="20"/>
              </w:rPr>
              <w:t>Mean (SD)</w:t>
            </w:r>
          </w:p>
        </w:tc>
        <w:tc>
          <w:tcPr>
            <w:tcW w:w="2268" w:type="dxa"/>
          </w:tcPr>
          <w:p w:rsidR="00C711E2" w:rsidRDefault="00C711E2" w:rsidP="006D2F42">
            <w:pPr>
              <w:pStyle w:val="Default"/>
              <w:keepNext/>
              <w:spacing w:before="40" w:after="40" w:line="240" w:lineRule="auto"/>
              <w:jc w:val="center"/>
              <w:rPr>
                <w:sz w:val="20"/>
                <w:szCs w:val="20"/>
              </w:rPr>
            </w:pPr>
          </w:p>
          <w:p w:rsidR="00C711E2" w:rsidRPr="005409DF" w:rsidRDefault="00C711E2" w:rsidP="006D2F42">
            <w:pPr>
              <w:pStyle w:val="Default"/>
              <w:keepNext/>
              <w:spacing w:before="40" w:after="40"/>
              <w:jc w:val="center"/>
              <w:rPr>
                <w:sz w:val="20"/>
                <w:szCs w:val="20"/>
              </w:rPr>
            </w:pPr>
            <w:r w:rsidRPr="005409DF">
              <w:rPr>
                <w:sz w:val="20"/>
                <w:szCs w:val="20"/>
              </w:rPr>
              <w:t>0</w:t>
            </w:r>
            <w:r>
              <w:rPr>
                <w:sz w:val="20"/>
                <w:szCs w:val="20"/>
              </w:rPr>
              <w:t xml:space="preserve"> (</w:t>
            </w:r>
            <w:r w:rsidRPr="005409DF">
              <w:rPr>
                <w:sz w:val="20"/>
                <w:szCs w:val="20"/>
              </w:rPr>
              <w:t>0, 0</w:t>
            </w:r>
            <w:r>
              <w:rPr>
                <w:sz w:val="20"/>
                <w:szCs w:val="20"/>
              </w:rPr>
              <w:t>)</w:t>
            </w:r>
          </w:p>
          <w:p w:rsidR="00C711E2" w:rsidRPr="005409DF" w:rsidRDefault="00C711E2" w:rsidP="006D2F42">
            <w:pPr>
              <w:pStyle w:val="Default"/>
              <w:keepNext/>
              <w:spacing w:before="40" w:after="40" w:line="240" w:lineRule="auto"/>
              <w:jc w:val="center"/>
              <w:rPr>
                <w:rFonts w:eastAsia="TimesNewRoman"/>
                <w:sz w:val="20"/>
                <w:szCs w:val="20"/>
              </w:rPr>
            </w:pPr>
            <w:r w:rsidRPr="005409DF">
              <w:rPr>
                <w:sz w:val="20"/>
                <w:szCs w:val="20"/>
              </w:rPr>
              <w:t>0.28 (1.010)</w:t>
            </w:r>
          </w:p>
        </w:tc>
        <w:tc>
          <w:tcPr>
            <w:tcW w:w="1843" w:type="dxa"/>
          </w:tcPr>
          <w:p w:rsidR="00C711E2" w:rsidRDefault="00C711E2" w:rsidP="006D2F42">
            <w:pPr>
              <w:pStyle w:val="Default"/>
              <w:keepNext/>
              <w:spacing w:before="40" w:after="40" w:line="240" w:lineRule="auto"/>
              <w:jc w:val="center"/>
              <w:rPr>
                <w:sz w:val="20"/>
                <w:szCs w:val="20"/>
              </w:rPr>
            </w:pPr>
          </w:p>
          <w:p w:rsidR="00C711E2" w:rsidRPr="005409DF" w:rsidRDefault="00C711E2" w:rsidP="006D2F42">
            <w:pPr>
              <w:pStyle w:val="Default"/>
              <w:keepNext/>
              <w:spacing w:before="40" w:after="40"/>
              <w:jc w:val="center"/>
              <w:rPr>
                <w:sz w:val="20"/>
                <w:szCs w:val="20"/>
              </w:rPr>
            </w:pPr>
            <w:r w:rsidRPr="005409DF">
              <w:rPr>
                <w:sz w:val="20"/>
                <w:szCs w:val="20"/>
              </w:rPr>
              <w:t>0</w:t>
            </w:r>
            <w:r>
              <w:rPr>
                <w:sz w:val="20"/>
                <w:szCs w:val="20"/>
              </w:rPr>
              <w:t xml:space="preserve"> (</w:t>
            </w:r>
            <w:r w:rsidRPr="005409DF">
              <w:rPr>
                <w:sz w:val="20"/>
                <w:szCs w:val="20"/>
              </w:rPr>
              <w:t>0, 1.00</w:t>
            </w:r>
            <w:r>
              <w:rPr>
                <w:sz w:val="20"/>
                <w:szCs w:val="20"/>
              </w:rPr>
              <w:t>)</w:t>
            </w:r>
          </w:p>
          <w:p w:rsidR="00C711E2" w:rsidRPr="005409DF" w:rsidRDefault="00C711E2" w:rsidP="006D2F42">
            <w:pPr>
              <w:pStyle w:val="Default"/>
              <w:keepNext/>
              <w:spacing w:before="40" w:after="40" w:line="240" w:lineRule="auto"/>
              <w:jc w:val="center"/>
              <w:rPr>
                <w:rFonts w:eastAsia="TimesNewRoman"/>
                <w:sz w:val="20"/>
                <w:szCs w:val="20"/>
              </w:rPr>
            </w:pPr>
            <w:r w:rsidRPr="005409DF">
              <w:rPr>
                <w:sz w:val="20"/>
                <w:szCs w:val="20"/>
              </w:rPr>
              <w:t>1.07 (2.114)</w:t>
            </w:r>
          </w:p>
        </w:tc>
        <w:tc>
          <w:tcPr>
            <w:tcW w:w="1984" w:type="dxa"/>
          </w:tcPr>
          <w:p w:rsidR="00C711E2" w:rsidRDefault="00C711E2" w:rsidP="006D2F42">
            <w:pPr>
              <w:pStyle w:val="Default"/>
              <w:keepNext/>
              <w:spacing w:before="40" w:after="40"/>
              <w:jc w:val="center"/>
              <w:rPr>
                <w:sz w:val="20"/>
                <w:szCs w:val="20"/>
              </w:rPr>
            </w:pPr>
          </w:p>
          <w:p w:rsidR="00C711E2" w:rsidRDefault="00C711E2" w:rsidP="006D2F42">
            <w:pPr>
              <w:pStyle w:val="Default"/>
              <w:keepNext/>
              <w:spacing w:before="40" w:after="40"/>
              <w:jc w:val="center"/>
              <w:rPr>
                <w:sz w:val="20"/>
                <w:szCs w:val="20"/>
              </w:rPr>
            </w:pPr>
            <w:r w:rsidRPr="00C711E2">
              <w:rPr>
                <w:sz w:val="20"/>
                <w:szCs w:val="20"/>
              </w:rPr>
              <w:t>-0.79 (-1.780, 0.197)</w:t>
            </w:r>
          </w:p>
        </w:tc>
      </w:tr>
    </w:tbl>
    <w:p w:rsidR="008B2ECA" w:rsidRPr="005409DF" w:rsidRDefault="008B2ECA" w:rsidP="00105A30">
      <w:pPr>
        <w:pStyle w:val="DocumentText"/>
        <w:spacing w:after="0"/>
        <w:rPr>
          <w:sz w:val="20"/>
          <w:szCs w:val="20"/>
        </w:rPr>
      </w:pPr>
      <w:r w:rsidRPr="005409DF">
        <w:rPr>
          <w:sz w:val="20"/>
          <w:szCs w:val="20"/>
        </w:rPr>
        <w:t>*</w:t>
      </w:r>
      <w:r w:rsidR="00105A30" w:rsidRPr="009E09F1">
        <w:t> </w:t>
      </w:r>
      <w:r w:rsidR="00C711E2" w:rsidRPr="00C711E2">
        <w:rPr>
          <w:sz w:val="20"/>
          <w:szCs w:val="20"/>
        </w:rPr>
        <w:t>95% CI based on t-test from matched pairs design.</w:t>
      </w:r>
    </w:p>
    <w:p w:rsidR="00A5443D" w:rsidRDefault="00CA24D1" w:rsidP="00FD20F8">
      <w:pPr>
        <w:autoSpaceDE w:val="0"/>
        <w:autoSpaceDN w:val="0"/>
        <w:adjustRightInd w:val="0"/>
        <w:rPr>
          <w:rFonts w:eastAsia="TimesNewRoman"/>
          <w:color w:val="000000"/>
          <w:sz w:val="20"/>
          <w:szCs w:val="20"/>
        </w:rPr>
      </w:pPr>
      <w:r w:rsidRPr="00601671">
        <w:rPr>
          <w:rFonts w:eastAsia="TimesNewRoman"/>
          <w:color w:val="000000"/>
          <w:sz w:val="20"/>
          <w:szCs w:val="20"/>
        </w:rPr>
        <w:t>Q1</w:t>
      </w:r>
      <w:r w:rsidR="00281984">
        <w:rPr>
          <w:rFonts w:eastAsia="TimesNewRoman"/>
          <w:color w:val="000000"/>
          <w:sz w:val="20"/>
          <w:szCs w:val="20"/>
        </w:rPr>
        <w:t xml:space="preserve"> = </w:t>
      </w:r>
      <w:r w:rsidRPr="00601671">
        <w:rPr>
          <w:rFonts w:eastAsia="TimesNewRoman"/>
          <w:color w:val="000000"/>
          <w:sz w:val="20"/>
          <w:szCs w:val="20"/>
        </w:rPr>
        <w:t>first quartile; Q3</w:t>
      </w:r>
      <w:r w:rsidR="00281984">
        <w:rPr>
          <w:rFonts w:eastAsia="TimesNewRoman"/>
          <w:color w:val="000000"/>
          <w:sz w:val="20"/>
          <w:szCs w:val="20"/>
        </w:rPr>
        <w:t xml:space="preserve"> = </w:t>
      </w:r>
      <w:r w:rsidRPr="00601671">
        <w:rPr>
          <w:rFonts w:eastAsia="TimesNewRoman"/>
          <w:color w:val="000000"/>
          <w:sz w:val="20"/>
          <w:szCs w:val="20"/>
        </w:rPr>
        <w:t>third quartile; SD</w:t>
      </w:r>
      <w:r w:rsidR="00281984">
        <w:rPr>
          <w:rFonts w:eastAsia="TimesNewRoman"/>
          <w:color w:val="000000"/>
          <w:sz w:val="20"/>
          <w:szCs w:val="20"/>
        </w:rPr>
        <w:t xml:space="preserve"> = </w:t>
      </w:r>
      <w:r w:rsidRPr="00601671">
        <w:rPr>
          <w:rFonts w:eastAsia="TimesNewRoman"/>
          <w:color w:val="000000"/>
          <w:sz w:val="20"/>
          <w:szCs w:val="20"/>
        </w:rPr>
        <w:t>standard deviation.</w:t>
      </w:r>
    </w:p>
    <w:p w:rsidR="00FD20F8" w:rsidRPr="00957E7B" w:rsidRDefault="005F3F8F" w:rsidP="00FD20F8">
      <w:pPr>
        <w:autoSpaceDE w:val="0"/>
        <w:autoSpaceDN w:val="0"/>
        <w:adjustRightInd w:val="0"/>
        <w:rPr>
          <w:rFonts w:eastAsia="TimesNewRoman"/>
          <w:color w:val="000000"/>
        </w:rPr>
      </w:pPr>
      <w:r>
        <w:t>In Study</w:t>
      </w:r>
      <w:r w:rsidR="00DA60C8" w:rsidRPr="00A00251">
        <w:t> </w:t>
      </w:r>
      <w:r>
        <w:t>3001, 23</w:t>
      </w:r>
      <w:r w:rsidR="001D4EC0" w:rsidRPr="00DB311B">
        <w:t xml:space="preserve"> subjects in the on demand arm received </w:t>
      </w:r>
      <w:r w:rsidR="009D6286">
        <w:t>IDELVION</w:t>
      </w:r>
      <w:r w:rsidR="001D4EC0" w:rsidRPr="00DB311B">
        <w:rPr>
          <w:vertAlign w:val="superscript"/>
        </w:rPr>
        <w:t>®</w:t>
      </w:r>
      <w:r w:rsidR="001D4EC0" w:rsidRPr="00DB311B">
        <w:t xml:space="preserve"> as needed for the treatment of bleeding episodes</w:t>
      </w:r>
      <w:r>
        <w:t>.</w:t>
      </w:r>
      <w:r w:rsidR="008C302C">
        <w:t xml:space="preserve"> </w:t>
      </w:r>
      <w:r w:rsidR="00B0568A">
        <w:t>Nineteen</w:t>
      </w:r>
      <w:r w:rsidR="00FE3FE8">
        <w:t xml:space="preserve"> </w:t>
      </w:r>
      <w:r w:rsidR="001D4EC0" w:rsidRPr="00DB311B">
        <w:t xml:space="preserve">subjects subsequently crossed-over </w:t>
      </w:r>
      <w:r w:rsidR="001D4EC0" w:rsidRPr="00CA24D1">
        <w:t>to weekly prophylaxis</w:t>
      </w:r>
      <w:r w:rsidR="001D4EC0" w:rsidRPr="00DB311B">
        <w:t xml:space="preserve"> after approximately 26</w:t>
      </w:r>
      <w:r w:rsidR="00825D55">
        <w:t> </w:t>
      </w:r>
      <w:r w:rsidR="001D4EC0" w:rsidRPr="00DB311B">
        <w:t>weeks of episodic treatment.</w:t>
      </w:r>
      <w:r w:rsidR="001D4EC0">
        <w:t xml:space="preserve"> </w:t>
      </w:r>
      <w:r w:rsidR="001D4EC0">
        <w:rPr>
          <w:rFonts w:eastAsia="TimesNewRoman"/>
          <w:color w:val="000000"/>
        </w:rPr>
        <w:t xml:space="preserve">These subjects </w:t>
      </w:r>
      <w:r w:rsidR="00FD20F8" w:rsidRPr="004407E9">
        <w:rPr>
          <w:rFonts w:eastAsia="TimesNewRoman"/>
          <w:color w:val="000000"/>
        </w:rPr>
        <w:t>showed a statistically significant reduction in the rate of</w:t>
      </w:r>
      <w:r w:rsidR="00FD20F8">
        <w:rPr>
          <w:rFonts w:eastAsia="TimesNewRoman"/>
          <w:color w:val="000000"/>
        </w:rPr>
        <w:t xml:space="preserve"> </w:t>
      </w:r>
      <w:r w:rsidR="00FD20F8" w:rsidRPr="004407E9">
        <w:rPr>
          <w:rFonts w:eastAsia="TimesNewRoman"/>
          <w:color w:val="000000"/>
        </w:rPr>
        <w:t>spontaneous and total bleeding episodes after switching from on</w:t>
      </w:r>
      <w:r w:rsidR="0028436A">
        <w:rPr>
          <w:rFonts w:eastAsia="TimesNewRoman"/>
          <w:color w:val="000000"/>
        </w:rPr>
        <w:t xml:space="preserve"> </w:t>
      </w:r>
      <w:r w:rsidR="00FD20F8" w:rsidRPr="004407E9">
        <w:rPr>
          <w:rFonts w:eastAsia="TimesNewRoman"/>
          <w:color w:val="000000"/>
        </w:rPr>
        <w:t>demand treatment to</w:t>
      </w:r>
      <w:r w:rsidR="00FD20F8">
        <w:rPr>
          <w:rFonts w:eastAsia="TimesNewRoman"/>
          <w:color w:val="000000"/>
        </w:rPr>
        <w:t xml:space="preserve"> </w:t>
      </w:r>
      <w:r w:rsidR="00FD20F8" w:rsidRPr="004407E9">
        <w:rPr>
          <w:rFonts w:eastAsia="TimesNewRoman"/>
          <w:color w:val="000000"/>
        </w:rPr>
        <w:t>prophylaxis. During on</w:t>
      </w:r>
      <w:r w:rsidR="0028436A">
        <w:rPr>
          <w:rFonts w:eastAsia="TimesNewRoman"/>
          <w:color w:val="000000"/>
        </w:rPr>
        <w:t xml:space="preserve"> </w:t>
      </w:r>
      <w:r w:rsidR="00FD20F8" w:rsidRPr="004407E9">
        <w:rPr>
          <w:rFonts w:eastAsia="TimesNewRoman"/>
          <w:color w:val="000000"/>
        </w:rPr>
        <w:t xml:space="preserve">demand treatment, </w:t>
      </w:r>
      <w:r w:rsidR="00FD20F8">
        <w:rPr>
          <w:rFonts w:eastAsia="TimesNewRoman"/>
          <w:color w:val="000000"/>
        </w:rPr>
        <w:t xml:space="preserve">the </w:t>
      </w:r>
      <w:r w:rsidR="00FD20F8" w:rsidRPr="004407E9">
        <w:rPr>
          <w:rFonts w:eastAsia="TimesNewRoman"/>
          <w:color w:val="000000"/>
        </w:rPr>
        <w:lastRenderedPageBreak/>
        <w:t>subjects had a median AsBR of</w:t>
      </w:r>
      <w:r w:rsidR="00FD20F8">
        <w:rPr>
          <w:rFonts w:eastAsia="TimesNewRoman"/>
          <w:color w:val="000000"/>
        </w:rPr>
        <w:t xml:space="preserve"> </w:t>
      </w:r>
      <w:r w:rsidR="00FD20F8" w:rsidRPr="004407E9">
        <w:rPr>
          <w:rFonts w:eastAsia="TimesNewRoman"/>
          <w:color w:val="000000"/>
        </w:rPr>
        <w:t>15.4</w:t>
      </w:r>
      <w:r w:rsidR="00825D55">
        <w:t> </w:t>
      </w:r>
      <w:r w:rsidR="00FD20F8" w:rsidRPr="004407E9">
        <w:rPr>
          <w:rFonts w:eastAsia="TimesNewRoman"/>
          <w:color w:val="000000"/>
        </w:rPr>
        <w:t>bleeding episodes per year per subject. After switching to weekly prophylaxis treatment,</w:t>
      </w:r>
      <w:r w:rsidR="00FD20F8">
        <w:rPr>
          <w:rFonts w:eastAsia="TimesNewRoman"/>
          <w:color w:val="000000"/>
        </w:rPr>
        <w:t xml:space="preserve"> </w:t>
      </w:r>
      <w:r w:rsidR="00FD20F8" w:rsidRPr="004407E9">
        <w:rPr>
          <w:rFonts w:eastAsia="TimesNewRoman"/>
          <w:color w:val="000000"/>
        </w:rPr>
        <w:t>the median AsBR was 0.00</w:t>
      </w:r>
      <w:r w:rsidR="00825D55">
        <w:t> </w:t>
      </w:r>
      <w:r w:rsidR="00FD20F8" w:rsidRPr="004407E9">
        <w:rPr>
          <w:rFonts w:eastAsia="TimesNewRoman"/>
          <w:color w:val="000000"/>
        </w:rPr>
        <w:t>bleeding episodes per year per subject. The corresponding median</w:t>
      </w:r>
      <w:r w:rsidR="00FD20F8">
        <w:rPr>
          <w:rFonts w:eastAsia="TimesNewRoman"/>
          <w:color w:val="000000"/>
        </w:rPr>
        <w:t xml:space="preserve"> </w:t>
      </w:r>
      <w:r w:rsidR="00FD20F8" w:rsidRPr="004407E9">
        <w:rPr>
          <w:rFonts w:eastAsia="TimesNewRoman"/>
          <w:color w:val="000000"/>
        </w:rPr>
        <w:t>and mean percent reductions in AsBR were 100% and 96.</w:t>
      </w:r>
      <w:r w:rsidR="00FD20F8" w:rsidRPr="00957E7B">
        <w:rPr>
          <w:rFonts w:eastAsia="TimesNewRoman"/>
          <w:color w:val="000000"/>
        </w:rPr>
        <w:t>0%</w:t>
      </w:r>
      <w:r w:rsidR="00825D55">
        <w:t> </w:t>
      </w:r>
      <w:r w:rsidR="00FD20F8" w:rsidRPr="00957E7B">
        <w:rPr>
          <w:rFonts w:eastAsia="TimesNewRoman"/>
          <w:color w:val="000000"/>
        </w:rPr>
        <w:t>(</w:t>
      </w:r>
      <w:r w:rsidR="00FD20F8" w:rsidRPr="00957E7B">
        <w:rPr>
          <w:rFonts w:eastAsia="TimesNewRoman,Italic"/>
          <w:i/>
          <w:iCs/>
          <w:color w:val="000000"/>
        </w:rPr>
        <w:t xml:space="preserve">P </w:t>
      </w:r>
      <w:r w:rsidR="00FD20F8" w:rsidRPr="00957E7B">
        <w:rPr>
          <w:rFonts w:eastAsia="TimesNewRoman"/>
          <w:color w:val="000000"/>
        </w:rPr>
        <w:t xml:space="preserve">&lt; 0.0001), respectively. Similar results were observed in the </w:t>
      </w:r>
      <w:r w:rsidR="00982EC1" w:rsidRPr="00957E7B">
        <w:rPr>
          <w:rFonts w:eastAsia="TimesNewRoman"/>
          <w:color w:val="000000"/>
        </w:rPr>
        <w:t>e</w:t>
      </w:r>
      <w:r w:rsidR="00FD20F8" w:rsidRPr="00957E7B">
        <w:rPr>
          <w:rFonts w:eastAsia="TimesNewRoman"/>
          <w:color w:val="000000"/>
        </w:rPr>
        <w:t>fficacy population</w:t>
      </w:r>
      <w:r w:rsidR="00B0568A">
        <w:rPr>
          <w:rFonts w:eastAsia="TimesNewRoman"/>
          <w:color w:val="000000"/>
        </w:rPr>
        <w:t xml:space="preserve">. A comparison of the AsBRs and ABRs in the subjects evaluable for efficacy is summarised in </w:t>
      </w:r>
      <w:r w:rsidR="00B0568A">
        <w:rPr>
          <w:rFonts w:eastAsia="TimesNewRoman"/>
          <w:b/>
          <w:color w:val="000000"/>
        </w:rPr>
        <w:t>T</w:t>
      </w:r>
      <w:r w:rsidR="00B0568A" w:rsidRPr="00957E7B">
        <w:rPr>
          <w:rFonts w:eastAsia="TimesNewRoman"/>
          <w:b/>
          <w:color w:val="000000"/>
        </w:rPr>
        <w:t>able</w:t>
      </w:r>
      <w:r w:rsidR="00B0568A">
        <w:rPr>
          <w:rFonts w:eastAsia="TimesNewRoman"/>
          <w:b/>
          <w:color w:val="000000"/>
        </w:rPr>
        <w:t> </w:t>
      </w:r>
      <w:r w:rsidR="001F37DA">
        <w:rPr>
          <w:rFonts w:eastAsia="TimesNewRoman"/>
          <w:b/>
          <w:color w:val="000000"/>
        </w:rPr>
        <w:t>7</w:t>
      </w:r>
      <w:r w:rsidR="00B0568A">
        <w:rPr>
          <w:rFonts w:eastAsia="TimesNewRoman"/>
          <w:b/>
          <w:color w:val="000000"/>
        </w:rPr>
        <w:t>.</w:t>
      </w:r>
    </w:p>
    <w:p w:rsidR="00C856FF" w:rsidRDefault="0028436A" w:rsidP="008640B7">
      <w:pPr>
        <w:pStyle w:val="Caption"/>
        <w:ind w:left="0" w:firstLine="0"/>
      </w:pPr>
      <w:r w:rsidRPr="00957E7B">
        <w:t xml:space="preserve">Table </w:t>
      </w:r>
      <w:r w:rsidR="001F37DA">
        <w:t>7</w:t>
      </w:r>
      <w:r w:rsidRPr="00957E7B">
        <w:t xml:space="preserve">: </w:t>
      </w:r>
      <w:r w:rsidR="002165CF">
        <w:t>Study</w:t>
      </w:r>
      <w:r w:rsidR="00DA60C8" w:rsidRPr="00A00251">
        <w:t> </w:t>
      </w:r>
      <w:r w:rsidR="002165CF">
        <w:t>3001</w:t>
      </w:r>
      <w:r w:rsidR="00DD5831">
        <w:t>;</w:t>
      </w:r>
      <w:r w:rsidR="002165CF">
        <w:t xml:space="preserve"> </w:t>
      </w:r>
      <w:r w:rsidRPr="00957E7B">
        <w:t>Comparison of annuali</w:t>
      </w:r>
      <w:r w:rsidR="0078783B" w:rsidRPr="00957E7B">
        <w:t>s</w:t>
      </w:r>
      <w:r w:rsidRPr="00957E7B">
        <w:t>ed bleeding r</w:t>
      </w:r>
      <w:r w:rsidR="001D36D4" w:rsidRPr="00957E7B">
        <w:t>ates</w:t>
      </w:r>
      <w:r w:rsidR="00326D49" w:rsidRPr="00957E7B">
        <w:t xml:space="preserve"> for patients </w:t>
      </w:r>
      <w:r w:rsidR="00976445" w:rsidRPr="00957E7B">
        <w:t>switching</w:t>
      </w:r>
      <w:r w:rsidR="00326D49" w:rsidRPr="00957E7B">
        <w:t xml:space="preserve"> from on demand to</w:t>
      </w:r>
      <w:r w:rsidR="00326D49" w:rsidRPr="00B349E4">
        <w:t xml:space="preserve"> prophylaxis </w:t>
      </w:r>
      <w:r w:rsidR="00820B3E" w:rsidRPr="00B349E4">
        <w:t>treatment</w:t>
      </w:r>
    </w:p>
    <w:tbl>
      <w:tblPr>
        <w:tblStyle w:val="TableGrid"/>
        <w:tblW w:w="9072" w:type="dxa"/>
        <w:tblInd w:w="108" w:type="dxa"/>
        <w:tblLook w:val="04A0" w:firstRow="1" w:lastRow="0" w:firstColumn="1" w:lastColumn="0" w:noHBand="0" w:noVBand="1"/>
      </w:tblPr>
      <w:tblGrid>
        <w:gridCol w:w="2310"/>
        <w:gridCol w:w="2311"/>
        <w:gridCol w:w="2311"/>
        <w:gridCol w:w="2140"/>
      </w:tblGrid>
      <w:tr w:rsidR="00A97F0F" w:rsidRPr="00105A30" w:rsidTr="005409DF">
        <w:tc>
          <w:tcPr>
            <w:tcW w:w="2310" w:type="dxa"/>
            <w:shd w:val="pct15" w:color="auto" w:fill="auto"/>
          </w:tcPr>
          <w:p w:rsidR="00A97F0F" w:rsidRPr="00105A30" w:rsidRDefault="00A97F0F" w:rsidP="00105A30">
            <w:pPr>
              <w:keepNext/>
              <w:autoSpaceDE w:val="0"/>
              <w:autoSpaceDN w:val="0"/>
              <w:adjustRightInd w:val="0"/>
              <w:spacing w:before="40" w:after="40"/>
              <w:rPr>
                <w:rFonts w:eastAsia="TimesNewRoman"/>
                <w:b/>
                <w:color w:val="000000"/>
                <w:sz w:val="20"/>
                <w:szCs w:val="20"/>
              </w:rPr>
            </w:pPr>
            <w:r w:rsidRPr="00105A30">
              <w:rPr>
                <w:rFonts w:eastAsia="TimesNewRoman"/>
                <w:b/>
                <w:color w:val="000000"/>
                <w:sz w:val="20"/>
                <w:szCs w:val="20"/>
              </w:rPr>
              <w:t xml:space="preserve">Bleeding </w:t>
            </w:r>
            <w:r w:rsidR="00AF0DCE" w:rsidRPr="00105A30">
              <w:rPr>
                <w:rFonts w:eastAsia="TimesNewRoman"/>
                <w:b/>
                <w:color w:val="000000"/>
                <w:sz w:val="20"/>
                <w:szCs w:val="20"/>
              </w:rPr>
              <w:t xml:space="preserve">episode </w:t>
            </w:r>
            <w:r w:rsidR="00CA55C3">
              <w:rPr>
                <w:rFonts w:eastAsia="TimesNewRoman"/>
                <w:b/>
                <w:color w:val="000000"/>
                <w:sz w:val="20"/>
                <w:szCs w:val="20"/>
              </w:rPr>
              <w:t>a</w:t>
            </w:r>
            <w:r w:rsidR="00AF0DCE" w:rsidRPr="00105A30">
              <w:rPr>
                <w:rFonts w:eastAsia="TimesNewRoman"/>
                <w:b/>
                <w:color w:val="000000"/>
                <w:sz w:val="20"/>
                <w:szCs w:val="20"/>
              </w:rPr>
              <w:t>e</w:t>
            </w:r>
            <w:r w:rsidRPr="00105A30">
              <w:rPr>
                <w:rFonts w:eastAsia="TimesNewRoman"/>
                <w:b/>
                <w:color w:val="000000"/>
                <w:sz w:val="20"/>
                <w:szCs w:val="20"/>
              </w:rPr>
              <w:t>tiology</w:t>
            </w:r>
          </w:p>
        </w:tc>
        <w:tc>
          <w:tcPr>
            <w:tcW w:w="2311" w:type="dxa"/>
            <w:shd w:val="pct15" w:color="auto" w:fill="auto"/>
          </w:tcPr>
          <w:p w:rsidR="00C34711" w:rsidRPr="00105A30" w:rsidRDefault="00AF0DCE" w:rsidP="00105A30">
            <w:pPr>
              <w:keepNext/>
              <w:autoSpaceDE w:val="0"/>
              <w:autoSpaceDN w:val="0"/>
              <w:adjustRightInd w:val="0"/>
              <w:spacing w:before="40" w:after="40"/>
              <w:jc w:val="center"/>
              <w:rPr>
                <w:rFonts w:eastAsia="TimesNewRoman"/>
                <w:b/>
                <w:color w:val="000000"/>
                <w:sz w:val="20"/>
                <w:szCs w:val="20"/>
              </w:rPr>
            </w:pPr>
            <w:r w:rsidRPr="00105A30">
              <w:rPr>
                <w:rFonts w:eastAsia="TimesNewRoman"/>
                <w:b/>
                <w:color w:val="000000"/>
                <w:sz w:val="20"/>
                <w:szCs w:val="20"/>
              </w:rPr>
              <w:t>On d</w:t>
            </w:r>
            <w:r w:rsidR="00A97F0F" w:rsidRPr="00105A30">
              <w:rPr>
                <w:rFonts w:eastAsia="TimesNewRoman"/>
                <w:b/>
                <w:color w:val="000000"/>
                <w:sz w:val="20"/>
                <w:szCs w:val="20"/>
              </w:rPr>
              <w:t>emand</w:t>
            </w:r>
          </w:p>
          <w:p w:rsidR="00A97F0F" w:rsidRPr="00105A30" w:rsidRDefault="00A97F0F" w:rsidP="00105A30">
            <w:pPr>
              <w:keepNext/>
              <w:autoSpaceDE w:val="0"/>
              <w:autoSpaceDN w:val="0"/>
              <w:adjustRightInd w:val="0"/>
              <w:spacing w:before="40" w:after="40"/>
              <w:jc w:val="center"/>
              <w:rPr>
                <w:rFonts w:eastAsia="TimesNewRoman"/>
                <w:b/>
                <w:color w:val="000000"/>
                <w:sz w:val="20"/>
                <w:szCs w:val="20"/>
              </w:rPr>
            </w:pPr>
            <w:r w:rsidRPr="00105A30">
              <w:rPr>
                <w:rFonts w:eastAsia="TimesNewRoman"/>
                <w:b/>
                <w:color w:val="000000"/>
                <w:sz w:val="20"/>
                <w:szCs w:val="20"/>
              </w:rPr>
              <w:t>(</w:t>
            </w:r>
            <w:r w:rsidR="00C34711" w:rsidRPr="00105A30">
              <w:rPr>
                <w:rFonts w:eastAsia="TimesNewRoman"/>
                <w:b/>
                <w:color w:val="000000"/>
                <w:sz w:val="20"/>
                <w:szCs w:val="20"/>
              </w:rPr>
              <w:t>N</w:t>
            </w:r>
            <w:r w:rsidR="00DA60C8" w:rsidRPr="00105A30">
              <w:rPr>
                <w:rFonts w:eastAsia="TimesNewRoman"/>
                <w:b/>
                <w:color w:val="000000"/>
                <w:sz w:val="20"/>
                <w:szCs w:val="20"/>
              </w:rPr>
              <w:t> </w:t>
            </w:r>
            <w:r w:rsidRPr="00105A30">
              <w:rPr>
                <w:rFonts w:eastAsia="TimesNewRoman"/>
                <w:b/>
                <w:color w:val="000000"/>
                <w:sz w:val="20"/>
                <w:szCs w:val="20"/>
              </w:rPr>
              <w:t>=</w:t>
            </w:r>
            <w:r w:rsidR="00DA60C8" w:rsidRPr="00105A30">
              <w:rPr>
                <w:rFonts w:eastAsia="TimesNewRoman"/>
                <w:b/>
                <w:color w:val="000000"/>
                <w:sz w:val="20"/>
                <w:szCs w:val="20"/>
              </w:rPr>
              <w:t> </w:t>
            </w:r>
            <w:r w:rsidRPr="00105A30">
              <w:rPr>
                <w:rFonts w:eastAsia="TimesNewRoman"/>
                <w:b/>
                <w:color w:val="000000"/>
                <w:sz w:val="20"/>
                <w:szCs w:val="20"/>
              </w:rPr>
              <w:t>19)*</w:t>
            </w:r>
          </w:p>
        </w:tc>
        <w:tc>
          <w:tcPr>
            <w:tcW w:w="2311" w:type="dxa"/>
            <w:shd w:val="pct15" w:color="auto" w:fill="auto"/>
          </w:tcPr>
          <w:p w:rsidR="00C34711" w:rsidRPr="00105A30" w:rsidRDefault="00AF0DCE" w:rsidP="00105A30">
            <w:pPr>
              <w:keepNext/>
              <w:autoSpaceDE w:val="0"/>
              <w:autoSpaceDN w:val="0"/>
              <w:adjustRightInd w:val="0"/>
              <w:spacing w:before="40" w:after="40"/>
              <w:jc w:val="center"/>
              <w:rPr>
                <w:rFonts w:eastAsia="TimesNewRoman"/>
                <w:b/>
                <w:color w:val="000000"/>
                <w:sz w:val="20"/>
                <w:szCs w:val="20"/>
              </w:rPr>
            </w:pPr>
            <w:r w:rsidRPr="00105A30">
              <w:rPr>
                <w:rFonts w:eastAsia="TimesNewRoman"/>
                <w:b/>
                <w:color w:val="000000"/>
                <w:sz w:val="20"/>
                <w:szCs w:val="20"/>
              </w:rPr>
              <w:t>Weekly p</w:t>
            </w:r>
            <w:r w:rsidR="00A97F0F" w:rsidRPr="00105A30">
              <w:rPr>
                <w:rFonts w:eastAsia="TimesNewRoman"/>
                <w:b/>
                <w:color w:val="000000"/>
                <w:sz w:val="20"/>
                <w:szCs w:val="20"/>
              </w:rPr>
              <w:t>rophylaxis</w:t>
            </w:r>
          </w:p>
          <w:p w:rsidR="00A97F0F" w:rsidRPr="00105A30" w:rsidRDefault="00A97F0F" w:rsidP="00105A30">
            <w:pPr>
              <w:keepNext/>
              <w:autoSpaceDE w:val="0"/>
              <w:autoSpaceDN w:val="0"/>
              <w:adjustRightInd w:val="0"/>
              <w:spacing w:before="40" w:after="40"/>
              <w:jc w:val="center"/>
              <w:rPr>
                <w:rFonts w:eastAsia="TimesNewRoman"/>
                <w:b/>
                <w:color w:val="000000"/>
                <w:sz w:val="20"/>
                <w:szCs w:val="20"/>
              </w:rPr>
            </w:pPr>
            <w:r w:rsidRPr="00105A30">
              <w:rPr>
                <w:rFonts w:eastAsia="TimesNewRoman"/>
                <w:b/>
                <w:color w:val="000000"/>
                <w:sz w:val="20"/>
                <w:szCs w:val="20"/>
              </w:rPr>
              <w:t>(</w:t>
            </w:r>
            <w:r w:rsidR="00C34711" w:rsidRPr="00105A30">
              <w:rPr>
                <w:rFonts w:eastAsia="TimesNewRoman"/>
                <w:b/>
                <w:color w:val="000000"/>
                <w:sz w:val="20"/>
                <w:szCs w:val="20"/>
              </w:rPr>
              <w:t>N</w:t>
            </w:r>
            <w:r w:rsidR="00DA60C8" w:rsidRPr="00105A30">
              <w:rPr>
                <w:rFonts w:eastAsia="TimesNewRoman"/>
                <w:b/>
                <w:color w:val="000000"/>
                <w:sz w:val="20"/>
                <w:szCs w:val="20"/>
              </w:rPr>
              <w:t> </w:t>
            </w:r>
            <w:r w:rsidRPr="00105A30">
              <w:rPr>
                <w:rFonts w:eastAsia="TimesNewRoman"/>
                <w:b/>
                <w:color w:val="000000"/>
                <w:sz w:val="20"/>
                <w:szCs w:val="20"/>
              </w:rPr>
              <w:t>=</w:t>
            </w:r>
            <w:r w:rsidR="00DA60C8" w:rsidRPr="00105A30">
              <w:rPr>
                <w:rFonts w:eastAsia="TimesNewRoman"/>
                <w:b/>
                <w:color w:val="000000"/>
                <w:sz w:val="20"/>
                <w:szCs w:val="20"/>
              </w:rPr>
              <w:t> </w:t>
            </w:r>
            <w:r w:rsidRPr="00105A30">
              <w:rPr>
                <w:rFonts w:eastAsia="TimesNewRoman"/>
                <w:b/>
                <w:color w:val="000000"/>
                <w:sz w:val="20"/>
                <w:szCs w:val="20"/>
              </w:rPr>
              <w:t>19)*</w:t>
            </w:r>
          </w:p>
        </w:tc>
        <w:tc>
          <w:tcPr>
            <w:tcW w:w="2140" w:type="dxa"/>
            <w:shd w:val="pct15" w:color="auto" w:fill="auto"/>
          </w:tcPr>
          <w:p w:rsidR="00A97F0F" w:rsidRPr="00105A30" w:rsidRDefault="00AF0DCE" w:rsidP="00105A30">
            <w:pPr>
              <w:keepNext/>
              <w:autoSpaceDE w:val="0"/>
              <w:autoSpaceDN w:val="0"/>
              <w:adjustRightInd w:val="0"/>
              <w:spacing w:before="40" w:after="40"/>
              <w:jc w:val="center"/>
              <w:rPr>
                <w:rFonts w:eastAsia="TimesNewRoman"/>
                <w:b/>
                <w:color w:val="000000"/>
                <w:sz w:val="20"/>
                <w:szCs w:val="20"/>
              </w:rPr>
            </w:pPr>
            <w:r w:rsidRPr="00105A30">
              <w:rPr>
                <w:rFonts w:eastAsia="TimesNewRoman"/>
                <w:b/>
                <w:color w:val="000000"/>
                <w:sz w:val="20"/>
                <w:szCs w:val="20"/>
              </w:rPr>
              <w:t>Percent reduction with p</w:t>
            </w:r>
            <w:r w:rsidR="00A97F0F" w:rsidRPr="00105A30">
              <w:rPr>
                <w:rFonts w:eastAsia="TimesNewRoman"/>
                <w:b/>
                <w:color w:val="000000"/>
                <w:sz w:val="20"/>
                <w:szCs w:val="20"/>
              </w:rPr>
              <w:t>rophylaxis</w:t>
            </w:r>
          </w:p>
          <w:p w:rsidR="00A97F0F" w:rsidRPr="00105A30" w:rsidRDefault="00A97F0F" w:rsidP="00105A30">
            <w:pPr>
              <w:keepNext/>
              <w:autoSpaceDE w:val="0"/>
              <w:autoSpaceDN w:val="0"/>
              <w:adjustRightInd w:val="0"/>
              <w:spacing w:before="40" w:after="40"/>
              <w:jc w:val="center"/>
              <w:rPr>
                <w:rFonts w:eastAsia="TimesNewRoman"/>
                <w:b/>
                <w:color w:val="000000"/>
                <w:sz w:val="20"/>
                <w:szCs w:val="20"/>
              </w:rPr>
            </w:pPr>
            <w:r w:rsidRPr="00105A30">
              <w:rPr>
                <w:rFonts w:eastAsia="TimesNewRoman"/>
                <w:b/>
                <w:color w:val="000000"/>
                <w:sz w:val="20"/>
                <w:szCs w:val="20"/>
              </w:rPr>
              <w:t>(</w:t>
            </w:r>
            <w:r w:rsidR="00C34711" w:rsidRPr="00105A30">
              <w:rPr>
                <w:rFonts w:eastAsia="TimesNewRoman"/>
                <w:b/>
                <w:color w:val="000000"/>
                <w:sz w:val="20"/>
                <w:szCs w:val="20"/>
              </w:rPr>
              <w:t>N</w:t>
            </w:r>
            <w:r w:rsidR="00DA60C8" w:rsidRPr="00105A30">
              <w:rPr>
                <w:rFonts w:eastAsia="TimesNewRoman"/>
                <w:b/>
                <w:color w:val="000000"/>
                <w:sz w:val="20"/>
                <w:szCs w:val="20"/>
              </w:rPr>
              <w:t> </w:t>
            </w:r>
            <w:r w:rsidRPr="00105A30">
              <w:rPr>
                <w:rFonts w:eastAsia="TimesNewRoman"/>
                <w:b/>
                <w:color w:val="000000"/>
                <w:sz w:val="20"/>
                <w:szCs w:val="20"/>
              </w:rPr>
              <w:t>=</w:t>
            </w:r>
            <w:r w:rsidR="00DA60C8" w:rsidRPr="00105A30">
              <w:rPr>
                <w:rFonts w:eastAsia="TimesNewRoman"/>
                <w:b/>
                <w:color w:val="000000"/>
                <w:sz w:val="20"/>
                <w:szCs w:val="20"/>
              </w:rPr>
              <w:t> </w:t>
            </w:r>
            <w:r w:rsidRPr="00105A30">
              <w:rPr>
                <w:rFonts w:eastAsia="TimesNewRoman"/>
                <w:b/>
                <w:color w:val="000000"/>
                <w:sz w:val="20"/>
                <w:szCs w:val="20"/>
              </w:rPr>
              <w:t>19)*</w:t>
            </w:r>
          </w:p>
        </w:tc>
      </w:tr>
      <w:tr w:rsidR="00A97F0F" w:rsidRPr="005409DF" w:rsidTr="005409DF">
        <w:tc>
          <w:tcPr>
            <w:tcW w:w="2310" w:type="dxa"/>
          </w:tcPr>
          <w:p w:rsidR="00A97F0F" w:rsidRPr="005409DF" w:rsidRDefault="00A97F0F" w:rsidP="005409DF">
            <w:pPr>
              <w:pStyle w:val="Default"/>
              <w:spacing w:before="40" w:after="40"/>
              <w:rPr>
                <w:sz w:val="20"/>
                <w:szCs w:val="20"/>
              </w:rPr>
            </w:pPr>
            <w:r w:rsidRPr="005409DF">
              <w:rPr>
                <w:b/>
                <w:bCs/>
                <w:sz w:val="20"/>
                <w:szCs w:val="20"/>
              </w:rPr>
              <w:t>Spontaneous</w:t>
            </w:r>
          </w:p>
          <w:p w:rsidR="00A97F0F" w:rsidRPr="005409DF" w:rsidRDefault="00DD5831" w:rsidP="00DD5831">
            <w:pPr>
              <w:pStyle w:val="Default"/>
              <w:spacing w:before="40" w:after="40"/>
              <w:ind w:left="318" w:hanging="318"/>
              <w:rPr>
                <w:sz w:val="20"/>
                <w:szCs w:val="20"/>
              </w:rPr>
            </w:pPr>
            <w:r>
              <w:rPr>
                <w:sz w:val="20"/>
                <w:szCs w:val="20"/>
              </w:rPr>
              <w:tab/>
            </w:r>
            <w:r w:rsidR="00A97F0F" w:rsidRPr="005409DF">
              <w:rPr>
                <w:sz w:val="20"/>
                <w:szCs w:val="20"/>
              </w:rPr>
              <w:t>Mean (SD)</w:t>
            </w:r>
          </w:p>
          <w:p w:rsidR="00A97F0F" w:rsidRDefault="00DD5831" w:rsidP="00DD5831">
            <w:pPr>
              <w:pStyle w:val="Default"/>
              <w:spacing w:before="40" w:after="40"/>
              <w:ind w:left="318" w:hanging="318"/>
              <w:rPr>
                <w:sz w:val="20"/>
                <w:szCs w:val="20"/>
              </w:rPr>
            </w:pPr>
            <w:r>
              <w:rPr>
                <w:sz w:val="20"/>
                <w:szCs w:val="20"/>
              </w:rPr>
              <w:tab/>
            </w:r>
            <w:r w:rsidR="00A97F0F" w:rsidRPr="005409DF">
              <w:rPr>
                <w:sz w:val="20"/>
                <w:szCs w:val="20"/>
              </w:rPr>
              <w:t>Median</w:t>
            </w:r>
          </w:p>
          <w:p w:rsidR="005533CE" w:rsidRPr="005409DF" w:rsidRDefault="005533CE" w:rsidP="005533CE">
            <w:pPr>
              <w:pStyle w:val="Default"/>
              <w:spacing w:before="40" w:after="40"/>
              <w:ind w:left="318"/>
              <w:rPr>
                <w:sz w:val="20"/>
                <w:szCs w:val="20"/>
              </w:rPr>
            </w:pPr>
            <w:r>
              <w:rPr>
                <w:sz w:val="20"/>
                <w:szCs w:val="20"/>
              </w:rPr>
              <w:t>IQR</w:t>
            </w:r>
          </w:p>
          <w:p w:rsidR="00A97F0F" w:rsidRPr="005409DF" w:rsidRDefault="00DD5831" w:rsidP="00946173">
            <w:pPr>
              <w:autoSpaceDE w:val="0"/>
              <w:autoSpaceDN w:val="0"/>
              <w:adjustRightInd w:val="0"/>
              <w:spacing w:before="40" w:after="40"/>
              <w:ind w:left="318" w:hanging="318"/>
              <w:rPr>
                <w:rFonts w:eastAsia="TimesNewRoman"/>
                <w:color w:val="000000"/>
                <w:sz w:val="20"/>
                <w:szCs w:val="20"/>
              </w:rPr>
            </w:pPr>
            <w:r>
              <w:rPr>
                <w:sz w:val="20"/>
                <w:szCs w:val="20"/>
              </w:rPr>
              <w:tab/>
            </w:r>
            <w:r w:rsidR="00946173">
              <w:rPr>
                <w:sz w:val="20"/>
                <w:szCs w:val="20"/>
              </w:rPr>
              <w:t>Range</w:t>
            </w:r>
          </w:p>
        </w:tc>
        <w:tc>
          <w:tcPr>
            <w:tcW w:w="2311" w:type="dxa"/>
          </w:tcPr>
          <w:p w:rsidR="005409DF" w:rsidRDefault="005409DF" w:rsidP="005409DF">
            <w:pPr>
              <w:pStyle w:val="Default"/>
              <w:spacing w:before="40" w:after="40"/>
              <w:jc w:val="center"/>
              <w:rPr>
                <w:sz w:val="20"/>
                <w:szCs w:val="20"/>
              </w:rPr>
            </w:pPr>
          </w:p>
          <w:p w:rsidR="00A97F0F" w:rsidRPr="005409DF" w:rsidRDefault="00A97F0F" w:rsidP="005409DF">
            <w:pPr>
              <w:pStyle w:val="Default"/>
              <w:spacing w:before="40" w:after="40"/>
              <w:jc w:val="center"/>
              <w:rPr>
                <w:sz w:val="20"/>
                <w:szCs w:val="20"/>
              </w:rPr>
            </w:pPr>
            <w:r w:rsidRPr="005409DF">
              <w:rPr>
                <w:sz w:val="20"/>
                <w:szCs w:val="20"/>
              </w:rPr>
              <w:t>14.57 (8.421)</w:t>
            </w:r>
          </w:p>
          <w:p w:rsidR="005533CE" w:rsidRDefault="00A97F0F" w:rsidP="005409DF">
            <w:pPr>
              <w:pStyle w:val="Default"/>
              <w:spacing w:before="40" w:after="40"/>
              <w:jc w:val="center"/>
              <w:rPr>
                <w:sz w:val="20"/>
                <w:szCs w:val="20"/>
              </w:rPr>
            </w:pPr>
            <w:r w:rsidRPr="005409DF">
              <w:rPr>
                <w:sz w:val="20"/>
                <w:szCs w:val="20"/>
              </w:rPr>
              <w:t>15.43</w:t>
            </w:r>
          </w:p>
          <w:p w:rsidR="00A97F0F" w:rsidRPr="005409DF" w:rsidRDefault="00DD5831" w:rsidP="005409DF">
            <w:pPr>
              <w:pStyle w:val="Default"/>
              <w:spacing w:before="40" w:after="40"/>
              <w:jc w:val="center"/>
              <w:rPr>
                <w:sz w:val="20"/>
                <w:szCs w:val="20"/>
              </w:rPr>
            </w:pPr>
            <w:r>
              <w:rPr>
                <w:sz w:val="20"/>
                <w:szCs w:val="20"/>
              </w:rPr>
              <w:t>7.98, 17.96</w:t>
            </w:r>
          </w:p>
          <w:p w:rsidR="00A97F0F" w:rsidRPr="005409DF" w:rsidRDefault="00A97F0F" w:rsidP="005409DF">
            <w:pPr>
              <w:autoSpaceDE w:val="0"/>
              <w:autoSpaceDN w:val="0"/>
              <w:adjustRightInd w:val="0"/>
              <w:spacing w:before="40" w:after="40"/>
              <w:jc w:val="center"/>
              <w:rPr>
                <w:rFonts w:eastAsia="TimesNewRoman"/>
                <w:color w:val="000000"/>
                <w:sz w:val="20"/>
                <w:szCs w:val="20"/>
              </w:rPr>
            </w:pPr>
            <w:r w:rsidRPr="005409DF">
              <w:rPr>
                <w:sz w:val="20"/>
                <w:szCs w:val="20"/>
              </w:rPr>
              <w:t>2.0</w:t>
            </w:r>
            <w:r w:rsidR="000210D5">
              <w:rPr>
                <w:sz w:val="20"/>
                <w:szCs w:val="20"/>
              </w:rPr>
              <w:t>0</w:t>
            </w:r>
            <w:r w:rsidRPr="005409DF">
              <w:rPr>
                <w:sz w:val="20"/>
                <w:szCs w:val="20"/>
              </w:rPr>
              <w:t>, 39.5</w:t>
            </w:r>
            <w:r w:rsidR="009B25FC">
              <w:rPr>
                <w:sz w:val="20"/>
                <w:szCs w:val="20"/>
              </w:rPr>
              <w:t>0</w:t>
            </w:r>
          </w:p>
        </w:tc>
        <w:tc>
          <w:tcPr>
            <w:tcW w:w="2311" w:type="dxa"/>
          </w:tcPr>
          <w:p w:rsidR="005409DF" w:rsidRDefault="005409DF" w:rsidP="005409DF">
            <w:pPr>
              <w:pStyle w:val="Default"/>
              <w:spacing w:before="40" w:after="40"/>
              <w:jc w:val="center"/>
              <w:rPr>
                <w:sz w:val="20"/>
                <w:szCs w:val="20"/>
              </w:rPr>
            </w:pPr>
          </w:p>
          <w:p w:rsidR="00A97F0F" w:rsidRPr="005409DF" w:rsidRDefault="00A97F0F" w:rsidP="005409DF">
            <w:pPr>
              <w:pStyle w:val="Default"/>
              <w:spacing w:before="40" w:after="40"/>
              <w:jc w:val="center"/>
              <w:rPr>
                <w:sz w:val="20"/>
                <w:szCs w:val="20"/>
              </w:rPr>
            </w:pPr>
            <w:r w:rsidRPr="005409DF">
              <w:rPr>
                <w:sz w:val="20"/>
                <w:szCs w:val="20"/>
              </w:rPr>
              <w:t>0.73 (1.171)</w:t>
            </w:r>
          </w:p>
          <w:p w:rsidR="005533CE" w:rsidRDefault="00A97F0F" w:rsidP="005409DF">
            <w:pPr>
              <w:pStyle w:val="Default"/>
              <w:spacing w:before="40" w:after="40"/>
              <w:jc w:val="center"/>
              <w:rPr>
                <w:sz w:val="20"/>
                <w:szCs w:val="20"/>
              </w:rPr>
            </w:pPr>
            <w:r w:rsidRPr="005409DF">
              <w:rPr>
                <w:sz w:val="20"/>
                <w:szCs w:val="20"/>
              </w:rPr>
              <w:t>0</w:t>
            </w:r>
            <w:r w:rsidR="00CA336D">
              <w:rPr>
                <w:sz w:val="20"/>
                <w:szCs w:val="20"/>
              </w:rPr>
              <w:t>.00</w:t>
            </w:r>
          </w:p>
          <w:p w:rsidR="00A97F0F" w:rsidRPr="005409DF" w:rsidRDefault="00DD5831" w:rsidP="005409DF">
            <w:pPr>
              <w:pStyle w:val="Default"/>
              <w:spacing w:before="40" w:after="40"/>
              <w:jc w:val="center"/>
              <w:rPr>
                <w:sz w:val="20"/>
                <w:szCs w:val="20"/>
              </w:rPr>
            </w:pPr>
            <w:r>
              <w:rPr>
                <w:sz w:val="20"/>
                <w:szCs w:val="20"/>
              </w:rPr>
              <w:t>0</w:t>
            </w:r>
            <w:r w:rsidR="000210D5">
              <w:rPr>
                <w:sz w:val="20"/>
                <w:szCs w:val="20"/>
              </w:rPr>
              <w:t>.00</w:t>
            </w:r>
            <w:r>
              <w:rPr>
                <w:sz w:val="20"/>
                <w:szCs w:val="20"/>
              </w:rPr>
              <w:t>, 0.96</w:t>
            </w:r>
          </w:p>
          <w:p w:rsidR="00A97F0F" w:rsidRPr="005409DF" w:rsidRDefault="00A97F0F" w:rsidP="005409DF">
            <w:pPr>
              <w:autoSpaceDE w:val="0"/>
              <w:autoSpaceDN w:val="0"/>
              <w:adjustRightInd w:val="0"/>
              <w:spacing w:before="40" w:after="40"/>
              <w:jc w:val="center"/>
              <w:rPr>
                <w:rFonts w:eastAsia="TimesNewRoman"/>
                <w:color w:val="000000"/>
                <w:sz w:val="20"/>
                <w:szCs w:val="20"/>
              </w:rPr>
            </w:pPr>
            <w:r w:rsidRPr="005409DF">
              <w:rPr>
                <w:sz w:val="20"/>
                <w:szCs w:val="20"/>
              </w:rPr>
              <w:t>0</w:t>
            </w:r>
            <w:r w:rsidR="000210D5">
              <w:rPr>
                <w:sz w:val="20"/>
                <w:szCs w:val="20"/>
              </w:rPr>
              <w:t>.00</w:t>
            </w:r>
            <w:r w:rsidRPr="005409DF">
              <w:rPr>
                <w:sz w:val="20"/>
                <w:szCs w:val="20"/>
              </w:rPr>
              <w:t>, 4.2</w:t>
            </w:r>
          </w:p>
        </w:tc>
        <w:tc>
          <w:tcPr>
            <w:tcW w:w="2140" w:type="dxa"/>
          </w:tcPr>
          <w:p w:rsidR="005409DF" w:rsidRDefault="005409DF" w:rsidP="005409DF">
            <w:pPr>
              <w:pStyle w:val="Default"/>
              <w:spacing w:before="40" w:after="40"/>
              <w:jc w:val="center"/>
              <w:rPr>
                <w:sz w:val="20"/>
                <w:szCs w:val="20"/>
              </w:rPr>
            </w:pPr>
          </w:p>
          <w:p w:rsidR="00A97F0F" w:rsidRPr="005409DF" w:rsidRDefault="00A97F0F" w:rsidP="005409DF">
            <w:pPr>
              <w:pStyle w:val="Default"/>
              <w:spacing w:before="40" w:after="40"/>
              <w:jc w:val="center"/>
              <w:rPr>
                <w:sz w:val="20"/>
                <w:szCs w:val="20"/>
              </w:rPr>
            </w:pPr>
            <w:r w:rsidRPr="005409DF">
              <w:rPr>
                <w:sz w:val="20"/>
                <w:szCs w:val="20"/>
              </w:rPr>
              <w:t>9</w:t>
            </w:r>
            <w:r w:rsidR="00CA336D">
              <w:rPr>
                <w:sz w:val="20"/>
                <w:szCs w:val="20"/>
              </w:rPr>
              <w:t>6.0</w:t>
            </w:r>
            <w:r w:rsidRPr="005409DF">
              <w:rPr>
                <w:sz w:val="20"/>
                <w:szCs w:val="20"/>
              </w:rPr>
              <w:t xml:space="preserve"> (5.539)</w:t>
            </w:r>
          </w:p>
          <w:p w:rsidR="005533CE" w:rsidRDefault="00A97F0F" w:rsidP="005409DF">
            <w:pPr>
              <w:pStyle w:val="Default"/>
              <w:spacing w:before="40" w:after="40"/>
              <w:jc w:val="center"/>
              <w:rPr>
                <w:sz w:val="20"/>
                <w:szCs w:val="20"/>
              </w:rPr>
            </w:pPr>
            <w:r w:rsidRPr="005409DF">
              <w:rPr>
                <w:sz w:val="20"/>
                <w:szCs w:val="20"/>
              </w:rPr>
              <w:t>100</w:t>
            </w:r>
          </w:p>
          <w:p w:rsidR="00A97F0F" w:rsidRPr="005409DF" w:rsidRDefault="00DD5831" w:rsidP="005409DF">
            <w:pPr>
              <w:pStyle w:val="Default"/>
              <w:spacing w:before="40" w:after="40"/>
              <w:jc w:val="center"/>
              <w:rPr>
                <w:sz w:val="20"/>
                <w:szCs w:val="20"/>
              </w:rPr>
            </w:pPr>
            <w:r>
              <w:rPr>
                <w:sz w:val="20"/>
                <w:szCs w:val="20"/>
              </w:rPr>
              <w:t>90.5, 100</w:t>
            </w:r>
          </w:p>
          <w:p w:rsidR="00A97F0F" w:rsidRPr="005409DF" w:rsidRDefault="00A97F0F" w:rsidP="005409DF">
            <w:pPr>
              <w:autoSpaceDE w:val="0"/>
              <w:autoSpaceDN w:val="0"/>
              <w:adjustRightInd w:val="0"/>
              <w:spacing w:before="40" w:after="40"/>
              <w:jc w:val="center"/>
              <w:rPr>
                <w:rFonts w:eastAsia="TimesNewRoman"/>
                <w:color w:val="000000"/>
                <w:sz w:val="20"/>
                <w:szCs w:val="20"/>
              </w:rPr>
            </w:pPr>
            <w:r w:rsidRPr="005409DF">
              <w:rPr>
                <w:sz w:val="20"/>
                <w:szCs w:val="20"/>
              </w:rPr>
              <w:t>82.8, 100</w:t>
            </w:r>
          </w:p>
        </w:tc>
      </w:tr>
      <w:tr w:rsidR="00A97F0F" w:rsidRPr="005409DF" w:rsidTr="005409DF">
        <w:tc>
          <w:tcPr>
            <w:tcW w:w="2310" w:type="dxa"/>
          </w:tcPr>
          <w:p w:rsidR="00A97F0F" w:rsidRPr="005409DF" w:rsidRDefault="00A97F0F" w:rsidP="005409DF">
            <w:pPr>
              <w:pStyle w:val="Default"/>
              <w:spacing w:before="40" w:after="40"/>
              <w:rPr>
                <w:sz w:val="20"/>
                <w:szCs w:val="20"/>
              </w:rPr>
            </w:pPr>
            <w:r w:rsidRPr="005409DF">
              <w:rPr>
                <w:b/>
                <w:bCs/>
                <w:sz w:val="20"/>
                <w:szCs w:val="20"/>
              </w:rPr>
              <w:t>Total</w:t>
            </w:r>
          </w:p>
          <w:p w:rsidR="00A97F0F" w:rsidRPr="005409DF" w:rsidRDefault="00DD5831" w:rsidP="00DD5831">
            <w:pPr>
              <w:pStyle w:val="Default"/>
              <w:spacing w:before="40" w:after="40"/>
              <w:ind w:left="318" w:hanging="318"/>
              <w:rPr>
                <w:sz w:val="20"/>
                <w:szCs w:val="20"/>
              </w:rPr>
            </w:pPr>
            <w:r>
              <w:rPr>
                <w:sz w:val="20"/>
                <w:szCs w:val="20"/>
              </w:rPr>
              <w:tab/>
            </w:r>
            <w:r w:rsidR="00A97F0F" w:rsidRPr="005409DF">
              <w:rPr>
                <w:sz w:val="20"/>
                <w:szCs w:val="20"/>
              </w:rPr>
              <w:t>Mean (SD)</w:t>
            </w:r>
          </w:p>
          <w:p w:rsidR="00A97F0F" w:rsidRDefault="00DD5831" w:rsidP="00DD5831">
            <w:pPr>
              <w:pStyle w:val="Default"/>
              <w:spacing w:before="40" w:after="40"/>
              <w:ind w:left="318" w:hanging="318"/>
              <w:rPr>
                <w:sz w:val="20"/>
                <w:szCs w:val="20"/>
              </w:rPr>
            </w:pPr>
            <w:r>
              <w:rPr>
                <w:sz w:val="20"/>
                <w:szCs w:val="20"/>
              </w:rPr>
              <w:tab/>
            </w:r>
            <w:r w:rsidR="00A97F0F" w:rsidRPr="005409DF">
              <w:rPr>
                <w:sz w:val="20"/>
                <w:szCs w:val="20"/>
              </w:rPr>
              <w:t>Median</w:t>
            </w:r>
          </w:p>
          <w:p w:rsidR="00E2157A" w:rsidRPr="005409DF" w:rsidRDefault="00E2157A" w:rsidP="00E2157A">
            <w:pPr>
              <w:pStyle w:val="Default"/>
              <w:spacing w:before="40" w:after="40"/>
              <w:ind w:left="318"/>
              <w:rPr>
                <w:sz w:val="20"/>
                <w:szCs w:val="20"/>
              </w:rPr>
            </w:pPr>
            <w:r>
              <w:rPr>
                <w:sz w:val="20"/>
                <w:szCs w:val="20"/>
              </w:rPr>
              <w:t>IQR</w:t>
            </w:r>
          </w:p>
          <w:p w:rsidR="00A97F0F" w:rsidRPr="005409DF" w:rsidRDefault="00DD5831" w:rsidP="00E2157A">
            <w:pPr>
              <w:autoSpaceDE w:val="0"/>
              <w:autoSpaceDN w:val="0"/>
              <w:adjustRightInd w:val="0"/>
              <w:spacing w:before="40" w:after="40"/>
              <w:ind w:left="318" w:hanging="318"/>
              <w:rPr>
                <w:rFonts w:eastAsia="TimesNewRoman"/>
                <w:color w:val="000000"/>
                <w:sz w:val="20"/>
                <w:szCs w:val="20"/>
              </w:rPr>
            </w:pPr>
            <w:r>
              <w:rPr>
                <w:sz w:val="20"/>
                <w:szCs w:val="20"/>
              </w:rPr>
              <w:tab/>
            </w:r>
            <w:r w:rsidR="00E2157A">
              <w:rPr>
                <w:sz w:val="20"/>
                <w:szCs w:val="20"/>
              </w:rPr>
              <w:t>Range</w:t>
            </w:r>
          </w:p>
        </w:tc>
        <w:tc>
          <w:tcPr>
            <w:tcW w:w="2311" w:type="dxa"/>
          </w:tcPr>
          <w:p w:rsidR="005409DF" w:rsidRDefault="005409DF" w:rsidP="005409DF">
            <w:pPr>
              <w:pStyle w:val="Default"/>
              <w:spacing w:before="40" w:after="40"/>
              <w:jc w:val="center"/>
              <w:rPr>
                <w:sz w:val="20"/>
                <w:szCs w:val="20"/>
              </w:rPr>
            </w:pPr>
          </w:p>
          <w:p w:rsidR="00A97F0F" w:rsidRPr="005409DF" w:rsidRDefault="00A97F0F" w:rsidP="005409DF">
            <w:pPr>
              <w:pStyle w:val="Default"/>
              <w:spacing w:before="40" w:after="40"/>
              <w:jc w:val="center"/>
              <w:rPr>
                <w:sz w:val="20"/>
                <w:szCs w:val="20"/>
              </w:rPr>
            </w:pPr>
            <w:r w:rsidRPr="005409DF">
              <w:rPr>
                <w:sz w:val="20"/>
                <w:szCs w:val="20"/>
              </w:rPr>
              <w:t>20.78 (9.194)</w:t>
            </w:r>
          </w:p>
          <w:p w:rsidR="00E2157A" w:rsidRDefault="00A97F0F" w:rsidP="005409DF">
            <w:pPr>
              <w:pStyle w:val="Default"/>
              <w:spacing w:before="40" w:after="40"/>
              <w:jc w:val="center"/>
              <w:rPr>
                <w:sz w:val="20"/>
                <w:szCs w:val="20"/>
              </w:rPr>
            </w:pPr>
            <w:r w:rsidRPr="005409DF">
              <w:rPr>
                <w:sz w:val="20"/>
                <w:szCs w:val="20"/>
              </w:rPr>
              <w:t>19.22</w:t>
            </w:r>
          </w:p>
          <w:p w:rsidR="00A97F0F" w:rsidRPr="005409DF" w:rsidRDefault="00DD5831" w:rsidP="005409DF">
            <w:pPr>
              <w:pStyle w:val="Default"/>
              <w:spacing w:before="40" w:after="40"/>
              <w:jc w:val="center"/>
              <w:rPr>
                <w:sz w:val="20"/>
                <w:szCs w:val="20"/>
              </w:rPr>
            </w:pPr>
            <w:r>
              <w:rPr>
                <w:sz w:val="20"/>
                <w:szCs w:val="20"/>
              </w:rPr>
              <w:t>16.70, 25.84</w:t>
            </w:r>
          </w:p>
          <w:p w:rsidR="00A97F0F" w:rsidRPr="005409DF" w:rsidRDefault="00A97F0F" w:rsidP="005409DF">
            <w:pPr>
              <w:autoSpaceDE w:val="0"/>
              <w:autoSpaceDN w:val="0"/>
              <w:adjustRightInd w:val="0"/>
              <w:spacing w:before="40" w:after="40"/>
              <w:jc w:val="center"/>
              <w:rPr>
                <w:rFonts w:eastAsia="TimesNewRoman"/>
                <w:color w:val="000000"/>
                <w:sz w:val="20"/>
                <w:szCs w:val="20"/>
              </w:rPr>
            </w:pPr>
            <w:r w:rsidRPr="005409DF">
              <w:rPr>
                <w:sz w:val="20"/>
                <w:szCs w:val="20"/>
              </w:rPr>
              <w:t>2.0</w:t>
            </w:r>
            <w:r w:rsidR="000210D5">
              <w:rPr>
                <w:sz w:val="20"/>
                <w:szCs w:val="20"/>
              </w:rPr>
              <w:t>0</w:t>
            </w:r>
            <w:r w:rsidRPr="005409DF">
              <w:rPr>
                <w:sz w:val="20"/>
                <w:szCs w:val="20"/>
              </w:rPr>
              <w:t>, 46.1</w:t>
            </w:r>
          </w:p>
        </w:tc>
        <w:tc>
          <w:tcPr>
            <w:tcW w:w="2311" w:type="dxa"/>
          </w:tcPr>
          <w:p w:rsidR="005409DF" w:rsidRDefault="005409DF" w:rsidP="005409DF">
            <w:pPr>
              <w:pStyle w:val="Default"/>
              <w:spacing w:before="40" w:after="40"/>
              <w:jc w:val="center"/>
              <w:rPr>
                <w:sz w:val="20"/>
                <w:szCs w:val="20"/>
              </w:rPr>
            </w:pPr>
          </w:p>
          <w:p w:rsidR="00A97F0F" w:rsidRPr="005409DF" w:rsidRDefault="00A97F0F" w:rsidP="005409DF">
            <w:pPr>
              <w:pStyle w:val="Default"/>
              <w:spacing w:before="40" w:after="40"/>
              <w:jc w:val="center"/>
              <w:rPr>
                <w:sz w:val="20"/>
                <w:szCs w:val="20"/>
              </w:rPr>
            </w:pPr>
            <w:r w:rsidRPr="005409DF">
              <w:rPr>
                <w:sz w:val="20"/>
                <w:szCs w:val="20"/>
              </w:rPr>
              <w:t>2.87 (4.814)</w:t>
            </w:r>
          </w:p>
          <w:p w:rsidR="00E2157A" w:rsidRDefault="00A97F0F" w:rsidP="005409DF">
            <w:pPr>
              <w:pStyle w:val="Default"/>
              <w:spacing w:before="40" w:after="40"/>
              <w:jc w:val="center"/>
              <w:rPr>
                <w:sz w:val="20"/>
                <w:szCs w:val="20"/>
              </w:rPr>
            </w:pPr>
            <w:r w:rsidRPr="005409DF">
              <w:rPr>
                <w:sz w:val="20"/>
                <w:szCs w:val="20"/>
              </w:rPr>
              <w:t>1.58</w:t>
            </w:r>
          </w:p>
          <w:p w:rsidR="00A97F0F" w:rsidRPr="005409DF" w:rsidRDefault="00DD5831" w:rsidP="005409DF">
            <w:pPr>
              <w:pStyle w:val="Default"/>
              <w:spacing w:before="40" w:after="40"/>
              <w:jc w:val="center"/>
              <w:rPr>
                <w:sz w:val="20"/>
                <w:szCs w:val="20"/>
              </w:rPr>
            </w:pPr>
            <w:r>
              <w:rPr>
                <w:sz w:val="20"/>
                <w:szCs w:val="20"/>
              </w:rPr>
              <w:t>0</w:t>
            </w:r>
            <w:r w:rsidR="000210D5">
              <w:rPr>
                <w:sz w:val="20"/>
                <w:szCs w:val="20"/>
              </w:rPr>
              <w:t>.00</w:t>
            </w:r>
            <w:r>
              <w:rPr>
                <w:sz w:val="20"/>
                <w:szCs w:val="20"/>
              </w:rPr>
              <w:t>, 4.06</w:t>
            </w:r>
          </w:p>
          <w:p w:rsidR="00A97F0F" w:rsidRPr="005409DF" w:rsidRDefault="00A97F0F" w:rsidP="005409DF">
            <w:pPr>
              <w:autoSpaceDE w:val="0"/>
              <w:autoSpaceDN w:val="0"/>
              <w:adjustRightInd w:val="0"/>
              <w:spacing w:before="40" w:after="40"/>
              <w:jc w:val="center"/>
              <w:rPr>
                <w:rFonts w:eastAsia="TimesNewRoman"/>
                <w:color w:val="000000"/>
                <w:sz w:val="20"/>
                <w:szCs w:val="20"/>
              </w:rPr>
            </w:pPr>
            <w:r w:rsidRPr="005409DF">
              <w:rPr>
                <w:sz w:val="20"/>
                <w:szCs w:val="20"/>
              </w:rPr>
              <w:t>0</w:t>
            </w:r>
            <w:r w:rsidR="000210D5">
              <w:rPr>
                <w:sz w:val="20"/>
                <w:szCs w:val="20"/>
              </w:rPr>
              <w:t>.00</w:t>
            </w:r>
            <w:r w:rsidRPr="005409DF">
              <w:rPr>
                <w:sz w:val="20"/>
                <w:szCs w:val="20"/>
              </w:rPr>
              <w:t>, 21.1</w:t>
            </w:r>
          </w:p>
        </w:tc>
        <w:tc>
          <w:tcPr>
            <w:tcW w:w="2140" w:type="dxa"/>
          </w:tcPr>
          <w:p w:rsidR="005409DF" w:rsidRDefault="005409DF" w:rsidP="005409DF">
            <w:pPr>
              <w:pStyle w:val="Default"/>
              <w:spacing w:before="40" w:after="40"/>
              <w:jc w:val="center"/>
              <w:rPr>
                <w:sz w:val="20"/>
                <w:szCs w:val="20"/>
              </w:rPr>
            </w:pPr>
          </w:p>
          <w:p w:rsidR="00A97F0F" w:rsidRPr="005409DF" w:rsidRDefault="00A97F0F" w:rsidP="005409DF">
            <w:pPr>
              <w:pStyle w:val="Default"/>
              <w:spacing w:before="40" w:after="40"/>
              <w:jc w:val="center"/>
              <w:rPr>
                <w:sz w:val="20"/>
                <w:szCs w:val="20"/>
              </w:rPr>
            </w:pPr>
            <w:r w:rsidRPr="005409DF">
              <w:rPr>
                <w:sz w:val="20"/>
                <w:szCs w:val="20"/>
              </w:rPr>
              <w:t>88.8 (</w:t>
            </w:r>
            <w:r w:rsidR="00763317">
              <w:rPr>
                <w:sz w:val="20"/>
                <w:szCs w:val="20"/>
              </w:rPr>
              <w:t>12.762</w:t>
            </w:r>
            <w:r w:rsidRPr="005409DF">
              <w:rPr>
                <w:sz w:val="20"/>
                <w:szCs w:val="20"/>
              </w:rPr>
              <w:t>)</w:t>
            </w:r>
          </w:p>
          <w:p w:rsidR="00E2157A" w:rsidRDefault="00A97F0F" w:rsidP="005409DF">
            <w:pPr>
              <w:pStyle w:val="Default"/>
              <w:spacing w:before="40" w:after="40"/>
              <w:jc w:val="center"/>
              <w:rPr>
                <w:sz w:val="20"/>
                <w:szCs w:val="20"/>
              </w:rPr>
            </w:pPr>
            <w:r w:rsidRPr="005409DF">
              <w:rPr>
                <w:sz w:val="20"/>
                <w:szCs w:val="20"/>
              </w:rPr>
              <w:t>90.9</w:t>
            </w:r>
          </w:p>
          <w:p w:rsidR="00A97F0F" w:rsidRPr="005409DF" w:rsidRDefault="00DD5831" w:rsidP="005409DF">
            <w:pPr>
              <w:pStyle w:val="Default"/>
              <w:spacing w:before="40" w:after="40"/>
              <w:jc w:val="center"/>
              <w:rPr>
                <w:sz w:val="20"/>
                <w:szCs w:val="20"/>
              </w:rPr>
            </w:pPr>
            <w:r>
              <w:rPr>
                <w:sz w:val="20"/>
                <w:szCs w:val="20"/>
              </w:rPr>
              <w:t>81.</w:t>
            </w:r>
            <w:r w:rsidR="00CA336D">
              <w:rPr>
                <w:sz w:val="20"/>
                <w:szCs w:val="20"/>
              </w:rPr>
              <w:t>2</w:t>
            </w:r>
            <w:r>
              <w:rPr>
                <w:sz w:val="20"/>
                <w:szCs w:val="20"/>
              </w:rPr>
              <w:t>, 100</w:t>
            </w:r>
          </w:p>
          <w:p w:rsidR="00A97F0F" w:rsidRPr="005409DF" w:rsidRDefault="00A97F0F" w:rsidP="005409DF">
            <w:pPr>
              <w:autoSpaceDE w:val="0"/>
              <w:autoSpaceDN w:val="0"/>
              <w:adjustRightInd w:val="0"/>
              <w:spacing w:before="40" w:after="40"/>
              <w:jc w:val="center"/>
              <w:rPr>
                <w:rFonts w:eastAsia="TimesNewRoman"/>
                <w:color w:val="000000"/>
                <w:sz w:val="20"/>
                <w:szCs w:val="20"/>
              </w:rPr>
            </w:pPr>
            <w:r w:rsidRPr="005409DF">
              <w:rPr>
                <w:sz w:val="20"/>
                <w:szCs w:val="20"/>
              </w:rPr>
              <w:t>54.3, 100</w:t>
            </w:r>
          </w:p>
        </w:tc>
      </w:tr>
    </w:tbl>
    <w:p w:rsidR="00A97F0F" w:rsidRPr="005409DF" w:rsidRDefault="00105A30" w:rsidP="00105A30">
      <w:pPr>
        <w:pStyle w:val="DocumentText"/>
        <w:keepNext/>
        <w:spacing w:after="0"/>
        <w:rPr>
          <w:sz w:val="20"/>
          <w:szCs w:val="20"/>
        </w:rPr>
      </w:pPr>
      <w:r>
        <w:rPr>
          <w:sz w:val="20"/>
          <w:szCs w:val="20"/>
        </w:rPr>
        <w:t>*</w:t>
      </w:r>
      <w:r w:rsidRPr="009E09F1">
        <w:t> </w:t>
      </w:r>
      <w:r w:rsidR="00A97F0F" w:rsidRPr="005409DF">
        <w:rPr>
          <w:sz w:val="20"/>
          <w:szCs w:val="20"/>
        </w:rPr>
        <w:t>Based on matched pairs design</w:t>
      </w:r>
      <w:r w:rsidR="00DA3662" w:rsidRPr="005409DF">
        <w:rPr>
          <w:sz w:val="20"/>
          <w:szCs w:val="20"/>
        </w:rPr>
        <w:t>.</w:t>
      </w:r>
    </w:p>
    <w:p w:rsidR="00A97F0F" w:rsidRPr="00116A00" w:rsidRDefault="005533CE" w:rsidP="00A97F0F">
      <w:pPr>
        <w:autoSpaceDE w:val="0"/>
        <w:autoSpaceDN w:val="0"/>
        <w:adjustRightInd w:val="0"/>
        <w:rPr>
          <w:sz w:val="20"/>
          <w:szCs w:val="20"/>
        </w:rPr>
      </w:pPr>
      <w:r w:rsidRPr="00116A00">
        <w:rPr>
          <w:sz w:val="20"/>
          <w:szCs w:val="20"/>
        </w:rPr>
        <w:t>IQR</w:t>
      </w:r>
      <w:r w:rsidR="000003A2" w:rsidRPr="00116A00">
        <w:rPr>
          <w:sz w:val="20"/>
          <w:szCs w:val="20"/>
        </w:rPr>
        <w:t> </w:t>
      </w:r>
      <w:r w:rsidRPr="00116A00">
        <w:rPr>
          <w:sz w:val="20"/>
          <w:szCs w:val="20"/>
        </w:rPr>
        <w:t>=</w:t>
      </w:r>
      <w:r w:rsidR="000003A2" w:rsidRPr="00116A00">
        <w:rPr>
          <w:sz w:val="20"/>
          <w:szCs w:val="20"/>
        </w:rPr>
        <w:t> </w:t>
      </w:r>
      <w:r w:rsidRPr="00116A00">
        <w:rPr>
          <w:sz w:val="20"/>
          <w:szCs w:val="20"/>
        </w:rPr>
        <w:t>interquartile range, defined for 25th percentile and 75th percentile;</w:t>
      </w:r>
      <w:r w:rsidR="001D428F" w:rsidRPr="00116A00">
        <w:rPr>
          <w:sz w:val="20"/>
          <w:szCs w:val="20"/>
        </w:rPr>
        <w:t xml:space="preserve"> </w:t>
      </w:r>
      <w:r w:rsidR="00A5443D" w:rsidRPr="00116A00">
        <w:rPr>
          <w:rFonts w:eastAsia="TimesNewRoman"/>
          <w:color w:val="000000"/>
          <w:sz w:val="20"/>
          <w:szCs w:val="20"/>
        </w:rPr>
        <w:t xml:space="preserve">SD = </w:t>
      </w:r>
      <w:r w:rsidR="00DD5831" w:rsidRPr="00116A00">
        <w:rPr>
          <w:rFonts w:eastAsia="TimesNewRoman"/>
          <w:color w:val="000000"/>
          <w:sz w:val="20"/>
          <w:szCs w:val="20"/>
        </w:rPr>
        <w:t>standard deviation</w:t>
      </w:r>
      <w:r w:rsidR="00A97F0F" w:rsidRPr="00116A00">
        <w:rPr>
          <w:sz w:val="20"/>
          <w:szCs w:val="20"/>
        </w:rPr>
        <w:t xml:space="preserve">; Subjects evaluable for efficacy are subjects who received at least </w:t>
      </w:r>
      <w:r w:rsidR="003538EB" w:rsidRPr="00116A00">
        <w:rPr>
          <w:sz w:val="20"/>
          <w:szCs w:val="20"/>
        </w:rPr>
        <w:t>1</w:t>
      </w:r>
      <w:r w:rsidR="00A97F0F" w:rsidRPr="00116A00">
        <w:rPr>
          <w:sz w:val="20"/>
          <w:szCs w:val="20"/>
        </w:rPr>
        <w:t xml:space="preserve"> dose of on</w:t>
      </w:r>
      <w:r w:rsidR="0028436A" w:rsidRPr="00116A00">
        <w:rPr>
          <w:sz w:val="20"/>
          <w:szCs w:val="20"/>
        </w:rPr>
        <w:t xml:space="preserve"> </w:t>
      </w:r>
      <w:r w:rsidR="00A97F0F" w:rsidRPr="00116A00">
        <w:rPr>
          <w:sz w:val="20"/>
          <w:szCs w:val="20"/>
        </w:rPr>
        <w:t xml:space="preserve">demand treatment, and </w:t>
      </w:r>
      <w:r w:rsidR="003538EB" w:rsidRPr="00116A00">
        <w:rPr>
          <w:sz w:val="20"/>
          <w:szCs w:val="20"/>
        </w:rPr>
        <w:t>1</w:t>
      </w:r>
      <w:r w:rsidR="00A97F0F" w:rsidRPr="00116A00">
        <w:rPr>
          <w:sz w:val="20"/>
          <w:szCs w:val="20"/>
        </w:rPr>
        <w:t xml:space="preserve"> dose of prophylaxis treatment.</w:t>
      </w:r>
    </w:p>
    <w:p w:rsidR="00950129" w:rsidRPr="004407E9" w:rsidRDefault="00950129" w:rsidP="00950129">
      <w:pPr>
        <w:autoSpaceDE w:val="0"/>
        <w:autoSpaceDN w:val="0"/>
        <w:adjustRightInd w:val="0"/>
        <w:rPr>
          <w:rFonts w:eastAsia="TimesNewRoman"/>
          <w:color w:val="000000"/>
        </w:rPr>
      </w:pPr>
      <w:r w:rsidRPr="004407E9">
        <w:rPr>
          <w:rFonts w:eastAsia="TimesNewRoman"/>
        </w:rPr>
        <w:t>In Study</w:t>
      </w:r>
      <w:r w:rsidR="00DA60C8" w:rsidRPr="00A00251">
        <w:t> </w:t>
      </w:r>
      <w:r w:rsidRPr="004407E9">
        <w:rPr>
          <w:rFonts w:eastAsia="TimesNewRoman"/>
        </w:rPr>
        <w:t xml:space="preserve">2004, subjects receiving </w:t>
      </w:r>
      <w:r w:rsidRPr="00FC2360">
        <w:rPr>
          <w:rFonts w:eastAsia="TimesNewRoman"/>
        </w:rPr>
        <w:t>weekly</w:t>
      </w:r>
      <w:r w:rsidRPr="004407E9">
        <w:rPr>
          <w:rFonts w:eastAsia="TimesNewRoman"/>
        </w:rPr>
        <w:t xml:space="preserve"> prophylaxis treatment had a lower AsBR</w:t>
      </w:r>
      <w:r>
        <w:rPr>
          <w:rFonts w:eastAsia="TimesNewRoman"/>
        </w:rPr>
        <w:t xml:space="preserve"> </w:t>
      </w:r>
      <w:r w:rsidRPr="004407E9">
        <w:rPr>
          <w:rFonts w:eastAsia="TimesNewRoman"/>
        </w:rPr>
        <w:t xml:space="preserve">(median: 1.13; </w:t>
      </w:r>
      <w:r w:rsidR="00CA679D">
        <w:rPr>
          <w:rFonts w:eastAsia="TimesNewRoman"/>
        </w:rPr>
        <w:t>N</w:t>
      </w:r>
      <w:r w:rsidR="00825D55">
        <w:t> </w:t>
      </w:r>
      <w:r w:rsidRPr="004407E9">
        <w:rPr>
          <w:rFonts w:eastAsia="TimesNewRoman"/>
        </w:rPr>
        <w:t>=</w:t>
      </w:r>
      <w:r w:rsidR="00825D55">
        <w:t> </w:t>
      </w:r>
      <w:r w:rsidRPr="004407E9">
        <w:rPr>
          <w:rFonts w:eastAsia="TimesNewRoman"/>
        </w:rPr>
        <w:t>13) than subjects receiving on</w:t>
      </w:r>
      <w:r>
        <w:rPr>
          <w:rFonts w:eastAsia="TimesNewRoman"/>
        </w:rPr>
        <w:t xml:space="preserve"> </w:t>
      </w:r>
      <w:r w:rsidRPr="004407E9">
        <w:rPr>
          <w:rFonts w:eastAsia="TimesNewRoman"/>
        </w:rPr>
        <w:t>demand treatment only</w:t>
      </w:r>
      <w:r>
        <w:rPr>
          <w:rFonts w:eastAsia="TimesNewRoman"/>
        </w:rPr>
        <w:t xml:space="preserve"> </w:t>
      </w:r>
      <w:r w:rsidRPr="004407E9">
        <w:rPr>
          <w:rFonts w:eastAsia="TimesNewRoman"/>
        </w:rPr>
        <w:t xml:space="preserve">(median: 22.2; </w:t>
      </w:r>
      <w:r w:rsidR="00CA679D">
        <w:rPr>
          <w:rFonts w:eastAsia="TimesNewRoman"/>
        </w:rPr>
        <w:t>N</w:t>
      </w:r>
      <w:r w:rsidR="00825D55">
        <w:t> </w:t>
      </w:r>
      <w:r w:rsidRPr="004407E9">
        <w:rPr>
          <w:rFonts w:eastAsia="TimesNewRoman"/>
        </w:rPr>
        <w:t>=</w:t>
      </w:r>
      <w:r w:rsidR="00825D55">
        <w:t> </w:t>
      </w:r>
      <w:r w:rsidRPr="004407E9">
        <w:rPr>
          <w:rFonts w:eastAsia="TimesNewRoman"/>
        </w:rPr>
        <w:t>4).</w:t>
      </w:r>
    </w:p>
    <w:p w:rsidR="00F9578D" w:rsidRDefault="008B13F5" w:rsidP="00F9578D">
      <w:pPr>
        <w:autoSpaceDE w:val="0"/>
        <w:autoSpaceDN w:val="0"/>
        <w:adjustRightInd w:val="0"/>
        <w:rPr>
          <w:rFonts w:eastAsia="TimesNewRoman"/>
          <w:color w:val="000000"/>
        </w:rPr>
      </w:pPr>
      <w:r w:rsidRPr="00371815">
        <w:rPr>
          <w:rFonts w:eastAsia="TimesNewRoman"/>
          <w:color w:val="000000"/>
        </w:rPr>
        <w:t>Consumption</w:t>
      </w:r>
      <w:r>
        <w:rPr>
          <w:rFonts w:eastAsia="TimesNewRoman"/>
          <w:color w:val="000000"/>
        </w:rPr>
        <w:t xml:space="preserve"> of </w:t>
      </w:r>
      <w:r w:rsidR="009D6286">
        <w:t>IDELVION</w:t>
      </w:r>
      <w:r w:rsidRPr="00151E18">
        <w:rPr>
          <w:vertAlign w:val="superscript"/>
        </w:rPr>
        <w:t>®</w:t>
      </w:r>
      <w:r>
        <w:t xml:space="preserve"> </w:t>
      </w:r>
      <w:r w:rsidR="00441B14">
        <w:t>was measured as a secondary endpoint</w:t>
      </w:r>
      <w:r w:rsidR="00950129">
        <w:t xml:space="preserve"> in S</w:t>
      </w:r>
      <w:r w:rsidR="009E32CA">
        <w:t>tudy</w:t>
      </w:r>
      <w:r w:rsidR="00DA60C8" w:rsidRPr="00A00251">
        <w:t> </w:t>
      </w:r>
      <w:r w:rsidR="009E32CA">
        <w:t>3001</w:t>
      </w:r>
      <w:r w:rsidR="00441B14">
        <w:t>.</w:t>
      </w:r>
      <w:r>
        <w:rPr>
          <w:rFonts w:eastAsia="TimesNewRoman"/>
          <w:color w:val="000000"/>
        </w:rPr>
        <w:t xml:space="preserve"> </w:t>
      </w:r>
      <w:r w:rsidR="00441B14">
        <w:rPr>
          <w:rFonts w:eastAsia="TimesNewRoman"/>
          <w:color w:val="000000"/>
        </w:rPr>
        <w:t>A</w:t>
      </w:r>
      <w:r>
        <w:rPr>
          <w:rFonts w:eastAsia="TimesNewRoman"/>
          <w:color w:val="000000"/>
        </w:rPr>
        <w:t>dult and a</w:t>
      </w:r>
      <w:r w:rsidRPr="008B13F5">
        <w:rPr>
          <w:rFonts w:eastAsia="TimesNewRoman"/>
          <w:color w:val="000000"/>
        </w:rPr>
        <w:t>dolescent</w:t>
      </w:r>
      <w:r w:rsidR="00F9578D" w:rsidRPr="004407E9">
        <w:rPr>
          <w:rFonts w:eastAsia="TimesNewRoman"/>
          <w:color w:val="000000"/>
        </w:rPr>
        <w:t xml:space="preserve"> subjects on routine</w:t>
      </w:r>
      <w:r w:rsidR="00F9578D">
        <w:rPr>
          <w:rFonts w:eastAsia="TimesNewRoman"/>
          <w:color w:val="000000"/>
        </w:rPr>
        <w:t xml:space="preserve"> </w:t>
      </w:r>
      <w:r w:rsidR="00F9578D" w:rsidRPr="004407E9">
        <w:rPr>
          <w:rFonts w:eastAsia="TimesNewRoman"/>
          <w:color w:val="000000"/>
        </w:rPr>
        <w:t>prophylaxis regimens</w:t>
      </w:r>
      <w:r w:rsidR="00441B14">
        <w:rPr>
          <w:rFonts w:eastAsia="TimesNewRoman"/>
          <w:color w:val="000000"/>
        </w:rPr>
        <w:t>,</w:t>
      </w:r>
      <w:r w:rsidR="00F9578D" w:rsidRPr="004407E9">
        <w:rPr>
          <w:rFonts w:eastAsia="TimesNewRoman"/>
          <w:color w:val="000000"/>
        </w:rPr>
        <w:t xml:space="preserve"> exhibited </w:t>
      </w:r>
      <w:r w:rsidR="00F9578D">
        <w:rPr>
          <w:rFonts w:eastAsia="TimesNewRoman"/>
          <w:color w:val="000000"/>
        </w:rPr>
        <w:t xml:space="preserve">mean </w:t>
      </w:r>
      <w:r w:rsidR="00F9578D" w:rsidRPr="004407E9">
        <w:rPr>
          <w:rFonts w:eastAsia="TimesNewRoman"/>
          <w:color w:val="000000"/>
        </w:rPr>
        <w:t>monthly consumption</w:t>
      </w:r>
      <w:r w:rsidR="00CC2B19">
        <w:rPr>
          <w:rFonts w:eastAsia="TimesNewRoman"/>
          <w:color w:val="000000"/>
        </w:rPr>
        <w:t xml:space="preserve"> of </w:t>
      </w:r>
      <w:r w:rsidR="00CC2B19">
        <w:t>IDELVION</w:t>
      </w:r>
      <w:r w:rsidR="00AE7FD9" w:rsidRPr="00151E18">
        <w:rPr>
          <w:vertAlign w:val="superscript"/>
        </w:rPr>
        <w:t>®</w:t>
      </w:r>
      <w:r w:rsidR="00F9578D">
        <w:t xml:space="preserve"> </w:t>
      </w:r>
      <w:r w:rsidR="00F9578D" w:rsidRPr="004407E9">
        <w:rPr>
          <w:rFonts w:eastAsia="TimesNewRoman"/>
          <w:color w:val="000000"/>
        </w:rPr>
        <w:t xml:space="preserve">that </w:t>
      </w:r>
      <w:r w:rsidR="00CC2B19">
        <w:rPr>
          <w:rFonts w:eastAsia="TimesNewRoman"/>
          <w:color w:val="000000"/>
        </w:rPr>
        <w:t>was</w:t>
      </w:r>
      <w:r w:rsidR="00CC2B19" w:rsidRPr="004407E9">
        <w:rPr>
          <w:rFonts w:eastAsia="TimesNewRoman"/>
          <w:color w:val="000000"/>
        </w:rPr>
        <w:t xml:space="preserve"> </w:t>
      </w:r>
      <w:r w:rsidR="00F9578D">
        <w:rPr>
          <w:rFonts w:eastAsia="TimesNewRoman"/>
          <w:color w:val="000000"/>
        </w:rPr>
        <w:t xml:space="preserve">approximately </w:t>
      </w:r>
      <w:r w:rsidR="00F9578D" w:rsidRPr="004407E9">
        <w:rPr>
          <w:rFonts w:eastAsia="TimesNewRoman"/>
          <w:color w:val="000000"/>
        </w:rPr>
        <w:t>50% lower than their previous FIX prophylaxis treatment</w:t>
      </w:r>
      <w:r w:rsidR="00CC2B19">
        <w:rPr>
          <w:rFonts w:eastAsia="TimesNewRoman"/>
          <w:color w:val="000000"/>
        </w:rPr>
        <w:t>;</w:t>
      </w:r>
      <w:r w:rsidR="00F9578D">
        <w:rPr>
          <w:rFonts w:eastAsia="TimesNewRoman"/>
          <w:color w:val="000000"/>
        </w:rPr>
        <w:t xml:space="preserve"> </w:t>
      </w:r>
      <w:r w:rsidR="00CC2B19">
        <w:rPr>
          <w:rFonts w:eastAsia="TimesNewRoman"/>
          <w:color w:val="000000"/>
        </w:rPr>
        <w:t>the mean c</w:t>
      </w:r>
      <w:r w:rsidR="00F9578D">
        <w:rPr>
          <w:rFonts w:eastAsia="TimesNewRoman"/>
          <w:color w:val="000000"/>
        </w:rPr>
        <w:t xml:space="preserve">onsumption was reduced from </w:t>
      </w:r>
      <w:r w:rsidR="00CC2B19">
        <w:rPr>
          <w:rFonts w:eastAsia="TimesNewRoman"/>
          <w:color w:val="000000"/>
        </w:rPr>
        <w:t>321</w:t>
      </w:r>
      <w:r w:rsidR="000003A2">
        <w:rPr>
          <w:rFonts w:eastAsia="TimesNewRoman"/>
          <w:color w:val="000000"/>
        </w:rPr>
        <w:t> </w:t>
      </w:r>
      <w:r w:rsidR="00CC2B19" w:rsidRPr="004407E9">
        <w:rPr>
          <w:rFonts w:eastAsia="TimesNewRoman"/>
          <w:color w:val="000000"/>
        </w:rPr>
        <w:t>IU/kg</w:t>
      </w:r>
      <w:r w:rsidR="00CC2B19">
        <w:rPr>
          <w:rFonts w:eastAsia="TimesNewRoman"/>
          <w:color w:val="000000"/>
        </w:rPr>
        <w:t xml:space="preserve"> of</w:t>
      </w:r>
      <w:r w:rsidR="00AF459B">
        <w:rPr>
          <w:rFonts w:eastAsia="TimesNewRoman"/>
          <w:color w:val="000000"/>
        </w:rPr>
        <w:t xml:space="preserve"> the</w:t>
      </w:r>
      <w:r w:rsidR="00CC2B19">
        <w:rPr>
          <w:rFonts w:eastAsia="TimesNewRoman"/>
          <w:color w:val="000000"/>
        </w:rPr>
        <w:t xml:space="preserve"> </w:t>
      </w:r>
      <w:r w:rsidR="00F9578D">
        <w:rPr>
          <w:rFonts w:eastAsia="TimesNewRoman"/>
          <w:color w:val="000000"/>
        </w:rPr>
        <w:t xml:space="preserve">previous FIX </w:t>
      </w:r>
      <w:r w:rsidR="00CC2B19">
        <w:rPr>
          <w:rFonts w:eastAsia="TimesNewRoman"/>
          <w:color w:val="000000"/>
        </w:rPr>
        <w:t xml:space="preserve">products </w:t>
      </w:r>
      <w:r w:rsidR="00F9578D">
        <w:rPr>
          <w:rFonts w:eastAsia="TimesNewRoman"/>
          <w:color w:val="000000"/>
        </w:rPr>
        <w:t xml:space="preserve">to </w:t>
      </w:r>
      <w:r w:rsidR="00763317">
        <w:rPr>
          <w:rFonts w:eastAsia="TimesNewRoman"/>
          <w:color w:val="000000"/>
        </w:rPr>
        <w:t>203</w:t>
      </w:r>
      <w:r w:rsidR="00763317">
        <w:t> </w:t>
      </w:r>
      <w:r w:rsidR="00F9578D">
        <w:rPr>
          <w:rFonts w:eastAsia="TimesNewRoman"/>
          <w:color w:val="000000"/>
        </w:rPr>
        <w:t xml:space="preserve">IU/kg </w:t>
      </w:r>
      <w:r w:rsidR="00CC2B19">
        <w:rPr>
          <w:rFonts w:eastAsia="TimesNewRoman"/>
          <w:color w:val="000000"/>
        </w:rPr>
        <w:t>per month</w:t>
      </w:r>
      <w:r w:rsidR="005533CE">
        <w:rPr>
          <w:rFonts w:eastAsia="TimesNewRoman"/>
          <w:color w:val="000000"/>
        </w:rPr>
        <w:t xml:space="preserve"> </w:t>
      </w:r>
      <w:r w:rsidR="00F9578D">
        <w:rPr>
          <w:rFonts w:eastAsia="TimesNewRoman"/>
          <w:color w:val="000000"/>
        </w:rPr>
        <w:t xml:space="preserve">of </w:t>
      </w:r>
      <w:r w:rsidR="009D6286">
        <w:t>IDELVION</w:t>
      </w:r>
      <w:r w:rsidR="00F9578D" w:rsidRPr="00151E18">
        <w:rPr>
          <w:vertAlign w:val="superscript"/>
        </w:rPr>
        <w:t>®</w:t>
      </w:r>
      <w:r w:rsidR="00F9578D">
        <w:t xml:space="preserve"> </w:t>
      </w:r>
      <w:r w:rsidR="00CC2B19">
        <w:t xml:space="preserve">on once weekly regimen </w:t>
      </w:r>
      <w:r w:rsidR="00F9578D">
        <w:rPr>
          <w:rFonts w:eastAsia="TimesNewRoman"/>
          <w:color w:val="000000"/>
        </w:rPr>
        <w:t xml:space="preserve">and </w:t>
      </w:r>
      <w:r w:rsidR="00763317" w:rsidRPr="004407E9">
        <w:rPr>
          <w:rFonts w:eastAsia="TimesNewRoman"/>
          <w:color w:val="000000"/>
        </w:rPr>
        <w:t>15</w:t>
      </w:r>
      <w:r w:rsidR="00763317">
        <w:rPr>
          <w:rFonts w:eastAsia="TimesNewRoman"/>
          <w:color w:val="000000"/>
        </w:rPr>
        <w:t>7</w:t>
      </w:r>
      <w:r w:rsidR="00763317">
        <w:t> </w:t>
      </w:r>
      <w:r w:rsidR="00F9578D">
        <w:rPr>
          <w:rFonts w:eastAsia="TimesNewRoman"/>
          <w:color w:val="000000"/>
        </w:rPr>
        <w:t>IU/kg</w:t>
      </w:r>
      <w:r w:rsidR="005533CE">
        <w:rPr>
          <w:rFonts w:eastAsia="TimesNewRoman"/>
          <w:color w:val="000000"/>
        </w:rPr>
        <w:t xml:space="preserve"> </w:t>
      </w:r>
      <w:r w:rsidR="00DD4EBB">
        <w:rPr>
          <w:rFonts w:eastAsia="TimesNewRoman"/>
          <w:color w:val="000000"/>
        </w:rPr>
        <w:t xml:space="preserve">on </w:t>
      </w:r>
      <w:r w:rsidR="005533CE">
        <w:rPr>
          <w:rFonts w:eastAsia="TimesNewRoman"/>
          <w:color w:val="000000"/>
        </w:rPr>
        <w:t>once every 14</w:t>
      </w:r>
      <w:r w:rsidR="008A4CE7">
        <w:rPr>
          <w:rFonts w:eastAsia="TimesNewRoman"/>
          <w:color w:val="000000"/>
        </w:rPr>
        <w:t xml:space="preserve"> </w:t>
      </w:r>
      <w:r w:rsidR="005533CE">
        <w:rPr>
          <w:rFonts w:eastAsia="TimesNewRoman"/>
          <w:color w:val="000000"/>
        </w:rPr>
        <w:t xml:space="preserve">day </w:t>
      </w:r>
      <w:r w:rsidR="00DD4EBB">
        <w:rPr>
          <w:rFonts w:eastAsia="TimesNewRoman"/>
          <w:color w:val="000000"/>
        </w:rPr>
        <w:t>regimen</w:t>
      </w:r>
      <w:r w:rsidR="00F9578D">
        <w:rPr>
          <w:rFonts w:eastAsia="TimesNewRoman"/>
          <w:color w:val="000000"/>
        </w:rPr>
        <w:t>.</w:t>
      </w:r>
    </w:p>
    <w:p w:rsidR="00FD20F8" w:rsidRPr="0082193A" w:rsidRDefault="00FD20F8" w:rsidP="00BE1AC6">
      <w:pPr>
        <w:pStyle w:val="DocumentText"/>
        <w:keepNext/>
        <w:spacing w:after="120"/>
        <w:rPr>
          <w:b/>
          <w:i/>
          <w:sz w:val="28"/>
          <w:szCs w:val="28"/>
        </w:rPr>
      </w:pPr>
      <w:r w:rsidRPr="0082193A">
        <w:rPr>
          <w:b/>
          <w:i/>
          <w:sz w:val="28"/>
          <w:szCs w:val="28"/>
        </w:rPr>
        <w:lastRenderedPageBreak/>
        <w:t>P</w:t>
      </w:r>
      <w:r w:rsidR="00BA4F9E">
        <w:rPr>
          <w:b/>
          <w:i/>
          <w:sz w:val="28"/>
          <w:szCs w:val="28"/>
        </w:rPr>
        <w:t>a</w:t>
      </w:r>
      <w:r w:rsidRPr="0082193A">
        <w:rPr>
          <w:b/>
          <w:i/>
          <w:sz w:val="28"/>
          <w:szCs w:val="28"/>
        </w:rPr>
        <w:t xml:space="preserve">ediatric </w:t>
      </w:r>
      <w:r w:rsidR="0028436A" w:rsidRPr="0082193A">
        <w:rPr>
          <w:b/>
          <w:i/>
          <w:sz w:val="28"/>
          <w:szCs w:val="28"/>
        </w:rPr>
        <w:t>s</w:t>
      </w:r>
      <w:r w:rsidRPr="0082193A">
        <w:rPr>
          <w:b/>
          <w:i/>
          <w:sz w:val="28"/>
          <w:szCs w:val="28"/>
        </w:rPr>
        <w:t xml:space="preserve">ubjects (0 to &lt;12 </w:t>
      </w:r>
      <w:r w:rsidR="0028436A" w:rsidRPr="0082193A">
        <w:rPr>
          <w:b/>
          <w:i/>
          <w:sz w:val="28"/>
          <w:szCs w:val="28"/>
        </w:rPr>
        <w:t>y</w:t>
      </w:r>
      <w:r w:rsidRPr="0082193A">
        <w:rPr>
          <w:b/>
          <w:i/>
          <w:sz w:val="28"/>
          <w:szCs w:val="28"/>
        </w:rPr>
        <w:t xml:space="preserve">ears of </w:t>
      </w:r>
      <w:r w:rsidR="0028436A" w:rsidRPr="0082193A">
        <w:rPr>
          <w:b/>
          <w:i/>
          <w:sz w:val="28"/>
          <w:szCs w:val="28"/>
        </w:rPr>
        <w:t>a</w:t>
      </w:r>
      <w:r w:rsidRPr="0082193A">
        <w:rPr>
          <w:b/>
          <w:i/>
          <w:sz w:val="28"/>
          <w:szCs w:val="28"/>
        </w:rPr>
        <w:t>ge)</w:t>
      </w:r>
    </w:p>
    <w:p w:rsidR="00FD20F8" w:rsidRPr="004407E9" w:rsidRDefault="00FD20F8" w:rsidP="00FD20F8">
      <w:pPr>
        <w:autoSpaceDE w:val="0"/>
        <w:autoSpaceDN w:val="0"/>
        <w:adjustRightInd w:val="0"/>
        <w:rPr>
          <w:rFonts w:eastAsia="TimesNewRoman"/>
          <w:color w:val="000000"/>
        </w:rPr>
      </w:pPr>
      <w:r w:rsidRPr="004407E9">
        <w:rPr>
          <w:rFonts w:eastAsia="TimesNewRoman"/>
          <w:color w:val="000000"/>
        </w:rPr>
        <w:t>In Study</w:t>
      </w:r>
      <w:r w:rsidR="00DA60C8" w:rsidRPr="00A00251">
        <w:t> </w:t>
      </w:r>
      <w:r w:rsidRPr="004407E9">
        <w:rPr>
          <w:rFonts w:eastAsia="TimesNewRoman"/>
          <w:color w:val="000000"/>
        </w:rPr>
        <w:t>3002, all 27</w:t>
      </w:r>
      <w:r w:rsidR="00091E44">
        <w:rPr>
          <w:rFonts w:eastAsia="TimesNewRoman"/>
          <w:color w:val="000000"/>
        </w:rPr>
        <w:t xml:space="preserve"> male</w:t>
      </w:r>
      <w:r w:rsidR="005A1AA5">
        <w:t> </w:t>
      </w:r>
      <w:r w:rsidRPr="004407E9">
        <w:rPr>
          <w:rFonts w:eastAsia="TimesNewRoman"/>
          <w:color w:val="000000"/>
        </w:rPr>
        <w:t xml:space="preserve">subjects were </w:t>
      </w:r>
      <w:r w:rsidR="00091E44">
        <w:rPr>
          <w:rFonts w:eastAsia="TimesNewRoman"/>
          <w:color w:val="000000"/>
        </w:rPr>
        <w:t xml:space="preserve">previously treated patients (PTPs) </w:t>
      </w:r>
      <w:r w:rsidRPr="004407E9">
        <w:rPr>
          <w:rFonts w:eastAsia="TimesNewRoman"/>
          <w:color w:val="000000"/>
        </w:rPr>
        <w:t>on a 7</w:t>
      </w:r>
      <w:r w:rsidR="00550A4D">
        <w:rPr>
          <w:rFonts w:eastAsia="TimesNewRoman"/>
          <w:color w:val="000000"/>
        </w:rPr>
        <w:t> </w:t>
      </w:r>
      <w:r w:rsidRPr="004407E9">
        <w:rPr>
          <w:rFonts w:eastAsia="TimesNewRoman"/>
          <w:color w:val="000000"/>
        </w:rPr>
        <w:t>day prophylaxis regimen</w:t>
      </w:r>
      <w:r>
        <w:rPr>
          <w:rFonts w:eastAsia="TimesNewRoman"/>
          <w:color w:val="000000"/>
        </w:rPr>
        <w:t>.</w:t>
      </w:r>
      <w:r w:rsidRPr="004407E9">
        <w:rPr>
          <w:rFonts w:eastAsia="TimesNewRoman"/>
          <w:color w:val="000000"/>
        </w:rPr>
        <w:t xml:space="preserve"> </w:t>
      </w:r>
      <w:r>
        <w:rPr>
          <w:rFonts w:eastAsia="TimesNewRoman"/>
          <w:color w:val="000000"/>
        </w:rPr>
        <w:t>T</w:t>
      </w:r>
      <w:r w:rsidRPr="004407E9">
        <w:rPr>
          <w:rFonts w:eastAsia="TimesNewRoman"/>
          <w:color w:val="000000"/>
        </w:rPr>
        <w:t>he overall median</w:t>
      </w:r>
      <w:r>
        <w:rPr>
          <w:rFonts w:eastAsia="TimesNewRoman"/>
          <w:color w:val="000000"/>
        </w:rPr>
        <w:t xml:space="preserve"> </w:t>
      </w:r>
      <w:r w:rsidRPr="004407E9">
        <w:rPr>
          <w:rFonts w:eastAsia="TimesNewRoman"/>
          <w:color w:val="000000"/>
        </w:rPr>
        <w:t>AsBR was 0.00 bleeds per year per subject. No differences between subjects &lt;6 years of age and subjects 6 to &lt;12</w:t>
      </w:r>
      <w:r w:rsidR="005A1AA5">
        <w:t> </w:t>
      </w:r>
      <w:r w:rsidRPr="004407E9">
        <w:rPr>
          <w:rFonts w:eastAsia="TimesNewRoman"/>
          <w:color w:val="000000"/>
        </w:rPr>
        <w:t>years of age were observed with regard</w:t>
      </w:r>
      <w:r>
        <w:rPr>
          <w:rFonts w:eastAsia="TimesNewRoman"/>
          <w:color w:val="000000"/>
        </w:rPr>
        <w:t xml:space="preserve"> </w:t>
      </w:r>
      <w:r w:rsidRPr="004407E9">
        <w:rPr>
          <w:rFonts w:eastAsia="TimesNewRoman"/>
          <w:color w:val="000000"/>
        </w:rPr>
        <w:t>to the efficacy of a 7</w:t>
      </w:r>
      <w:r w:rsidR="00550A4D">
        <w:rPr>
          <w:rFonts w:eastAsia="TimesNewRoman"/>
          <w:color w:val="000000"/>
        </w:rPr>
        <w:t> </w:t>
      </w:r>
      <w:r w:rsidRPr="004407E9">
        <w:rPr>
          <w:rFonts w:eastAsia="TimesNewRoman"/>
          <w:color w:val="000000"/>
        </w:rPr>
        <w:t>day routine prophylaxis regimen.</w:t>
      </w:r>
      <w:r>
        <w:rPr>
          <w:rFonts w:eastAsia="TimesNewRoman"/>
          <w:color w:val="000000"/>
        </w:rPr>
        <w:t xml:space="preserve"> T</w:t>
      </w:r>
      <w:r w:rsidRPr="004407E9">
        <w:rPr>
          <w:rFonts w:eastAsia="TimesNewRoman"/>
          <w:color w:val="000000"/>
        </w:rPr>
        <w:t>hese results are consistent with the AsBR derived for the adult population</w:t>
      </w:r>
      <w:r>
        <w:rPr>
          <w:rFonts w:eastAsia="TimesNewRoman"/>
          <w:color w:val="000000"/>
        </w:rPr>
        <w:t xml:space="preserve"> </w:t>
      </w:r>
      <w:r w:rsidRPr="004407E9">
        <w:rPr>
          <w:rFonts w:eastAsia="TimesNewRoman"/>
          <w:color w:val="000000"/>
        </w:rPr>
        <w:t>receiving routine prophylaxis in Study</w:t>
      </w:r>
      <w:r w:rsidR="00DA60C8" w:rsidRPr="00A00251">
        <w:t> </w:t>
      </w:r>
      <w:r w:rsidRPr="004407E9">
        <w:rPr>
          <w:rFonts w:eastAsia="TimesNewRoman"/>
          <w:color w:val="000000"/>
        </w:rPr>
        <w:t>3001</w:t>
      </w:r>
      <w:r>
        <w:rPr>
          <w:rFonts w:eastAsia="TimesNewRoman"/>
          <w:color w:val="000000"/>
        </w:rPr>
        <w:t>.</w:t>
      </w:r>
    </w:p>
    <w:p w:rsidR="00F9578D" w:rsidRDefault="00F9578D" w:rsidP="00F9578D">
      <w:pPr>
        <w:autoSpaceDE w:val="0"/>
        <w:autoSpaceDN w:val="0"/>
        <w:adjustRightInd w:val="0"/>
        <w:rPr>
          <w:rFonts w:eastAsia="TimesNewRoman"/>
          <w:color w:val="000000"/>
        </w:rPr>
      </w:pPr>
      <w:r w:rsidRPr="00371815">
        <w:rPr>
          <w:rFonts w:eastAsia="TimesNewRoman"/>
          <w:color w:val="000000"/>
        </w:rPr>
        <w:t xml:space="preserve">Consumption </w:t>
      </w:r>
      <w:r w:rsidR="00441B14">
        <w:rPr>
          <w:rFonts w:eastAsia="TimesNewRoman"/>
          <w:color w:val="000000"/>
        </w:rPr>
        <w:t xml:space="preserve">of </w:t>
      </w:r>
      <w:r w:rsidR="009D6286">
        <w:rPr>
          <w:rFonts w:eastAsia="TimesNewRoman"/>
          <w:color w:val="000000"/>
        </w:rPr>
        <w:t>IDELVION</w:t>
      </w:r>
      <w:r w:rsidR="000B43C0" w:rsidRPr="00151E18">
        <w:rPr>
          <w:vertAlign w:val="superscript"/>
        </w:rPr>
        <w:t>®</w:t>
      </w:r>
      <w:r w:rsidR="00441B14">
        <w:rPr>
          <w:rFonts w:eastAsia="TimesNewRoman"/>
          <w:color w:val="000000"/>
        </w:rPr>
        <w:t xml:space="preserve"> </w:t>
      </w:r>
      <w:r w:rsidR="00441B14">
        <w:t>was measured as a secondary endpoint</w:t>
      </w:r>
      <w:r w:rsidR="00441B14" w:rsidRPr="00371815">
        <w:rPr>
          <w:rFonts w:eastAsia="TimesNewRoman"/>
          <w:color w:val="000000"/>
        </w:rPr>
        <w:t xml:space="preserve"> </w:t>
      </w:r>
      <w:r w:rsidR="00950129">
        <w:rPr>
          <w:rFonts w:eastAsia="TimesNewRoman"/>
          <w:color w:val="000000"/>
        </w:rPr>
        <w:t>in Study</w:t>
      </w:r>
      <w:r w:rsidR="00DA60C8" w:rsidRPr="00A00251">
        <w:t> </w:t>
      </w:r>
      <w:r w:rsidR="00950129">
        <w:rPr>
          <w:rFonts w:eastAsia="TimesNewRoman"/>
          <w:color w:val="000000"/>
        </w:rPr>
        <w:t>3002</w:t>
      </w:r>
      <w:r w:rsidR="00441B14">
        <w:rPr>
          <w:rFonts w:eastAsia="TimesNewRoman"/>
          <w:color w:val="000000"/>
        </w:rPr>
        <w:t>. In p</w:t>
      </w:r>
      <w:r w:rsidR="00BA4F9E">
        <w:rPr>
          <w:rFonts w:eastAsia="TimesNewRoman"/>
          <w:color w:val="000000"/>
        </w:rPr>
        <w:t>a</w:t>
      </w:r>
      <w:r w:rsidRPr="00371815">
        <w:rPr>
          <w:rFonts w:eastAsia="TimesNewRoman"/>
          <w:color w:val="000000"/>
        </w:rPr>
        <w:t>ediatric</w:t>
      </w:r>
      <w:r w:rsidRPr="004407E9">
        <w:rPr>
          <w:rFonts w:eastAsia="TimesNewRoman"/>
          <w:color w:val="000000"/>
        </w:rPr>
        <w:t xml:space="preserve"> subjects on a 7</w:t>
      </w:r>
      <w:r w:rsidR="00550A4D">
        <w:rPr>
          <w:rFonts w:eastAsia="TimesNewRoman"/>
          <w:color w:val="000000"/>
        </w:rPr>
        <w:t> </w:t>
      </w:r>
      <w:r w:rsidRPr="004407E9">
        <w:rPr>
          <w:rFonts w:eastAsia="TimesNewRoman"/>
          <w:color w:val="000000"/>
        </w:rPr>
        <w:t xml:space="preserve">day </w:t>
      </w:r>
      <w:r w:rsidR="009D6286">
        <w:t>IDELVION</w:t>
      </w:r>
      <w:r w:rsidRPr="00151E18">
        <w:rPr>
          <w:vertAlign w:val="superscript"/>
        </w:rPr>
        <w:t>®</w:t>
      </w:r>
      <w:r>
        <w:t xml:space="preserve"> </w:t>
      </w:r>
      <w:r w:rsidRPr="004407E9">
        <w:rPr>
          <w:rFonts w:eastAsia="TimesNewRoman"/>
          <w:color w:val="000000"/>
        </w:rPr>
        <w:t>routine prophylaxis regimen</w:t>
      </w:r>
      <w:r w:rsidR="00441B14">
        <w:rPr>
          <w:rFonts w:eastAsia="TimesNewRoman"/>
          <w:color w:val="000000"/>
        </w:rPr>
        <w:t>, consumption</w:t>
      </w:r>
      <w:r w:rsidRPr="004407E9">
        <w:rPr>
          <w:rFonts w:eastAsia="TimesNewRoman"/>
          <w:color w:val="000000"/>
        </w:rPr>
        <w:t xml:space="preserve"> was</w:t>
      </w:r>
      <w:r>
        <w:rPr>
          <w:rFonts w:eastAsia="TimesNewRoman"/>
          <w:color w:val="000000"/>
        </w:rPr>
        <w:t xml:space="preserve"> </w:t>
      </w:r>
      <w:r w:rsidRPr="004407E9">
        <w:rPr>
          <w:rFonts w:eastAsia="TimesNewRoman"/>
          <w:color w:val="000000"/>
        </w:rPr>
        <w:t>similar to that of adults on the same prophylaxis regimen. In addition, the monthly</w:t>
      </w:r>
      <w:r>
        <w:rPr>
          <w:rFonts w:eastAsia="TimesNewRoman"/>
          <w:color w:val="000000"/>
        </w:rPr>
        <w:t xml:space="preserve"> </w:t>
      </w:r>
      <w:r w:rsidRPr="004407E9">
        <w:rPr>
          <w:rFonts w:eastAsia="TimesNewRoman"/>
          <w:color w:val="000000"/>
        </w:rPr>
        <w:t xml:space="preserve">prophylaxis consumption of </w:t>
      </w:r>
      <w:r w:rsidR="009D6286">
        <w:t>IDELVION</w:t>
      </w:r>
      <w:r w:rsidRPr="00151E18">
        <w:rPr>
          <w:vertAlign w:val="superscript"/>
        </w:rPr>
        <w:t>®</w:t>
      </w:r>
      <w:r>
        <w:t xml:space="preserve"> </w:t>
      </w:r>
      <w:r w:rsidRPr="004407E9">
        <w:rPr>
          <w:rFonts w:eastAsia="TimesNewRoman"/>
          <w:color w:val="000000"/>
        </w:rPr>
        <w:t>administered per subject was lower than for their</w:t>
      </w:r>
      <w:r>
        <w:rPr>
          <w:rFonts w:eastAsia="TimesNewRoman"/>
          <w:color w:val="000000"/>
        </w:rPr>
        <w:t xml:space="preserve"> </w:t>
      </w:r>
      <w:r w:rsidRPr="004407E9">
        <w:rPr>
          <w:rFonts w:eastAsia="TimesNewRoman"/>
          <w:color w:val="000000"/>
        </w:rPr>
        <w:t xml:space="preserve">previous FIX; the mean </w:t>
      </w:r>
      <w:r>
        <w:rPr>
          <w:rFonts w:eastAsia="TimesNewRoman"/>
          <w:color w:val="000000"/>
        </w:rPr>
        <w:t>(</w:t>
      </w:r>
      <w:r w:rsidRPr="004407E9">
        <w:rPr>
          <w:rFonts w:eastAsia="TimesNewRoman"/>
          <w:color w:val="000000"/>
        </w:rPr>
        <w:t>SD</w:t>
      </w:r>
      <w:r>
        <w:rPr>
          <w:rFonts w:eastAsia="TimesNewRoman"/>
          <w:color w:val="000000"/>
        </w:rPr>
        <w:t>)</w:t>
      </w:r>
      <w:r w:rsidRPr="004407E9">
        <w:rPr>
          <w:rFonts w:eastAsia="TimesNewRoman"/>
          <w:color w:val="000000"/>
        </w:rPr>
        <w:t xml:space="preserve"> monthly consumption of </w:t>
      </w:r>
      <w:r w:rsidR="009D6286">
        <w:t>IDELVION</w:t>
      </w:r>
      <w:r w:rsidRPr="00151E18">
        <w:rPr>
          <w:vertAlign w:val="superscript"/>
        </w:rPr>
        <w:t>®</w:t>
      </w:r>
      <w:r>
        <w:t xml:space="preserve"> </w:t>
      </w:r>
      <w:r w:rsidRPr="004407E9">
        <w:rPr>
          <w:rFonts w:eastAsia="TimesNewRoman"/>
          <w:color w:val="000000"/>
        </w:rPr>
        <w:t xml:space="preserve">was 200 </w:t>
      </w:r>
      <w:r>
        <w:rPr>
          <w:rFonts w:eastAsia="TimesNewRoman"/>
          <w:color w:val="000000"/>
        </w:rPr>
        <w:t>(</w:t>
      </w:r>
      <w:r w:rsidRPr="004407E9">
        <w:rPr>
          <w:rFonts w:eastAsia="TimesNewRoman"/>
          <w:color w:val="000000"/>
        </w:rPr>
        <w:t>40</w:t>
      </w:r>
      <w:r>
        <w:rPr>
          <w:rFonts w:eastAsia="TimesNewRoman"/>
          <w:color w:val="000000"/>
        </w:rPr>
        <w:t>) </w:t>
      </w:r>
      <w:r w:rsidRPr="004407E9">
        <w:rPr>
          <w:rFonts w:eastAsia="TimesNewRoman"/>
          <w:color w:val="000000"/>
        </w:rPr>
        <w:t>IU/kg (</w:t>
      </w:r>
      <w:r w:rsidR="00CA679D">
        <w:rPr>
          <w:rFonts w:eastAsia="TimesNewRoman"/>
          <w:color w:val="000000"/>
        </w:rPr>
        <w:t>N</w:t>
      </w:r>
      <w:r w:rsidR="00DA60C8" w:rsidRPr="00A00251">
        <w:t> </w:t>
      </w:r>
      <w:r w:rsidRPr="004407E9">
        <w:rPr>
          <w:rFonts w:eastAsia="TimesNewRoman"/>
          <w:color w:val="000000"/>
        </w:rPr>
        <w:t>=</w:t>
      </w:r>
      <w:r w:rsidR="00DA60C8" w:rsidRPr="00A00251">
        <w:t> </w:t>
      </w:r>
      <w:r w:rsidRPr="004407E9">
        <w:rPr>
          <w:rFonts w:eastAsia="TimesNewRoman"/>
          <w:color w:val="000000"/>
        </w:rPr>
        <w:t>27)</w:t>
      </w:r>
      <w:r>
        <w:rPr>
          <w:rFonts w:eastAsia="TimesNewRoman"/>
          <w:color w:val="000000"/>
        </w:rPr>
        <w:t xml:space="preserve"> compared with </w:t>
      </w:r>
      <w:r w:rsidRPr="004407E9">
        <w:rPr>
          <w:rFonts w:eastAsia="TimesNewRoman"/>
          <w:color w:val="000000"/>
        </w:rPr>
        <w:t>390</w:t>
      </w:r>
      <w:r w:rsidR="005A1AA5">
        <w:t> </w:t>
      </w:r>
      <w:r>
        <w:rPr>
          <w:rFonts w:eastAsia="TimesNewRoman"/>
          <w:color w:val="000000"/>
        </w:rPr>
        <w:t>(</w:t>
      </w:r>
      <w:r w:rsidRPr="004407E9">
        <w:rPr>
          <w:rFonts w:eastAsia="TimesNewRoman"/>
          <w:color w:val="000000"/>
        </w:rPr>
        <w:t>209</w:t>
      </w:r>
      <w:r>
        <w:rPr>
          <w:rFonts w:eastAsia="TimesNewRoman"/>
          <w:color w:val="000000"/>
        </w:rPr>
        <w:t>) </w:t>
      </w:r>
      <w:r w:rsidRPr="004407E9">
        <w:rPr>
          <w:rFonts w:eastAsia="TimesNewRoman"/>
          <w:color w:val="000000"/>
        </w:rPr>
        <w:t>IU/kg</w:t>
      </w:r>
      <w:r w:rsidR="005A1AA5">
        <w:t> </w:t>
      </w:r>
      <w:r>
        <w:rPr>
          <w:rFonts w:eastAsia="TimesNewRoman"/>
          <w:color w:val="000000"/>
        </w:rPr>
        <w:t>FIX</w:t>
      </w:r>
      <w:r w:rsidR="005A1AA5">
        <w:t> </w:t>
      </w:r>
      <w:r w:rsidRPr="004407E9">
        <w:rPr>
          <w:rFonts w:eastAsia="TimesNewRoman"/>
          <w:color w:val="000000"/>
        </w:rPr>
        <w:t>(</w:t>
      </w:r>
      <w:r w:rsidR="00CA679D">
        <w:rPr>
          <w:rFonts w:eastAsia="TimesNewRoman"/>
          <w:color w:val="000000"/>
        </w:rPr>
        <w:t>N</w:t>
      </w:r>
      <w:r w:rsidR="00DA60C8" w:rsidRPr="00A00251">
        <w:t> </w:t>
      </w:r>
      <w:r w:rsidRPr="004407E9">
        <w:rPr>
          <w:rFonts w:eastAsia="TimesNewRoman"/>
          <w:color w:val="000000"/>
        </w:rPr>
        <w:t>=</w:t>
      </w:r>
      <w:r w:rsidR="00DA60C8" w:rsidRPr="00A00251">
        <w:t> </w:t>
      </w:r>
      <w:r w:rsidRPr="004407E9">
        <w:rPr>
          <w:rFonts w:eastAsia="TimesNewRoman"/>
          <w:color w:val="000000"/>
        </w:rPr>
        <w:t>24).</w:t>
      </w:r>
      <w:r>
        <w:rPr>
          <w:rFonts w:eastAsia="TimesNewRoman"/>
          <w:color w:val="000000"/>
        </w:rPr>
        <w:t xml:space="preserve"> </w:t>
      </w:r>
      <w:r w:rsidRPr="004407E9">
        <w:rPr>
          <w:rFonts w:eastAsia="TimesNewRoman"/>
          <w:color w:val="000000"/>
        </w:rPr>
        <w:t xml:space="preserve">There was no difference in </w:t>
      </w:r>
      <w:r w:rsidR="009D6286">
        <w:t>IDELVION</w:t>
      </w:r>
      <w:r w:rsidRPr="00151E18">
        <w:rPr>
          <w:vertAlign w:val="superscript"/>
        </w:rPr>
        <w:t>®</w:t>
      </w:r>
      <w:r>
        <w:t xml:space="preserve"> </w:t>
      </w:r>
      <w:r w:rsidRPr="004407E9">
        <w:rPr>
          <w:rFonts w:eastAsia="TimesNewRoman"/>
          <w:color w:val="000000"/>
        </w:rPr>
        <w:t>consumption between the 2</w:t>
      </w:r>
      <w:r w:rsidR="005A1AA5">
        <w:t> </w:t>
      </w:r>
      <w:r w:rsidRPr="004407E9">
        <w:rPr>
          <w:rFonts w:eastAsia="TimesNewRoman"/>
          <w:color w:val="000000"/>
        </w:rPr>
        <w:t>p</w:t>
      </w:r>
      <w:r w:rsidR="00BA4F9E">
        <w:rPr>
          <w:rFonts w:eastAsia="TimesNewRoman"/>
          <w:color w:val="000000"/>
        </w:rPr>
        <w:t>a</w:t>
      </w:r>
      <w:r w:rsidRPr="004407E9">
        <w:rPr>
          <w:rFonts w:eastAsia="TimesNewRoman"/>
          <w:color w:val="000000"/>
        </w:rPr>
        <w:t>ediatric age groups</w:t>
      </w:r>
      <w:r>
        <w:rPr>
          <w:rFonts w:eastAsia="TimesNewRoman"/>
          <w:color w:val="000000"/>
        </w:rPr>
        <w:t xml:space="preserve"> (</w:t>
      </w:r>
      <w:r w:rsidRPr="004407E9">
        <w:rPr>
          <w:rFonts w:eastAsia="TimesNewRoman"/>
          <w:color w:val="000000"/>
        </w:rPr>
        <w:t>subjects &lt;6</w:t>
      </w:r>
      <w:r w:rsidR="00606E6A">
        <w:rPr>
          <w:rFonts w:eastAsia="TimesNewRoman"/>
          <w:color w:val="000000"/>
        </w:rPr>
        <w:t> </w:t>
      </w:r>
      <w:r w:rsidRPr="004407E9">
        <w:rPr>
          <w:rFonts w:eastAsia="TimesNewRoman"/>
          <w:color w:val="000000"/>
        </w:rPr>
        <w:t>years of age and subjects 6</w:t>
      </w:r>
      <w:r w:rsidR="005A1AA5">
        <w:t> </w:t>
      </w:r>
      <w:r w:rsidRPr="004407E9">
        <w:rPr>
          <w:rFonts w:eastAsia="TimesNewRoman"/>
          <w:color w:val="000000"/>
        </w:rPr>
        <w:t>to</w:t>
      </w:r>
      <w:r w:rsidR="005A1AA5">
        <w:t> </w:t>
      </w:r>
      <w:r w:rsidRPr="004407E9">
        <w:rPr>
          <w:rFonts w:eastAsia="TimesNewRoman"/>
          <w:color w:val="000000"/>
        </w:rPr>
        <w:t>&lt;12 years of age</w:t>
      </w:r>
      <w:r>
        <w:rPr>
          <w:rFonts w:eastAsia="TimesNewRoman"/>
          <w:color w:val="000000"/>
        </w:rPr>
        <w:t>)</w:t>
      </w:r>
      <w:r w:rsidRPr="004407E9">
        <w:rPr>
          <w:rFonts w:eastAsia="TimesNewRoman"/>
          <w:color w:val="000000"/>
        </w:rPr>
        <w:t>.</w:t>
      </w:r>
    </w:p>
    <w:p w:rsidR="000164F7" w:rsidRPr="000164F7" w:rsidRDefault="000164F7" w:rsidP="00F9578D">
      <w:pPr>
        <w:autoSpaceDE w:val="0"/>
        <w:autoSpaceDN w:val="0"/>
        <w:adjustRightInd w:val="0"/>
      </w:pPr>
      <w:r w:rsidRPr="001718EE">
        <w:t>Clinical studies are ongoing in this patient group</w:t>
      </w:r>
      <w:r>
        <w:t xml:space="preserve">, </w:t>
      </w:r>
      <w:r w:rsidRPr="001718EE">
        <w:t xml:space="preserve">investigating the safety and efficacy of extended treatment intervals of up to </w:t>
      </w:r>
      <w:r>
        <w:t>14</w:t>
      </w:r>
      <w:r w:rsidRPr="001718EE">
        <w:t xml:space="preserve"> days</w:t>
      </w:r>
      <w:r>
        <w:t>.</w:t>
      </w:r>
    </w:p>
    <w:p w:rsidR="00FD20F8" w:rsidRPr="00010047" w:rsidRDefault="00010047" w:rsidP="00BE1AC6">
      <w:pPr>
        <w:pStyle w:val="Heading3"/>
        <w:numPr>
          <w:ilvl w:val="0"/>
          <w:numId w:val="0"/>
        </w:numPr>
        <w:ind w:left="2138" w:hanging="2138"/>
      </w:pPr>
      <w:r>
        <w:t xml:space="preserve">Control and </w:t>
      </w:r>
      <w:r w:rsidR="008B13F5">
        <w:t>prevention of bleeding e</w:t>
      </w:r>
      <w:r w:rsidR="00FD20F8" w:rsidRPr="00010047">
        <w:t>pisodes</w:t>
      </w:r>
    </w:p>
    <w:p w:rsidR="00FD20F8" w:rsidRPr="0082193A" w:rsidRDefault="00FD20F8" w:rsidP="00BE1AC6">
      <w:pPr>
        <w:pStyle w:val="DocumentText"/>
        <w:keepNext/>
        <w:spacing w:after="120"/>
        <w:rPr>
          <w:b/>
          <w:i/>
          <w:sz w:val="28"/>
          <w:szCs w:val="28"/>
        </w:rPr>
      </w:pPr>
      <w:r w:rsidRPr="0082193A">
        <w:rPr>
          <w:b/>
          <w:i/>
          <w:sz w:val="28"/>
          <w:szCs w:val="28"/>
        </w:rPr>
        <w:t xml:space="preserve">Adult and </w:t>
      </w:r>
      <w:r w:rsidR="0028436A" w:rsidRPr="0082193A">
        <w:rPr>
          <w:b/>
          <w:i/>
          <w:sz w:val="28"/>
          <w:szCs w:val="28"/>
        </w:rPr>
        <w:t>a</w:t>
      </w:r>
      <w:r w:rsidRPr="0082193A">
        <w:rPr>
          <w:b/>
          <w:i/>
          <w:sz w:val="28"/>
          <w:szCs w:val="28"/>
        </w:rPr>
        <w:t xml:space="preserve">dolescent </w:t>
      </w:r>
      <w:r w:rsidR="0028436A" w:rsidRPr="0082193A">
        <w:rPr>
          <w:b/>
          <w:i/>
          <w:sz w:val="28"/>
          <w:szCs w:val="28"/>
        </w:rPr>
        <w:t>s</w:t>
      </w:r>
      <w:r w:rsidRPr="0082193A">
        <w:rPr>
          <w:b/>
          <w:i/>
          <w:sz w:val="28"/>
          <w:szCs w:val="28"/>
        </w:rPr>
        <w:t xml:space="preserve">ubjects (≥12 to 65 </w:t>
      </w:r>
      <w:r w:rsidR="0028436A" w:rsidRPr="0082193A">
        <w:rPr>
          <w:b/>
          <w:i/>
          <w:sz w:val="28"/>
          <w:szCs w:val="28"/>
        </w:rPr>
        <w:t>y</w:t>
      </w:r>
      <w:r w:rsidRPr="0082193A">
        <w:rPr>
          <w:b/>
          <w:i/>
          <w:sz w:val="28"/>
          <w:szCs w:val="28"/>
        </w:rPr>
        <w:t xml:space="preserve">ears of </w:t>
      </w:r>
      <w:r w:rsidR="0028436A" w:rsidRPr="0082193A">
        <w:rPr>
          <w:b/>
          <w:i/>
          <w:sz w:val="28"/>
          <w:szCs w:val="28"/>
        </w:rPr>
        <w:t>a</w:t>
      </w:r>
      <w:r w:rsidRPr="0082193A">
        <w:rPr>
          <w:b/>
          <w:i/>
          <w:sz w:val="28"/>
          <w:szCs w:val="28"/>
        </w:rPr>
        <w:t>ge)</w:t>
      </w:r>
    </w:p>
    <w:p w:rsidR="00FD20F8" w:rsidRPr="004407E9" w:rsidRDefault="00FD20F8" w:rsidP="00FD20F8">
      <w:pPr>
        <w:autoSpaceDE w:val="0"/>
        <w:autoSpaceDN w:val="0"/>
        <w:adjustRightInd w:val="0"/>
        <w:rPr>
          <w:rFonts w:eastAsia="TimesNewRoman"/>
          <w:color w:val="000000"/>
        </w:rPr>
      </w:pPr>
      <w:r w:rsidRPr="004407E9">
        <w:rPr>
          <w:rFonts w:eastAsia="TimesNewRoman"/>
          <w:color w:val="000000"/>
        </w:rPr>
        <w:t xml:space="preserve">In studies 2004 and 3001, bleeding episodes were treated with </w:t>
      </w:r>
      <w:r w:rsidR="009D6286">
        <w:t>IDELVION</w:t>
      </w:r>
      <w:r w:rsidR="00151E18" w:rsidRPr="00151E18">
        <w:rPr>
          <w:vertAlign w:val="superscript"/>
        </w:rPr>
        <w:t>®</w:t>
      </w:r>
      <w:r w:rsidR="00151E18">
        <w:t xml:space="preserve"> </w:t>
      </w:r>
      <w:r w:rsidRPr="004407E9">
        <w:rPr>
          <w:rFonts w:eastAsia="TimesNewRoman"/>
          <w:color w:val="000000"/>
        </w:rPr>
        <w:t>when they occurred</w:t>
      </w:r>
      <w:r>
        <w:rPr>
          <w:rFonts w:eastAsia="TimesNewRoman"/>
          <w:color w:val="000000"/>
        </w:rPr>
        <w:t xml:space="preserve"> </w:t>
      </w:r>
      <w:r w:rsidRPr="004407E9">
        <w:rPr>
          <w:rFonts w:eastAsia="TimesNewRoman"/>
          <w:color w:val="000000"/>
        </w:rPr>
        <w:t>(i</w:t>
      </w:r>
      <w:r w:rsidR="00803AC9">
        <w:rPr>
          <w:rFonts w:eastAsia="TimesNewRoman"/>
          <w:color w:val="000000"/>
        </w:rPr>
        <w:t>.</w:t>
      </w:r>
      <w:r w:rsidRPr="004407E9">
        <w:rPr>
          <w:rFonts w:eastAsia="TimesNewRoman"/>
          <w:color w:val="000000"/>
        </w:rPr>
        <w:t>e</w:t>
      </w:r>
      <w:r w:rsidR="00803AC9">
        <w:rPr>
          <w:rFonts w:eastAsia="TimesNewRoman"/>
          <w:color w:val="000000"/>
        </w:rPr>
        <w:t>.</w:t>
      </w:r>
      <w:r w:rsidRPr="004407E9">
        <w:rPr>
          <w:rFonts w:eastAsia="TimesNewRoman"/>
          <w:color w:val="000000"/>
        </w:rPr>
        <w:t xml:space="preserve"> on</w:t>
      </w:r>
      <w:r w:rsidR="0028436A">
        <w:rPr>
          <w:rFonts w:eastAsia="TimesNewRoman"/>
          <w:color w:val="000000"/>
        </w:rPr>
        <w:t xml:space="preserve"> </w:t>
      </w:r>
      <w:r w:rsidRPr="004407E9">
        <w:rPr>
          <w:rFonts w:eastAsia="TimesNewRoman"/>
          <w:color w:val="000000"/>
        </w:rPr>
        <w:t>demand). Successful treatment was defined as achieving</w:t>
      </w:r>
      <w:r>
        <w:rPr>
          <w:rFonts w:eastAsia="TimesNewRoman"/>
          <w:color w:val="000000"/>
        </w:rPr>
        <w:t xml:space="preserve"> </w:t>
      </w:r>
      <w:r w:rsidRPr="004407E9">
        <w:rPr>
          <w:rFonts w:eastAsia="TimesNewRoman"/>
          <w:color w:val="000000"/>
        </w:rPr>
        <w:t>h</w:t>
      </w:r>
      <w:r w:rsidR="000242FD">
        <w:rPr>
          <w:rFonts w:eastAsia="TimesNewRoman"/>
          <w:color w:val="000000"/>
        </w:rPr>
        <w:t>a</w:t>
      </w:r>
      <w:r w:rsidRPr="004407E9">
        <w:rPr>
          <w:rFonts w:eastAsia="TimesNewRoman"/>
          <w:color w:val="000000"/>
        </w:rPr>
        <w:t>emostasis with no more than 2</w:t>
      </w:r>
      <w:r w:rsidR="005A1AA5">
        <w:t> </w:t>
      </w:r>
      <w:r w:rsidRPr="004407E9">
        <w:rPr>
          <w:rFonts w:eastAsia="TimesNewRoman"/>
          <w:color w:val="000000"/>
        </w:rPr>
        <w:t>injections. In addition, Investigators evaluated the h</w:t>
      </w:r>
      <w:r w:rsidR="000242FD">
        <w:rPr>
          <w:rFonts w:eastAsia="TimesNewRoman"/>
          <w:color w:val="000000"/>
        </w:rPr>
        <w:t>a</w:t>
      </w:r>
      <w:r w:rsidRPr="004407E9">
        <w:rPr>
          <w:rFonts w:eastAsia="TimesNewRoman"/>
          <w:color w:val="000000"/>
        </w:rPr>
        <w:t>emostatic efficacy v</w:t>
      </w:r>
      <w:r>
        <w:rPr>
          <w:rFonts w:eastAsia="TimesNewRoman"/>
          <w:color w:val="000000"/>
        </w:rPr>
        <w:t>ia a 4-point scale (excellent, good, moderate, poor / no response).</w:t>
      </w:r>
    </w:p>
    <w:p w:rsidR="00FD20F8" w:rsidRPr="004407E9" w:rsidRDefault="00FD20F8" w:rsidP="00FD20F8">
      <w:pPr>
        <w:autoSpaceDE w:val="0"/>
        <w:autoSpaceDN w:val="0"/>
        <w:adjustRightInd w:val="0"/>
        <w:rPr>
          <w:rFonts w:eastAsia="TimesNewRoman"/>
          <w:color w:val="000000"/>
        </w:rPr>
      </w:pPr>
      <w:r w:rsidRPr="004407E9">
        <w:rPr>
          <w:rFonts w:eastAsia="TimesNewRoman"/>
          <w:color w:val="000000"/>
        </w:rPr>
        <w:t xml:space="preserve">Across studies 2004 and </w:t>
      </w:r>
      <w:r w:rsidRPr="00C27CED">
        <w:rPr>
          <w:rFonts w:eastAsia="TimesNewRoman"/>
        </w:rPr>
        <w:t>3001, 65</w:t>
      </w:r>
      <w:r w:rsidR="005A1AA5" w:rsidRPr="00532972">
        <w:t> </w:t>
      </w:r>
      <w:r w:rsidRPr="00C27CED">
        <w:rPr>
          <w:rFonts w:eastAsia="TimesNewRoman"/>
        </w:rPr>
        <w:t>subjects experienced a total of 443</w:t>
      </w:r>
      <w:r w:rsidR="005A1AA5" w:rsidRPr="00532972">
        <w:t> </w:t>
      </w:r>
      <w:r w:rsidRPr="00C27CED">
        <w:rPr>
          <w:rFonts w:eastAsia="TimesNewRoman"/>
        </w:rPr>
        <w:t>bleeding episodes that were treated with</w:t>
      </w:r>
      <w:r w:rsidR="00151E18" w:rsidRPr="00532972">
        <w:t xml:space="preserve"> </w:t>
      </w:r>
      <w:r w:rsidR="009D6286">
        <w:t>IDELVION</w:t>
      </w:r>
      <w:r w:rsidR="00151E18" w:rsidRPr="009155F8">
        <w:rPr>
          <w:vertAlign w:val="superscript"/>
        </w:rPr>
        <w:t>®</w:t>
      </w:r>
      <w:r w:rsidR="00DF43FA" w:rsidRPr="00C27CED">
        <w:rPr>
          <w:rFonts w:eastAsia="TimesNewRoman"/>
        </w:rPr>
        <w:t xml:space="preserve"> </w:t>
      </w:r>
      <w:r w:rsidR="00DF43FA" w:rsidRPr="00532972">
        <w:t>(</w:t>
      </w:r>
      <w:r w:rsidR="00DF43FA" w:rsidRPr="00C27CED">
        <w:t>432 were assessed for efficacy</w:t>
      </w:r>
      <w:r w:rsidR="00DF43FA" w:rsidRPr="00532972">
        <w:t>)</w:t>
      </w:r>
      <w:r w:rsidRPr="00C27CED">
        <w:rPr>
          <w:rFonts w:eastAsia="TimesNewRoman"/>
        </w:rPr>
        <w:t xml:space="preserve">. Of </w:t>
      </w:r>
      <w:r w:rsidRPr="004407E9">
        <w:rPr>
          <w:rFonts w:eastAsia="TimesNewRoman"/>
          <w:color w:val="000000"/>
        </w:rPr>
        <w:t>these 443</w:t>
      </w:r>
      <w:r w:rsidR="005A1AA5">
        <w:t> </w:t>
      </w:r>
      <w:r w:rsidRPr="004407E9">
        <w:rPr>
          <w:rFonts w:eastAsia="TimesNewRoman"/>
          <w:color w:val="000000"/>
        </w:rPr>
        <w:t>bleeding episodes, 412</w:t>
      </w:r>
      <w:r w:rsidR="005A1AA5">
        <w:t> </w:t>
      </w:r>
      <w:r w:rsidRPr="004407E9">
        <w:rPr>
          <w:rFonts w:eastAsia="TimesNewRoman"/>
          <w:color w:val="000000"/>
        </w:rPr>
        <w:t>(93.0%) were controlled</w:t>
      </w:r>
      <w:r>
        <w:rPr>
          <w:rFonts w:eastAsia="TimesNewRoman"/>
          <w:color w:val="000000"/>
        </w:rPr>
        <w:t xml:space="preserve"> </w:t>
      </w:r>
      <w:r w:rsidRPr="004407E9">
        <w:rPr>
          <w:rFonts w:eastAsia="TimesNewRoman"/>
          <w:color w:val="000000"/>
        </w:rPr>
        <w:t xml:space="preserve">with a single </w:t>
      </w:r>
      <w:r w:rsidR="009D6286">
        <w:t>IDELVION</w:t>
      </w:r>
      <w:r w:rsidR="00151E18" w:rsidRPr="00151E18">
        <w:rPr>
          <w:vertAlign w:val="superscript"/>
        </w:rPr>
        <w:t>®</w:t>
      </w:r>
      <w:r w:rsidR="00151E18">
        <w:t xml:space="preserve"> </w:t>
      </w:r>
      <w:r w:rsidRPr="004407E9">
        <w:rPr>
          <w:rFonts w:eastAsia="TimesNewRoman"/>
          <w:color w:val="000000"/>
        </w:rPr>
        <w:t>injection and another 26</w:t>
      </w:r>
      <w:r w:rsidR="005A1AA5">
        <w:t> </w:t>
      </w:r>
      <w:r w:rsidRPr="004407E9">
        <w:rPr>
          <w:rFonts w:eastAsia="TimesNewRoman"/>
          <w:color w:val="000000"/>
        </w:rPr>
        <w:t>(5.9%) were controlled with 2 injections. Five</w:t>
      </w:r>
      <w:r>
        <w:rPr>
          <w:rFonts w:eastAsia="TimesNewRoman"/>
          <w:color w:val="000000"/>
        </w:rPr>
        <w:t xml:space="preserve"> </w:t>
      </w:r>
      <w:r w:rsidRPr="004407E9">
        <w:rPr>
          <w:rFonts w:eastAsia="TimesNewRoman"/>
          <w:color w:val="000000"/>
        </w:rPr>
        <w:t>bleeding episodes</w:t>
      </w:r>
      <w:r w:rsidR="005A1AA5">
        <w:t> </w:t>
      </w:r>
      <w:r w:rsidRPr="004407E9">
        <w:rPr>
          <w:rFonts w:eastAsia="TimesNewRoman"/>
          <w:color w:val="000000"/>
        </w:rPr>
        <w:t>(1.1%) required more than 2</w:t>
      </w:r>
      <w:r w:rsidR="005A1AA5">
        <w:t> </w:t>
      </w:r>
      <w:r w:rsidRPr="004407E9">
        <w:rPr>
          <w:rFonts w:eastAsia="TimesNewRoman"/>
          <w:color w:val="000000"/>
        </w:rPr>
        <w:t>injections.</w:t>
      </w:r>
    </w:p>
    <w:p w:rsidR="00FD20F8" w:rsidRPr="004407E9" w:rsidRDefault="00FD20F8" w:rsidP="00FD20F8">
      <w:pPr>
        <w:autoSpaceDE w:val="0"/>
        <w:autoSpaceDN w:val="0"/>
        <w:adjustRightInd w:val="0"/>
        <w:rPr>
          <w:rFonts w:eastAsia="TimesNewRoman"/>
          <w:color w:val="000000"/>
        </w:rPr>
      </w:pPr>
      <w:r>
        <w:rPr>
          <w:rFonts w:eastAsia="TimesNewRoman"/>
          <w:color w:val="000000"/>
        </w:rPr>
        <w:t xml:space="preserve">For 94.6% of </w:t>
      </w:r>
      <w:r w:rsidR="00DF43FA">
        <w:rPr>
          <w:rFonts w:eastAsia="TimesNewRoman"/>
          <w:color w:val="000000"/>
        </w:rPr>
        <w:t>bleeding episodes</w:t>
      </w:r>
      <w:r>
        <w:rPr>
          <w:rFonts w:eastAsia="TimesNewRoman"/>
          <w:color w:val="000000"/>
        </w:rPr>
        <w:t xml:space="preserve"> the haemostatic efficacy rating was either </w:t>
      </w:r>
      <w:r w:rsidRPr="004407E9">
        <w:rPr>
          <w:rFonts w:eastAsia="TimesNewRoman"/>
          <w:color w:val="000000"/>
        </w:rPr>
        <w:t xml:space="preserve">excellent </w:t>
      </w:r>
      <w:r>
        <w:rPr>
          <w:rFonts w:eastAsia="TimesNewRoman"/>
          <w:color w:val="000000"/>
        </w:rPr>
        <w:t>or</w:t>
      </w:r>
      <w:r w:rsidRPr="004407E9">
        <w:rPr>
          <w:rFonts w:eastAsia="TimesNewRoman"/>
          <w:color w:val="000000"/>
        </w:rPr>
        <w:t xml:space="preserve"> good</w:t>
      </w:r>
      <w:r>
        <w:rPr>
          <w:rFonts w:eastAsia="TimesNewRoman"/>
          <w:color w:val="000000"/>
        </w:rPr>
        <w:t>.</w:t>
      </w:r>
    </w:p>
    <w:p w:rsidR="00FD20F8" w:rsidRPr="0082193A" w:rsidRDefault="00FD20F8" w:rsidP="00BE1AC6">
      <w:pPr>
        <w:pStyle w:val="DocumentText"/>
        <w:keepNext/>
        <w:spacing w:after="120"/>
        <w:rPr>
          <w:b/>
          <w:i/>
          <w:sz w:val="28"/>
          <w:szCs w:val="28"/>
        </w:rPr>
      </w:pPr>
      <w:r w:rsidRPr="0082193A">
        <w:rPr>
          <w:b/>
          <w:i/>
          <w:sz w:val="28"/>
          <w:szCs w:val="28"/>
        </w:rPr>
        <w:lastRenderedPageBreak/>
        <w:t>P</w:t>
      </w:r>
      <w:r w:rsidR="00BA4F9E">
        <w:rPr>
          <w:b/>
          <w:i/>
          <w:sz w:val="28"/>
          <w:szCs w:val="28"/>
        </w:rPr>
        <w:t>a</w:t>
      </w:r>
      <w:r w:rsidRPr="0082193A">
        <w:rPr>
          <w:b/>
          <w:i/>
          <w:sz w:val="28"/>
          <w:szCs w:val="28"/>
        </w:rPr>
        <w:t xml:space="preserve">ediatric </w:t>
      </w:r>
      <w:r w:rsidR="0028436A" w:rsidRPr="0082193A">
        <w:rPr>
          <w:b/>
          <w:i/>
          <w:sz w:val="28"/>
          <w:szCs w:val="28"/>
        </w:rPr>
        <w:t>s</w:t>
      </w:r>
      <w:r w:rsidRPr="0082193A">
        <w:rPr>
          <w:b/>
          <w:i/>
          <w:sz w:val="28"/>
          <w:szCs w:val="28"/>
        </w:rPr>
        <w:t xml:space="preserve">ubjects (0 to &lt;12 </w:t>
      </w:r>
      <w:r w:rsidR="0028436A" w:rsidRPr="0082193A">
        <w:rPr>
          <w:b/>
          <w:i/>
          <w:sz w:val="28"/>
          <w:szCs w:val="28"/>
        </w:rPr>
        <w:t>y</w:t>
      </w:r>
      <w:r w:rsidRPr="0082193A">
        <w:rPr>
          <w:b/>
          <w:i/>
          <w:sz w:val="28"/>
          <w:szCs w:val="28"/>
        </w:rPr>
        <w:t xml:space="preserve">ears of </w:t>
      </w:r>
      <w:r w:rsidR="0028436A" w:rsidRPr="0082193A">
        <w:rPr>
          <w:b/>
          <w:i/>
          <w:sz w:val="28"/>
          <w:szCs w:val="28"/>
        </w:rPr>
        <w:t>a</w:t>
      </w:r>
      <w:r w:rsidRPr="0082193A">
        <w:rPr>
          <w:b/>
          <w:i/>
          <w:sz w:val="28"/>
          <w:szCs w:val="28"/>
        </w:rPr>
        <w:t>ge)</w:t>
      </w:r>
    </w:p>
    <w:p w:rsidR="00FD20F8" w:rsidRPr="00957E7B" w:rsidRDefault="00FD20F8" w:rsidP="00FD20F8">
      <w:pPr>
        <w:autoSpaceDE w:val="0"/>
        <w:autoSpaceDN w:val="0"/>
        <w:adjustRightInd w:val="0"/>
        <w:rPr>
          <w:rFonts w:eastAsia="TimesNewRoman"/>
          <w:color w:val="000000"/>
        </w:rPr>
      </w:pPr>
      <w:r w:rsidRPr="004407E9">
        <w:rPr>
          <w:rFonts w:eastAsia="TimesNewRoman"/>
          <w:color w:val="000000"/>
        </w:rPr>
        <w:t>In Study</w:t>
      </w:r>
      <w:r w:rsidR="00DA60C8" w:rsidRPr="00A00251">
        <w:t> </w:t>
      </w:r>
      <w:r w:rsidRPr="004407E9">
        <w:rPr>
          <w:rFonts w:eastAsia="TimesNewRoman"/>
          <w:color w:val="000000"/>
        </w:rPr>
        <w:t>3002, 23</w:t>
      </w:r>
      <w:r>
        <w:rPr>
          <w:rFonts w:eastAsia="TimesNewRoman"/>
          <w:color w:val="000000"/>
        </w:rPr>
        <w:t>/</w:t>
      </w:r>
      <w:r w:rsidRPr="004407E9">
        <w:rPr>
          <w:rFonts w:eastAsia="TimesNewRoman"/>
          <w:color w:val="000000"/>
        </w:rPr>
        <w:t>27 subjects experienced a total of 106 bleeding episodes that were treated</w:t>
      </w:r>
      <w:r>
        <w:rPr>
          <w:rFonts w:eastAsia="TimesNewRoman"/>
          <w:color w:val="000000"/>
        </w:rPr>
        <w:t xml:space="preserve"> </w:t>
      </w:r>
      <w:r w:rsidRPr="004407E9">
        <w:rPr>
          <w:rFonts w:eastAsia="TimesNewRoman"/>
          <w:color w:val="000000"/>
        </w:rPr>
        <w:t>with</w:t>
      </w:r>
      <w:r w:rsidR="00151E18" w:rsidRPr="00151E18">
        <w:t xml:space="preserve"> </w:t>
      </w:r>
      <w:r w:rsidR="009D6286">
        <w:t>IDELVION</w:t>
      </w:r>
      <w:r w:rsidR="00151E18" w:rsidRPr="00151E18">
        <w:rPr>
          <w:vertAlign w:val="superscript"/>
        </w:rPr>
        <w:t>®</w:t>
      </w:r>
      <w:r w:rsidRPr="004407E9">
        <w:rPr>
          <w:rFonts w:eastAsia="TimesNewRoman"/>
          <w:color w:val="000000"/>
        </w:rPr>
        <w:t>; the majority of bleeding episodes (103/106;</w:t>
      </w:r>
      <w:r w:rsidR="005A1AA5">
        <w:t> </w:t>
      </w:r>
      <w:r w:rsidRPr="004407E9">
        <w:rPr>
          <w:rFonts w:eastAsia="TimesNewRoman"/>
          <w:color w:val="000000"/>
        </w:rPr>
        <w:t>97.2%) were successfully treated</w:t>
      </w:r>
      <w:r>
        <w:rPr>
          <w:rFonts w:eastAsia="TimesNewRoman"/>
          <w:color w:val="000000"/>
        </w:rPr>
        <w:t xml:space="preserve"> </w:t>
      </w:r>
      <w:r w:rsidRPr="004407E9">
        <w:rPr>
          <w:rFonts w:eastAsia="TimesNewRoman"/>
          <w:color w:val="000000"/>
        </w:rPr>
        <w:t>with 1</w:t>
      </w:r>
      <w:r w:rsidR="005A1AA5">
        <w:t> </w:t>
      </w:r>
      <w:r w:rsidRPr="004407E9">
        <w:rPr>
          <w:rFonts w:eastAsia="TimesNewRoman"/>
          <w:color w:val="000000"/>
        </w:rPr>
        <w:t>or</w:t>
      </w:r>
      <w:r w:rsidR="005A1AA5">
        <w:t> </w:t>
      </w:r>
      <w:r w:rsidRPr="004407E9">
        <w:rPr>
          <w:rFonts w:eastAsia="TimesNewRoman"/>
          <w:color w:val="000000"/>
        </w:rPr>
        <w:t>2 injections of</w:t>
      </w:r>
      <w:r w:rsidR="00151E18" w:rsidRPr="00151E18">
        <w:t xml:space="preserve"> </w:t>
      </w:r>
      <w:r w:rsidR="009D6286">
        <w:t>IDELVION</w:t>
      </w:r>
      <w:r w:rsidR="00151E18" w:rsidRPr="00151E18">
        <w:rPr>
          <w:vertAlign w:val="superscript"/>
        </w:rPr>
        <w:t>®</w:t>
      </w:r>
      <w:r w:rsidRPr="004407E9">
        <w:rPr>
          <w:rFonts w:eastAsia="TimesNewRoman"/>
          <w:color w:val="000000"/>
        </w:rPr>
        <w:t>. For most bleeding episodes requiring treatment, the</w:t>
      </w:r>
      <w:r>
        <w:rPr>
          <w:rFonts w:eastAsia="TimesNewRoman"/>
          <w:color w:val="000000"/>
        </w:rPr>
        <w:t xml:space="preserve"> </w:t>
      </w:r>
      <w:r w:rsidRPr="004407E9">
        <w:rPr>
          <w:rFonts w:eastAsia="TimesNewRoman"/>
          <w:color w:val="000000"/>
        </w:rPr>
        <w:t>Investigator’s assessment of h</w:t>
      </w:r>
      <w:r w:rsidR="000242FD">
        <w:rPr>
          <w:rFonts w:eastAsia="TimesNewRoman"/>
          <w:color w:val="000000"/>
        </w:rPr>
        <w:t>a</w:t>
      </w:r>
      <w:r w:rsidRPr="004407E9">
        <w:rPr>
          <w:rFonts w:eastAsia="TimesNewRoman"/>
          <w:color w:val="000000"/>
        </w:rPr>
        <w:t xml:space="preserve">emostatic efficacy of </w:t>
      </w:r>
      <w:r w:rsidR="009D6286">
        <w:t>IDELVION</w:t>
      </w:r>
      <w:r w:rsidR="00151E18" w:rsidRPr="00151E18">
        <w:rPr>
          <w:vertAlign w:val="superscript"/>
        </w:rPr>
        <w:t>®</w:t>
      </w:r>
      <w:r w:rsidR="00151E18">
        <w:t xml:space="preserve"> </w:t>
      </w:r>
      <w:r w:rsidRPr="004407E9">
        <w:rPr>
          <w:rFonts w:eastAsia="TimesNewRoman"/>
          <w:color w:val="000000"/>
        </w:rPr>
        <w:t>was either excellent</w:t>
      </w:r>
      <w:r>
        <w:rPr>
          <w:rFonts w:eastAsia="TimesNewRoman"/>
          <w:color w:val="000000"/>
        </w:rPr>
        <w:t xml:space="preserve"> </w:t>
      </w:r>
      <w:r w:rsidRPr="004407E9">
        <w:rPr>
          <w:rFonts w:eastAsia="TimesNewRoman"/>
          <w:color w:val="000000"/>
        </w:rPr>
        <w:t>(78/104 bleeding episodes;</w:t>
      </w:r>
      <w:r w:rsidR="005A1AA5">
        <w:t> </w:t>
      </w:r>
      <w:r w:rsidRPr="004407E9">
        <w:rPr>
          <w:rFonts w:eastAsia="TimesNewRoman"/>
          <w:color w:val="000000"/>
        </w:rPr>
        <w:t>75.0%) or good (22/104</w:t>
      </w:r>
      <w:r w:rsidR="005A1AA5">
        <w:t> </w:t>
      </w:r>
      <w:r w:rsidRPr="004407E9">
        <w:rPr>
          <w:rFonts w:eastAsia="TimesNewRoman"/>
          <w:color w:val="000000"/>
        </w:rPr>
        <w:t>bleeding episodes;</w:t>
      </w:r>
      <w:r w:rsidR="005A1AA5">
        <w:t> </w:t>
      </w:r>
      <w:r w:rsidRPr="004407E9">
        <w:rPr>
          <w:rFonts w:eastAsia="TimesNewRoman"/>
          <w:color w:val="000000"/>
        </w:rPr>
        <w:t>21.2%). These results</w:t>
      </w:r>
      <w:r>
        <w:rPr>
          <w:rFonts w:eastAsia="TimesNewRoman"/>
          <w:color w:val="000000"/>
        </w:rPr>
        <w:t xml:space="preserve"> </w:t>
      </w:r>
      <w:r w:rsidRPr="004407E9">
        <w:rPr>
          <w:rFonts w:eastAsia="TimesNewRoman"/>
          <w:color w:val="000000"/>
        </w:rPr>
        <w:t>were consistent for both age groups</w:t>
      </w:r>
      <w:r w:rsidR="00371815">
        <w:rPr>
          <w:rFonts w:eastAsia="TimesNewRoman"/>
          <w:color w:val="000000"/>
        </w:rPr>
        <w:t xml:space="preserve"> (</w:t>
      </w:r>
      <w:r w:rsidR="00371815" w:rsidRPr="00957E7B">
        <w:rPr>
          <w:rFonts w:eastAsia="TimesNewRoman"/>
          <w:color w:val="000000"/>
        </w:rPr>
        <w:t xml:space="preserve">see </w:t>
      </w:r>
      <w:r w:rsidR="00DF43FA">
        <w:rPr>
          <w:rFonts w:eastAsia="TimesNewRoman"/>
          <w:b/>
          <w:color w:val="000000"/>
        </w:rPr>
        <w:t>T</w:t>
      </w:r>
      <w:r w:rsidR="00DF43FA" w:rsidRPr="00957E7B">
        <w:rPr>
          <w:rFonts w:eastAsia="TimesNewRoman"/>
          <w:b/>
          <w:color w:val="000000"/>
        </w:rPr>
        <w:t>able</w:t>
      </w:r>
      <w:r w:rsidR="00DF43FA">
        <w:t> </w:t>
      </w:r>
      <w:r w:rsidR="001F37DA">
        <w:rPr>
          <w:rFonts w:eastAsia="TimesNewRoman"/>
          <w:b/>
          <w:color w:val="000000"/>
        </w:rPr>
        <w:t>8</w:t>
      </w:r>
      <w:r w:rsidR="00371815" w:rsidRPr="00957E7B">
        <w:rPr>
          <w:rFonts w:eastAsia="TimesNewRoman"/>
          <w:color w:val="000000"/>
        </w:rPr>
        <w:t>)</w:t>
      </w:r>
      <w:r w:rsidRPr="00957E7B">
        <w:rPr>
          <w:rFonts w:eastAsia="TimesNewRoman"/>
          <w:color w:val="000000"/>
        </w:rPr>
        <w:t>.</w:t>
      </w:r>
    </w:p>
    <w:p w:rsidR="00A22F3F" w:rsidRPr="009155F8" w:rsidRDefault="00A22F3F" w:rsidP="008640B7">
      <w:pPr>
        <w:pStyle w:val="Caption"/>
        <w:ind w:left="0" w:firstLine="0"/>
      </w:pPr>
      <w:r w:rsidRPr="00532972">
        <w:t>Table</w:t>
      </w:r>
      <w:r w:rsidR="007E4F53" w:rsidRPr="00532972" w:rsidDel="0058073D">
        <w:rPr>
          <w:b w:val="0"/>
          <w:szCs w:val="24"/>
          <w:lang w:val="en-AU"/>
        </w:rPr>
        <w:t> </w:t>
      </w:r>
      <w:r w:rsidR="001F37DA">
        <w:t>8</w:t>
      </w:r>
      <w:r w:rsidRPr="00C91EF8">
        <w:t xml:space="preserve">: </w:t>
      </w:r>
      <w:r w:rsidR="00DF43FA" w:rsidRPr="00C27CED">
        <w:t xml:space="preserve">Control of bleeding episodes </w:t>
      </w:r>
      <w:r w:rsidR="0023282E">
        <w:t xml:space="preserve">(N) </w:t>
      </w:r>
      <w:r w:rsidR="00DF43FA" w:rsidRPr="00C27CED">
        <w:t>requiring treatment</w:t>
      </w:r>
    </w:p>
    <w:tbl>
      <w:tblPr>
        <w:tblStyle w:val="TableGrid"/>
        <w:tblW w:w="8931" w:type="dxa"/>
        <w:tblInd w:w="108" w:type="dxa"/>
        <w:tblLook w:val="04A0" w:firstRow="1" w:lastRow="0" w:firstColumn="1" w:lastColumn="0" w:noHBand="0" w:noVBand="1"/>
      </w:tblPr>
      <w:tblGrid>
        <w:gridCol w:w="2977"/>
        <w:gridCol w:w="2977"/>
        <w:gridCol w:w="2977"/>
      </w:tblGrid>
      <w:tr w:rsidR="007E4F53" w:rsidRPr="005409DF" w:rsidTr="00C27CED">
        <w:tc>
          <w:tcPr>
            <w:tcW w:w="2977" w:type="dxa"/>
            <w:tcBorders>
              <w:bottom w:val="single" w:sz="4" w:space="0" w:color="auto"/>
            </w:tcBorders>
            <w:shd w:val="pct15" w:color="auto" w:fill="auto"/>
          </w:tcPr>
          <w:p w:rsidR="007E4F53" w:rsidRPr="005409DF" w:rsidRDefault="007E4F53" w:rsidP="00C26C99">
            <w:pPr>
              <w:keepNext/>
              <w:autoSpaceDE w:val="0"/>
              <w:autoSpaceDN w:val="0"/>
              <w:adjustRightInd w:val="0"/>
              <w:spacing w:before="40" w:after="40"/>
              <w:rPr>
                <w:rFonts w:eastAsia="TimesNewRoman"/>
                <w:color w:val="000000"/>
                <w:sz w:val="20"/>
                <w:szCs w:val="20"/>
              </w:rPr>
            </w:pPr>
          </w:p>
        </w:tc>
        <w:tc>
          <w:tcPr>
            <w:tcW w:w="2977" w:type="dxa"/>
            <w:tcBorders>
              <w:bottom w:val="single" w:sz="4" w:space="0" w:color="auto"/>
            </w:tcBorders>
            <w:shd w:val="pct15" w:color="auto" w:fill="auto"/>
          </w:tcPr>
          <w:p w:rsidR="00DF43FA" w:rsidRDefault="00DF43FA" w:rsidP="00532972">
            <w:pPr>
              <w:keepNext/>
              <w:autoSpaceDE w:val="0"/>
              <w:autoSpaceDN w:val="0"/>
              <w:adjustRightInd w:val="0"/>
              <w:spacing w:before="40" w:after="40"/>
              <w:jc w:val="center"/>
              <w:rPr>
                <w:b/>
                <w:bCs/>
                <w:sz w:val="20"/>
                <w:szCs w:val="20"/>
              </w:rPr>
            </w:pPr>
            <w:r w:rsidRPr="00427039">
              <w:rPr>
                <w:b/>
                <w:bCs/>
                <w:sz w:val="20"/>
                <w:szCs w:val="20"/>
              </w:rPr>
              <w:t>Studies 2004 and 3001</w:t>
            </w:r>
          </w:p>
          <w:p w:rsidR="00DF43FA" w:rsidRDefault="00DF43FA" w:rsidP="00C91EF8">
            <w:pPr>
              <w:keepNext/>
              <w:autoSpaceDE w:val="0"/>
              <w:autoSpaceDN w:val="0"/>
              <w:adjustRightInd w:val="0"/>
              <w:spacing w:before="40" w:after="40"/>
              <w:jc w:val="center"/>
              <w:rPr>
                <w:b/>
                <w:bCs/>
                <w:sz w:val="20"/>
                <w:szCs w:val="20"/>
              </w:rPr>
            </w:pPr>
            <w:r w:rsidRPr="00427039">
              <w:rPr>
                <w:b/>
                <w:bCs/>
                <w:sz w:val="20"/>
                <w:szCs w:val="20"/>
              </w:rPr>
              <w:t>Adult and Adolescent</w:t>
            </w:r>
          </w:p>
          <w:p w:rsidR="009155F8" w:rsidRDefault="00DF43FA" w:rsidP="00C27CED">
            <w:pPr>
              <w:keepNext/>
              <w:autoSpaceDE w:val="0"/>
              <w:autoSpaceDN w:val="0"/>
              <w:adjustRightInd w:val="0"/>
              <w:spacing w:before="40" w:after="40"/>
              <w:jc w:val="center"/>
              <w:rPr>
                <w:b/>
                <w:bCs/>
                <w:sz w:val="20"/>
                <w:szCs w:val="20"/>
              </w:rPr>
            </w:pPr>
            <w:r w:rsidRPr="00FC2360">
              <w:rPr>
                <w:b/>
                <w:bCs/>
                <w:sz w:val="20"/>
                <w:szCs w:val="20"/>
              </w:rPr>
              <w:t>(</w:t>
            </w:r>
            <w:r>
              <w:rPr>
                <w:b/>
                <w:bCs/>
                <w:sz w:val="20"/>
                <w:szCs w:val="20"/>
              </w:rPr>
              <w:t>≥12 to 65 years of age)</w:t>
            </w:r>
          </w:p>
          <w:p w:rsidR="00167D64" w:rsidRPr="005409DF" w:rsidRDefault="007E4F53" w:rsidP="00C27CED">
            <w:pPr>
              <w:keepNext/>
              <w:autoSpaceDE w:val="0"/>
              <w:autoSpaceDN w:val="0"/>
              <w:adjustRightInd w:val="0"/>
              <w:spacing w:before="40" w:after="40"/>
              <w:jc w:val="center"/>
              <w:rPr>
                <w:rFonts w:eastAsia="TimesNewRoman"/>
                <w:color w:val="000000"/>
                <w:sz w:val="20"/>
                <w:szCs w:val="20"/>
              </w:rPr>
            </w:pPr>
            <w:r w:rsidRPr="005409DF">
              <w:rPr>
                <w:b/>
                <w:bCs/>
                <w:sz w:val="20"/>
                <w:szCs w:val="20"/>
              </w:rPr>
              <w:t>(</w:t>
            </w:r>
            <w:r w:rsidR="00167D64">
              <w:rPr>
                <w:b/>
                <w:bCs/>
                <w:sz w:val="20"/>
                <w:szCs w:val="20"/>
              </w:rPr>
              <w:t>N</w:t>
            </w:r>
            <w:r w:rsidR="00DA60C8" w:rsidRPr="00A00251">
              <w:t> </w:t>
            </w:r>
            <w:r w:rsidRPr="005409DF">
              <w:rPr>
                <w:b/>
                <w:bCs/>
                <w:sz w:val="20"/>
                <w:szCs w:val="20"/>
              </w:rPr>
              <w:t>=</w:t>
            </w:r>
            <w:r w:rsidR="00DA60C8" w:rsidRPr="00A00251">
              <w:t> </w:t>
            </w:r>
            <w:r w:rsidR="00167D64">
              <w:rPr>
                <w:b/>
                <w:bCs/>
                <w:sz w:val="20"/>
                <w:szCs w:val="20"/>
              </w:rPr>
              <w:t>443</w:t>
            </w:r>
            <w:r w:rsidRPr="005409DF">
              <w:rPr>
                <w:b/>
                <w:bCs/>
                <w:sz w:val="20"/>
                <w:szCs w:val="20"/>
              </w:rPr>
              <w:t>)</w:t>
            </w:r>
          </w:p>
        </w:tc>
        <w:tc>
          <w:tcPr>
            <w:tcW w:w="2977" w:type="dxa"/>
            <w:tcBorders>
              <w:bottom w:val="single" w:sz="4" w:space="0" w:color="auto"/>
            </w:tcBorders>
            <w:shd w:val="pct15" w:color="auto" w:fill="auto"/>
          </w:tcPr>
          <w:p w:rsidR="00986EDE" w:rsidRDefault="00DF43FA" w:rsidP="00105A30">
            <w:pPr>
              <w:keepNext/>
              <w:autoSpaceDE w:val="0"/>
              <w:autoSpaceDN w:val="0"/>
              <w:adjustRightInd w:val="0"/>
              <w:spacing w:before="40" w:after="40"/>
              <w:jc w:val="center"/>
              <w:rPr>
                <w:b/>
                <w:bCs/>
                <w:sz w:val="20"/>
                <w:szCs w:val="20"/>
              </w:rPr>
            </w:pPr>
            <w:r w:rsidRPr="00427039">
              <w:rPr>
                <w:b/>
                <w:bCs/>
                <w:sz w:val="20"/>
                <w:szCs w:val="20"/>
              </w:rPr>
              <w:t>Study 3002</w:t>
            </w:r>
          </w:p>
          <w:p w:rsidR="009155F8" w:rsidRDefault="00DF43FA" w:rsidP="00986EDE">
            <w:pPr>
              <w:keepNext/>
              <w:autoSpaceDE w:val="0"/>
              <w:autoSpaceDN w:val="0"/>
              <w:adjustRightInd w:val="0"/>
              <w:spacing w:before="40" w:after="40"/>
              <w:jc w:val="center"/>
              <w:rPr>
                <w:b/>
                <w:bCs/>
                <w:sz w:val="20"/>
                <w:szCs w:val="20"/>
              </w:rPr>
            </w:pPr>
            <w:r w:rsidRPr="00427039">
              <w:rPr>
                <w:b/>
                <w:bCs/>
                <w:sz w:val="20"/>
                <w:szCs w:val="20"/>
              </w:rPr>
              <w:t>Paediatric</w:t>
            </w:r>
          </w:p>
          <w:p w:rsidR="00DF43FA" w:rsidRDefault="00DF43FA" w:rsidP="00105A30">
            <w:pPr>
              <w:keepNext/>
              <w:autoSpaceDE w:val="0"/>
              <w:autoSpaceDN w:val="0"/>
              <w:adjustRightInd w:val="0"/>
              <w:spacing w:before="40" w:after="40"/>
              <w:jc w:val="center"/>
              <w:rPr>
                <w:b/>
                <w:bCs/>
                <w:sz w:val="20"/>
                <w:szCs w:val="20"/>
              </w:rPr>
            </w:pPr>
            <w:r w:rsidRPr="00FC2360">
              <w:rPr>
                <w:b/>
                <w:bCs/>
                <w:sz w:val="20"/>
                <w:szCs w:val="20"/>
              </w:rPr>
              <w:t>(0</w:t>
            </w:r>
            <w:r>
              <w:rPr>
                <w:b/>
                <w:bCs/>
                <w:sz w:val="20"/>
                <w:szCs w:val="20"/>
              </w:rPr>
              <w:t xml:space="preserve"> to &lt;12 years of age)</w:t>
            </w:r>
          </w:p>
          <w:p w:rsidR="00167D64" w:rsidRPr="005409DF" w:rsidRDefault="007E4F53" w:rsidP="00105A30">
            <w:pPr>
              <w:keepNext/>
              <w:autoSpaceDE w:val="0"/>
              <w:autoSpaceDN w:val="0"/>
              <w:adjustRightInd w:val="0"/>
              <w:spacing w:before="40" w:after="40"/>
              <w:jc w:val="center"/>
              <w:rPr>
                <w:b/>
                <w:bCs/>
                <w:sz w:val="20"/>
                <w:szCs w:val="20"/>
              </w:rPr>
            </w:pPr>
            <w:r w:rsidRPr="005409DF">
              <w:rPr>
                <w:b/>
                <w:bCs/>
                <w:sz w:val="20"/>
                <w:szCs w:val="20"/>
              </w:rPr>
              <w:t>(</w:t>
            </w:r>
            <w:r w:rsidR="00167D64">
              <w:rPr>
                <w:b/>
                <w:bCs/>
                <w:sz w:val="20"/>
                <w:szCs w:val="20"/>
              </w:rPr>
              <w:t>N</w:t>
            </w:r>
            <w:r w:rsidR="00DA60C8" w:rsidRPr="00A00251">
              <w:t> </w:t>
            </w:r>
            <w:r w:rsidRPr="005409DF">
              <w:rPr>
                <w:b/>
                <w:bCs/>
                <w:sz w:val="20"/>
                <w:szCs w:val="20"/>
              </w:rPr>
              <w:t>=</w:t>
            </w:r>
            <w:r w:rsidR="00DA60C8" w:rsidRPr="00A00251">
              <w:t> </w:t>
            </w:r>
            <w:r w:rsidRPr="005409DF">
              <w:rPr>
                <w:b/>
                <w:bCs/>
                <w:sz w:val="20"/>
                <w:szCs w:val="20"/>
              </w:rPr>
              <w:t>106</w:t>
            </w:r>
            <w:r w:rsidR="000F265E">
              <w:rPr>
                <w:b/>
                <w:bCs/>
                <w:sz w:val="20"/>
                <w:szCs w:val="20"/>
              </w:rPr>
              <w:t>*</w:t>
            </w:r>
            <w:r w:rsidRPr="005409DF">
              <w:rPr>
                <w:b/>
                <w:bCs/>
                <w:sz w:val="20"/>
                <w:szCs w:val="20"/>
              </w:rPr>
              <w:t>)</w:t>
            </w:r>
          </w:p>
        </w:tc>
      </w:tr>
      <w:tr w:rsidR="00DF43FA" w:rsidRPr="005409DF" w:rsidTr="00C27CED">
        <w:tc>
          <w:tcPr>
            <w:tcW w:w="2977" w:type="dxa"/>
            <w:shd w:val="pct10" w:color="auto" w:fill="auto"/>
          </w:tcPr>
          <w:p w:rsidR="00DF43FA" w:rsidRPr="005409DF" w:rsidDel="00DF43FA" w:rsidRDefault="00DF43FA" w:rsidP="00C26C99">
            <w:pPr>
              <w:keepNext/>
              <w:autoSpaceDE w:val="0"/>
              <w:autoSpaceDN w:val="0"/>
              <w:adjustRightInd w:val="0"/>
              <w:spacing w:before="40" w:after="40"/>
              <w:rPr>
                <w:b/>
                <w:bCs/>
                <w:sz w:val="20"/>
                <w:szCs w:val="20"/>
              </w:rPr>
            </w:pPr>
            <w:r w:rsidRPr="00427039">
              <w:rPr>
                <w:b/>
                <w:bCs/>
                <w:sz w:val="20"/>
                <w:szCs w:val="20"/>
              </w:rPr>
              <w:t xml:space="preserve">Number of injections </w:t>
            </w:r>
            <w:r>
              <w:rPr>
                <w:b/>
                <w:bCs/>
                <w:sz w:val="20"/>
                <w:szCs w:val="20"/>
              </w:rPr>
              <w:t>required</w:t>
            </w:r>
          </w:p>
        </w:tc>
        <w:tc>
          <w:tcPr>
            <w:tcW w:w="5954" w:type="dxa"/>
            <w:gridSpan w:val="2"/>
            <w:shd w:val="pct10" w:color="auto" w:fill="auto"/>
          </w:tcPr>
          <w:p w:rsidR="00DF43FA" w:rsidRPr="005409DF" w:rsidRDefault="00DF43FA" w:rsidP="00C27CED">
            <w:pPr>
              <w:autoSpaceDE w:val="0"/>
              <w:autoSpaceDN w:val="0"/>
              <w:adjustRightInd w:val="0"/>
              <w:spacing w:before="40" w:after="40"/>
              <w:jc w:val="center"/>
              <w:rPr>
                <w:b/>
                <w:bCs/>
                <w:color w:val="000000" w:themeColor="text1"/>
                <w:sz w:val="20"/>
                <w:szCs w:val="20"/>
              </w:rPr>
            </w:pPr>
            <w:r>
              <w:rPr>
                <w:b/>
                <w:bCs/>
                <w:sz w:val="20"/>
                <w:szCs w:val="20"/>
              </w:rPr>
              <w:t>Number (%)</w:t>
            </w:r>
          </w:p>
        </w:tc>
      </w:tr>
      <w:tr w:rsidR="007E4F53" w:rsidRPr="005409DF" w:rsidTr="005409DF">
        <w:tc>
          <w:tcPr>
            <w:tcW w:w="2977" w:type="dxa"/>
          </w:tcPr>
          <w:p w:rsidR="007E4F53" w:rsidRPr="00C26C99" w:rsidRDefault="007E4F53" w:rsidP="009155F8">
            <w:pPr>
              <w:keepNext/>
              <w:spacing w:before="40" w:after="40" w:line="240" w:lineRule="exact"/>
              <w:rPr>
                <w:kern w:val="0"/>
                <w:sz w:val="20"/>
                <w:szCs w:val="20"/>
                <w:lang w:val="en-AU"/>
              </w:rPr>
            </w:pPr>
            <w:r w:rsidRPr="00C26C99">
              <w:rPr>
                <w:kern w:val="0"/>
                <w:sz w:val="20"/>
                <w:szCs w:val="20"/>
                <w:lang w:val="en-AU"/>
              </w:rPr>
              <w:t>1 or 2 injections</w:t>
            </w:r>
          </w:p>
        </w:tc>
        <w:tc>
          <w:tcPr>
            <w:tcW w:w="2977" w:type="dxa"/>
          </w:tcPr>
          <w:p w:rsidR="007E4F53" w:rsidRPr="005409DF" w:rsidRDefault="00167D64" w:rsidP="00167D64">
            <w:pPr>
              <w:pStyle w:val="Default"/>
              <w:spacing w:before="40" w:after="40"/>
              <w:jc w:val="center"/>
              <w:rPr>
                <w:sz w:val="20"/>
                <w:szCs w:val="20"/>
              </w:rPr>
            </w:pPr>
            <w:r>
              <w:rPr>
                <w:sz w:val="20"/>
                <w:szCs w:val="20"/>
              </w:rPr>
              <w:t>438</w:t>
            </w:r>
            <w:r w:rsidRPr="005409DF">
              <w:rPr>
                <w:sz w:val="20"/>
                <w:szCs w:val="20"/>
              </w:rPr>
              <w:t xml:space="preserve"> </w:t>
            </w:r>
            <w:r w:rsidR="007E4F53" w:rsidRPr="005409DF">
              <w:rPr>
                <w:sz w:val="20"/>
                <w:szCs w:val="20"/>
              </w:rPr>
              <w:t>(98.</w:t>
            </w:r>
            <w:r>
              <w:rPr>
                <w:sz w:val="20"/>
                <w:szCs w:val="20"/>
              </w:rPr>
              <w:t>9</w:t>
            </w:r>
            <w:r w:rsidR="007E4F53" w:rsidRPr="005409DF">
              <w:rPr>
                <w:sz w:val="20"/>
                <w:szCs w:val="20"/>
              </w:rPr>
              <w:t>)</w:t>
            </w:r>
          </w:p>
        </w:tc>
        <w:tc>
          <w:tcPr>
            <w:tcW w:w="2977" w:type="dxa"/>
          </w:tcPr>
          <w:p w:rsidR="007E4F53" w:rsidRPr="00FC2360" w:rsidRDefault="007E4F53" w:rsidP="00C26C99">
            <w:pPr>
              <w:pStyle w:val="Default"/>
              <w:spacing w:before="40" w:after="40"/>
              <w:jc w:val="center"/>
              <w:rPr>
                <w:sz w:val="20"/>
                <w:szCs w:val="20"/>
              </w:rPr>
            </w:pPr>
            <w:r w:rsidRPr="00FC2360">
              <w:rPr>
                <w:sz w:val="20"/>
                <w:szCs w:val="20"/>
              </w:rPr>
              <w:t>103 (97.2)</w:t>
            </w:r>
          </w:p>
        </w:tc>
      </w:tr>
      <w:tr w:rsidR="007E4F53" w:rsidRPr="005409DF" w:rsidTr="00C27CED">
        <w:tc>
          <w:tcPr>
            <w:tcW w:w="2977" w:type="dxa"/>
            <w:tcBorders>
              <w:bottom w:val="single" w:sz="4" w:space="0" w:color="auto"/>
            </w:tcBorders>
          </w:tcPr>
          <w:p w:rsidR="007E4F53" w:rsidRPr="00C26C99" w:rsidRDefault="007E4F53" w:rsidP="009155F8">
            <w:pPr>
              <w:keepNext/>
              <w:spacing w:before="40" w:after="40" w:line="240" w:lineRule="exact"/>
              <w:rPr>
                <w:kern w:val="0"/>
                <w:sz w:val="20"/>
                <w:szCs w:val="20"/>
                <w:lang w:val="en-AU"/>
              </w:rPr>
            </w:pPr>
            <w:r w:rsidRPr="00C26C99">
              <w:rPr>
                <w:kern w:val="0"/>
                <w:sz w:val="20"/>
                <w:szCs w:val="20"/>
                <w:lang w:val="en-AU"/>
              </w:rPr>
              <w:t>&gt;2 injections</w:t>
            </w:r>
          </w:p>
        </w:tc>
        <w:tc>
          <w:tcPr>
            <w:tcW w:w="2977" w:type="dxa"/>
            <w:tcBorders>
              <w:bottom w:val="single" w:sz="4" w:space="0" w:color="auto"/>
            </w:tcBorders>
          </w:tcPr>
          <w:p w:rsidR="007E4F53" w:rsidRPr="005409DF" w:rsidRDefault="007E4F53" w:rsidP="00167D64">
            <w:pPr>
              <w:pStyle w:val="Default"/>
              <w:spacing w:before="40" w:after="40"/>
              <w:jc w:val="center"/>
              <w:rPr>
                <w:sz w:val="20"/>
                <w:szCs w:val="20"/>
              </w:rPr>
            </w:pPr>
            <w:r w:rsidRPr="005409DF">
              <w:rPr>
                <w:sz w:val="20"/>
                <w:szCs w:val="20"/>
              </w:rPr>
              <w:t>5 (1.</w:t>
            </w:r>
            <w:r w:rsidR="00167D64">
              <w:rPr>
                <w:sz w:val="20"/>
                <w:szCs w:val="20"/>
              </w:rPr>
              <w:t>1</w:t>
            </w:r>
            <w:r w:rsidRPr="005409DF">
              <w:rPr>
                <w:sz w:val="20"/>
                <w:szCs w:val="20"/>
              </w:rPr>
              <w:t>)</w:t>
            </w:r>
          </w:p>
        </w:tc>
        <w:tc>
          <w:tcPr>
            <w:tcW w:w="2977" w:type="dxa"/>
            <w:tcBorders>
              <w:bottom w:val="single" w:sz="4" w:space="0" w:color="auto"/>
            </w:tcBorders>
          </w:tcPr>
          <w:p w:rsidR="007E4F53" w:rsidRPr="005409DF" w:rsidRDefault="007E4F53" w:rsidP="00C26C99">
            <w:pPr>
              <w:pStyle w:val="Default"/>
              <w:spacing w:before="40" w:after="40"/>
              <w:jc w:val="center"/>
              <w:rPr>
                <w:sz w:val="20"/>
                <w:szCs w:val="20"/>
              </w:rPr>
            </w:pPr>
            <w:r w:rsidRPr="005409DF">
              <w:rPr>
                <w:sz w:val="20"/>
                <w:szCs w:val="20"/>
              </w:rPr>
              <w:t>3 (2.8)</w:t>
            </w:r>
          </w:p>
        </w:tc>
      </w:tr>
      <w:tr w:rsidR="00DF43FA" w:rsidRPr="005409DF" w:rsidTr="00C27CED">
        <w:tc>
          <w:tcPr>
            <w:tcW w:w="2977" w:type="dxa"/>
            <w:shd w:val="pct10" w:color="auto" w:fill="auto"/>
          </w:tcPr>
          <w:p w:rsidR="00DF43FA" w:rsidRPr="005409DF" w:rsidRDefault="00DF43FA" w:rsidP="00C26C99">
            <w:pPr>
              <w:keepNext/>
              <w:autoSpaceDE w:val="0"/>
              <w:autoSpaceDN w:val="0"/>
              <w:adjustRightInd w:val="0"/>
              <w:spacing w:before="40" w:after="40"/>
              <w:rPr>
                <w:rFonts w:eastAsia="TimesNewRoman"/>
                <w:color w:val="000000"/>
                <w:sz w:val="20"/>
                <w:szCs w:val="20"/>
              </w:rPr>
            </w:pPr>
            <w:r w:rsidRPr="00CE6789">
              <w:rPr>
                <w:rFonts w:eastAsia="TimesNewRoman"/>
                <w:b/>
                <w:color w:val="000000"/>
                <w:sz w:val="20"/>
                <w:szCs w:val="20"/>
              </w:rPr>
              <w:t>Efficacy grading</w:t>
            </w:r>
          </w:p>
        </w:tc>
        <w:tc>
          <w:tcPr>
            <w:tcW w:w="5954" w:type="dxa"/>
            <w:gridSpan w:val="2"/>
            <w:shd w:val="pct10" w:color="auto" w:fill="auto"/>
          </w:tcPr>
          <w:p w:rsidR="00DF43FA" w:rsidRPr="005409DF" w:rsidRDefault="00DF43FA" w:rsidP="00C26C99">
            <w:pPr>
              <w:autoSpaceDE w:val="0"/>
              <w:autoSpaceDN w:val="0"/>
              <w:adjustRightInd w:val="0"/>
              <w:spacing w:before="40" w:after="40"/>
              <w:jc w:val="center"/>
              <w:rPr>
                <w:rFonts w:eastAsia="TimesNewRoman"/>
                <w:color w:val="000000"/>
                <w:sz w:val="20"/>
                <w:szCs w:val="20"/>
              </w:rPr>
            </w:pPr>
            <w:r>
              <w:rPr>
                <w:b/>
                <w:bCs/>
                <w:sz w:val="20"/>
                <w:szCs w:val="20"/>
              </w:rPr>
              <w:t>Number (%)</w:t>
            </w:r>
          </w:p>
        </w:tc>
      </w:tr>
      <w:tr w:rsidR="002F7A29" w:rsidRPr="005409DF" w:rsidTr="005409DF">
        <w:tc>
          <w:tcPr>
            <w:tcW w:w="2977" w:type="dxa"/>
          </w:tcPr>
          <w:p w:rsidR="002F7A29" w:rsidRPr="005409DF" w:rsidRDefault="002F7A29" w:rsidP="009155F8">
            <w:pPr>
              <w:keepNext/>
              <w:spacing w:before="40" w:after="40" w:line="240" w:lineRule="exact"/>
              <w:rPr>
                <w:rFonts w:eastAsia="TimesNewRoman"/>
                <w:color w:val="000000"/>
                <w:sz w:val="20"/>
                <w:szCs w:val="20"/>
              </w:rPr>
            </w:pPr>
            <w:r w:rsidRPr="00C26C99">
              <w:rPr>
                <w:kern w:val="0"/>
                <w:sz w:val="20"/>
                <w:szCs w:val="20"/>
                <w:lang w:val="en-AU"/>
              </w:rPr>
              <w:t>Excellent</w:t>
            </w:r>
          </w:p>
        </w:tc>
        <w:tc>
          <w:tcPr>
            <w:tcW w:w="2977" w:type="dxa"/>
          </w:tcPr>
          <w:p w:rsidR="002F7A29" w:rsidRPr="005409DF" w:rsidRDefault="00167D64" w:rsidP="002F7A29">
            <w:pPr>
              <w:pStyle w:val="Default"/>
              <w:spacing w:before="40" w:after="40"/>
              <w:jc w:val="center"/>
              <w:rPr>
                <w:sz w:val="20"/>
                <w:szCs w:val="20"/>
              </w:rPr>
            </w:pPr>
            <w:r>
              <w:rPr>
                <w:sz w:val="20"/>
                <w:szCs w:val="20"/>
              </w:rPr>
              <w:t xml:space="preserve">350 </w:t>
            </w:r>
            <w:r w:rsidR="002F7A29">
              <w:rPr>
                <w:sz w:val="20"/>
                <w:szCs w:val="20"/>
              </w:rPr>
              <w:t>(</w:t>
            </w:r>
            <w:r>
              <w:rPr>
                <w:sz w:val="20"/>
                <w:szCs w:val="20"/>
              </w:rPr>
              <w:t>79.0</w:t>
            </w:r>
            <w:r w:rsidR="002F7A29">
              <w:rPr>
                <w:sz w:val="20"/>
                <w:szCs w:val="20"/>
              </w:rPr>
              <w:t>)</w:t>
            </w:r>
          </w:p>
        </w:tc>
        <w:tc>
          <w:tcPr>
            <w:tcW w:w="2977" w:type="dxa"/>
          </w:tcPr>
          <w:p w:rsidR="002F7A29" w:rsidRPr="00F47013" w:rsidRDefault="002F7A29" w:rsidP="00C26C99">
            <w:pPr>
              <w:pStyle w:val="Default"/>
              <w:spacing w:before="40" w:after="40"/>
              <w:jc w:val="center"/>
              <w:rPr>
                <w:sz w:val="20"/>
                <w:szCs w:val="20"/>
              </w:rPr>
            </w:pPr>
            <w:r w:rsidRPr="00F47013">
              <w:rPr>
                <w:sz w:val="20"/>
                <w:szCs w:val="20"/>
              </w:rPr>
              <w:t>78</w:t>
            </w:r>
            <w:r w:rsidR="00CA24D1">
              <w:rPr>
                <w:sz w:val="20"/>
                <w:szCs w:val="20"/>
              </w:rPr>
              <w:t xml:space="preserve"> </w:t>
            </w:r>
            <w:r w:rsidRPr="00F47013">
              <w:rPr>
                <w:sz w:val="20"/>
                <w:szCs w:val="20"/>
              </w:rPr>
              <w:t>(75.0)</w:t>
            </w:r>
          </w:p>
        </w:tc>
      </w:tr>
      <w:tr w:rsidR="002F7A29" w:rsidRPr="005409DF" w:rsidTr="005409DF">
        <w:tc>
          <w:tcPr>
            <w:tcW w:w="2977" w:type="dxa"/>
          </w:tcPr>
          <w:p w:rsidR="002F7A29" w:rsidRPr="005409DF" w:rsidRDefault="002F7A29" w:rsidP="009155F8">
            <w:pPr>
              <w:keepNext/>
              <w:spacing w:before="40" w:after="40" w:line="240" w:lineRule="exact"/>
              <w:rPr>
                <w:sz w:val="20"/>
                <w:szCs w:val="20"/>
              </w:rPr>
            </w:pPr>
            <w:r w:rsidRPr="005409DF">
              <w:rPr>
                <w:sz w:val="20"/>
                <w:szCs w:val="20"/>
              </w:rPr>
              <w:t>Good</w:t>
            </w:r>
          </w:p>
        </w:tc>
        <w:tc>
          <w:tcPr>
            <w:tcW w:w="2977" w:type="dxa"/>
          </w:tcPr>
          <w:p w:rsidR="002F7A29" w:rsidRPr="005409DF" w:rsidRDefault="00167D64" w:rsidP="00C26C99">
            <w:pPr>
              <w:pStyle w:val="Default"/>
              <w:spacing w:before="40" w:after="40"/>
              <w:jc w:val="center"/>
              <w:rPr>
                <w:sz w:val="20"/>
                <w:szCs w:val="20"/>
              </w:rPr>
            </w:pPr>
            <w:r>
              <w:rPr>
                <w:sz w:val="20"/>
                <w:szCs w:val="20"/>
              </w:rPr>
              <w:t>69 (</w:t>
            </w:r>
            <w:r w:rsidR="00051562">
              <w:rPr>
                <w:sz w:val="20"/>
                <w:szCs w:val="20"/>
              </w:rPr>
              <w:t>15.6)</w:t>
            </w:r>
          </w:p>
        </w:tc>
        <w:tc>
          <w:tcPr>
            <w:tcW w:w="2977" w:type="dxa"/>
          </w:tcPr>
          <w:p w:rsidR="002F7A29" w:rsidRPr="00F47013" w:rsidRDefault="002F7A29" w:rsidP="00C26C99">
            <w:pPr>
              <w:pStyle w:val="Default"/>
              <w:spacing w:before="40" w:after="40"/>
              <w:jc w:val="center"/>
              <w:rPr>
                <w:sz w:val="20"/>
                <w:szCs w:val="20"/>
              </w:rPr>
            </w:pPr>
            <w:r w:rsidRPr="00F47013">
              <w:rPr>
                <w:sz w:val="20"/>
                <w:szCs w:val="20"/>
              </w:rPr>
              <w:t>22</w:t>
            </w:r>
            <w:r w:rsidR="00CA24D1">
              <w:rPr>
                <w:sz w:val="20"/>
                <w:szCs w:val="20"/>
              </w:rPr>
              <w:t xml:space="preserve"> </w:t>
            </w:r>
            <w:r w:rsidRPr="00F47013">
              <w:rPr>
                <w:sz w:val="20"/>
                <w:szCs w:val="20"/>
              </w:rPr>
              <w:t>(21.2)</w:t>
            </w:r>
          </w:p>
        </w:tc>
      </w:tr>
    </w:tbl>
    <w:p w:rsidR="009155F8" w:rsidRPr="004B477E" w:rsidRDefault="009155F8" w:rsidP="00105A30">
      <w:pPr>
        <w:keepNext/>
        <w:autoSpaceDE w:val="0"/>
        <w:autoSpaceDN w:val="0"/>
        <w:adjustRightInd w:val="0"/>
        <w:spacing w:after="0"/>
        <w:rPr>
          <w:sz w:val="20"/>
          <w:szCs w:val="20"/>
        </w:rPr>
      </w:pPr>
      <w:r w:rsidRPr="004B477E">
        <w:rPr>
          <w:sz w:val="20"/>
          <w:szCs w:val="20"/>
        </w:rPr>
        <w:t xml:space="preserve">* 106 bleeding episodes with number of injections, 104 </w:t>
      </w:r>
      <w:r w:rsidR="003538EB">
        <w:rPr>
          <w:sz w:val="20"/>
          <w:szCs w:val="20"/>
        </w:rPr>
        <w:t xml:space="preserve">minor </w:t>
      </w:r>
      <w:r w:rsidRPr="004B477E">
        <w:rPr>
          <w:sz w:val="20"/>
          <w:szCs w:val="20"/>
        </w:rPr>
        <w:t xml:space="preserve">bleeding episodes </w:t>
      </w:r>
      <w:r w:rsidR="003538EB">
        <w:rPr>
          <w:sz w:val="20"/>
          <w:szCs w:val="20"/>
        </w:rPr>
        <w:t xml:space="preserve">with </w:t>
      </w:r>
      <w:r w:rsidRPr="004B477E">
        <w:rPr>
          <w:sz w:val="20"/>
          <w:szCs w:val="20"/>
        </w:rPr>
        <w:t>assessments f</w:t>
      </w:r>
      <w:r w:rsidR="003538EB">
        <w:rPr>
          <w:sz w:val="20"/>
          <w:szCs w:val="20"/>
        </w:rPr>
        <w:t>or</w:t>
      </w:r>
      <w:r w:rsidRPr="004B477E">
        <w:rPr>
          <w:sz w:val="20"/>
          <w:szCs w:val="20"/>
        </w:rPr>
        <w:t xml:space="preserve"> efficacy</w:t>
      </w:r>
      <w:r>
        <w:rPr>
          <w:sz w:val="20"/>
          <w:szCs w:val="20"/>
        </w:rPr>
        <w:t>.</w:t>
      </w:r>
    </w:p>
    <w:p w:rsidR="00A22F3F" w:rsidRPr="005409DF" w:rsidRDefault="003538EB" w:rsidP="00FD20F8">
      <w:pPr>
        <w:autoSpaceDE w:val="0"/>
        <w:autoSpaceDN w:val="0"/>
        <w:adjustRightInd w:val="0"/>
        <w:rPr>
          <w:rFonts w:eastAsia="TimesNewRoman"/>
          <w:color w:val="000000"/>
          <w:sz w:val="20"/>
          <w:szCs w:val="20"/>
        </w:rPr>
      </w:pPr>
      <w:r>
        <w:rPr>
          <w:sz w:val="20"/>
          <w:szCs w:val="20"/>
        </w:rPr>
        <w:t xml:space="preserve">Note: total number of episodes (N) </w:t>
      </w:r>
      <w:r w:rsidR="009155F8">
        <w:rPr>
          <w:sz w:val="20"/>
          <w:szCs w:val="20"/>
        </w:rPr>
        <w:t>includes 11 bleeding episodes in adults/adolescents and 3 in paediatric subjects without an efficacy assessment.</w:t>
      </w:r>
    </w:p>
    <w:p w:rsidR="00FD20F8" w:rsidRPr="00010047" w:rsidRDefault="00FD20F8" w:rsidP="00ED03EF">
      <w:pPr>
        <w:pStyle w:val="Heading3"/>
        <w:numPr>
          <w:ilvl w:val="0"/>
          <w:numId w:val="0"/>
        </w:numPr>
        <w:tabs>
          <w:tab w:val="clear" w:pos="2138"/>
        </w:tabs>
      </w:pPr>
      <w:r w:rsidRPr="00010047">
        <w:t xml:space="preserve">Control and </w:t>
      </w:r>
      <w:r w:rsidR="008B13F5">
        <w:t>p</w:t>
      </w:r>
      <w:r w:rsidRPr="00010047">
        <w:t xml:space="preserve">revention of </w:t>
      </w:r>
      <w:r w:rsidR="008B13F5">
        <w:t>b</w:t>
      </w:r>
      <w:r w:rsidRPr="00010047">
        <w:t xml:space="preserve">leeding </w:t>
      </w:r>
      <w:r w:rsidR="008B13F5">
        <w:t>e</w:t>
      </w:r>
      <w:r w:rsidRPr="00010047">
        <w:t xml:space="preserve">pisodes in </w:t>
      </w:r>
      <w:r w:rsidR="00ED03EF">
        <w:t xml:space="preserve">the </w:t>
      </w:r>
      <w:r w:rsidR="008B13F5">
        <w:t>p</w:t>
      </w:r>
      <w:r w:rsidRPr="00010047">
        <w:t xml:space="preserve">erioperative </w:t>
      </w:r>
      <w:r w:rsidR="00ED03EF">
        <w:t>setting</w:t>
      </w:r>
    </w:p>
    <w:p w:rsidR="00A4178D" w:rsidRPr="00BF22EC" w:rsidRDefault="00FD20F8" w:rsidP="009A12AD">
      <w:pPr>
        <w:autoSpaceDE w:val="0"/>
        <w:autoSpaceDN w:val="0"/>
        <w:adjustRightInd w:val="0"/>
      </w:pPr>
      <w:r w:rsidRPr="00BF22EC">
        <w:rPr>
          <w:rFonts w:eastAsia="TimesNewRoman"/>
          <w:color w:val="000000"/>
        </w:rPr>
        <w:t>There were 15</w:t>
      </w:r>
      <w:r w:rsidR="00DA60C8" w:rsidRPr="00A00251">
        <w:t> </w:t>
      </w:r>
      <w:r w:rsidRPr="00BF22EC">
        <w:rPr>
          <w:rFonts w:eastAsia="TimesNewRoman"/>
          <w:color w:val="000000"/>
        </w:rPr>
        <w:t xml:space="preserve">surgeries in the </w:t>
      </w:r>
      <w:r w:rsidR="009D6286">
        <w:t>IDELVION</w:t>
      </w:r>
      <w:r w:rsidR="00151E18" w:rsidRPr="00BF22EC">
        <w:rPr>
          <w:vertAlign w:val="superscript"/>
        </w:rPr>
        <w:t>®</w:t>
      </w:r>
      <w:r w:rsidR="00151E18" w:rsidRPr="00BF22EC">
        <w:t xml:space="preserve"> </w:t>
      </w:r>
      <w:r w:rsidRPr="00BF22EC">
        <w:rPr>
          <w:rFonts w:eastAsia="TimesNewRoman"/>
          <w:color w:val="000000"/>
        </w:rPr>
        <w:t>clinical development program, including 3</w:t>
      </w:r>
      <w:r w:rsidR="005A1AA5">
        <w:t> </w:t>
      </w:r>
      <w:r w:rsidRPr="00BF22EC">
        <w:rPr>
          <w:rFonts w:eastAsia="TimesNewRoman"/>
          <w:color w:val="000000"/>
        </w:rPr>
        <w:t>surgeries in children &lt;12</w:t>
      </w:r>
      <w:r w:rsidR="005A1AA5">
        <w:t> </w:t>
      </w:r>
      <w:r w:rsidRPr="00BF22EC">
        <w:rPr>
          <w:rFonts w:eastAsia="TimesNewRoman"/>
          <w:color w:val="000000"/>
        </w:rPr>
        <w:t xml:space="preserve">years of age. Five of the surgeries were orthopaedic. A single dose of </w:t>
      </w:r>
      <w:r w:rsidR="009D6286">
        <w:t>IDELVION</w:t>
      </w:r>
      <w:r w:rsidR="00151E18" w:rsidRPr="00BF22EC">
        <w:rPr>
          <w:vertAlign w:val="superscript"/>
        </w:rPr>
        <w:t>®</w:t>
      </w:r>
      <w:r w:rsidR="00151E18" w:rsidRPr="00BF22EC">
        <w:t xml:space="preserve"> </w:t>
      </w:r>
      <w:r w:rsidRPr="00BF22EC">
        <w:rPr>
          <w:rFonts w:eastAsia="TimesNewRoman"/>
          <w:color w:val="000000"/>
        </w:rPr>
        <w:t>before surgery was sufficient to maintain h</w:t>
      </w:r>
      <w:r w:rsidR="000242FD">
        <w:rPr>
          <w:rFonts w:eastAsia="TimesNewRoman"/>
          <w:color w:val="000000"/>
        </w:rPr>
        <w:t>a</w:t>
      </w:r>
      <w:r w:rsidRPr="00BF22EC">
        <w:rPr>
          <w:rFonts w:eastAsia="TimesNewRoman"/>
          <w:color w:val="000000"/>
        </w:rPr>
        <w:t>emostasis during the surgical period</w:t>
      </w:r>
      <w:r w:rsidR="002D753F" w:rsidRPr="00BF22EC">
        <w:rPr>
          <w:rFonts w:eastAsia="TimesNewRoman"/>
          <w:color w:val="000000"/>
        </w:rPr>
        <w:t xml:space="preserve">. </w:t>
      </w:r>
      <w:r w:rsidR="00C41C7D" w:rsidRPr="00BF22EC">
        <w:rPr>
          <w:rFonts w:eastAsia="TimesNewRoman"/>
          <w:color w:val="000000"/>
        </w:rPr>
        <w:t>H</w:t>
      </w:r>
      <w:r w:rsidR="000242FD">
        <w:rPr>
          <w:rFonts w:eastAsia="TimesNewRoman"/>
          <w:color w:val="000000"/>
        </w:rPr>
        <w:t>a</w:t>
      </w:r>
      <w:r w:rsidR="00C41C7D" w:rsidRPr="00BF22EC">
        <w:rPr>
          <w:rFonts w:eastAsia="TimesNewRoman"/>
          <w:color w:val="000000"/>
        </w:rPr>
        <w:t xml:space="preserve">emostasis was assessed by the </w:t>
      </w:r>
      <w:r w:rsidR="008177A4">
        <w:rPr>
          <w:rFonts w:eastAsia="TimesNewRoman"/>
          <w:color w:val="000000"/>
        </w:rPr>
        <w:t>I</w:t>
      </w:r>
      <w:r w:rsidR="00C41C7D" w:rsidRPr="00BF22EC">
        <w:rPr>
          <w:rFonts w:eastAsia="TimesNewRoman"/>
          <w:color w:val="000000"/>
        </w:rPr>
        <w:t>nvestigator/surgeon using a 4</w:t>
      </w:r>
      <w:r w:rsidR="00E23529">
        <w:rPr>
          <w:rFonts w:eastAsia="TimesNewRoman"/>
          <w:color w:val="000000"/>
        </w:rPr>
        <w:t>-</w:t>
      </w:r>
      <w:r w:rsidR="00C41C7D" w:rsidRPr="00BF22EC">
        <w:rPr>
          <w:rFonts w:eastAsia="TimesNewRoman"/>
          <w:color w:val="000000"/>
        </w:rPr>
        <w:t>point</w:t>
      </w:r>
      <w:r w:rsidR="00E23529">
        <w:rPr>
          <w:rFonts w:eastAsia="TimesNewRoman"/>
          <w:color w:val="000000"/>
        </w:rPr>
        <w:t xml:space="preserve"> </w:t>
      </w:r>
      <w:r w:rsidR="00C41C7D" w:rsidRPr="00BF22EC">
        <w:rPr>
          <w:rFonts w:eastAsia="TimesNewRoman"/>
          <w:color w:val="000000"/>
        </w:rPr>
        <w:t xml:space="preserve">scale of excellent, good, fair and none. </w:t>
      </w:r>
      <w:r w:rsidRPr="00BF22EC">
        <w:rPr>
          <w:rFonts w:eastAsia="TimesNewRoman"/>
          <w:color w:val="000000"/>
        </w:rPr>
        <w:t>Haemostatic efficacy in the perioperative setting was excellent or good in 100% of the surgeries.</w:t>
      </w:r>
      <w:r w:rsidR="002D753F" w:rsidRPr="00BF22EC">
        <w:rPr>
          <w:rFonts w:eastAsia="TimesNewRoman"/>
          <w:color w:val="000000"/>
        </w:rPr>
        <w:t xml:space="preserve"> </w:t>
      </w:r>
      <w:r w:rsidRPr="00BF22EC">
        <w:rPr>
          <w:rFonts w:eastAsia="TimesNewRoman"/>
          <w:color w:val="000000"/>
        </w:rPr>
        <w:t>During the 14</w:t>
      </w:r>
      <w:r w:rsidR="00550A4D">
        <w:rPr>
          <w:rFonts w:eastAsia="TimesNewRoman"/>
          <w:color w:val="000000"/>
        </w:rPr>
        <w:t> </w:t>
      </w:r>
      <w:r w:rsidRPr="00BF22EC">
        <w:rPr>
          <w:rFonts w:eastAsia="TimesNewRoman"/>
          <w:color w:val="000000"/>
        </w:rPr>
        <w:t>day post-operative period, subjects received between 2 and 7</w:t>
      </w:r>
      <w:r w:rsidR="005A1AA5">
        <w:t> </w:t>
      </w:r>
      <w:r w:rsidRPr="00BF22EC">
        <w:rPr>
          <w:rFonts w:eastAsia="TimesNewRoman"/>
          <w:color w:val="000000"/>
        </w:rPr>
        <w:t>injections of</w:t>
      </w:r>
      <w:r w:rsidR="00151E18" w:rsidRPr="00BF22EC">
        <w:t xml:space="preserve"> </w:t>
      </w:r>
      <w:r w:rsidR="009D6286">
        <w:t>IDELVION</w:t>
      </w:r>
      <w:r w:rsidR="00151E18" w:rsidRPr="00BF22EC">
        <w:rPr>
          <w:vertAlign w:val="superscript"/>
        </w:rPr>
        <w:t>®</w:t>
      </w:r>
      <w:r w:rsidRPr="00BF22EC">
        <w:rPr>
          <w:rFonts w:eastAsia="TimesNewRoman"/>
          <w:color w:val="000000"/>
        </w:rPr>
        <w:t xml:space="preserve">, depending on the type of surgery. The mean total consumption of </w:t>
      </w:r>
      <w:r w:rsidR="009D6286">
        <w:t>IDELVION</w:t>
      </w:r>
      <w:r w:rsidR="00151E18" w:rsidRPr="00BF22EC">
        <w:rPr>
          <w:vertAlign w:val="superscript"/>
        </w:rPr>
        <w:t>®</w:t>
      </w:r>
      <w:r w:rsidR="00151E18" w:rsidRPr="00BF22EC">
        <w:t xml:space="preserve"> </w:t>
      </w:r>
      <w:r w:rsidRPr="00BF22EC">
        <w:rPr>
          <w:rFonts w:eastAsia="TimesNewRoman"/>
          <w:color w:val="000000"/>
        </w:rPr>
        <w:t>during the surgical period ranged from 81</w:t>
      </w:r>
      <w:r w:rsidR="00803AC9" w:rsidRPr="00BF22EC">
        <w:rPr>
          <w:rFonts w:eastAsia="TimesNewRoman"/>
          <w:color w:val="000000"/>
        </w:rPr>
        <w:t> </w:t>
      </w:r>
      <w:r w:rsidRPr="00BF22EC">
        <w:rPr>
          <w:rFonts w:eastAsia="TimesNewRoman"/>
          <w:color w:val="000000"/>
        </w:rPr>
        <w:t>IU/kg (tooth extraction; Study</w:t>
      </w:r>
      <w:r w:rsidR="00DA60C8" w:rsidRPr="00A00251">
        <w:t> </w:t>
      </w:r>
      <w:r w:rsidRPr="00BF22EC">
        <w:rPr>
          <w:rFonts w:eastAsia="TimesNewRoman"/>
          <w:color w:val="000000"/>
        </w:rPr>
        <w:t>3002) to 380</w:t>
      </w:r>
      <w:r w:rsidR="00803AC9" w:rsidRPr="00BF22EC">
        <w:rPr>
          <w:rFonts w:eastAsia="TimesNewRoman"/>
          <w:color w:val="000000"/>
        </w:rPr>
        <w:t> </w:t>
      </w:r>
      <w:r w:rsidRPr="00BF22EC">
        <w:rPr>
          <w:rFonts w:eastAsia="TimesNewRoman"/>
          <w:color w:val="000000"/>
        </w:rPr>
        <w:t>IU/kg (total knee replacement; Study</w:t>
      </w:r>
      <w:r w:rsidR="00DA60C8" w:rsidRPr="00A00251">
        <w:t> </w:t>
      </w:r>
      <w:r w:rsidRPr="00BF22EC">
        <w:rPr>
          <w:rFonts w:eastAsia="TimesNewRoman"/>
          <w:color w:val="000000"/>
        </w:rPr>
        <w:t>3001).</w:t>
      </w:r>
      <w:r w:rsidR="006576CA" w:rsidRPr="00BF22EC">
        <w:rPr>
          <w:rFonts w:eastAsia="TimesNewRoman"/>
          <w:color w:val="000000"/>
        </w:rPr>
        <w:t xml:space="preserve"> </w:t>
      </w:r>
      <w:r w:rsidR="006576CA" w:rsidRPr="00BF22EC">
        <w:t>There was no clinical evidence of thrombotic complications in any of the subjects.</w:t>
      </w:r>
    </w:p>
    <w:p w:rsidR="00137C30" w:rsidRPr="00B1677F" w:rsidRDefault="00137C30" w:rsidP="00B1677F">
      <w:pPr>
        <w:pStyle w:val="Heading2"/>
        <w:numPr>
          <w:ilvl w:val="0"/>
          <w:numId w:val="0"/>
        </w:numPr>
        <w:ind w:left="1901" w:hanging="1901"/>
      </w:pPr>
      <w:r w:rsidRPr="00B1677F">
        <w:lastRenderedPageBreak/>
        <w:t>INDICATIONS</w:t>
      </w:r>
    </w:p>
    <w:p w:rsidR="002F1B92" w:rsidRPr="002F1B92" w:rsidRDefault="009D6286" w:rsidP="00C26C99">
      <w:pPr>
        <w:pStyle w:val="DocumentText"/>
        <w:keepNext/>
        <w:spacing w:after="120"/>
      </w:pPr>
      <w:r>
        <w:t>IDELVION</w:t>
      </w:r>
      <w:r w:rsidR="00151E18" w:rsidRPr="00151E18">
        <w:rPr>
          <w:vertAlign w:val="superscript"/>
        </w:rPr>
        <w:t>®</w:t>
      </w:r>
      <w:r w:rsidR="00590D61">
        <w:t xml:space="preserve"> is </w:t>
      </w:r>
      <w:r w:rsidR="002F1B92" w:rsidRPr="002F1B92">
        <w:t>indicated in a</w:t>
      </w:r>
      <w:r w:rsidR="000B42BE">
        <w:t>ll patients</w:t>
      </w:r>
      <w:r w:rsidR="002F1B92" w:rsidRPr="002F1B92">
        <w:t xml:space="preserve"> with h</w:t>
      </w:r>
      <w:r w:rsidR="000242FD">
        <w:t>a</w:t>
      </w:r>
      <w:r w:rsidR="002F1B92" w:rsidRPr="002F1B92">
        <w:t>emophilia</w:t>
      </w:r>
      <w:r w:rsidR="00DA60C8" w:rsidRPr="00A00251">
        <w:t> </w:t>
      </w:r>
      <w:r w:rsidR="002F1B92" w:rsidRPr="002F1B92">
        <w:t>B for:</w:t>
      </w:r>
    </w:p>
    <w:p w:rsidR="00702FD7" w:rsidRDefault="00702FD7" w:rsidP="00DA3207">
      <w:pPr>
        <w:pStyle w:val="DocumentText"/>
        <w:numPr>
          <w:ilvl w:val="0"/>
          <w:numId w:val="7"/>
        </w:numPr>
        <w:spacing w:after="0"/>
        <w:ind w:left="357" w:hanging="357"/>
      </w:pPr>
      <w:r w:rsidRPr="00957E7B">
        <w:t>Routine prophylaxis to prevent or</w:t>
      </w:r>
      <w:r w:rsidRPr="002F1B92">
        <w:t xml:space="preserve"> reduce the frequency of</w:t>
      </w:r>
      <w:r>
        <w:t xml:space="preserve"> </w:t>
      </w:r>
      <w:r w:rsidRPr="002F1B92">
        <w:t>bleeding episodes</w:t>
      </w:r>
    </w:p>
    <w:p w:rsidR="002F1B92" w:rsidRPr="00957E7B" w:rsidRDefault="002F1B92" w:rsidP="00DA3207">
      <w:pPr>
        <w:pStyle w:val="DocumentText"/>
        <w:numPr>
          <w:ilvl w:val="0"/>
          <w:numId w:val="7"/>
        </w:numPr>
        <w:spacing w:after="0"/>
        <w:ind w:left="357" w:hanging="357"/>
      </w:pPr>
      <w:r w:rsidRPr="00957E7B">
        <w:t>Control and prevention of bleeding episodes</w:t>
      </w:r>
    </w:p>
    <w:p w:rsidR="002F1B92" w:rsidRPr="002F1B92" w:rsidRDefault="00DF43FA" w:rsidP="00C27CED">
      <w:pPr>
        <w:pStyle w:val="DocumentText"/>
        <w:numPr>
          <w:ilvl w:val="0"/>
          <w:numId w:val="7"/>
        </w:numPr>
        <w:ind w:left="357" w:hanging="357"/>
      </w:pPr>
      <w:r w:rsidRPr="00957E7B">
        <w:t xml:space="preserve">Control and prevention of bleeding </w:t>
      </w:r>
      <w:r>
        <w:t>in the p</w:t>
      </w:r>
      <w:r w:rsidR="002F1B92" w:rsidRPr="00957E7B">
        <w:t xml:space="preserve">erioperative </w:t>
      </w:r>
      <w:r>
        <w:t>setting</w:t>
      </w:r>
      <w:r w:rsidR="002F1B92" w:rsidRPr="002F1B92">
        <w:t>.</w:t>
      </w:r>
    </w:p>
    <w:p w:rsidR="00137C30" w:rsidRPr="00B1677F" w:rsidRDefault="00137C30" w:rsidP="00B1677F">
      <w:pPr>
        <w:pStyle w:val="Heading2"/>
        <w:numPr>
          <w:ilvl w:val="0"/>
          <w:numId w:val="0"/>
        </w:numPr>
        <w:ind w:left="1901" w:hanging="1901"/>
      </w:pPr>
      <w:r w:rsidRPr="00B1677F">
        <w:t>CONTRAINDICATIONS</w:t>
      </w:r>
    </w:p>
    <w:p w:rsidR="00137C30" w:rsidRPr="00B1677F" w:rsidRDefault="009D6286" w:rsidP="00B1677F">
      <w:pPr>
        <w:pStyle w:val="DocumentText"/>
      </w:pPr>
      <w:r>
        <w:t>IDELVION</w:t>
      </w:r>
      <w:r w:rsidR="00151E18" w:rsidRPr="00151E18">
        <w:rPr>
          <w:vertAlign w:val="superscript"/>
        </w:rPr>
        <w:t>®</w:t>
      </w:r>
      <w:r w:rsidR="00151E18">
        <w:t xml:space="preserve"> </w:t>
      </w:r>
      <w:r w:rsidR="00FD286B" w:rsidRPr="00647E4A">
        <w:t>is contraindicated in patients who have a known hypersensitivity to</w:t>
      </w:r>
      <w:r w:rsidR="00230BB3" w:rsidRPr="00230BB3">
        <w:t xml:space="preserve"> </w:t>
      </w:r>
      <w:r>
        <w:t>IDELVION</w:t>
      </w:r>
      <w:r w:rsidR="00230BB3" w:rsidRPr="00151E18">
        <w:rPr>
          <w:vertAlign w:val="superscript"/>
        </w:rPr>
        <w:t>®</w:t>
      </w:r>
      <w:r w:rsidR="00FD286B">
        <w:t>, any of its components, excipients, or</w:t>
      </w:r>
      <w:r w:rsidR="00FD286B" w:rsidRPr="00647E4A">
        <w:t xml:space="preserve"> hamster protein (see </w:t>
      </w:r>
      <w:r w:rsidR="00FD286B" w:rsidRPr="00647E4A">
        <w:rPr>
          <w:b/>
          <w:lang w:val="en-AU"/>
        </w:rPr>
        <w:t>Table 1</w:t>
      </w:r>
      <w:r w:rsidR="00FD286B" w:rsidRPr="00647E4A">
        <w:t>).</w:t>
      </w:r>
    </w:p>
    <w:p w:rsidR="00137C30" w:rsidRDefault="00137C30" w:rsidP="00B1677F">
      <w:pPr>
        <w:pStyle w:val="Heading2"/>
        <w:numPr>
          <w:ilvl w:val="0"/>
          <w:numId w:val="0"/>
        </w:numPr>
        <w:ind w:left="1901" w:hanging="1901"/>
      </w:pPr>
      <w:r w:rsidRPr="00B1677F">
        <w:t>PRECAUTIONS</w:t>
      </w:r>
    </w:p>
    <w:p w:rsidR="00D73E8E" w:rsidRPr="00B1677F" w:rsidRDefault="00D73E8E" w:rsidP="00D73E8E">
      <w:pPr>
        <w:pStyle w:val="Heading3"/>
        <w:numPr>
          <w:ilvl w:val="0"/>
          <w:numId w:val="0"/>
        </w:numPr>
        <w:ind w:left="2138" w:hanging="2138"/>
      </w:pPr>
      <w:r>
        <w:t>Monitoring laboratory tests</w:t>
      </w:r>
    </w:p>
    <w:p w:rsidR="00D73E8E" w:rsidRDefault="00D73E8E" w:rsidP="00D73E8E">
      <w:pPr>
        <w:pStyle w:val="DocumentText"/>
      </w:pPr>
      <w:r w:rsidRPr="002A6A5C" w:rsidDel="007E7DB5">
        <w:t xml:space="preserve">To confirm adequate </w:t>
      </w:r>
      <w:r w:rsidDel="007E7DB5">
        <w:t>FIX</w:t>
      </w:r>
      <w:r w:rsidRPr="002A6A5C" w:rsidDel="007E7DB5">
        <w:t xml:space="preserve"> levels have been achieved and maintained, monitor plasma </w:t>
      </w:r>
      <w:r w:rsidDel="007E7DB5">
        <w:t>FIX</w:t>
      </w:r>
      <w:r w:rsidRPr="002A6A5C" w:rsidDel="007E7DB5">
        <w:t xml:space="preserve"> activity by performin</w:t>
      </w:r>
      <w:r w:rsidR="00FB436F">
        <w:t>g the one-stage clotting assay.</w:t>
      </w:r>
    </w:p>
    <w:p w:rsidR="000F79E8" w:rsidRPr="00D02A16" w:rsidRDefault="00D73E8E" w:rsidP="00F54C93">
      <w:pPr>
        <w:pStyle w:val="DocumentText"/>
      </w:pPr>
      <w:r w:rsidRPr="008F49CA">
        <w:t xml:space="preserve">When using an </w:t>
      </w:r>
      <w:r w:rsidRPr="008A4CE7">
        <w:rPr>
          <w:i/>
        </w:rPr>
        <w:t>in vitro</w:t>
      </w:r>
      <w:r w:rsidRPr="008F49CA">
        <w:t xml:space="preserve"> throm</w:t>
      </w:r>
      <w:r w:rsidR="000F79E8" w:rsidRPr="008F49CA">
        <w:t>boplastin time (aPTT)-based one-</w:t>
      </w:r>
      <w:r w:rsidRPr="008F49CA">
        <w:t>stage clotting assay for determining</w:t>
      </w:r>
      <w:r w:rsidR="00611D7A" w:rsidRPr="008F49CA">
        <w:t xml:space="preserve"> F</w:t>
      </w:r>
      <w:r w:rsidRPr="008F49CA">
        <w:t xml:space="preserve">IX activity in patients’ blood samples, plasma </w:t>
      </w:r>
      <w:r w:rsidR="00611D7A" w:rsidRPr="008F49CA">
        <w:t>F</w:t>
      </w:r>
      <w:r w:rsidRPr="008F49CA">
        <w:t xml:space="preserve">IX activity results can be significantly affected by both the type of aPTT reagent and the reference standard used in the assay. Measurement with a one-stage clotting assay using a kaolin based aPTT reagent or Actin FS aPTT reagent will likely result </w:t>
      </w:r>
      <w:r w:rsidR="00F54C93" w:rsidRPr="008F49CA">
        <w:t>in approximately 50% lower than expected recovery based on label</w:t>
      </w:r>
      <w:r w:rsidR="00611D7A" w:rsidRPr="008F49CA">
        <w:t>l</w:t>
      </w:r>
      <w:r w:rsidR="00F54C93" w:rsidRPr="008F49CA">
        <w:t xml:space="preserve">ed potency. </w:t>
      </w:r>
      <w:r w:rsidRPr="008F49CA">
        <w:t>This is of importance particularly when changing the laboratory and/or reagents used in the assay.</w:t>
      </w:r>
    </w:p>
    <w:p w:rsidR="00137C30" w:rsidRPr="0033730A" w:rsidRDefault="00ED209A" w:rsidP="0033730A">
      <w:pPr>
        <w:pStyle w:val="Heading3"/>
        <w:numPr>
          <w:ilvl w:val="0"/>
          <w:numId w:val="0"/>
        </w:numPr>
        <w:ind w:left="2138" w:hanging="2138"/>
      </w:pPr>
      <w:r w:rsidRPr="0033730A">
        <w:t>Hypersensitivity</w:t>
      </w:r>
    </w:p>
    <w:p w:rsidR="00137C30" w:rsidRDefault="00ED209A" w:rsidP="00B1677F">
      <w:pPr>
        <w:pStyle w:val="DocumentText"/>
      </w:pPr>
      <w:r w:rsidRPr="00647E4A">
        <w:t xml:space="preserve">Allergic type hypersensitivity reactions are possible. The product contains traces of hamster proteins. If symptoms of hypersensitivity occur, discontinue use of the medicinal product immediately and initiate appropriate treatment. Patients should be informed of the early signs of hypersensitivity reactions including hives, generalised urticaria, tightness of the chest, wheezing, hypotension and anaphylaxis. Advise patients to discontinue use of </w:t>
      </w:r>
      <w:r w:rsidR="009D6286">
        <w:t>IDELVION</w:t>
      </w:r>
      <w:r w:rsidR="00151E18" w:rsidRPr="00151E18">
        <w:rPr>
          <w:vertAlign w:val="superscript"/>
        </w:rPr>
        <w:t>®</w:t>
      </w:r>
      <w:r w:rsidR="00151E18">
        <w:t xml:space="preserve"> </w:t>
      </w:r>
      <w:r w:rsidRPr="00647E4A">
        <w:t xml:space="preserve">and contact their physician. All </w:t>
      </w:r>
      <w:r>
        <w:t>FIX</w:t>
      </w:r>
      <w:r w:rsidRPr="00647E4A">
        <w:t xml:space="preserve"> products have potential of allergic reactions. It is suggested that the initial administrations of </w:t>
      </w:r>
      <w:r>
        <w:t>FIX</w:t>
      </w:r>
      <w:r w:rsidRPr="00647E4A">
        <w:t xml:space="preserve"> should, according to the treating physician’s judgment, be performed under medical observation where proper medical care for allergic reactions could be provided</w:t>
      </w:r>
      <w:r>
        <w:t>.</w:t>
      </w:r>
    </w:p>
    <w:p w:rsidR="00F97768" w:rsidRDefault="00F97768" w:rsidP="00F97768">
      <w:pPr>
        <w:pStyle w:val="Heading3"/>
        <w:numPr>
          <w:ilvl w:val="0"/>
          <w:numId w:val="0"/>
        </w:numPr>
        <w:ind w:left="2138" w:hanging="2138"/>
      </w:pPr>
      <w:r w:rsidRPr="00A241BE">
        <w:lastRenderedPageBreak/>
        <w:t>Thromboembolism</w:t>
      </w:r>
    </w:p>
    <w:p w:rsidR="00B648B2" w:rsidRDefault="00F97768" w:rsidP="00B1677F">
      <w:pPr>
        <w:pStyle w:val="DocumentText"/>
      </w:pPr>
      <w:r w:rsidRPr="00F64BEE">
        <w:t xml:space="preserve">Because of the potential risk of thrombotic complications with the use of FIX-containing products, clinical surveillance for early signs of thrombotic and consumptive coagulopathy should be initiated with appropriate biological testing when administering this product to patients with liver disease, to patients post-operatively, to new-born infants, or to patients at risk of thrombotic phenomena or </w:t>
      </w:r>
      <w:r>
        <w:t>disseminated intravascular coagulation (</w:t>
      </w:r>
      <w:r w:rsidRPr="00F64BEE">
        <w:t>DIC</w:t>
      </w:r>
      <w:r>
        <w:t>)</w:t>
      </w:r>
      <w:r w:rsidRPr="00F64BEE">
        <w:t>. In each of these situations, the benefit of treatment with IDELVION</w:t>
      </w:r>
      <w:r w:rsidR="008A4CE7">
        <w:rPr>
          <w:vertAlign w:val="superscript"/>
        </w:rPr>
        <w:t>®</w:t>
      </w:r>
      <w:r w:rsidRPr="00F64BEE">
        <w:t xml:space="preserve"> should be weighed against the risk of these complications.</w:t>
      </w:r>
    </w:p>
    <w:p w:rsidR="00ED209A" w:rsidRPr="0033730A" w:rsidRDefault="00ED209A" w:rsidP="0033730A">
      <w:pPr>
        <w:pStyle w:val="Heading3"/>
        <w:numPr>
          <w:ilvl w:val="0"/>
          <w:numId w:val="0"/>
        </w:numPr>
        <w:ind w:left="2138" w:hanging="2138"/>
      </w:pPr>
      <w:r w:rsidRPr="0033730A">
        <w:t>Inhibitors</w:t>
      </w:r>
    </w:p>
    <w:p w:rsidR="00ED209A" w:rsidRPr="00BF22EC" w:rsidRDefault="00ED209A" w:rsidP="00B1677F">
      <w:pPr>
        <w:pStyle w:val="DocumentText"/>
      </w:pPr>
      <w:r w:rsidRPr="00BF22EC">
        <w:t xml:space="preserve">Formation of </w:t>
      </w:r>
      <w:r w:rsidR="002A5C72" w:rsidRPr="00BF22EC">
        <w:t>neutrali</w:t>
      </w:r>
      <w:r w:rsidR="007E4F53">
        <w:t>s</w:t>
      </w:r>
      <w:r w:rsidR="002A5C72" w:rsidRPr="00BF22EC">
        <w:t>ing antibodies (</w:t>
      </w:r>
      <w:r w:rsidRPr="00BF22EC">
        <w:t>inhibitor</w:t>
      </w:r>
      <w:r w:rsidR="00C643ED" w:rsidRPr="00BF22EC">
        <w:t>s</w:t>
      </w:r>
      <w:r w:rsidR="002A5C72" w:rsidRPr="00BF22EC">
        <w:t>)</w:t>
      </w:r>
      <w:r w:rsidRPr="00BF22EC">
        <w:t xml:space="preserve"> to FIX has been reported during factor replacement therapy in the treatment of haemophilia</w:t>
      </w:r>
      <w:r w:rsidR="00BE761A" w:rsidRPr="00A00251">
        <w:t> </w:t>
      </w:r>
      <w:r w:rsidRPr="00BF22EC">
        <w:t>B.</w:t>
      </w:r>
    </w:p>
    <w:p w:rsidR="00A5443D" w:rsidRDefault="00C750A2" w:rsidP="00C750A2">
      <w:pPr>
        <w:pStyle w:val="DocumentText"/>
      </w:pPr>
      <w:r w:rsidRPr="00647E4A" w:rsidDel="000824DE">
        <w:t xml:space="preserve">Patients should be monitored </w:t>
      </w:r>
      <w:r>
        <w:t xml:space="preserve">for the development of </w:t>
      </w:r>
      <w:r w:rsidRPr="00647E4A">
        <w:t>inhibitor</w:t>
      </w:r>
      <w:r>
        <w:t xml:space="preserve">s by appropriate clinical observations and laboratory tests. </w:t>
      </w:r>
      <w:r w:rsidRPr="00A5443D">
        <w:t xml:space="preserve">If expected </w:t>
      </w:r>
      <w:r w:rsidR="007F0516" w:rsidRPr="00A5443D">
        <w:t xml:space="preserve">plasma </w:t>
      </w:r>
      <w:r w:rsidRPr="00A5443D">
        <w:t xml:space="preserve">FIX activity levels are not attained, or if the bleeding is not controlled </w:t>
      </w:r>
      <w:r w:rsidR="00874EC6" w:rsidRPr="00A5443D">
        <w:t>after IDELVION</w:t>
      </w:r>
      <w:r w:rsidR="00874EC6" w:rsidRPr="00A5443D">
        <w:rPr>
          <w:vertAlign w:val="superscript"/>
        </w:rPr>
        <w:t>®</w:t>
      </w:r>
      <w:r w:rsidR="00874EC6" w:rsidRPr="00A5443D">
        <w:t xml:space="preserve"> administration</w:t>
      </w:r>
      <w:r w:rsidRPr="00A5443D">
        <w:t>, the presence of an inhibitor should be suspected.</w:t>
      </w:r>
      <w:r w:rsidR="00FB436F">
        <w:t xml:space="preserve"> </w:t>
      </w:r>
      <w:r>
        <w:t>A speciali</w:t>
      </w:r>
      <w:r w:rsidR="00874EC6">
        <w:t>s</w:t>
      </w:r>
      <w:r w:rsidR="00F22164">
        <w:t>ed hae</w:t>
      </w:r>
      <w:r>
        <w:t xml:space="preserve">mophilia treatment centre should be contacted if </w:t>
      </w:r>
      <w:r w:rsidR="008318C6">
        <w:t xml:space="preserve">a patient </w:t>
      </w:r>
      <w:r w:rsidR="00F346B3">
        <w:t>develops</w:t>
      </w:r>
      <w:r w:rsidR="008318C6">
        <w:t xml:space="preserve"> an inhibitor</w:t>
      </w:r>
      <w:r w:rsidR="00FB436F">
        <w:t>.</w:t>
      </w:r>
    </w:p>
    <w:p w:rsidR="00C750A2" w:rsidRDefault="00C750A2" w:rsidP="00C750A2">
      <w:pPr>
        <w:pStyle w:val="DocumentText"/>
      </w:pPr>
      <w:r>
        <w:t xml:space="preserve">Perform a Bethesda inhibitor assay if expected FIX plasma levels are not attained or if bleeding is not controlled with the expected dose of </w:t>
      </w:r>
      <w:r w:rsidR="00721034" w:rsidRPr="00721034">
        <w:t>IDELVION</w:t>
      </w:r>
      <w:r>
        <w:rPr>
          <w:vertAlign w:val="superscript"/>
        </w:rPr>
        <w:t>®</w:t>
      </w:r>
      <w:r>
        <w:t>. Use Bethesda Units (BU) to report inhibitor levels.</w:t>
      </w:r>
    </w:p>
    <w:p w:rsidR="006C573E" w:rsidRDefault="00ED209A" w:rsidP="00B1677F">
      <w:pPr>
        <w:pStyle w:val="DocumentText"/>
      </w:pPr>
      <w:r w:rsidRPr="00647E4A" w:rsidDel="000B42BE">
        <w:t xml:space="preserve">There have been reports in the literature showing a correlation between the occurrence of a </w:t>
      </w:r>
      <w:r w:rsidDel="000B42BE">
        <w:t>FIX</w:t>
      </w:r>
      <w:r w:rsidRPr="00647E4A" w:rsidDel="000B42BE">
        <w:t xml:space="preserve"> inhibitor and allergic reactions. Therefore, patients experiencing allergic reactions should be evaluated for the presence of an inhibitor. It should be noted that patients with </w:t>
      </w:r>
      <w:r w:rsidDel="000B42BE">
        <w:t>FIX</w:t>
      </w:r>
      <w:r w:rsidRPr="00647E4A" w:rsidDel="000B42BE">
        <w:t xml:space="preserve"> inhibitors may be at an increased risk of anaphylaxis with subsequent challenge with </w:t>
      </w:r>
      <w:r w:rsidDel="000B42BE">
        <w:t>FIX</w:t>
      </w:r>
      <w:r w:rsidRPr="00647E4A" w:rsidDel="000B42BE">
        <w:t>.</w:t>
      </w:r>
    </w:p>
    <w:p w:rsidR="00A5443D" w:rsidDel="000B42BE" w:rsidRDefault="00A5443D" w:rsidP="00B1677F">
      <w:pPr>
        <w:pStyle w:val="DocumentText"/>
      </w:pPr>
      <w:r>
        <w:t xml:space="preserve">The </w:t>
      </w:r>
      <w:r w:rsidR="002A6102">
        <w:t>safety</w:t>
      </w:r>
      <w:r>
        <w:t xml:space="preserve"> and efficacy of using IDELVION</w:t>
      </w:r>
      <w:r w:rsidRPr="00151E18">
        <w:rPr>
          <w:vertAlign w:val="superscript"/>
        </w:rPr>
        <w:t>®</w:t>
      </w:r>
      <w:r>
        <w:t xml:space="preserve"> for immune tolerance induction has not been established.</w:t>
      </w:r>
    </w:p>
    <w:p w:rsidR="007D1E53" w:rsidRPr="00B1677F" w:rsidRDefault="00E40447" w:rsidP="00B1677F">
      <w:pPr>
        <w:pStyle w:val="Heading3"/>
        <w:numPr>
          <w:ilvl w:val="0"/>
          <w:numId w:val="0"/>
        </w:numPr>
        <w:ind w:left="2138" w:hanging="2138"/>
      </w:pPr>
      <w:r w:rsidRPr="00B1677F">
        <w:t>Effects on fertility</w:t>
      </w:r>
    </w:p>
    <w:p w:rsidR="005A1251" w:rsidRPr="00B1677F" w:rsidRDefault="006A289B" w:rsidP="00B1677F">
      <w:pPr>
        <w:pStyle w:val="DocumentText"/>
      </w:pPr>
      <w:r>
        <w:t xml:space="preserve">Fertility </w:t>
      </w:r>
      <w:r w:rsidR="00F40998" w:rsidRPr="00E90699">
        <w:t>studies</w:t>
      </w:r>
      <w:r>
        <w:t xml:space="preserve"> in animals</w:t>
      </w:r>
      <w:r w:rsidR="00F40998" w:rsidRPr="00E90699">
        <w:t xml:space="preserve"> have not been conducted with</w:t>
      </w:r>
      <w:r w:rsidR="00151E18" w:rsidRPr="00151E18">
        <w:t xml:space="preserve"> </w:t>
      </w:r>
      <w:r w:rsidR="009D6286">
        <w:t>IDELVION</w:t>
      </w:r>
      <w:r w:rsidR="00151E18" w:rsidRPr="00151E18">
        <w:rPr>
          <w:vertAlign w:val="superscript"/>
        </w:rPr>
        <w:t>®</w:t>
      </w:r>
      <w:r w:rsidR="00F40998" w:rsidRPr="00E90699">
        <w:t>.</w:t>
      </w:r>
    </w:p>
    <w:p w:rsidR="007D1E53" w:rsidRDefault="007D1E53" w:rsidP="002047F4">
      <w:pPr>
        <w:pStyle w:val="Heading3"/>
        <w:numPr>
          <w:ilvl w:val="0"/>
          <w:numId w:val="0"/>
        </w:numPr>
        <w:ind w:left="2138" w:hanging="2138"/>
      </w:pPr>
      <w:r w:rsidRPr="00B1677F">
        <w:lastRenderedPageBreak/>
        <w:t>Use in pregnancy</w:t>
      </w:r>
    </w:p>
    <w:p w:rsidR="00D02A16" w:rsidRPr="00D02A16" w:rsidRDefault="00D02A16" w:rsidP="002047F4">
      <w:pPr>
        <w:pStyle w:val="DocumentText"/>
        <w:keepNext/>
      </w:pPr>
      <w:r>
        <w:t>Category B2</w:t>
      </w:r>
    </w:p>
    <w:p w:rsidR="007D1E53" w:rsidRPr="00B1677F" w:rsidDel="00DF4B8A" w:rsidRDefault="00ED350C" w:rsidP="002047F4">
      <w:pPr>
        <w:pStyle w:val="DocumentText"/>
        <w:keepNext/>
      </w:pPr>
      <w:r w:rsidRPr="00ED350C">
        <w:t>Animal reproducti</w:t>
      </w:r>
      <w:r w:rsidR="00000D10">
        <w:t>on</w:t>
      </w:r>
      <w:r w:rsidRPr="00ED350C">
        <w:t xml:space="preserve"> studies have not been conducted with IDELVION</w:t>
      </w:r>
      <w:r w:rsidRPr="00C269D4">
        <w:rPr>
          <w:vertAlign w:val="superscript"/>
        </w:rPr>
        <w:t>®</w:t>
      </w:r>
      <w:r w:rsidRPr="00ED350C">
        <w:t>.</w:t>
      </w:r>
      <w:r>
        <w:rPr>
          <w:rFonts w:ascii="Cambria" w:eastAsia="Cambria" w:hAnsi="Cambria" w:cs="Cambria"/>
          <w:spacing w:val="-3"/>
          <w:sz w:val="22"/>
          <w:szCs w:val="22"/>
        </w:rPr>
        <w:t xml:space="preserve"> </w:t>
      </w:r>
      <w:r w:rsidR="00F40998" w:rsidRPr="00E90699">
        <w:t>Based on the rare occurrence of haemophilia</w:t>
      </w:r>
      <w:r w:rsidR="005A1AA5">
        <w:t> </w:t>
      </w:r>
      <w:r w:rsidR="00F40998" w:rsidRPr="00E90699">
        <w:t xml:space="preserve">B in women, experience regarding the use of </w:t>
      </w:r>
      <w:r w:rsidR="009D6286">
        <w:t>IDELVION</w:t>
      </w:r>
      <w:r w:rsidR="00151E18" w:rsidRPr="00151E18">
        <w:rPr>
          <w:vertAlign w:val="superscript"/>
        </w:rPr>
        <w:t>®</w:t>
      </w:r>
      <w:r w:rsidR="00151E18">
        <w:t xml:space="preserve"> </w:t>
      </w:r>
      <w:r w:rsidR="00F40998" w:rsidRPr="00E90699">
        <w:t>during pregnancy</w:t>
      </w:r>
      <w:r w:rsidR="00F40998">
        <w:t xml:space="preserve"> </w:t>
      </w:r>
      <w:r w:rsidR="00F40998" w:rsidRPr="00E90699">
        <w:t>is not available.</w:t>
      </w:r>
      <w:r w:rsidR="00F40998">
        <w:t xml:space="preserve"> </w:t>
      </w:r>
      <w:r w:rsidR="00F40998" w:rsidRPr="00E90699">
        <w:t xml:space="preserve">Therefore, </w:t>
      </w:r>
      <w:r w:rsidR="009D6286">
        <w:t>IDELVION</w:t>
      </w:r>
      <w:r w:rsidR="00151E18" w:rsidRPr="00151E18">
        <w:rPr>
          <w:vertAlign w:val="superscript"/>
        </w:rPr>
        <w:t>®</w:t>
      </w:r>
      <w:r w:rsidR="00151E18">
        <w:t xml:space="preserve"> </w:t>
      </w:r>
      <w:r w:rsidR="00F40998" w:rsidRPr="00E90699">
        <w:t>should be used during pregnancy</w:t>
      </w:r>
      <w:r w:rsidR="00F40998">
        <w:t xml:space="preserve"> </w:t>
      </w:r>
      <w:r w:rsidR="00F40998" w:rsidRPr="00E90699">
        <w:t>only if clearly indicated.</w:t>
      </w:r>
    </w:p>
    <w:p w:rsidR="00C520A6" w:rsidRPr="00B1677F" w:rsidRDefault="00E40447" w:rsidP="00B1677F">
      <w:pPr>
        <w:pStyle w:val="Heading3"/>
        <w:numPr>
          <w:ilvl w:val="0"/>
          <w:numId w:val="0"/>
        </w:numPr>
        <w:ind w:left="2138" w:hanging="2138"/>
      </w:pPr>
      <w:r w:rsidRPr="00B1677F">
        <w:t>Use in lactation</w:t>
      </w:r>
    </w:p>
    <w:p w:rsidR="00DF4B8A" w:rsidRPr="00B1677F" w:rsidRDefault="00ED350C" w:rsidP="00B1677F">
      <w:pPr>
        <w:pStyle w:val="DocumentText"/>
      </w:pPr>
      <w:r w:rsidRPr="00ED350C">
        <w:t>Lactation studies in animals have not been conducted with IDELVION</w:t>
      </w:r>
      <w:r w:rsidRPr="00C269D4">
        <w:rPr>
          <w:vertAlign w:val="superscript"/>
        </w:rPr>
        <w:t>®</w:t>
      </w:r>
      <w:r w:rsidRPr="00ED350C">
        <w:t xml:space="preserve">. </w:t>
      </w:r>
      <w:r w:rsidR="00F40998" w:rsidRPr="00E90699">
        <w:t>Based on the rare occurrence of haemophilia</w:t>
      </w:r>
      <w:r w:rsidR="005A1AA5">
        <w:t> </w:t>
      </w:r>
      <w:r w:rsidR="00F40998" w:rsidRPr="00E90699">
        <w:t xml:space="preserve">B in women, experience regarding the use of </w:t>
      </w:r>
      <w:r w:rsidR="009D6286">
        <w:t>IDELVION</w:t>
      </w:r>
      <w:r w:rsidR="00151E18" w:rsidRPr="00151E18">
        <w:rPr>
          <w:vertAlign w:val="superscript"/>
        </w:rPr>
        <w:t>®</w:t>
      </w:r>
      <w:r w:rsidR="00151E18">
        <w:t xml:space="preserve"> </w:t>
      </w:r>
      <w:r w:rsidR="00F40998" w:rsidRPr="00E90699">
        <w:t xml:space="preserve">during </w:t>
      </w:r>
      <w:r w:rsidR="00F40998">
        <w:t xml:space="preserve">lactation </w:t>
      </w:r>
      <w:r w:rsidR="00F40998" w:rsidRPr="00E90699">
        <w:t>is not available.</w:t>
      </w:r>
      <w:r w:rsidR="00F40998">
        <w:t xml:space="preserve"> T</w:t>
      </w:r>
      <w:r w:rsidR="00F40998" w:rsidRPr="00E90699">
        <w:t xml:space="preserve">herefore, </w:t>
      </w:r>
      <w:r w:rsidR="009D6286">
        <w:t>IDELVION</w:t>
      </w:r>
      <w:r w:rsidR="00151E18" w:rsidRPr="00151E18">
        <w:rPr>
          <w:vertAlign w:val="superscript"/>
        </w:rPr>
        <w:t>®</w:t>
      </w:r>
      <w:r w:rsidR="00151E18">
        <w:t xml:space="preserve"> </w:t>
      </w:r>
      <w:r w:rsidR="00F40998" w:rsidRPr="00E90699">
        <w:t>should be used during lactation only if clearly indicated</w:t>
      </w:r>
      <w:r w:rsidR="00F40998">
        <w:t>.</w:t>
      </w:r>
    </w:p>
    <w:p w:rsidR="00A52617" w:rsidRDefault="00A52617" w:rsidP="00A52617">
      <w:pPr>
        <w:pStyle w:val="Heading3"/>
        <w:numPr>
          <w:ilvl w:val="0"/>
          <w:numId w:val="0"/>
        </w:numPr>
        <w:ind w:left="2138" w:hanging="2138"/>
      </w:pPr>
      <w:r>
        <w:t>Previously untreated patients</w:t>
      </w:r>
    </w:p>
    <w:p w:rsidR="00A52617" w:rsidRDefault="00A52617" w:rsidP="00A52617">
      <w:pPr>
        <w:pStyle w:val="DocumentText"/>
      </w:pPr>
      <w:r w:rsidRPr="00E447AC">
        <w:t xml:space="preserve">The safety and efficacy of </w:t>
      </w:r>
      <w:r>
        <w:t>IDELVION</w:t>
      </w:r>
      <w:r>
        <w:rPr>
          <w:vertAlign w:val="superscript"/>
        </w:rPr>
        <w:t>®</w:t>
      </w:r>
      <w:r>
        <w:t xml:space="preserve"> in </w:t>
      </w:r>
      <w:r w:rsidRPr="00E447AC">
        <w:t>previously untreated patients (PUPs) have not been established.</w:t>
      </w:r>
    </w:p>
    <w:p w:rsidR="00C520A6" w:rsidRPr="00B1677F" w:rsidRDefault="00E40447" w:rsidP="00B1677F">
      <w:pPr>
        <w:pStyle w:val="Heading3"/>
        <w:numPr>
          <w:ilvl w:val="0"/>
          <w:numId w:val="0"/>
        </w:numPr>
        <w:ind w:left="2138" w:hanging="2138"/>
      </w:pPr>
      <w:r w:rsidRPr="00B1677F">
        <w:t>Paediatric use</w:t>
      </w:r>
    </w:p>
    <w:p w:rsidR="00F54C93" w:rsidRDefault="00F40998" w:rsidP="00F54C93">
      <w:pPr>
        <w:pStyle w:val="DocumentText"/>
        <w:spacing w:after="120"/>
      </w:pPr>
      <w:r>
        <w:t>The listed precautions apply both to adults and children.</w:t>
      </w:r>
    </w:p>
    <w:p w:rsidR="00C520A6" w:rsidRPr="00B1677F" w:rsidRDefault="00E40447" w:rsidP="00B1677F">
      <w:pPr>
        <w:pStyle w:val="Heading3"/>
        <w:numPr>
          <w:ilvl w:val="0"/>
          <w:numId w:val="0"/>
        </w:numPr>
        <w:ind w:left="2138" w:hanging="2138"/>
      </w:pPr>
      <w:r w:rsidRPr="00B1677F">
        <w:t>Genotoxicity</w:t>
      </w:r>
    </w:p>
    <w:p w:rsidR="00DF4B8A" w:rsidRPr="00ED350C" w:rsidRDefault="009D6286" w:rsidP="00B1677F">
      <w:pPr>
        <w:pStyle w:val="DocumentText"/>
      </w:pPr>
      <w:r>
        <w:t>IDELVION</w:t>
      </w:r>
      <w:r w:rsidR="00151E18" w:rsidRPr="00151E18">
        <w:rPr>
          <w:vertAlign w:val="superscript"/>
        </w:rPr>
        <w:t>®</w:t>
      </w:r>
      <w:r w:rsidR="00ED350C">
        <w:rPr>
          <w:rFonts w:ascii="Cambria" w:eastAsia="Cambria" w:hAnsi="Cambria" w:cs="Cambria"/>
          <w:spacing w:val="-2"/>
          <w:sz w:val="22"/>
          <w:szCs w:val="22"/>
        </w:rPr>
        <w:t xml:space="preserve"> </w:t>
      </w:r>
      <w:r w:rsidR="00ED350C" w:rsidRPr="00ED350C">
        <w:t>did not show evidence of genotoxicity in a reverse mutation assay in bacteria or a chromosomal aberration assay in human lymphocytes.</w:t>
      </w:r>
    </w:p>
    <w:p w:rsidR="00C520A6" w:rsidRPr="00B1677F" w:rsidRDefault="00E40447" w:rsidP="00B1677F">
      <w:pPr>
        <w:pStyle w:val="Heading3"/>
        <w:numPr>
          <w:ilvl w:val="0"/>
          <w:numId w:val="0"/>
        </w:numPr>
        <w:ind w:left="2138" w:hanging="2138"/>
      </w:pPr>
      <w:r w:rsidRPr="00B1677F">
        <w:t>Carcinogenicity</w:t>
      </w:r>
    </w:p>
    <w:p w:rsidR="00DF4B8A" w:rsidRDefault="00F40998" w:rsidP="00B1677F">
      <w:pPr>
        <w:pStyle w:val="DocumentText"/>
        <w:rPr>
          <w:rStyle w:val="CommentReference"/>
          <w:kern w:val="0"/>
          <w:sz w:val="24"/>
          <w:szCs w:val="24"/>
        </w:rPr>
      </w:pPr>
      <w:r>
        <w:rPr>
          <w:kern w:val="0"/>
          <w:lang w:val="en-AU"/>
        </w:rPr>
        <w:t>C</w:t>
      </w:r>
      <w:r w:rsidRPr="00DA5358">
        <w:rPr>
          <w:kern w:val="0"/>
          <w:lang w:val="en-AU"/>
        </w:rPr>
        <w:t xml:space="preserve">arcinogenicity studies have </w:t>
      </w:r>
      <w:r>
        <w:rPr>
          <w:kern w:val="0"/>
          <w:lang w:val="en-AU"/>
        </w:rPr>
        <w:t xml:space="preserve">not </w:t>
      </w:r>
      <w:r w:rsidRPr="00DA5358">
        <w:rPr>
          <w:kern w:val="0"/>
          <w:lang w:val="en-AU"/>
        </w:rPr>
        <w:t>been conducted with</w:t>
      </w:r>
      <w:r w:rsidR="00151E18" w:rsidRPr="00151E18">
        <w:t xml:space="preserve"> </w:t>
      </w:r>
      <w:r w:rsidR="009D6286">
        <w:t>IDELVION</w:t>
      </w:r>
      <w:r w:rsidR="00151E18" w:rsidRPr="00151E18">
        <w:rPr>
          <w:vertAlign w:val="superscript"/>
        </w:rPr>
        <w:t>®</w:t>
      </w:r>
      <w:r w:rsidRPr="00151E18">
        <w:rPr>
          <w:rStyle w:val="CommentReference"/>
          <w:kern w:val="0"/>
          <w:sz w:val="24"/>
          <w:szCs w:val="24"/>
        </w:rPr>
        <w:t>.</w:t>
      </w:r>
    </w:p>
    <w:p w:rsidR="00117A30" w:rsidRPr="00117A30" w:rsidRDefault="00117A30" w:rsidP="00117A30">
      <w:pPr>
        <w:pStyle w:val="Heading3"/>
        <w:numPr>
          <w:ilvl w:val="0"/>
          <w:numId w:val="0"/>
        </w:numPr>
        <w:ind w:left="2138" w:hanging="2138"/>
        <w:rPr>
          <w:rStyle w:val="CommentReference"/>
          <w:sz w:val="28"/>
          <w:szCs w:val="28"/>
        </w:rPr>
      </w:pPr>
      <w:r w:rsidRPr="00117A30">
        <w:rPr>
          <w:rStyle w:val="CommentReference"/>
          <w:sz w:val="28"/>
          <w:szCs w:val="28"/>
        </w:rPr>
        <w:t>Continuous infusion</w:t>
      </w:r>
    </w:p>
    <w:p w:rsidR="00594839" w:rsidRDefault="00117A30" w:rsidP="00F54C93">
      <w:pPr>
        <w:pStyle w:val="DocumentText"/>
      </w:pPr>
      <w:r w:rsidRPr="003D458D">
        <w:t xml:space="preserve">The safety and efficacy of </w:t>
      </w:r>
      <w:r>
        <w:t>IDELVION</w:t>
      </w:r>
      <w:r w:rsidRPr="003D458D">
        <w:rPr>
          <w:vertAlign w:val="superscript"/>
        </w:rPr>
        <w:t>®</w:t>
      </w:r>
      <w:r>
        <w:t xml:space="preserve"> administration by continuous infusion have not been established.</w:t>
      </w:r>
    </w:p>
    <w:p w:rsidR="00982162" w:rsidRPr="00B1677F" w:rsidRDefault="00982162" w:rsidP="00B1677F">
      <w:pPr>
        <w:pStyle w:val="Heading2"/>
        <w:numPr>
          <w:ilvl w:val="0"/>
          <w:numId w:val="0"/>
        </w:numPr>
        <w:ind w:left="1901" w:hanging="1901"/>
      </w:pPr>
      <w:r w:rsidRPr="00B1677F">
        <w:t>INTERACTIONS WITH OTHER MEDICINES</w:t>
      </w:r>
    </w:p>
    <w:p w:rsidR="00982162" w:rsidRDefault="00F40998" w:rsidP="00B1677F">
      <w:pPr>
        <w:pStyle w:val="DocumentText"/>
      </w:pPr>
      <w:r w:rsidRPr="0061368B">
        <w:t xml:space="preserve">No interactions of </w:t>
      </w:r>
      <w:r w:rsidR="009D6286">
        <w:t>IDELVION</w:t>
      </w:r>
      <w:r w:rsidR="00151E18" w:rsidRPr="00151E18">
        <w:rPr>
          <w:vertAlign w:val="superscript"/>
        </w:rPr>
        <w:t>®</w:t>
      </w:r>
      <w:r w:rsidR="00151E18">
        <w:t xml:space="preserve"> </w:t>
      </w:r>
      <w:r w:rsidRPr="0061368B">
        <w:t>with other medicinal products have been reported</w:t>
      </w:r>
      <w:r w:rsidR="00A763F2">
        <w:t>.</w:t>
      </w:r>
    </w:p>
    <w:p w:rsidR="00137C30" w:rsidRPr="00B1677F" w:rsidRDefault="00137C30" w:rsidP="002416C1">
      <w:pPr>
        <w:pStyle w:val="Heading2"/>
        <w:numPr>
          <w:ilvl w:val="0"/>
          <w:numId w:val="0"/>
        </w:numPr>
        <w:ind w:left="1901" w:hanging="1901"/>
      </w:pPr>
      <w:r w:rsidRPr="00B1677F">
        <w:lastRenderedPageBreak/>
        <w:t>ADVERSE EFFECTS</w:t>
      </w:r>
    </w:p>
    <w:p w:rsidR="006D60C4" w:rsidRDefault="00C113DD" w:rsidP="00B1677F">
      <w:pPr>
        <w:pStyle w:val="DocumentText"/>
      </w:pPr>
      <w:r w:rsidRPr="00A65188">
        <w:t xml:space="preserve">During open label clinical trials with </w:t>
      </w:r>
      <w:r w:rsidR="009D6286">
        <w:t>IDELVION</w:t>
      </w:r>
      <w:r w:rsidRPr="00C113DD">
        <w:rPr>
          <w:vertAlign w:val="superscript"/>
        </w:rPr>
        <w:t>®</w:t>
      </w:r>
      <w:r>
        <w:t xml:space="preserve"> c</w:t>
      </w:r>
      <w:r w:rsidRPr="00A65188">
        <w:t xml:space="preserve">onducted in </w:t>
      </w:r>
      <w:r>
        <w:t>107 </w:t>
      </w:r>
      <w:r w:rsidRPr="00A65188">
        <w:t xml:space="preserve">PTPs, </w:t>
      </w:r>
      <w:r>
        <w:t>t</w:t>
      </w:r>
      <w:r w:rsidR="005E2A0C" w:rsidRPr="00BF22EC">
        <w:t xml:space="preserve">here were </w:t>
      </w:r>
      <w:r w:rsidR="00631465" w:rsidRPr="00BF22EC">
        <w:t>579</w:t>
      </w:r>
      <w:r w:rsidR="005A1AA5">
        <w:t> </w:t>
      </w:r>
      <w:r w:rsidR="00631465" w:rsidRPr="00BF22EC">
        <w:t xml:space="preserve">adverse </w:t>
      </w:r>
      <w:r w:rsidR="005E2A0C" w:rsidRPr="00BF22EC">
        <w:t>events</w:t>
      </w:r>
      <w:r w:rsidR="00631465" w:rsidRPr="00BF22EC">
        <w:t xml:space="preserve"> reported in 94/107</w:t>
      </w:r>
      <w:r w:rsidR="005A1AA5">
        <w:t> </w:t>
      </w:r>
      <w:r w:rsidR="00631465" w:rsidRPr="00BF22EC">
        <w:t>(87.9%) subjects who received a total of 6480</w:t>
      </w:r>
      <w:r w:rsidR="005A1AA5">
        <w:t> </w:t>
      </w:r>
      <w:r w:rsidR="00631465" w:rsidRPr="00BF22EC">
        <w:t>injections. Of these 579</w:t>
      </w:r>
      <w:r w:rsidR="005A1AA5">
        <w:t> </w:t>
      </w:r>
      <w:r w:rsidR="00631465" w:rsidRPr="00BF22EC">
        <w:t>events, 15</w:t>
      </w:r>
      <w:r w:rsidR="005A1AA5">
        <w:t> </w:t>
      </w:r>
      <w:r w:rsidR="00631465" w:rsidRPr="00BF22EC">
        <w:t xml:space="preserve">were reported as related </w:t>
      </w:r>
      <w:r w:rsidR="005E2A0C" w:rsidRPr="00BF22EC">
        <w:t xml:space="preserve">to </w:t>
      </w:r>
      <w:r w:rsidR="009D6286">
        <w:t>IDELVION</w:t>
      </w:r>
      <w:r w:rsidR="005E2A0C" w:rsidRPr="00BF22EC">
        <w:rPr>
          <w:vertAlign w:val="superscript"/>
        </w:rPr>
        <w:t>®</w:t>
      </w:r>
      <w:r w:rsidR="005E2A0C" w:rsidRPr="00BF22EC">
        <w:t xml:space="preserve"> </w:t>
      </w:r>
      <w:r w:rsidR="00631465" w:rsidRPr="00BF22EC">
        <w:t>in 8/107</w:t>
      </w:r>
      <w:r w:rsidR="005A1AA5">
        <w:t> </w:t>
      </w:r>
      <w:r w:rsidR="00631465" w:rsidRPr="00BF22EC">
        <w:t>(7.5%) subjects.</w:t>
      </w:r>
    </w:p>
    <w:p w:rsidR="005C17E6" w:rsidRDefault="005C17E6" w:rsidP="005C17E6">
      <w:pPr>
        <w:pStyle w:val="DocumentText"/>
      </w:pPr>
      <w:r w:rsidRPr="005C17E6">
        <w:t xml:space="preserve">A total of 6480 injections </w:t>
      </w:r>
      <w:r>
        <w:t>were</w:t>
      </w:r>
      <w:r w:rsidR="00D8268E">
        <w:t xml:space="preserve"> administered to the Overall S</w:t>
      </w:r>
      <w:r w:rsidRPr="005C17E6">
        <w:t>afety population during a median of 469.0 days (min, max: 25 to 986 days), with a median 3000</w:t>
      </w:r>
      <w:r w:rsidR="00E23529">
        <w:t> </w:t>
      </w:r>
      <w:r w:rsidRPr="005C17E6">
        <w:t>IU per injection (min, max: 139 to 10570</w:t>
      </w:r>
      <w:r w:rsidR="00E23529">
        <w:t> </w:t>
      </w:r>
      <w:r w:rsidRPr="005C17E6">
        <w:t xml:space="preserve">IU). The median total amount of </w:t>
      </w:r>
      <w:r w:rsidR="009D6286">
        <w:t>IDELVION</w:t>
      </w:r>
      <w:r w:rsidRPr="00C113DD">
        <w:rPr>
          <w:vertAlign w:val="superscript"/>
        </w:rPr>
        <w:t>®</w:t>
      </w:r>
      <w:r>
        <w:t xml:space="preserve"> </w:t>
      </w:r>
      <w:r w:rsidRPr="005C17E6">
        <w:t>administered was 126810</w:t>
      </w:r>
      <w:r w:rsidR="00E23529">
        <w:t> </w:t>
      </w:r>
      <w:r w:rsidRPr="005C17E6">
        <w:t>IU (min, max: 1900 to 999051).</w:t>
      </w:r>
    </w:p>
    <w:p w:rsidR="00F40998" w:rsidRPr="00BF22EC" w:rsidDel="0058073D" w:rsidRDefault="00C113DD" w:rsidP="00B1677F">
      <w:pPr>
        <w:pStyle w:val="DocumentText"/>
      </w:pPr>
      <w:r w:rsidRPr="00C113DD">
        <w:t>The most frequent adverse reaction</w:t>
      </w:r>
      <w:r w:rsidR="00A07994">
        <w:t>s</w:t>
      </w:r>
      <w:r w:rsidRPr="00B82BE5">
        <w:rPr>
          <w:kern w:val="0"/>
          <w:szCs w:val="20"/>
        </w:rPr>
        <w:t xml:space="preserve"> in clinical trials </w:t>
      </w:r>
      <w:r w:rsidR="00A07994">
        <w:rPr>
          <w:kern w:val="0"/>
          <w:szCs w:val="20"/>
        </w:rPr>
        <w:t xml:space="preserve">are </w:t>
      </w:r>
      <w:r w:rsidRPr="00B82BE5">
        <w:rPr>
          <w:kern w:val="0"/>
          <w:szCs w:val="20"/>
        </w:rPr>
        <w:t>headache</w:t>
      </w:r>
      <w:r w:rsidR="00F4024A" w:rsidRPr="00F4024A">
        <w:rPr>
          <w:kern w:val="0"/>
          <w:szCs w:val="20"/>
        </w:rPr>
        <w:t xml:space="preserve"> </w:t>
      </w:r>
      <w:r w:rsidR="00F4024A">
        <w:rPr>
          <w:kern w:val="0"/>
          <w:szCs w:val="20"/>
        </w:rPr>
        <w:t>and</w:t>
      </w:r>
      <w:r w:rsidR="00F4024A" w:rsidRPr="00B82BE5">
        <w:rPr>
          <w:kern w:val="0"/>
          <w:szCs w:val="20"/>
        </w:rPr>
        <w:t xml:space="preserve"> </w:t>
      </w:r>
      <w:r w:rsidR="00F4024A">
        <w:rPr>
          <w:kern w:val="0"/>
          <w:szCs w:val="20"/>
        </w:rPr>
        <w:t>injection site reactions</w:t>
      </w:r>
      <w:r w:rsidRPr="00B82BE5">
        <w:rPr>
          <w:kern w:val="0"/>
          <w:szCs w:val="20"/>
        </w:rPr>
        <w:t>. The frequenc</w:t>
      </w:r>
      <w:r w:rsidR="006C573E">
        <w:rPr>
          <w:kern w:val="0"/>
          <w:szCs w:val="20"/>
        </w:rPr>
        <w:t>y</w:t>
      </w:r>
      <w:r w:rsidRPr="00B82BE5">
        <w:rPr>
          <w:kern w:val="0"/>
          <w:szCs w:val="20"/>
        </w:rPr>
        <w:t xml:space="preserve"> of </w:t>
      </w:r>
      <w:r w:rsidR="006C573E" w:rsidRPr="00B82BE5">
        <w:rPr>
          <w:kern w:val="0"/>
          <w:szCs w:val="20"/>
        </w:rPr>
        <w:t>th</w:t>
      </w:r>
      <w:r w:rsidR="00A07994">
        <w:rPr>
          <w:kern w:val="0"/>
          <w:szCs w:val="20"/>
        </w:rPr>
        <w:t>ese</w:t>
      </w:r>
      <w:r w:rsidR="006C573E" w:rsidRPr="00B82BE5">
        <w:rPr>
          <w:kern w:val="0"/>
          <w:szCs w:val="20"/>
        </w:rPr>
        <w:t xml:space="preserve"> </w:t>
      </w:r>
      <w:r w:rsidRPr="00B82BE5">
        <w:rPr>
          <w:kern w:val="0"/>
          <w:szCs w:val="20"/>
        </w:rPr>
        <w:t>event</w:t>
      </w:r>
      <w:r w:rsidR="00A07994">
        <w:rPr>
          <w:kern w:val="0"/>
          <w:szCs w:val="20"/>
        </w:rPr>
        <w:t>s</w:t>
      </w:r>
      <w:r w:rsidRPr="00B82BE5">
        <w:rPr>
          <w:kern w:val="0"/>
          <w:szCs w:val="20"/>
        </w:rPr>
        <w:t xml:space="preserve"> </w:t>
      </w:r>
      <w:r w:rsidR="00A07994">
        <w:rPr>
          <w:kern w:val="0"/>
          <w:szCs w:val="20"/>
        </w:rPr>
        <w:t xml:space="preserve">are </w:t>
      </w:r>
      <w:r w:rsidRPr="00B82BE5">
        <w:rPr>
          <w:kern w:val="0"/>
          <w:szCs w:val="20"/>
        </w:rPr>
        <w:t xml:space="preserve">in the </w:t>
      </w:r>
      <w:r w:rsidR="006C573E">
        <w:rPr>
          <w:kern w:val="0"/>
          <w:szCs w:val="20"/>
        </w:rPr>
        <w:t>common</w:t>
      </w:r>
      <w:r w:rsidR="006C573E" w:rsidRPr="00B82BE5">
        <w:rPr>
          <w:kern w:val="0"/>
          <w:szCs w:val="20"/>
        </w:rPr>
        <w:t xml:space="preserve"> </w:t>
      </w:r>
      <w:r w:rsidRPr="00B82BE5">
        <w:rPr>
          <w:kern w:val="0"/>
          <w:szCs w:val="20"/>
        </w:rPr>
        <w:t xml:space="preserve">category. </w:t>
      </w:r>
      <w:r w:rsidR="00F40998" w:rsidRPr="00BF22EC" w:rsidDel="0058073D">
        <w:t>The adverse reactions, the frequency of which is estimated on a per-</w:t>
      </w:r>
      <w:r w:rsidR="00090DC6">
        <w:t>patient</w:t>
      </w:r>
      <w:r w:rsidR="00090DC6" w:rsidRPr="00BF22EC" w:rsidDel="0058073D">
        <w:t xml:space="preserve"> </w:t>
      </w:r>
      <w:r w:rsidR="00F40998" w:rsidRPr="00BF22EC" w:rsidDel="0058073D">
        <w:t>basis, by system organ class (SOC, and preferred term level) and frequency of occurrence</w:t>
      </w:r>
      <w:r w:rsidR="00B82BE5">
        <w:t>,</w:t>
      </w:r>
      <w:r w:rsidR="00C26C99" w:rsidRPr="00BF22EC" w:rsidDel="0058073D">
        <w:t xml:space="preserve"> are presented </w:t>
      </w:r>
      <w:r w:rsidR="00C26C99" w:rsidRPr="00BF22EC" w:rsidDel="0058073D">
        <w:rPr>
          <w:lang w:val="en-AU"/>
        </w:rPr>
        <w:t xml:space="preserve">in </w:t>
      </w:r>
      <w:r w:rsidR="00C26C99" w:rsidRPr="00BF22EC" w:rsidDel="0058073D">
        <w:rPr>
          <w:b/>
          <w:lang w:val="en-AU"/>
        </w:rPr>
        <w:t>Table </w:t>
      </w:r>
      <w:r w:rsidR="001F37DA">
        <w:rPr>
          <w:b/>
          <w:lang w:val="en-AU"/>
        </w:rPr>
        <w:t>9</w:t>
      </w:r>
      <w:r w:rsidR="00F40998" w:rsidRPr="00BF22EC" w:rsidDel="0058073D">
        <w:t>.</w:t>
      </w:r>
    </w:p>
    <w:p w:rsidR="00F40998" w:rsidRPr="00F40998" w:rsidRDefault="00F40998" w:rsidP="008640B7">
      <w:pPr>
        <w:pStyle w:val="Caption"/>
        <w:ind w:left="0" w:firstLine="0"/>
      </w:pPr>
      <w:r w:rsidRPr="00F40998">
        <w:t>Table</w:t>
      </w:r>
      <w:r w:rsidR="007E4F53" w:rsidRPr="00BF22EC" w:rsidDel="0058073D">
        <w:rPr>
          <w:b w:val="0"/>
          <w:szCs w:val="24"/>
          <w:lang w:val="en-AU"/>
        </w:rPr>
        <w:t> </w:t>
      </w:r>
      <w:r w:rsidR="001F37DA">
        <w:t>9</w:t>
      </w:r>
      <w:r w:rsidRPr="00F40998">
        <w:t>: Frequency of adverse reactions</w:t>
      </w:r>
      <w:r w:rsidR="000417CF">
        <w:t xml:space="preserve"> observed in clinical </w:t>
      </w:r>
      <w:r w:rsidR="00A32314">
        <w:t>studies</w:t>
      </w:r>
    </w:p>
    <w:tbl>
      <w:tblPr>
        <w:tblW w:w="48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977"/>
        <w:gridCol w:w="2978"/>
      </w:tblGrid>
      <w:tr w:rsidR="0058073D" w:rsidRPr="005409DF" w:rsidTr="00986EDE">
        <w:trPr>
          <w:trHeight w:val="631"/>
        </w:trPr>
        <w:tc>
          <w:tcPr>
            <w:tcW w:w="1666" w:type="pct"/>
            <w:shd w:val="pct15" w:color="auto" w:fill="auto"/>
          </w:tcPr>
          <w:p w:rsidR="0058073D" w:rsidRPr="005409DF" w:rsidRDefault="0058073D" w:rsidP="005409DF">
            <w:pPr>
              <w:pStyle w:val="TableCellHeading10pt"/>
              <w:keepLines/>
              <w:spacing w:line="240" w:lineRule="exact"/>
              <w:jc w:val="left"/>
              <w:rPr>
                <w:szCs w:val="20"/>
              </w:rPr>
            </w:pPr>
            <w:r w:rsidRPr="005409DF">
              <w:rPr>
                <w:szCs w:val="20"/>
              </w:rPr>
              <w:t>MedDRA Standard System Organ Class</w:t>
            </w:r>
          </w:p>
        </w:tc>
        <w:tc>
          <w:tcPr>
            <w:tcW w:w="1666" w:type="pct"/>
            <w:shd w:val="pct15" w:color="auto" w:fill="auto"/>
          </w:tcPr>
          <w:p w:rsidR="0058073D" w:rsidRPr="005409DF" w:rsidRDefault="00BF22EC" w:rsidP="00237C8B">
            <w:pPr>
              <w:pStyle w:val="TableCellHeading10pt"/>
              <w:keepLines/>
              <w:spacing w:line="240" w:lineRule="exact"/>
              <w:rPr>
                <w:szCs w:val="20"/>
              </w:rPr>
            </w:pPr>
            <w:r>
              <w:rPr>
                <w:szCs w:val="20"/>
              </w:rPr>
              <w:t>Adverse reactions</w:t>
            </w:r>
          </w:p>
        </w:tc>
        <w:tc>
          <w:tcPr>
            <w:tcW w:w="1667" w:type="pct"/>
            <w:shd w:val="pct15" w:color="auto" w:fill="auto"/>
          </w:tcPr>
          <w:p w:rsidR="0058073D" w:rsidRPr="005409DF" w:rsidRDefault="0058073D" w:rsidP="00237C8B">
            <w:pPr>
              <w:pStyle w:val="TableCellHeading10pt"/>
              <w:keepLines/>
              <w:spacing w:line="240" w:lineRule="exact"/>
              <w:rPr>
                <w:szCs w:val="20"/>
              </w:rPr>
            </w:pPr>
            <w:r w:rsidRPr="005409DF">
              <w:rPr>
                <w:szCs w:val="20"/>
              </w:rPr>
              <w:t>Frequency</w:t>
            </w:r>
            <w:r w:rsidR="0046066B" w:rsidRPr="0046066B">
              <w:rPr>
                <w:szCs w:val="20"/>
                <w:vertAlign w:val="superscript"/>
              </w:rPr>
              <w:t>α</w:t>
            </w:r>
          </w:p>
        </w:tc>
      </w:tr>
      <w:tr w:rsidR="00A07994" w:rsidRPr="005409DF" w:rsidTr="00986EDE">
        <w:trPr>
          <w:trHeight w:val="631"/>
        </w:trPr>
        <w:tc>
          <w:tcPr>
            <w:tcW w:w="1666" w:type="pct"/>
          </w:tcPr>
          <w:p w:rsidR="00A07994" w:rsidRPr="005409DF" w:rsidRDefault="00A07994" w:rsidP="00C26C99">
            <w:pPr>
              <w:keepNext/>
              <w:spacing w:before="40" w:after="40" w:line="240" w:lineRule="exact"/>
              <w:rPr>
                <w:kern w:val="0"/>
                <w:sz w:val="20"/>
                <w:szCs w:val="20"/>
                <w:lang w:val="en-AU"/>
              </w:rPr>
            </w:pPr>
            <w:r>
              <w:rPr>
                <w:kern w:val="0"/>
                <w:sz w:val="20"/>
                <w:szCs w:val="20"/>
                <w:lang w:val="en-AU"/>
              </w:rPr>
              <w:t>General disorders and administration site conditions</w:t>
            </w:r>
          </w:p>
        </w:tc>
        <w:tc>
          <w:tcPr>
            <w:tcW w:w="1666" w:type="pct"/>
          </w:tcPr>
          <w:p w:rsidR="00A07994" w:rsidRDefault="00A07994" w:rsidP="00237C8B">
            <w:pPr>
              <w:spacing w:before="40" w:after="40" w:line="240" w:lineRule="exact"/>
              <w:jc w:val="center"/>
              <w:rPr>
                <w:kern w:val="0"/>
                <w:sz w:val="20"/>
                <w:szCs w:val="20"/>
                <w:lang w:val="en-AU"/>
              </w:rPr>
            </w:pPr>
            <w:r>
              <w:rPr>
                <w:kern w:val="0"/>
                <w:sz w:val="20"/>
                <w:szCs w:val="20"/>
                <w:lang w:val="en-AU"/>
              </w:rPr>
              <w:t>Injection site reactions</w:t>
            </w:r>
          </w:p>
        </w:tc>
        <w:tc>
          <w:tcPr>
            <w:tcW w:w="1667" w:type="pct"/>
          </w:tcPr>
          <w:p w:rsidR="00A07994" w:rsidRDefault="00A07994" w:rsidP="00237C8B">
            <w:pPr>
              <w:tabs>
                <w:tab w:val="left" w:pos="1166"/>
              </w:tabs>
              <w:spacing w:before="40" w:after="40" w:line="240" w:lineRule="exact"/>
              <w:jc w:val="center"/>
              <w:rPr>
                <w:kern w:val="0"/>
                <w:sz w:val="20"/>
                <w:szCs w:val="20"/>
                <w:lang w:val="en-AU"/>
              </w:rPr>
            </w:pPr>
            <w:r>
              <w:rPr>
                <w:kern w:val="0"/>
                <w:sz w:val="20"/>
                <w:szCs w:val="20"/>
                <w:lang w:val="en-AU"/>
              </w:rPr>
              <w:t>Common</w:t>
            </w:r>
          </w:p>
        </w:tc>
      </w:tr>
      <w:tr w:rsidR="006D60C4" w:rsidRPr="005409DF" w:rsidTr="00986EDE">
        <w:trPr>
          <w:trHeight w:val="631"/>
        </w:trPr>
        <w:tc>
          <w:tcPr>
            <w:tcW w:w="1666" w:type="pct"/>
          </w:tcPr>
          <w:p w:rsidR="006D60C4" w:rsidRPr="005409DF" w:rsidRDefault="006D60C4" w:rsidP="00C26C99">
            <w:pPr>
              <w:keepNext/>
              <w:spacing w:before="40" w:after="40" w:line="240" w:lineRule="exact"/>
              <w:rPr>
                <w:kern w:val="0"/>
                <w:sz w:val="20"/>
                <w:szCs w:val="20"/>
                <w:lang w:val="en-AU"/>
              </w:rPr>
            </w:pPr>
            <w:r w:rsidRPr="005409DF">
              <w:rPr>
                <w:kern w:val="0"/>
                <w:sz w:val="20"/>
                <w:szCs w:val="20"/>
                <w:lang w:val="en-AU"/>
              </w:rPr>
              <w:t>Immune system disorders</w:t>
            </w:r>
          </w:p>
        </w:tc>
        <w:tc>
          <w:tcPr>
            <w:tcW w:w="1666" w:type="pct"/>
          </w:tcPr>
          <w:p w:rsidR="006D60C4" w:rsidRPr="005409DF" w:rsidRDefault="00F8153D" w:rsidP="00237C8B">
            <w:pPr>
              <w:spacing w:before="40" w:after="40" w:line="240" w:lineRule="exact"/>
              <w:jc w:val="center"/>
              <w:rPr>
                <w:kern w:val="0"/>
                <w:sz w:val="20"/>
                <w:szCs w:val="20"/>
                <w:lang w:val="en-AU"/>
              </w:rPr>
            </w:pPr>
            <w:r>
              <w:rPr>
                <w:kern w:val="0"/>
                <w:sz w:val="20"/>
                <w:szCs w:val="20"/>
                <w:lang w:val="en-AU"/>
              </w:rPr>
              <w:t>Hypersensitivity</w:t>
            </w:r>
          </w:p>
        </w:tc>
        <w:tc>
          <w:tcPr>
            <w:tcW w:w="1667" w:type="pct"/>
          </w:tcPr>
          <w:p w:rsidR="006D60C4" w:rsidRPr="005409DF" w:rsidRDefault="00F8153D" w:rsidP="00237C8B">
            <w:pPr>
              <w:tabs>
                <w:tab w:val="left" w:pos="1166"/>
              </w:tabs>
              <w:spacing w:before="40" w:after="40" w:line="240" w:lineRule="exact"/>
              <w:jc w:val="center"/>
              <w:rPr>
                <w:color w:val="000000" w:themeColor="text1"/>
                <w:kern w:val="0"/>
                <w:sz w:val="20"/>
                <w:szCs w:val="20"/>
                <w:lang w:val="en-AU"/>
              </w:rPr>
            </w:pPr>
            <w:r>
              <w:rPr>
                <w:kern w:val="0"/>
                <w:sz w:val="20"/>
                <w:szCs w:val="20"/>
                <w:lang w:val="en-AU"/>
              </w:rPr>
              <w:t>Uncommon</w:t>
            </w:r>
          </w:p>
        </w:tc>
      </w:tr>
      <w:tr w:rsidR="006D60C4" w:rsidRPr="005409DF" w:rsidTr="00986EDE">
        <w:trPr>
          <w:trHeight w:val="631"/>
        </w:trPr>
        <w:tc>
          <w:tcPr>
            <w:tcW w:w="1666" w:type="pct"/>
          </w:tcPr>
          <w:p w:rsidR="006D60C4" w:rsidRPr="005409DF" w:rsidRDefault="006D60C4" w:rsidP="00C26C99">
            <w:pPr>
              <w:keepNext/>
              <w:spacing w:before="40" w:after="40" w:line="240" w:lineRule="exact"/>
              <w:rPr>
                <w:kern w:val="0"/>
                <w:sz w:val="20"/>
                <w:szCs w:val="20"/>
                <w:lang w:val="en-AU"/>
              </w:rPr>
            </w:pPr>
            <w:r w:rsidRPr="005409DF">
              <w:rPr>
                <w:kern w:val="0"/>
                <w:sz w:val="20"/>
                <w:szCs w:val="20"/>
                <w:lang w:val="en-AU"/>
              </w:rPr>
              <w:t>Nervous system disorders</w:t>
            </w:r>
          </w:p>
        </w:tc>
        <w:tc>
          <w:tcPr>
            <w:tcW w:w="1666" w:type="pct"/>
          </w:tcPr>
          <w:p w:rsidR="006D60C4" w:rsidRPr="005409DF" w:rsidRDefault="006D60C4" w:rsidP="00237C8B">
            <w:pPr>
              <w:spacing w:before="40" w:after="40" w:line="240" w:lineRule="exact"/>
              <w:jc w:val="center"/>
              <w:rPr>
                <w:kern w:val="0"/>
                <w:sz w:val="20"/>
                <w:szCs w:val="20"/>
                <w:lang w:val="en-AU"/>
              </w:rPr>
            </w:pPr>
            <w:r w:rsidRPr="005409DF">
              <w:rPr>
                <w:kern w:val="0"/>
                <w:sz w:val="20"/>
                <w:szCs w:val="20"/>
                <w:lang w:val="en-AU"/>
              </w:rPr>
              <w:t>Headache</w:t>
            </w:r>
          </w:p>
          <w:p w:rsidR="006D60C4" w:rsidRPr="005409DF" w:rsidRDefault="006D60C4" w:rsidP="00237C8B">
            <w:pPr>
              <w:spacing w:before="40" w:after="40" w:line="240" w:lineRule="exact"/>
              <w:jc w:val="center"/>
              <w:rPr>
                <w:kern w:val="0"/>
                <w:sz w:val="20"/>
                <w:szCs w:val="20"/>
                <w:lang w:val="en-AU"/>
              </w:rPr>
            </w:pPr>
            <w:r w:rsidRPr="005409DF">
              <w:rPr>
                <w:kern w:val="0"/>
                <w:sz w:val="20"/>
                <w:szCs w:val="20"/>
                <w:lang w:val="en-AU"/>
              </w:rPr>
              <w:t>Dizziness</w:t>
            </w:r>
          </w:p>
        </w:tc>
        <w:tc>
          <w:tcPr>
            <w:tcW w:w="1667" w:type="pct"/>
          </w:tcPr>
          <w:p w:rsidR="000C070F" w:rsidRDefault="00243CCA" w:rsidP="00237C8B">
            <w:pPr>
              <w:tabs>
                <w:tab w:val="left" w:pos="1166"/>
              </w:tabs>
              <w:spacing w:before="40" w:after="40" w:line="240" w:lineRule="exact"/>
              <w:jc w:val="center"/>
              <w:rPr>
                <w:kern w:val="0"/>
                <w:sz w:val="20"/>
                <w:szCs w:val="20"/>
                <w:lang w:val="en-AU"/>
              </w:rPr>
            </w:pPr>
            <w:r>
              <w:rPr>
                <w:kern w:val="0"/>
                <w:sz w:val="20"/>
                <w:szCs w:val="20"/>
                <w:lang w:val="en-AU"/>
              </w:rPr>
              <w:t>Common</w:t>
            </w:r>
          </w:p>
          <w:p w:rsidR="006D60C4" w:rsidRPr="005409DF" w:rsidRDefault="00243CCA" w:rsidP="00237C8B">
            <w:pPr>
              <w:tabs>
                <w:tab w:val="left" w:pos="1166"/>
              </w:tabs>
              <w:spacing w:before="40" w:after="40" w:line="240" w:lineRule="exact"/>
              <w:jc w:val="center"/>
              <w:rPr>
                <w:color w:val="000000" w:themeColor="text1"/>
                <w:kern w:val="0"/>
                <w:sz w:val="20"/>
                <w:szCs w:val="20"/>
                <w:lang w:val="en-AU"/>
              </w:rPr>
            </w:pPr>
            <w:r>
              <w:rPr>
                <w:kern w:val="0"/>
                <w:sz w:val="20"/>
                <w:szCs w:val="20"/>
                <w:lang w:val="en-AU"/>
              </w:rPr>
              <w:t>Uncommon</w:t>
            </w:r>
          </w:p>
        </w:tc>
      </w:tr>
      <w:tr w:rsidR="006D60C4" w:rsidRPr="005409DF" w:rsidTr="00986EDE">
        <w:trPr>
          <w:trHeight w:val="631"/>
        </w:trPr>
        <w:tc>
          <w:tcPr>
            <w:tcW w:w="1666" w:type="pct"/>
          </w:tcPr>
          <w:p w:rsidR="006D60C4" w:rsidRPr="005409DF" w:rsidRDefault="006D60C4" w:rsidP="00C26C99">
            <w:pPr>
              <w:keepNext/>
              <w:spacing w:before="40" w:after="40" w:line="240" w:lineRule="exact"/>
              <w:rPr>
                <w:kern w:val="0"/>
                <w:sz w:val="20"/>
                <w:szCs w:val="20"/>
                <w:lang w:val="en-AU"/>
              </w:rPr>
            </w:pPr>
            <w:r w:rsidRPr="005409DF">
              <w:rPr>
                <w:kern w:val="0"/>
                <w:sz w:val="20"/>
                <w:szCs w:val="20"/>
                <w:lang w:val="en-AU"/>
              </w:rPr>
              <w:t>Skin and subcutaneous tissue disorders</w:t>
            </w:r>
          </w:p>
        </w:tc>
        <w:tc>
          <w:tcPr>
            <w:tcW w:w="1666" w:type="pct"/>
          </w:tcPr>
          <w:p w:rsidR="006D60C4" w:rsidRDefault="006D60C4" w:rsidP="00237C8B">
            <w:pPr>
              <w:spacing w:before="40" w:after="40" w:line="240" w:lineRule="exact"/>
              <w:jc w:val="center"/>
              <w:rPr>
                <w:kern w:val="0"/>
                <w:sz w:val="20"/>
                <w:szCs w:val="20"/>
                <w:lang w:val="en-AU"/>
              </w:rPr>
            </w:pPr>
            <w:r w:rsidRPr="005409DF">
              <w:rPr>
                <w:kern w:val="0"/>
                <w:sz w:val="20"/>
                <w:szCs w:val="20"/>
                <w:lang w:val="en-AU"/>
              </w:rPr>
              <w:t>Rash</w:t>
            </w:r>
          </w:p>
          <w:p w:rsidR="00B377A4" w:rsidRPr="005409DF" w:rsidRDefault="00B377A4" w:rsidP="00237C8B">
            <w:pPr>
              <w:spacing w:before="40" w:after="40" w:line="240" w:lineRule="exact"/>
              <w:jc w:val="center"/>
              <w:rPr>
                <w:kern w:val="0"/>
                <w:sz w:val="20"/>
                <w:szCs w:val="20"/>
                <w:lang w:val="en-AU"/>
              </w:rPr>
            </w:pPr>
            <w:r>
              <w:rPr>
                <w:kern w:val="0"/>
                <w:sz w:val="20"/>
                <w:szCs w:val="20"/>
                <w:lang w:val="en-AU"/>
              </w:rPr>
              <w:t>Eczema</w:t>
            </w:r>
          </w:p>
        </w:tc>
        <w:tc>
          <w:tcPr>
            <w:tcW w:w="1667" w:type="pct"/>
          </w:tcPr>
          <w:p w:rsidR="006D60C4" w:rsidRDefault="006D60C4" w:rsidP="00237C8B">
            <w:pPr>
              <w:tabs>
                <w:tab w:val="left" w:pos="1166"/>
              </w:tabs>
              <w:spacing w:before="40" w:after="40" w:line="240" w:lineRule="exact"/>
              <w:jc w:val="center"/>
            </w:pPr>
            <w:r w:rsidRPr="005409DF">
              <w:rPr>
                <w:kern w:val="0"/>
                <w:sz w:val="20"/>
                <w:szCs w:val="20"/>
                <w:lang w:val="en-AU"/>
              </w:rPr>
              <w:t>Uncommon</w:t>
            </w:r>
          </w:p>
          <w:p w:rsidR="00B377A4" w:rsidRPr="00B377A4" w:rsidRDefault="00B377A4" w:rsidP="00237C8B">
            <w:pPr>
              <w:tabs>
                <w:tab w:val="left" w:pos="1166"/>
              </w:tabs>
              <w:spacing w:before="40" w:after="40" w:line="240" w:lineRule="exact"/>
              <w:jc w:val="center"/>
              <w:rPr>
                <w:color w:val="000000" w:themeColor="text1"/>
                <w:kern w:val="0"/>
                <w:sz w:val="20"/>
                <w:szCs w:val="20"/>
                <w:lang w:val="en-AU"/>
              </w:rPr>
            </w:pPr>
            <w:r w:rsidRPr="00B377A4">
              <w:rPr>
                <w:sz w:val="20"/>
                <w:szCs w:val="20"/>
              </w:rPr>
              <w:t>Uncommon</w:t>
            </w:r>
          </w:p>
        </w:tc>
      </w:tr>
    </w:tbl>
    <w:p w:rsidR="0046066B" w:rsidRPr="006159FB" w:rsidRDefault="0046066B" w:rsidP="0046066B">
      <w:pPr>
        <w:pStyle w:val="TableFootnote"/>
        <w:keepNext w:val="0"/>
        <w:ind w:left="0" w:right="-45" w:firstLine="0"/>
      </w:pPr>
      <w:r w:rsidRPr="0046066B">
        <w:rPr>
          <w:vertAlign w:val="superscript"/>
        </w:rPr>
        <w:t>α</w:t>
      </w:r>
      <w:r w:rsidR="00AC2A13">
        <w:t xml:space="preserve"> </w:t>
      </w:r>
      <w:r w:rsidRPr="008467D4">
        <w:t>Frequencies have been evaluated on a per</w:t>
      </w:r>
      <w:r w:rsidR="00090DC6">
        <w:t>-patient</w:t>
      </w:r>
      <w:r w:rsidR="00090DC6" w:rsidRPr="008467D4">
        <w:t xml:space="preserve"> </w:t>
      </w:r>
      <w:r w:rsidRPr="008467D4">
        <w:t>basis according to the following</w:t>
      </w:r>
      <w:r>
        <w:t xml:space="preserve"> </w:t>
      </w:r>
      <w:r w:rsidRPr="008467D4">
        <w:t>convention:</w:t>
      </w:r>
    </w:p>
    <w:p w:rsidR="0046066B" w:rsidRPr="008467D4" w:rsidRDefault="0046066B" w:rsidP="0046066B">
      <w:pPr>
        <w:pStyle w:val="TableFootnote"/>
        <w:keepNext w:val="0"/>
        <w:spacing w:before="0"/>
        <w:ind w:left="0" w:right="-45" w:firstLine="0"/>
      </w:pPr>
      <w:r w:rsidRPr="008467D4">
        <w:t>very common:</w:t>
      </w:r>
      <w:r w:rsidRPr="008467D4">
        <w:tab/>
        <w:t>≥1/10</w:t>
      </w:r>
    </w:p>
    <w:p w:rsidR="0046066B" w:rsidRPr="008467D4" w:rsidRDefault="0046066B" w:rsidP="0046066B">
      <w:pPr>
        <w:pStyle w:val="TableFootnote"/>
        <w:keepNext w:val="0"/>
        <w:spacing w:before="0"/>
        <w:ind w:left="0" w:right="-45" w:firstLine="0"/>
      </w:pPr>
      <w:r w:rsidRPr="008467D4">
        <w:t>common:</w:t>
      </w:r>
      <w:r w:rsidRPr="008467D4">
        <w:tab/>
        <w:t>≥1/100 and &lt;1/10</w:t>
      </w:r>
    </w:p>
    <w:p w:rsidR="0046066B" w:rsidRPr="008467D4" w:rsidRDefault="0046066B" w:rsidP="0046066B">
      <w:pPr>
        <w:pStyle w:val="TableFootnote"/>
        <w:keepNext w:val="0"/>
        <w:spacing w:before="0"/>
        <w:ind w:left="0" w:right="-45" w:firstLine="0"/>
      </w:pPr>
      <w:r w:rsidRPr="008467D4">
        <w:t>uncommon:</w:t>
      </w:r>
      <w:r w:rsidRPr="008467D4">
        <w:tab/>
        <w:t>≥1/1,000 and &lt;1/100</w:t>
      </w:r>
    </w:p>
    <w:p w:rsidR="0046066B" w:rsidRPr="008467D4" w:rsidRDefault="0046066B" w:rsidP="0046066B">
      <w:pPr>
        <w:pStyle w:val="TableFootnote"/>
        <w:keepNext w:val="0"/>
        <w:spacing w:before="0"/>
        <w:ind w:left="0" w:right="-45" w:firstLine="0"/>
      </w:pPr>
      <w:r w:rsidRPr="008467D4">
        <w:t>rare:</w:t>
      </w:r>
      <w:r w:rsidRPr="008467D4">
        <w:tab/>
      </w:r>
      <w:r w:rsidRPr="008467D4">
        <w:tab/>
        <w:t>≥1/10,000 and &lt;1/1,000</w:t>
      </w:r>
    </w:p>
    <w:p w:rsidR="0046066B" w:rsidRPr="008467D4" w:rsidRDefault="0046066B" w:rsidP="0046066B">
      <w:pPr>
        <w:pStyle w:val="TableFootnote"/>
        <w:keepNext w:val="0"/>
        <w:spacing w:before="0"/>
        <w:ind w:left="0" w:right="-45" w:firstLine="0"/>
      </w:pPr>
      <w:r w:rsidRPr="008467D4">
        <w:t>very rare:</w:t>
      </w:r>
      <w:r w:rsidRPr="008467D4">
        <w:tab/>
        <w:t>&lt;1/10,000</w:t>
      </w:r>
    </w:p>
    <w:p w:rsidR="00090F51" w:rsidRPr="00090F51" w:rsidRDefault="0046066B" w:rsidP="008E0E26">
      <w:pPr>
        <w:pStyle w:val="DocumentText"/>
        <w:rPr>
          <w:kern w:val="20"/>
          <w:sz w:val="20"/>
          <w:szCs w:val="20"/>
        </w:rPr>
      </w:pPr>
      <w:r w:rsidRPr="00090F51">
        <w:rPr>
          <w:kern w:val="20"/>
          <w:sz w:val="20"/>
          <w:szCs w:val="20"/>
        </w:rPr>
        <w:t>not known (cannot be estimated from the available data).</w:t>
      </w:r>
    </w:p>
    <w:p w:rsidR="00250521" w:rsidRDefault="008E0E26" w:rsidP="008E0E26">
      <w:pPr>
        <w:pStyle w:val="DocumentText"/>
      </w:pPr>
      <w:r w:rsidRPr="00BF22EC">
        <w:t>No neutralising antibodies (inhibitors)</w:t>
      </w:r>
      <w:r w:rsidR="00672014" w:rsidRPr="00BF22EC">
        <w:t xml:space="preserve"> </w:t>
      </w:r>
      <w:r w:rsidR="00D62A72" w:rsidRPr="00BF22EC">
        <w:t xml:space="preserve">(see </w:t>
      </w:r>
      <w:r w:rsidR="00633C82" w:rsidRPr="00BF22EC">
        <w:rPr>
          <w:b/>
        </w:rPr>
        <w:t>PRECAUTIONS</w:t>
      </w:r>
      <w:r w:rsidR="00250521" w:rsidRPr="00BF22EC">
        <w:t>)</w:t>
      </w:r>
      <w:r w:rsidR="005A1300" w:rsidRPr="00BF22EC">
        <w:t xml:space="preserve">, </w:t>
      </w:r>
      <w:r w:rsidR="00250521" w:rsidRPr="00BF22EC">
        <w:t xml:space="preserve">or </w:t>
      </w:r>
      <w:r w:rsidR="00672014" w:rsidRPr="00BF22EC">
        <w:t xml:space="preserve">antibodies to </w:t>
      </w:r>
      <w:r w:rsidR="001335BB">
        <w:t>hamster</w:t>
      </w:r>
      <w:r w:rsidR="00672014" w:rsidRPr="00BF22EC">
        <w:t xml:space="preserve"> proteins</w:t>
      </w:r>
      <w:r w:rsidR="00250521" w:rsidRPr="00BF22EC">
        <w:t xml:space="preserve"> </w:t>
      </w:r>
      <w:r w:rsidR="00461212" w:rsidRPr="00BF22EC">
        <w:t>have</w:t>
      </w:r>
      <w:r w:rsidR="00250521" w:rsidRPr="00BF22EC">
        <w:t xml:space="preserve"> been detected in </w:t>
      </w:r>
      <w:r w:rsidR="00F61C02">
        <w:t xml:space="preserve">107 PTPs in the </w:t>
      </w:r>
      <w:r w:rsidR="00250521" w:rsidRPr="00BF22EC">
        <w:t xml:space="preserve">clinical studies with </w:t>
      </w:r>
      <w:r w:rsidR="009D6286">
        <w:t>IDELVION</w:t>
      </w:r>
      <w:r w:rsidR="00250521" w:rsidRPr="00BF22EC">
        <w:rPr>
          <w:vertAlign w:val="superscript"/>
        </w:rPr>
        <w:t>®</w:t>
      </w:r>
      <w:r w:rsidR="00250521" w:rsidRPr="00BF22EC">
        <w:t>.</w:t>
      </w:r>
    </w:p>
    <w:p w:rsidR="00D07F9E" w:rsidRPr="00BF22EC" w:rsidRDefault="00D07F9E" w:rsidP="00D07F9E">
      <w:pPr>
        <w:pStyle w:val="DocumentText"/>
        <w:spacing w:before="240"/>
      </w:pPr>
      <w:r w:rsidRPr="008B0B5C">
        <w:lastRenderedPageBreak/>
        <w:t xml:space="preserve">One previously untreated patient </w:t>
      </w:r>
      <w:r>
        <w:t xml:space="preserve">(PUP) </w:t>
      </w:r>
      <w:r w:rsidRPr="008B0B5C">
        <w:t>from the ongoing clinical trial reported</w:t>
      </w:r>
      <w:r w:rsidR="00986EDE">
        <w:t xml:space="preserve"> an</w:t>
      </w:r>
      <w:r w:rsidRPr="008B0B5C">
        <w:t xml:space="preserve"> inhibitor against factor IX. There are insufficient data to provide information on inhibitor incidence in PUPs</w:t>
      </w:r>
      <w:r w:rsidR="005177EE">
        <w:t>.</w:t>
      </w:r>
    </w:p>
    <w:p w:rsidR="008E0E26" w:rsidRDefault="00250521" w:rsidP="008E0E26">
      <w:pPr>
        <w:pStyle w:val="DocumentText"/>
      </w:pPr>
      <w:r w:rsidRPr="00BF22EC">
        <w:t>N</w:t>
      </w:r>
      <w:r w:rsidR="008E0E26" w:rsidRPr="00BF22EC">
        <w:t xml:space="preserve">o thrombotic events were reported </w:t>
      </w:r>
      <w:r w:rsidR="00D62A72" w:rsidRPr="00BF22EC">
        <w:t>in</w:t>
      </w:r>
      <w:r w:rsidR="008E0E26" w:rsidRPr="00BF22EC">
        <w:t xml:space="preserve"> </w:t>
      </w:r>
      <w:r w:rsidR="00F61C02">
        <w:t xml:space="preserve">107 PTPs in the </w:t>
      </w:r>
      <w:r w:rsidR="008E0E26" w:rsidRPr="00BF22EC">
        <w:t xml:space="preserve">clinical </w:t>
      </w:r>
      <w:r w:rsidR="00D62A72" w:rsidRPr="00BF22EC">
        <w:t>studies</w:t>
      </w:r>
      <w:r w:rsidR="008E0E26" w:rsidRPr="00BF22EC">
        <w:t xml:space="preserve"> with </w:t>
      </w:r>
      <w:r w:rsidR="009D6286">
        <w:t>IDELVION</w:t>
      </w:r>
      <w:r w:rsidRPr="00BF22EC">
        <w:rPr>
          <w:vertAlign w:val="superscript"/>
        </w:rPr>
        <w:t>®</w:t>
      </w:r>
      <w:r w:rsidR="008E0E26" w:rsidRPr="00BF22EC">
        <w:t>.</w:t>
      </w:r>
    </w:p>
    <w:p w:rsidR="00DD1817" w:rsidRDefault="00DD1817" w:rsidP="008E0E26">
      <w:pPr>
        <w:pStyle w:val="DocumentText"/>
      </w:pPr>
      <w:r>
        <w:t xml:space="preserve">With the use of </w:t>
      </w:r>
      <w:r w:rsidR="00AB0441">
        <w:t>F</w:t>
      </w:r>
      <w:r>
        <w:t>IX products h</w:t>
      </w:r>
      <w:r w:rsidRPr="0046213D">
        <w:t xml:space="preserve">ypersensitivity or allergic reactions (which may include angioedema, burning and stinging at the </w:t>
      </w:r>
      <w:r>
        <w:t>injection</w:t>
      </w:r>
      <w:r w:rsidRPr="0046213D">
        <w:t xml:space="preserve"> site, chills, flushing, </w:t>
      </w:r>
      <w:r w:rsidRPr="004430D4">
        <w:t>generalised urticaria</w:t>
      </w:r>
      <w:r w:rsidRPr="0046213D">
        <w:t>, headache, hives, hypotension, lethargy, nausea, restlessness, tachycardia, tightness of the chest, tingling, vomiting, wheezing) have been observed rarely</w:t>
      </w:r>
      <w:r>
        <w:t>.</w:t>
      </w:r>
      <w:r w:rsidRPr="0046213D">
        <w:t xml:space="preserve"> In </w:t>
      </w:r>
      <w:r>
        <w:t xml:space="preserve">rare </w:t>
      </w:r>
      <w:r w:rsidRPr="0046213D">
        <w:t xml:space="preserve">cases, these reactions have progressed to anaphylaxis, and they have occurred in close temporal association with development of </w:t>
      </w:r>
      <w:r w:rsidR="00AB0441">
        <w:t>F</w:t>
      </w:r>
      <w:r w:rsidRPr="0046213D">
        <w:t xml:space="preserve">IX inhibitors. </w:t>
      </w:r>
      <w:r>
        <w:t xml:space="preserve">No </w:t>
      </w:r>
      <w:r w:rsidR="00F346B3">
        <w:t>anaphylactic</w:t>
      </w:r>
      <w:r>
        <w:t xml:space="preserve"> reactions have been observed in clinical </w:t>
      </w:r>
      <w:r w:rsidR="001335BB">
        <w:t xml:space="preserve">studies </w:t>
      </w:r>
      <w:r>
        <w:t>w</w:t>
      </w:r>
      <w:r w:rsidRPr="00596D8C">
        <w:t xml:space="preserve">ith </w:t>
      </w:r>
      <w:r>
        <w:t>10</w:t>
      </w:r>
      <w:r w:rsidRPr="00B47AE8">
        <w:t>7</w:t>
      </w:r>
      <w:r>
        <w:t> </w:t>
      </w:r>
      <w:r w:rsidRPr="00596D8C">
        <w:t>patients</w:t>
      </w:r>
      <w:r>
        <w:t xml:space="preserve"> for </w:t>
      </w:r>
      <w:r w:rsidR="009D6286">
        <w:t>IDELVION</w:t>
      </w:r>
      <w:r w:rsidRPr="00BF22EC">
        <w:rPr>
          <w:vertAlign w:val="superscript"/>
        </w:rPr>
        <w:t>®</w:t>
      </w:r>
      <w:r w:rsidRPr="00596D8C">
        <w:t>.</w:t>
      </w:r>
    </w:p>
    <w:p w:rsidR="00F40998" w:rsidRPr="0082193A" w:rsidRDefault="00F40998" w:rsidP="00BE1AC6">
      <w:pPr>
        <w:pStyle w:val="DocumentText"/>
        <w:keepNext/>
        <w:spacing w:after="120"/>
        <w:rPr>
          <w:b/>
          <w:i/>
          <w:sz w:val="28"/>
          <w:szCs w:val="28"/>
        </w:rPr>
      </w:pPr>
      <w:r w:rsidRPr="0082193A">
        <w:rPr>
          <w:b/>
          <w:i/>
          <w:sz w:val="28"/>
          <w:szCs w:val="28"/>
        </w:rPr>
        <w:t>Paediatric population</w:t>
      </w:r>
    </w:p>
    <w:p w:rsidR="00A717DA" w:rsidRDefault="00F40998" w:rsidP="00B1677F">
      <w:pPr>
        <w:pStyle w:val="DocumentText"/>
      </w:pPr>
      <w:r w:rsidRPr="0061368B">
        <w:t>Frequency, type and severity of adverse reactions in children are similar as in adults.</w:t>
      </w:r>
    </w:p>
    <w:p w:rsidR="00105A30" w:rsidRPr="00105A30" w:rsidRDefault="00105A30" w:rsidP="00105A30">
      <w:pPr>
        <w:pStyle w:val="Heading3"/>
        <w:numPr>
          <w:ilvl w:val="0"/>
          <w:numId w:val="0"/>
        </w:numPr>
        <w:ind w:left="2138" w:hanging="2138"/>
      </w:pPr>
      <w:r w:rsidRPr="00105A30">
        <w:t>Reporting of suspected adverse reactions</w:t>
      </w:r>
    </w:p>
    <w:p w:rsidR="00105A30" w:rsidRDefault="00105A30" w:rsidP="00105A30">
      <w:pPr>
        <w:pStyle w:val="DocumentText"/>
      </w:pPr>
      <w:r w:rsidRPr="0046213D">
        <w:t>Reporting suspected adverse reactions after authorisation of the medicinal product is important. It allows continued monitoring of the benefit/risk balance of the medicinal product. Healthcare professionals are asked to report a</w:t>
      </w:r>
      <w:r>
        <w:t>ny suspected adverse reactions.</w:t>
      </w:r>
    </w:p>
    <w:p w:rsidR="00137C30" w:rsidRPr="00B1677F" w:rsidRDefault="00137C30" w:rsidP="00105A30">
      <w:pPr>
        <w:pStyle w:val="Heading2"/>
        <w:numPr>
          <w:ilvl w:val="0"/>
          <w:numId w:val="0"/>
        </w:numPr>
        <w:ind w:left="1901" w:hanging="1901"/>
      </w:pPr>
      <w:r w:rsidRPr="00B1677F">
        <w:t>DOSAGE AND ADMINISTRATION</w:t>
      </w:r>
    </w:p>
    <w:p w:rsidR="00F40998" w:rsidRDefault="00F40998" w:rsidP="00F40998">
      <w:pPr>
        <w:pStyle w:val="DocumentText"/>
      </w:pPr>
      <w:r w:rsidRPr="000F3841">
        <w:t xml:space="preserve">Initiate treatment of </w:t>
      </w:r>
      <w:r w:rsidR="009D6286">
        <w:t>IDELVION</w:t>
      </w:r>
      <w:r w:rsidR="001332D9" w:rsidRPr="00151E18">
        <w:rPr>
          <w:vertAlign w:val="superscript"/>
        </w:rPr>
        <w:t>®</w:t>
      </w:r>
      <w:r w:rsidR="001332D9">
        <w:t xml:space="preserve"> </w:t>
      </w:r>
      <w:r w:rsidRPr="000F3841">
        <w:t xml:space="preserve">under the supervision of a physician experienced in </w:t>
      </w:r>
      <w:r>
        <w:t>the treatment of haemophilia</w:t>
      </w:r>
      <w:r w:rsidR="00645A47">
        <w:t> </w:t>
      </w:r>
      <w:r>
        <w:t>B.</w:t>
      </w:r>
    </w:p>
    <w:p w:rsidR="0035680E" w:rsidRPr="0035680E" w:rsidRDefault="0035680E" w:rsidP="00F40998">
      <w:pPr>
        <w:pStyle w:val="DocumentText"/>
      </w:pPr>
      <w:r>
        <w:t>It is recommended that prescribed doses of IDELVION</w:t>
      </w:r>
      <w:r w:rsidRPr="00151E18">
        <w:rPr>
          <w:vertAlign w:val="superscript"/>
        </w:rPr>
        <w:t>®</w:t>
      </w:r>
      <w:r>
        <w:t xml:space="preserve"> be expressed using ‘</w:t>
      </w:r>
      <w:r w:rsidR="00F346B3">
        <w:t>International</w:t>
      </w:r>
      <w:r>
        <w:t xml:space="preserve"> Units’ written in full.</w:t>
      </w:r>
    </w:p>
    <w:p w:rsidR="00F40998" w:rsidRPr="00F40998" w:rsidRDefault="00F40998" w:rsidP="00F40998">
      <w:pPr>
        <w:pStyle w:val="DocumentText"/>
      </w:pPr>
      <w:r w:rsidRPr="000F3841">
        <w:t>The decision for an individual patient on the use of home treatment of bleeding and prophylaxis of bleeding in patients with haemophilia</w:t>
      </w:r>
      <w:r w:rsidR="00645A47">
        <w:t> </w:t>
      </w:r>
      <w:r w:rsidRPr="000F3841">
        <w:t>B should be made by the treating physician who should ensure that appropriate training is provided and the use is reviewed at intervals</w:t>
      </w:r>
      <w:r>
        <w:t>.</w:t>
      </w:r>
    </w:p>
    <w:p w:rsidR="00137C30" w:rsidRPr="00B1677F" w:rsidRDefault="00137C30" w:rsidP="00B1677F">
      <w:pPr>
        <w:pStyle w:val="Heading3"/>
        <w:numPr>
          <w:ilvl w:val="0"/>
          <w:numId w:val="0"/>
        </w:numPr>
        <w:ind w:left="2138" w:hanging="2138"/>
      </w:pPr>
      <w:r w:rsidRPr="00B1677F">
        <w:lastRenderedPageBreak/>
        <w:t>Dosage</w:t>
      </w:r>
    </w:p>
    <w:p w:rsidR="00137C30" w:rsidRDefault="00F40998" w:rsidP="00B1677F">
      <w:pPr>
        <w:pStyle w:val="DocumentText"/>
      </w:pPr>
      <w:r w:rsidRPr="000F3841">
        <w:t xml:space="preserve">The dose and duration of the substitution therapy depend on the severity of the </w:t>
      </w:r>
      <w:r>
        <w:t>FIX</w:t>
      </w:r>
      <w:r w:rsidRPr="000F3841">
        <w:t xml:space="preserve"> deficiency, the location and extent of the bleeding and the patient’s clinical condition and response.</w:t>
      </w:r>
    </w:p>
    <w:p w:rsidR="00F40998" w:rsidRDefault="00F40998" w:rsidP="00B1677F">
      <w:pPr>
        <w:pStyle w:val="DocumentText"/>
      </w:pPr>
      <w:r w:rsidRPr="000F3841">
        <w:t xml:space="preserve">The number of units of </w:t>
      </w:r>
      <w:r>
        <w:t>FIX</w:t>
      </w:r>
      <w:r w:rsidRPr="000F3841">
        <w:t xml:space="preserve"> administered is expressed in International Units</w:t>
      </w:r>
      <w:r w:rsidR="00BE761A" w:rsidRPr="00A00251">
        <w:t> </w:t>
      </w:r>
      <w:r w:rsidRPr="000F3841">
        <w:t xml:space="preserve">(IU), which are related to the current WHO standard for </w:t>
      </w:r>
      <w:r>
        <w:t>FIX</w:t>
      </w:r>
      <w:r w:rsidRPr="000F3841">
        <w:t xml:space="preserve"> products. One</w:t>
      </w:r>
      <w:r w:rsidR="00645A47">
        <w:t> </w:t>
      </w:r>
      <w:r w:rsidRPr="000F3841">
        <w:t xml:space="preserve">IU of </w:t>
      </w:r>
      <w:r>
        <w:t>FIX</w:t>
      </w:r>
      <w:r w:rsidRPr="000F3841">
        <w:t xml:space="preserve"> activity is equivalent to that quantity of </w:t>
      </w:r>
      <w:r>
        <w:t>FIX</w:t>
      </w:r>
      <w:r w:rsidRPr="000F3841">
        <w:t xml:space="preserve"> in </w:t>
      </w:r>
      <w:r w:rsidR="00917B0C">
        <w:t>1</w:t>
      </w:r>
      <w:r w:rsidR="00645A47">
        <w:t> </w:t>
      </w:r>
      <w:r w:rsidRPr="000F3841">
        <w:t xml:space="preserve">mL of normal human plasma. </w:t>
      </w:r>
      <w:r>
        <w:t>FIX</w:t>
      </w:r>
      <w:r w:rsidRPr="000F3841">
        <w:t xml:space="preserve"> activity in plasma is expressed either as a percentage (relative to normal human plasma) or in</w:t>
      </w:r>
      <w:r w:rsidR="00BE761A" w:rsidRPr="00A00251">
        <w:t> </w:t>
      </w:r>
      <w:r>
        <w:t>IU</w:t>
      </w:r>
      <w:r w:rsidR="001335BB">
        <w:t xml:space="preserve"> </w:t>
      </w:r>
      <w:r w:rsidR="001335BB" w:rsidRPr="00E447AC">
        <w:t>(relative to an International Standard for factor IX in plasma)</w:t>
      </w:r>
      <w:r w:rsidRPr="000F3841">
        <w:t>.</w:t>
      </w:r>
    </w:p>
    <w:p w:rsidR="008F30B5" w:rsidRPr="00B349E4" w:rsidRDefault="008F30B5" w:rsidP="00F14EF7">
      <w:pPr>
        <w:pStyle w:val="DocumentText"/>
        <w:keepNext/>
        <w:spacing w:after="120"/>
        <w:rPr>
          <w:b/>
          <w:i/>
          <w:sz w:val="28"/>
          <w:szCs w:val="28"/>
        </w:rPr>
      </w:pPr>
      <w:r w:rsidRPr="00B349E4">
        <w:rPr>
          <w:b/>
          <w:i/>
          <w:sz w:val="28"/>
          <w:szCs w:val="28"/>
        </w:rPr>
        <w:t>Prophylaxis</w:t>
      </w:r>
    </w:p>
    <w:p w:rsidR="00032FD1" w:rsidRPr="00E940B6" w:rsidRDefault="00032FD1" w:rsidP="008F30B5">
      <w:pPr>
        <w:pStyle w:val="DocumentText"/>
        <w:keepNext/>
        <w:spacing w:after="120"/>
        <w:rPr>
          <w:b/>
        </w:rPr>
      </w:pPr>
      <w:r w:rsidRPr="00E940B6">
        <w:rPr>
          <w:b/>
        </w:rPr>
        <w:t>Adults and adolescents (≥12 years of age)</w:t>
      </w:r>
    </w:p>
    <w:p w:rsidR="008F30B5" w:rsidRDefault="00922685" w:rsidP="00032FD1">
      <w:pPr>
        <w:pStyle w:val="DocumentText"/>
        <w:keepNext/>
      </w:pPr>
      <w:r w:rsidRPr="000F3841">
        <w:t>For routine prophylaxis to prevent bleeding in patients</w:t>
      </w:r>
      <w:r>
        <w:t xml:space="preserve"> ≥12 years of age</w:t>
      </w:r>
      <w:r w:rsidRPr="000F3841">
        <w:t xml:space="preserve"> with haemophilia</w:t>
      </w:r>
      <w:r>
        <w:t> </w:t>
      </w:r>
      <w:r w:rsidRPr="000F3841">
        <w:t xml:space="preserve">B, the recommended </w:t>
      </w:r>
      <w:r>
        <w:t>dose regimen is:</w:t>
      </w:r>
    </w:p>
    <w:p w:rsidR="008F30B5" w:rsidRDefault="008F30B5" w:rsidP="009A12AD">
      <w:pPr>
        <w:pStyle w:val="DocumentText"/>
        <w:numPr>
          <w:ilvl w:val="0"/>
          <w:numId w:val="8"/>
        </w:numPr>
        <w:ind w:left="357" w:hanging="357"/>
        <w:jc w:val="both"/>
      </w:pPr>
      <w:r w:rsidRPr="000F3841">
        <w:t>25</w:t>
      </w:r>
      <w:r>
        <w:t>–</w:t>
      </w:r>
      <w:r w:rsidRPr="000F3841">
        <w:t>40 IU/kg once weekly</w:t>
      </w:r>
      <w:r>
        <w:t xml:space="preserve"> (every 7 days)</w:t>
      </w:r>
      <w:r w:rsidR="005A13D1">
        <w:t>.</w:t>
      </w:r>
    </w:p>
    <w:p w:rsidR="00032FD1" w:rsidRDefault="00032FD1" w:rsidP="00E940B6">
      <w:pPr>
        <w:pStyle w:val="NormalWeb"/>
        <w:keepNext/>
        <w:spacing w:before="0" w:beforeAutospacing="0" w:after="240" w:afterAutospacing="0" w:line="300" w:lineRule="auto"/>
      </w:pPr>
      <w:r>
        <w:t xml:space="preserve">Adult and adolescent patients who are well controlled on this </w:t>
      </w:r>
      <w:r w:rsidR="005A13D1">
        <w:t xml:space="preserve">once weekly </w:t>
      </w:r>
      <w:r>
        <w:t xml:space="preserve">dosing </w:t>
      </w:r>
      <w:r w:rsidR="005A13D1">
        <w:t xml:space="preserve">regimen </w:t>
      </w:r>
      <w:r w:rsidR="00FB436F">
        <w:t>may be switched to:</w:t>
      </w:r>
    </w:p>
    <w:p w:rsidR="008F30B5" w:rsidRDefault="008F30B5" w:rsidP="008F30B5">
      <w:pPr>
        <w:pStyle w:val="DocumentText"/>
        <w:numPr>
          <w:ilvl w:val="0"/>
          <w:numId w:val="8"/>
        </w:numPr>
        <w:jc w:val="both"/>
      </w:pPr>
      <w:r w:rsidRPr="000F3841">
        <w:t>50</w:t>
      </w:r>
      <w:r>
        <w:t>–75 IU/kg every 14 days.</w:t>
      </w:r>
    </w:p>
    <w:p w:rsidR="008F30B5" w:rsidRDefault="008F30B5" w:rsidP="008F30B5">
      <w:pPr>
        <w:pStyle w:val="DocumentText"/>
      </w:pPr>
      <w:r w:rsidRPr="000F3841">
        <w:t>Adjust dosing regimen based on individual patient’s clinical condition and response.</w:t>
      </w:r>
    </w:p>
    <w:p w:rsidR="00F14EF7" w:rsidRPr="00E940B6" w:rsidRDefault="00F14EF7" w:rsidP="00F14EF7">
      <w:pPr>
        <w:pStyle w:val="DocumentText"/>
        <w:keepNext/>
        <w:spacing w:after="120"/>
        <w:rPr>
          <w:b/>
        </w:rPr>
      </w:pPr>
      <w:r w:rsidRPr="00E940B6">
        <w:rPr>
          <w:b/>
        </w:rPr>
        <w:t>Paediatric</w:t>
      </w:r>
      <w:r w:rsidR="00032FD1" w:rsidRPr="00E940B6">
        <w:rPr>
          <w:b/>
        </w:rPr>
        <w:t>s (&lt;12 years of age)</w:t>
      </w:r>
    </w:p>
    <w:p w:rsidR="00F14EF7" w:rsidRDefault="00F14EF7" w:rsidP="00032FD1">
      <w:pPr>
        <w:pStyle w:val="DocumentText"/>
      </w:pPr>
      <w:r>
        <w:t>For routine prophylaxis</w:t>
      </w:r>
      <w:r w:rsidR="00032FD1">
        <w:t xml:space="preserve"> to prevent bleeding in paediatric patients with haemophilia B, </w:t>
      </w:r>
      <w:r>
        <w:t>the recommended dose regimen is</w:t>
      </w:r>
      <w:r w:rsidR="00032FD1">
        <w:t>:</w:t>
      </w:r>
    </w:p>
    <w:p w:rsidR="00032FD1" w:rsidRDefault="00032FD1" w:rsidP="00032FD1">
      <w:pPr>
        <w:pStyle w:val="DocumentText"/>
        <w:numPr>
          <w:ilvl w:val="0"/>
          <w:numId w:val="8"/>
        </w:numPr>
      </w:pPr>
      <w:r>
        <w:t>35</w:t>
      </w:r>
      <w:r w:rsidR="005A13D1">
        <w:t>–</w:t>
      </w:r>
      <w:r>
        <w:t>50 IU/kg once weekly (every 7 days).</w:t>
      </w:r>
    </w:p>
    <w:p w:rsidR="002A2E92" w:rsidRDefault="00D17259" w:rsidP="00F14EF7">
      <w:pPr>
        <w:pStyle w:val="DocumentText"/>
      </w:pPr>
      <w:r>
        <w:t>B</w:t>
      </w:r>
      <w:r w:rsidRPr="00133AF0">
        <w:t xml:space="preserve">ased </w:t>
      </w:r>
      <w:r w:rsidR="005A13D1" w:rsidRPr="00133AF0">
        <w:t xml:space="preserve">on </w:t>
      </w:r>
      <w:r>
        <w:t xml:space="preserve">the </w:t>
      </w:r>
      <w:r w:rsidR="005A13D1" w:rsidRPr="00133AF0">
        <w:t>individual patient’s c</w:t>
      </w:r>
      <w:r w:rsidR="00FB436F">
        <w:t>linical condition and response</w:t>
      </w:r>
      <w:r>
        <w:t>, it may be appropriate for the specialist treating physician to increase dose and extend dosing interval during routine clinical management</w:t>
      </w:r>
      <w:r w:rsidR="00FB436F">
        <w:t>.</w:t>
      </w:r>
    </w:p>
    <w:p w:rsidR="00E54C1C" w:rsidRDefault="005A13D1" w:rsidP="00F14EF7">
      <w:pPr>
        <w:pStyle w:val="DocumentText"/>
      </w:pPr>
      <w:r w:rsidRPr="00133AF0">
        <w:lastRenderedPageBreak/>
        <w:t>In some cases, especially in younger patients, and depending on individual patient pharmacokinetics, age, bleeding phenotype and physical activity, shorter dosage intervals or higher doses may be necessary.</w:t>
      </w:r>
    </w:p>
    <w:p w:rsidR="00F14EF7" w:rsidRPr="005A13D1" w:rsidRDefault="005A13D1" w:rsidP="00F14EF7">
      <w:pPr>
        <w:pStyle w:val="DocumentText"/>
      </w:pPr>
      <w:r>
        <w:t xml:space="preserve">Refer to </w:t>
      </w:r>
      <w:r w:rsidR="00FA72C6" w:rsidRPr="005A13D1">
        <w:rPr>
          <w:b/>
        </w:rPr>
        <w:t>Pharmacokinetics</w:t>
      </w:r>
      <w:r w:rsidR="000164F7">
        <w:rPr>
          <w:b/>
        </w:rPr>
        <w:t xml:space="preserve"> </w:t>
      </w:r>
      <w:r w:rsidR="000164F7" w:rsidRPr="000164F7">
        <w:t>and</w:t>
      </w:r>
      <w:r w:rsidR="000164F7">
        <w:rPr>
          <w:b/>
        </w:rPr>
        <w:t xml:space="preserve"> CLINICAL TRIALS</w:t>
      </w:r>
      <w:r w:rsidRPr="005A13D1">
        <w:t xml:space="preserve"> section</w:t>
      </w:r>
      <w:r w:rsidR="00800F7B">
        <w:t>s</w:t>
      </w:r>
      <w:r w:rsidRPr="005A13D1">
        <w:t xml:space="preserve"> for relevant data</w:t>
      </w:r>
      <w:r w:rsidR="00F14EF7" w:rsidRPr="005A13D1">
        <w:t>.</w:t>
      </w:r>
    </w:p>
    <w:p w:rsidR="00F40998" w:rsidRPr="00F14EF7" w:rsidRDefault="00F40998" w:rsidP="00F14EF7">
      <w:pPr>
        <w:pStyle w:val="DocumentText"/>
        <w:keepNext/>
        <w:spacing w:after="120"/>
        <w:rPr>
          <w:b/>
          <w:i/>
          <w:sz w:val="28"/>
          <w:szCs w:val="28"/>
        </w:rPr>
      </w:pPr>
      <w:r w:rsidRPr="00B349E4">
        <w:rPr>
          <w:b/>
          <w:i/>
          <w:sz w:val="28"/>
          <w:szCs w:val="28"/>
        </w:rPr>
        <w:t>On demand treatment</w:t>
      </w:r>
    </w:p>
    <w:p w:rsidR="00F40998" w:rsidRDefault="00F40998" w:rsidP="00B1677F">
      <w:pPr>
        <w:pStyle w:val="DocumentText"/>
      </w:pPr>
      <w:r w:rsidRPr="00415E32">
        <w:t xml:space="preserve">The calculation of the required dose of </w:t>
      </w:r>
      <w:r>
        <w:t>FIX</w:t>
      </w:r>
      <w:r w:rsidRPr="00415E32">
        <w:t xml:space="preserve"> is based on the empirical finding that 1 IU</w:t>
      </w:r>
      <w:r w:rsidR="00645A47">
        <w:t> </w:t>
      </w:r>
      <w:r>
        <w:t>FIX</w:t>
      </w:r>
      <w:r w:rsidR="00645A47">
        <w:t> </w:t>
      </w:r>
      <w:r w:rsidRPr="00415E32">
        <w:t>per</w:t>
      </w:r>
      <w:r w:rsidR="00645A47">
        <w:t> </w:t>
      </w:r>
      <w:r w:rsidRPr="00415E32">
        <w:t>kg</w:t>
      </w:r>
      <w:r w:rsidR="00645A47">
        <w:t> </w:t>
      </w:r>
      <w:r w:rsidRPr="00415E32">
        <w:t>body</w:t>
      </w:r>
      <w:r w:rsidR="00645A47">
        <w:t> </w:t>
      </w:r>
      <w:r w:rsidRPr="00415E32">
        <w:t xml:space="preserve">weight is expected to increase the circulating level of </w:t>
      </w:r>
      <w:r>
        <w:t>FIX by an average of 1.3 IU/dL</w:t>
      </w:r>
      <w:r w:rsidRPr="00415E32">
        <w:t xml:space="preserve"> (1.3% of normal) in patients ≥12</w:t>
      </w:r>
      <w:r w:rsidR="00645A47">
        <w:t> </w:t>
      </w:r>
      <w:r w:rsidRPr="00415E32">
        <w:t>years of age and by 1.0</w:t>
      </w:r>
      <w:r w:rsidR="00803AC9">
        <w:t> </w:t>
      </w:r>
      <w:r w:rsidRPr="00415E32">
        <w:t>IU/d</w:t>
      </w:r>
      <w:r>
        <w:t>L</w:t>
      </w:r>
      <w:r w:rsidR="00645A47">
        <w:t> </w:t>
      </w:r>
      <w:r w:rsidRPr="00415E32">
        <w:t>(1.0%</w:t>
      </w:r>
      <w:r w:rsidR="00645A47">
        <w:t> </w:t>
      </w:r>
      <w:r w:rsidRPr="00415E32">
        <w:t>of normal) in patients &lt;12</w:t>
      </w:r>
      <w:r w:rsidR="00645A47">
        <w:t> </w:t>
      </w:r>
      <w:r w:rsidRPr="00415E32">
        <w:t>years of age. The required dose is determined using the following formulae:</w:t>
      </w:r>
    </w:p>
    <w:p w:rsidR="00F40998" w:rsidRDefault="00F40998" w:rsidP="008A73D1">
      <w:pPr>
        <w:pStyle w:val="DocumentText"/>
        <w:keepNext/>
      </w:pPr>
      <w:r w:rsidRPr="00415E32">
        <w:t>Required dose</w:t>
      </w:r>
      <w:r w:rsidR="00645A47">
        <w:t> </w:t>
      </w:r>
      <w:r w:rsidRPr="00415E32">
        <w:t>(IU)</w:t>
      </w:r>
      <w:r w:rsidR="00645A47">
        <w:t> </w:t>
      </w:r>
      <w:r w:rsidRPr="00415E32">
        <w:t>=</w:t>
      </w:r>
      <w:r w:rsidR="00645A47">
        <w:t> </w:t>
      </w:r>
      <w:r w:rsidRPr="00415E32">
        <w:t>body</w:t>
      </w:r>
      <w:r w:rsidR="00645A47">
        <w:t> </w:t>
      </w:r>
      <w:r w:rsidRPr="00415E32">
        <w:t>weight</w:t>
      </w:r>
      <w:r w:rsidR="00645A47">
        <w:t> </w:t>
      </w:r>
      <w:r w:rsidRPr="00415E32">
        <w:t xml:space="preserve">(kg) x desired </w:t>
      </w:r>
      <w:r>
        <w:t>FIX</w:t>
      </w:r>
      <w:r w:rsidRPr="00415E32">
        <w:t xml:space="preserve"> </w:t>
      </w:r>
      <w:r w:rsidR="002D59FD">
        <w:t>increase</w:t>
      </w:r>
      <w:r w:rsidRPr="00415E32">
        <w:t xml:space="preserve"> (</w:t>
      </w:r>
      <w:r w:rsidR="00E61F7A">
        <w:t>IU/dL</w:t>
      </w:r>
      <w:r w:rsidR="00E61F7A" w:rsidRPr="00415E32">
        <w:t xml:space="preserve"> </w:t>
      </w:r>
      <w:r w:rsidR="00E61F7A">
        <w:t>or</w:t>
      </w:r>
      <w:r w:rsidR="00645A47">
        <w:t> </w:t>
      </w:r>
      <w:r w:rsidRPr="00415E32">
        <w:t>%</w:t>
      </w:r>
      <w:r w:rsidR="00645A47">
        <w:t> </w:t>
      </w:r>
      <w:r>
        <w:t>of normal</w:t>
      </w:r>
      <w:r w:rsidRPr="00415E32">
        <w:t>) x {reciprocal of observed recovery (IU/kg</w:t>
      </w:r>
      <w:r w:rsidR="00645A47">
        <w:t> </w:t>
      </w:r>
      <w:r w:rsidRPr="00415E32">
        <w:t>per</w:t>
      </w:r>
      <w:r w:rsidR="00645A47">
        <w:t> </w:t>
      </w:r>
      <w:r w:rsidRPr="00415E32">
        <w:t>IU/d</w:t>
      </w:r>
      <w:r>
        <w:t>L</w:t>
      </w:r>
      <w:r w:rsidRPr="00415E32">
        <w:t>)}</w:t>
      </w:r>
    </w:p>
    <w:p w:rsidR="00BC2148" w:rsidRDefault="00BC2148" w:rsidP="00D350EE">
      <w:pPr>
        <w:pStyle w:val="DocumentText"/>
      </w:pPr>
      <w:r>
        <w:t>OR</w:t>
      </w:r>
    </w:p>
    <w:p w:rsidR="00F40998" w:rsidRDefault="001335BB" w:rsidP="00B1677F">
      <w:pPr>
        <w:pStyle w:val="DocumentText"/>
      </w:pPr>
      <w:r>
        <w:t xml:space="preserve">Expected </w:t>
      </w:r>
      <w:r w:rsidR="00F40998">
        <w:t>FIX</w:t>
      </w:r>
      <w:r w:rsidR="00F40998" w:rsidRPr="00415E32">
        <w:t xml:space="preserve"> </w:t>
      </w:r>
      <w:r w:rsidR="002D59FD">
        <w:t>increase</w:t>
      </w:r>
      <w:r w:rsidR="00F40998" w:rsidRPr="00415E32">
        <w:t xml:space="preserve"> </w:t>
      </w:r>
      <w:r w:rsidR="002273C7">
        <w:t>(</w:t>
      </w:r>
      <w:r w:rsidR="00E61F7A" w:rsidRPr="00415E32">
        <w:t>IU/d</w:t>
      </w:r>
      <w:r w:rsidR="00E61F7A">
        <w:t>L</w:t>
      </w:r>
      <w:r w:rsidR="00E61F7A" w:rsidRPr="00415E32">
        <w:t xml:space="preserve"> </w:t>
      </w:r>
      <w:r w:rsidR="00F40998" w:rsidRPr="00415E32">
        <w:t>or</w:t>
      </w:r>
      <w:r w:rsidR="00645A47">
        <w:t> </w:t>
      </w:r>
      <w:r w:rsidR="00F40998" w:rsidRPr="00415E32">
        <w:t>%</w:t>
      </w:r>
      <w:r w:rsidR="00645A47">
        <w:t> </w:t>
      </w:r>
      <w:r w:rsidR="00F40998" w:rsidRPr="00415E32">
        <w:t>of norma</w:t>
      </w:r>
      <w:r w:rsidR="00F40998">
        <w:t>l) = Dose</w:t>
      </w:r>
      <w:r w:rsidR="00645A47">
        <w:t> </w:t>
      </w:r>
      <w:r w:rsidR="00F40998">
        <w:t>(IU) x Recovery (IU/dL</w:t>
      </w:r>
      <w:r w:rsidR="00645A47">
        <w:t> </w:t>
      </w:r>
      <w:r w:rsidR="00F40998" w:rsidRPr="00415E32">
        <w:t>per</w:t>
      </w:r>
      <w:r w:rsidR="00645A47">
        <w:t> </w:t>
      </w:r>
      <w:r w:rsidR="00F40998" w:rsidRPr="00415E32">
        <w:t>IU/kg)/body</w:t>
      </w:r>
      <w:r w:rsidR="00645A47">
        <w:t> </w:t>
      </w:r>
      <w:r w:rsidR="00F40998" w:rsidRPr="00415E32">
        <w:t>weight</w:t>
      </w:r>
      <w:r w:rsidR="00645A47">
        <w:t> </w:t>
      </w:r>
      <w:r w:rsidR="00F40998" w:rsidRPr="00415E32">
        <w:t>(kg)</w:t>
      </w:r>
    </w:p>
    <w:p w:rsidR="00F40998" w:rsidRDefault="00F40998" w:rsidP="00B1677F">
      <w:pPr>
        <w:pStyle w:val="DocumentText"/>
      </w:pPr>
      <w:r w:rsidRPr="00415E32">
        <w:t>The amount to be administered and the frequency of administration should always be oriented to the clinical effectiveness in the individual case.</w:t>
      </w:r>
    </w:p>
    <w:p w:rsidR="00F40998" w:rsidRDefault="00F40998" w:rsidP="00B1677F">
      <w:pPr>
        <w:pStyle w:val="DocumentText"/>
      </w:pPr>
      <w:r w:rsidRPr="00415E32">
        <w:t>For determination of adequate maintenance dose take into consideration the extended half</w:t>
      </w:r>
      <w:r w:rsidRPr="00415E32">
        <w:noBreakHyphen/>
        <w:t>life of the product.</w:t>
      </w:r>
    </w:p>
    <w:p w:rsidR="00F40998" w:rsidRPr="00C06955" w:rsidRDefault="00F40998" w:rsidP="00BE1AC6">
      <w:pPr>
        <w:pStyle w:val="DocumentText"/>
        <w:keepNext/>
        <w:spacing w:after="120"/>
        <w:rPr>
          <w:sz w:val="28"/>
          <w:szCs w:val="28"/>
        </w:rPr>
      </w:pPr>
      <w:r w:rsidRPr="00C06955">
        <w:rPr>
          <w:i/>
          <w:sz w:val="28"/>
          <w:szCs w:val="28"/>
        </w:rPr>
        <w:t>Patients &lt;12</w:t>
      </w:r>
      <w:r w:rsidR="00BE761A" w:rsidRPr="00A00251">
        <w:t> </w:t>
      </w:r>
      <w:r w:rsidRPr="00C06955">
        <w:rPr>
          <w:i/>
          <w:sz w:val="28"/>
          <w:szCs w:val="28"/>
        </w:rPr>
        <w:t xml:space="preserve">years of </w:t>
      </w:r>
      <w:r w:rsidR="0028436A" w:rsidRPr="00C06955">
        <w:rPr>
          <w:i/>
          <w:sz w:val="28"/>
          <w:szCs w:val="28"/>
        </w:rPr>
        <w:t>a</w:t>
      </w:r>
      <w:r w:rsidRPr="00C06955">
        <w:rPr>
          <w:i/>
          <w:sz w:val="28"/>
          <w:szCs w:val="28"/>
        </w:rPr>
        <w:t>ge</w:t>
      </w:r>
    </w:p>
    <w:p w:rsidR="00F40998" w:rsidRDefault="00F40998" w:rsidP="008A73D1">
      <w:pPr>
        <w:pStyle w:val="DocumentText"/>
        <w:keepNext/>
      </w:pPr>
      <w:r w:rsidRPr="00415E32">
        <w:t>For an incremental recovery of 1</w:t>
      </w:r>
      <w:r w:rsidR="00803AC9">
        <w:t> </w:t>
      </w:r>
      <w:r w:rsidRPr="00415E32">
        <w:t>IU/d</w:t>
      </w:r>
      <w:r>
        <w:t>L</w:t>
      </w:r>
      <w:r w:rsidRPr="00415E32">
        <w:t xml:space="preserve"> per 1</w:t>
      </w:r>
      <w:r w:rsidR="00803AC9">
        <w:t> </w:t>
      </w:r>
      <w:r w:rsidRPr="00415E32">
        <w:t>IU/kg, the dose is calculated as follows:</w:t>
      </w:r>
    </w:p>
    <w:p w:rsidR="00F40998" w:rsidRDefault="00F40998" w:rsidP="008A73D1">
      <w:pPr>
        <w:pStyle w:val="DocumentText"/>
        <w:keepNext/>
        <w:spacing w:after="120"/>
      </w:pPr>
      <w:r w:rsidRPr="00415E32">
        <w:t>Dose (IU) = body</w:t>
      </w:r>
      <w:r w:rsidR="00BE761A" w:rsidRPr="00A00251">
        <w:t> </w:t>
      </w:r>
      <w:r w:rsidRPr="00415E32">
        <w:t>weight (kg)</w:t>
      </w:r>
      <w:r w:rsidR="00BE761A" w:rsidRPr="00A00251">
        <w:t> </w:t>
      </w:r>
      <w:r w:rsidRPr="00415E32">
        <w:t xml:space="preserve">x desired </w:t>
      </w:r>
      <w:r>
        <w:t>FIX increase (IU/dL</w:t>
      </w:r>
      <w:r w:rsidRPr="00415E32">
        <w:t>)</w:t>
      </w:r>
      <w:r w:rsidR="00BE761A" w:rsidRPr="00A00251">
        <w:t> </w:t>
      </w:r>
      <w:r w:rsidRPr="00415E32">
        <w:t>x 1</w:t>
      </w:r>
      <w:r w:rsidR="00803AC9">
        <w:t> </w:t>
      </w:r>
      <w:r w:rsidRPr="00415E32">
        <w:t>d</w:t>
      </w:r>
      <w:r w:rsidR="00803AC9">
        <w:t>L</w:t>
      </w:r>
      <w:r w:rsidRPr="00415E32">
        <w:t>/kg</w:t>
      </w:r>
    </w:p>
    <w:p w:rsidR="00F40998" w:rsidRDefault="00F40998" w:rsidP="008A73D1">
      <w:pPr>
        <w:pStyle w:val="DocumentText"/>
        <w:keepNext/>
        <w:spacing w:after="120"/>
      </w:pPr>
      <w:r w:rsidRPr="00415E32">
        <w:t>Example</w:t>
      </w:r>
      <w:r>
        <w:t>:</w:t>
      </w:r>
    </w:p>
    <w:p w:rsidR="00F40998" w:rsidRDefault="00F40998" w:rsidP="00B349E4">
      <w:pPr>
        <w:pStyle w:val="DocumentText"/>
        <w:numPr>
          <w:ilvl w:val="0"/>
          <w:numId w:val="4"/>
        </w:numPr>
      </w:pPr>
      <w:r w:rsidRPr="00415E32">
        <w:t>A peak level of 50 % of normal is required in a 20</w:t>
      </w:r>
      <w:r w:rsidR="00803AC9">
        <w:t> </w:t>
      </w:r>
      <w:r w:rsidRPr="00415E32">
        <w:t>kg patient with severe haemophilia</w:t>
      </w:r>
      <w:r w:rsidR="00645A47">
        <w:t> </w:t>
      </w:r>
      <w:r w:rsidRPr="00415E32">
        <w:t>B. The appropriate dose would be 20 kg x 50 IU/d</w:t>
      </w:r>
      <w:r>
        <w:t>L x 1</w:t>
      </w:r>
      <w:r w:rsidR="00BE761A" w:rsidRPr="00A00251">
        <w:t> </w:t>
      </w:r>
      <w:r>
        <w:t>dL</w:t>
      </w:r>
      <w:r w:rsidRPr="00415E32">
        <w:t>/kg = 1000 IU.</w:t>
      </w:r>
    </w:p>
    <w:p w:rsidR="00F40998" w:rsidRPr="00F40998" w:rsidRDefault="00F40998" w:rsidP="00B349E4">
      <w:pPr>
        <w:pStyle w:val="DocumentText"/>
        <w:numPr>
          <w:ilvl w:val="0"/>
          <w:numId w:val="4"/>
        </w:numPr>
      </w:pPr>
      <w:r w:rsidRPr="00415E32">
        <w:lastRenderedPageBreak/>
        <w:t>A dose of 1000 IU of</w:t>
      </w:r>
      <w:r w:rsidR="001332D9" w:rsidRPr="001332D9">
        <w:t xml:space="preserve"> </w:t>
      </w:r>
      <w:r w:rsidR="009D6286">
        <w:t>IDELVION</w:t>
      </w:r>
      <w:r w:rsidR="001332D9" w:rsidRPr="00151E18">
        <w:rPr>
          <w:vertAlign w:val="superscript"/>
        </w:rPr>
        <w:t>®</w:t>
      </w:r>
      <w:r w:rsidRPr="00415E32">
        <w:t xml:space="preserve">, administered to a 25 kg patient, should result in a peak post-injection </w:t>
      </w:r>
      <w:r>
        <w:t>FIX</w:t>
      </w:r>
      <w:r w:rsidRPr="00415E32">
        <w:t xml:space="preserve"> increase of 1000 IU/25 kg x 1.0 (IU/d</w:t>
      </w:r>
      <w:r>
        <w:t>L</w:t>
      </w:r>
      <w:r w:rsidRPr="00415E32">
        <w:t xml:space="preserve"> per IU/kg) = 40 IU/d</w:t>
      </w:r>
      <w:r>
        <w:t>L</w:t>
      </w:r>
      <w:r w:rsidRPr="00415E32">
        <w:t xml:space="preserve"> (40% of normal).</w:t>
      </w:r>
    </w:p>
    <w:p w:rsidR="00F40998" w:rsidRPr="00C06955" w:rsidRDefault="00F40998" w:rsidP="00BE1AC6">
      <w:pPr>
        <w:pStyle w:val="DocumentText"/>
        <w:keepNext/>
        <w:spacing w:after="120"/>
        <w:rPr>
          <w:sz w:val="28"/>
          <w:szCs w:val="28"/>
        </w:rPr>
      </w:pPr>
      <w:r w:rsidRPr="00C06955">
        <w:rPr>
          <w:i/>
          <w:sz w:val="28"/>
          <w:szCs w:val="28"/>
        </w:rPr>
        <w:t xml:space="preserve">Patients ≥12 years of </w:t>
      </w:r>
      <w:r w:rsidR="0028436A" w:rsidRPr="00C06955">
        <w:rPr>
          <w:i/>
          <w:sz w:val="28"/>
          <w:szCs w:val="28"/>
        </w:rPr>
        <w:t>a</w:t>
      </w:r>
      <w:r w:rsidRPr="00C06955">
        <w:rPr>
          <w:i/>
          <w:sz w:val="28"/>
          <w:szCs w:val="28"/>
        </w:rPr>
        <w:t>ge</w:t>
      </w:r>
    </w:p>
    <w:p w:rsidR="00F40998" w:rsidRDefault="00F40998" w:rsidP="008A73D1">
      <w:pPr>
        <w:pStyle w:val="DocumentText"/>
        <w:keepNext/>
        <w:spacing w:after="120"/>
      </w:pPr>
      <w:r w:rsidRPr="00415E32">
        <w:t>For an incremental recovery of 1.3 IU/d</w:t>
      </w:r>
      <w:r>
        <w:t>L</w:t>
      </w:r>
      <w:r w:rsidRPr="00415E32">
        <w:t xml:space="preserve"> per 1 IU/kg, the dose is calculated as follows:</w:t>
      </w:r>
    </w:p>
    <w:p w:rsidR="00F40998" w:rsidRDefault="00F40998" w:rsidP="00BE1AC6">
      <w:pPr>
        <w:pStyle w:val="DocumentText"/>
        <w:spacing w:after="120"/>
      </w:pPr>
      <w:r w:rsidRPr="00415E32">
        <w:t>Dose (IU) = body</w:t>
      </w:r>
      <w:r w:rsidR="00BE761A" w:rsidRPr="00A00251">
        <w:t> </w:t>
      </w:r>
      <w:r w:rsidRPr="00415E32">
        <w:t>weight (kg)</w:t>
      </w:r>
      <w:r w:rsidR="00BE761A" w:rsidRPr="00A00251">
        <w:t> </w:t>
      </w:r>
      <w:r w:rsidRPr="00415E32">
        <w:t xml:space="preserve">x desired </w:t>
      </w:r>
      <w:r>
        <w:t>FIX</w:t>
      </w:r>
      <w:r w:rsidRPr="00415E32">
        <w:t xml:space="preserve"> increase</w:t>
      </w:r>
      <w:r w:rsidR="00BE761A" w:rsidRPr="00A00251">
        <w:t> </w:t>
      </w:r>
      <w:r w:rsidRPr="00415E32">
        <w:t>(IU/d</w:t>
      </w:r>
      <w:r>
        <w:t>L</w:t>
      </w:r>
      <w:r w:rsidRPr="00415E32">
        <w:t>)</w:t>
      </w:r>
      <w:r w:rsidR="00BE761A" w:rsidRPr="00A00251">
        <w:t> </w:t>
      </w:r>
      <w:r w:rsidRPr="00415E32">
        <w:t>x 0.77 d</w:t>
      </w:r>
      <w:r>
        <w:t>L</w:t>
      </w:r>
      <w:r w:rsidRPr="00415E32">
        <w:t>/kg</w:t>
      </w:r>
    </w:p>
    <w:p w:rsidR="00F40998" w:rsidRDefault="00F40998" w:rsidP="008A73D1">
      <w:pPr>
        <w:pStyle w:val="DocumentText"/>
        <w:keepNext/>
        <w:spacing w:after="120"/>
      </w:pPr>
      <w:r w:rsidRPr="00415E32">
        <w:t>Example</w:t>
      </w:r>
      <w:r>
        <w:t>:</w:t>
      </w:r>
    </w:p>
    <w:p w:rsidR="00F40998" w:rsidRDefault="00F40998" w:rsidP="00B349E4">
      <w:pPr>
        <w:pStyle w:val="DocumentText"/>
        <w:numPr>
          <w:ilvl w:val="0"/>
          <w:numId w:val="4"/>
        </w:numPr>
      </w:pPr>
      <w:r w:rsidRPr="00415E32">
        <w:t xml:space="preserve">A peak level of 50% of normal is required in </w:t>
      </w:r>
      <w:r w:rsidR="00C3580D">
        <w:t>an</w:t>
      </w:r>
      <w:r w:rsidR="00C3580D" w:rsidRPr="00415E32">
        <w:t xml:space="preserve"> </w:t>
      </w:r>
      <w:r w:rsidRPr="00415E32">
        <w:t>80 kg patient with severe haemophilia</w:t>
      </w:r>
      <w:r w:rsidR="00645A47">
        <w:t> </w:t>
      </w:r>
      <w:r w:rsidRPr="00415E32">
        <w:t>B. The appropriate dose would be 80 kg</w:t>
      </w:r>
      <w:r w:rsidR="00BE761A" w:rsidRPr="00A00251">
        <w:t> </w:t>
      </w:r>
      <w:r w:rsidRPr="00415E32">
        <w:t>x 50</w:t>
      </w:r>
      <w:r w:rsidR="00803AC9">
        <w:t> </w:t>
      </w:r>
      <w:r w:rsidRPr="00415E32">
        <w:t>IU/d</w:t>
      </w:r>
      <w:r>
        <w:t>L</w:t>
      </w:r>
      <w:r w:rsidR="00BE761A" w:rsidRPr="00A00251">
        <w:t> </w:t>
      </w:r>
      <w:r>
        <w:t>x 0.77 dL/kg = 3080 IU</w:t>
      </w:r>
      <w:r w:rsidRPr="00415E32">
        <w:t>.</w:t>
      </w:r>
    </w:p>
    <w:p w:rsidR="00F40998" w:rsidRDefault="00F40998" w:rsidP="00B349E4">
      <w:pPr>
        <w:pStyle w:val="DocumentText"/>
        <w:numPr>
          <w:ilvl w:val="0"/>
          <w:numId w:val="4"/>
        </w:numPr>
      </w:pPr>
      <w:r w:rsidRPr="00415E32">
        <w:t>A dose of 2000 IU of</w:t>
      </w:r>
      <w:r w:rsidR="001332D9" w:rsidRPr="001332D9">
        <w:t xml:space="preserve"> </w:t>
      </w:r>
      <w:r w:rsidR="009D6286">
        <w:t>IDELVION</w:t>
      </w:r>
      <w:r w:rsidR="001332D9" w:rsidRPr="00151E18">
        <w:rPr>
          <w:vertAlign w:val="superscript"/>
        </w:rPr>
        <w:t>®</w:t>
      </w:r>
      <w:r w:rsidRPr="00415E32">
        <w:t xml:space="preserve">, administered to </w:t>
      </w:r>
      <w:r w:rsidR="00C3580D">
        <w:t>an</w:t>
      </w:r>
      <w:r w:rsidR="00C3580D" w:rsidRPr="00415E32">
        <w:t xml:space="preserve"> </w:t>
      </w:r>
      <w:r w:rsidRPr="00415E32">
        <w:t xml:space="preserve">80 kg patient, should result in a peak post-injection </w:t>
      </w:r>
      <w:r>
        <w:t>FIX increase of 2000 IU</w:t>
      </w:r>
      <w:r w:rsidR="00BE761A" w:rsidRPr="00A00251">
        <w:t> </w:t>
      </w:r>
      <w:r w:rsidRPr="00415E32">
        <w:t>x 1.3 (IU/d</w:t>
      </w:r>
      <w:r>
        <w:t>L</w:t>
      </w:r>
      <w:r w:rsidR="00BE761A" w:rsidRPr="00A00251">
        <w:t> </w:t>
      </w:r>
      <w:r w:rsidRPr="00415E32">
        <w:t>per</w:t>
      </w:r>
      <w:r w:rsidR="00BE761A" w:rsidRPr="00A00251">
        <w:t> </w:t>
      </w:r>
      <w:r w:rsidRPr="00415E32">
        <w:t>IU/kg) /80 kg = 32.5 IU/d</w:t>
      </w:r>
      <w:r>
        <w:t>L</w:t>
      </w:r>
      <w:r w:rsidRPr="00415E32">
        <w:t xml:space="preserve"> (32.5% of normal).</w:t>
      </w:r>
    </w:p>
    <w:p w:rsidR="0075635C" w:rsidRPr="0060535F" w:rsidRDefault="0075635C" w:rsidP="00BE1AC6">
      <w:pPr>
        <w:pStyle w:val="DocumentText"/>
        <w:keepNext/>
        <w:spacing w:after="120"/>
        <w:rPr>
          <w:i/>
          <w:sz w:val="28"/>
          <w:szCs w:val="28"/>
        </w:rPr>
      </w:pPr>
      <w:r w:rsidRPr="0060535F">
        <w:rPr>
          <w:i/>
          <w:sz w:val="28"/>
          <w:szCs w:val="28"/>
        </w:rPr>
        <w:t xml:space="preserve">Control and </w:t>
      </w:r>
      <w:r w:rsidR="003402D8" w:rsidRPr="0060535F">
        <w:rPr>
          <w:i/>
          <w:sz w:val="28"/>
          <w:szCs w:val="28"/>
        </w:rPr>
        <w:t>p</w:t>
      </w:r>
      <w:r w:rsidRPr="0060535F">
        <w:rPr>
          <w:i/>
          <w:sz w:val="28"/>
          <w:szCs w:val="28"/>
        </w:rPr>
        <w:t xml:space="preserve">revention of </w:t>
      </w:r>
      <w:r w:rsidR="003402D8" w:rsidRPr="0060535F">
        <w:rPr>
          <w:i/>
          <w:sz w:val="28"/>
          <w:szCs w:val="28"/>
        </w:rPr>
        <w:t>b</w:t>
      </w:r>
      <w:r w:rsidRPr="0060535F">
        <w:rPr>
          <w:i/>
          <w:sz w:val="28"/>
          <w:szCs w:val="28"/>
        </w:rPr>
        <w:t xml:space="preserve">leeding </w:t>
      </w:r>
      <w:r w:rsidR="003402D8" w:rsidRPr="0060535F">
        <w:rPr>
          <w:i/>
          <w:sz w:val="28"/>
          <w:szCs w:val="28"/>
        </w:rPr>
        <w:t>e</w:t>
      </w:r>
      <w:r w:rsidRPr="0060535F">
        <w:rPr>
          <w:i/>
          <w:sz w:val="28"/>
          <w:szCs w:val="28"/>
        </w:rPr>
        <w:t xml:space="preserve">pisodes and </w:t>
      </w:r>
      <w:r w:rsidR="00ED03EF" w:rsidRPr="0060535F">
        <w:rPr>
          <w:i/>
          <w:sz w:val="28"/>
          <w:szCs w:val="28"/>
        </w:rPr>
        <w:t xml:space="preserve">in the </w:t>
      </w:r>
      <w:r w:rsidR="003402D8" w:rsidRPr="0060535F">
        <w:rPr>
          <w:i/>
          <w:sz w:val="28"/>
          <w:szCs w:val="28"/>
        </w:rPr>
        <w:t>p</w:t>
      </w:r>
      <w:r w:rsidRPr="0060535F">
        <w:rPr>
          <w:i/>
          <w:sz w:val="28"/>
          <w:szCs w:val="28"/>
        </w:rPr>
        <w:t>erioperative</w:t>
      </w:r>
      <w:r w:rsidRPr="00C06955">
        <w:rPr>
          <w:i/>
          <w:sz w:val="28"/>
          <w:szCs w:val="28"/>
        </w:rPr>
        <w:t xml:space="preserve"> </w:t>
      </w:r>
      <w:r w:rsidR="00ED03EF" w:rsidRPr="0060535F">
        <w:rPr>
          <w:i/>
          <w:sz w:val="28"/>
          <w:szCs w:val="28"/>
        </w:rPr>
        <w:t>setting</w:t>
      </w:r>
    </w:p>
    <w:p w:rsidR="0075635C" w:rsidRPr="00BF22EC" w:rsidRDefault="0075635C" w:rsidP="0075635C">
      <w:pPr>
        <w:pStyle w:val="DocumentText"/>
      </w:pPr>
      <w:r w:rsidRPr="00BF22EC">
        <w:t xml:space="preserve">A guide for dosing </w:t>
      </w:r>
      <w:r w:rsidR="009D6286">
        <w:t>IDELVION</w:t>
      </w:r>
      <w:r w:rsidR="001332D9" w:rsidRPr="00BF22EC">
        <w:rPr>
          <w:vertAlign w:val="superscript"/>
        </w:rPr>
        <w:t>®</w:t>
      </w:r>
      <w:r w:rsidR="001332D9" w:rsidRPr="00BF22EC">
        <w:t xml:space="preserve"> </w:t>
      </w:r>
      <w:r w:rsidRPr="00BF22EC">
        <w:t xml:space="preserve">in the control and prevention of bleeding episodes and </w:t>
      </w:r>
      <w:r w:rsidR="00ED03EF">
        <w:t xml:space="preserve">in the </w:t>
      </w:r>
      <w:r w:rsidRPr="00BF22EC">
        <w:t xml:space="preserve">perioperative </w:t>
      </w:r>
      <w:r w:rsidR="00ED03EF">
        <w:t>setting</w:t>
      </w:r>
      <w:r w:rsidR="00ED03EF" w:rsidRPr="00BF22EC">
        <w:t xml:space="preserve"> </w:t>
      </w:r>
      <w:r w:rsidRPr="00BF22EC">
        <w:t xml:space="preserve">is provided in </w:t>
      </w:r>
      <w:r w:rsidRPr="00BF22EC">
        <w:rPr>
          <w:b/>
        </w:rPr>
        <w:t>Table</w:t>
      </w:r>
      <w:r w:rsidR="00645A47">
        <w:t> </w:t>
      </w:r>
      <w:r w:rsidR="007343A6">
        <w:rPr>
          <w:b/>
        </w:rPr>
        <w:t>10</w:t>
      </w:r>
      <w:r w:rsidRPr="00BF22EC">
        <w:t>. Ensure the FIX activity level is achieved and maintained in the corresponding period. The recommended circulating FIX level requirement for p</w:t>
      </w:r>
      <w:r w:rsidR="00BA4F9E">
        <w:t>a</w:t>
      </w:r>
      <w:r w:rsidRPr="00BF22EC">
        <w:t>ediatric patients is the same as for adults</w:t>
      </w:r>
      <w:r w:rsidRPr="00BF22EC">
        <w:rPr>
          <w:i/>
          <w:iCs/>
        </w:rPr>
        <w:t>.</w:t>
      </w:r>
    </w:p>
    <w:p w:rsidR="00F40998" w:rsidRPr="00F40998" w:rsidRDefault="00F40998" w:rsidP="008640B7">
      <w:pPr>
        <w:pStyle w:val="Caption"/>
        <w:ind w:left="0" w:firstLine="0"/>
      </w:pPr>
      <w:r w:rsidRPr="00F40998">
        <w:lastRenderedPageBreak/>
        <w:t xml:space="preserve">Table </w:t>
      </w:r>
      <w:r w:rsidR="007343A6">
        <w:t>10</w:t>
      </w:r>
      <w:r w:rsidRPr="00F40998">
        <w:t xml:space="preserve">: </w:t>
      </w:r>
      <w:r w:rsidR="003402D8" w:rsidRPr="003402D8">
        <w:t xml:space="preserve">Dosing for control and prevention of bleeding episodes and </w:t>
      </w:r>
      <w:r w:rsidR="00ED03EF">
        <w:t xml:space="preserve">in the </w:t>
      </w:r>
      <w:r w:rsidR="003402D8" w:rsidRPr="003402D8">
        <w:t xml:space="preserve">perioperative </w:t>
      </w:r>
      <w:r w:rsidR="00ED03EF">
        <w:t>setting</w:t>
      </w:r>
    </w:p>
    <w:tbl>
      <w:tblPr>
        <w:tblW w:w="87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896"/>
        <w:gridCol w:w="4346"/>
      </w:tblGrid>
      <w:tr w:rsidR="00F40998" w:rsidRPr="005409DF" w:rsidTr="00C26C99">
        <w:trPr>
          <w:trHeight w:val="272"/>
        </w:trPr>
        <w:tc>
          <w:tcPr>
            <w:tcW w:w="2552" w:type="dxa"/>
            <w:tcBorders>
              <w:bottom w:val="single" w:sz="4" w:space="0" w:color="auto"/>
            </w:tcBorders>
            <w:shd w:val="pct15" w:color="auto" w:fill="auto"/>
          </w:tcPr>
          <w:p w:rsidR="00F40998" w:rsidRPr="005409DF" w:rsidRDefault="00C3580D" w:rsidP="00117A30">
            <w:pPr>
              <w:pStyle w:val="TableCellHeading10pt"/>
              <w:keepLines/>
              <w:spacing w:beforeLines="40" w:before="96" w:afterLines="40" w:after="96"/>
              <w:ind w:right="29"/>
              <w:jc w:val="left"/>
              <w:rPr>
                <w:szCs w:val="20"/>
              </w:rPr>
            </w:pPr>
            <w:r>
              <w:rPr>
                <w:szCs w:val="20"/>
              </w:rPr>
              <w:t>Degree of haemorrhage</w:t>
            </w:r>
          </w:p>
        </w:tc>
        <w:tc>
          <w:tcPr>
            <w:tcW w:w="1896" w:type="dxa"/>
            <w:tcBorders>
              <w:bottom w:val="single" w:sz="4" w:space="0" w:color="auto"/>
            </w:tcBorders>
            <w:shd w:val="pct15" w:color="auto" w:fill="auto"/>
          </w:tcPr>
          <w:p w:rsidR="00F40998" w:rsidRPr="005409DF" w:rsidRDefault="00F40998" w:rsidP="005409DF">
            <w:pPr>
              <w:pStyle w:val="TableCellHeading10pt"/>
              <w:keepLines/>
              <w:spacing w:beforeLines="40" w:before="96" w:afterLines="40" w:after="96"/>
              <w:ind w:right="87"/>
              <w:jc w:val="left"/>
              <w:rPr>
                <w:szCs w:val="20"/>
              </w:rPr>
            </w:pPr>
            <w:r w:rsidRPr="005409DF">
              <w:rPr>
                <w:szCs w:val="20"/>
              </w:rPr>
              <w:t>FIX level required (%) (IU/d</w:t>
            </w:r>
            <w:r w:rsidR="00350E4F" w:rsidRPr="005409DF">
              <w:rPr>
                <w:szCs w:val="20"/>
              </w:rPr>
              <w:t>L</w:t>
            </w:r>
            <w:r w:rsidRPr="005409DF">
              <w:rPr>
                <w:szCs w:val="20"/>
              </w:rPr>
              <w:t>)</w:t>
            </w:r>
          </w:p>
        </w:tc>
        <w:tc>
          <w:tcPr>
            <w:tcW w:w="4346" w:type="dxa"/>
            <w:tcBorders>
              <w:bottom w:val="single" w:sz="4" w:space="0" w:color="auto"/>
            </w:tcBorders>
            <w:shd w:val="pct15" w:color="auto" w:fill="auto"/>
          </w:tcPr>
          <w:p w:rsidR="00F40998" w:rsidRPr="005409DF" w:rsidRDefault="00F40998" w:rsidP="00645A47">
            <w:pPr>
              <w:pStyle w:val="TableCellHeading10pt"/>
              <w:keepLines/>
              <w:spacing w:beforeLines="40" w:before="96" w:afterLines="40" w:after="96"/>
              <w:ind w:right="175"/>
              <w:jc w:val="left"/>
              <w:rPr>
                <w:szCs w:val="20"/>
              </w:rPr>
            </w:pPr>
            <w:r w:rsidRPr="005409DF">
              <w:rPr>
                <w:szCs w:val="20"/>
              </w:rPr>
              <w:t>Frequency of doses (hours)/Duration of therapy (days)</w:t>
            </w:r>
          </w:p>
        </w:tc>
      </w:tr>
      <w:tr w:rsidR="00F40998" w:rsidRPr="005409DF" w:rsidTr="00C26C99">
        <w:trPr>
          <w:trHeight w:val="584"/>
        </w:trPr>
        <w:tc>
          <w:tcPr>
            <w:tcW w:w="2552" w:type="dxa"/>
            <w:shd w:val="clear" w:color="auto" w:fill="auto"/>
          </w:tcPr>
          <w:p w:rsidR="00F40998" w:rsidRPr="005409DF" w:rsidRDefault="00F40998" w:rsidP="004A4600">
            <w:pPr>
              <w:keepNext/>
              <w:spacing w:before="40" w:after="40" w:line="240" w:lineRule="auto"/>
              <w:ind w:right="29"/>
              <w:rPr>
                <w:kern w:val="0"/>
                <w:sz w:val="20"/>
                <w:szCs w:val="20"/>
                <w:lang w:val="en-AU"/>
              </w:rPr>
            </w:pPr>
            <w:r w:rsidRPr="001335BB">
              <w:rPr>
                <w:b/>
                <w:kern w:val="0"/>
                <w:sz w:val="20"/>
                <w:szCs w:val="20"/>
                <w:lang w:val="en-AU"/>
              </w:rPr>
              <w:t>Minor or moderate</w:t>
            </w:r>
            <w:r w:rsidRPr="005409DF">
              <w:rPr>
                <w:kern w:val="0"/>
                <w:sz w:val="20"/>
                <w:szCs w:val="20"/>
                <w:lang w:val="en-AU"/>
              </w:rPr>
              <w:t xml:space="preserve"> </w:t>
            </w:r>
            <w:r w:rsidR="004A4600">
              <w:rPr>
                <w:kern w:val="0"/>
                <w:sz w:val="20"/>
                <w:szCs w:val="20"/>
                <w:lang w:val="en-AU"/>
              </w:rPr>
              <w:t>h</w:t>
            </w:r>
            <w:r w:rsidR="004A4600" w:rsidRPr="005409DF">
              <w:rPr>
                <w:kern w:val="0"/>
                <w:sz w:val="20"/>
                <w:szCs w:val="20"/>
                <w:lang w:val="en-AU"/>
              </w:rPr>
              <w:t>aemarthrosis</w:t>
            </w:r>
            <w:r w:rsidRPr="005409DF">
              <w:rPr>
                <w:kern w:val="0"/>
                <w:sz w:val="20"/>
                <w:szCs w:val="20"/>
                <w:lang w:val="en-AU"/>
              </w:rPr>
              <w:t>, muscle bleeding (except iliopsoas) or oral bleeding</w:t>
            </w:r>
          </w:p>
        </w:tc>
        <w:tc>
          <w:tcPr>
            <w:tcW w:w="1896" w:type="dxa"/>
            <w:shd w:val="clear" w:color="auto" w:fill="auto"/>
          </w:tcPr>
          <w:p w:rsidR="00F40998" w:rsidRPr="005409DF" w:rsidRDefault="00F40998" w:rsidP="005409DF">
            <w:pPr>
              <w:keepNext/>
              <w:spacing w:before="40" w:after="40" w:line="240" w:lineRule="auto"/>
              <w:ind w:right="87"/>
              <w:rPr>
                <w:kern w:val="0"/>
                <w:sz w:val="20"/>
                <w:szCs w:val="20"/>
                <w:lang w:val="en-AU"/>
              </w:rPr>
            </w:pPr>
            <w:r w:rsidRPr="005409DF">
              <w:rPr>
                <w:kern w:val="0"/>
                <w:sz w:val="20"/>
                <w:szCs w:val="20"/>
                <w:lang w:val="en-AU"/>
              </w:rPr>
              <w:t>30–60</w:t>
            </w:r>
          </w:p>
        </w:tc>
        <w:tc>
          <w:tcPr>
            <w:tcW w:w="4346" w:type="dxa"/>
            <w:shd w:val="clear" w:color="auto" w:fill="auto"/>
          </w:tcPr>
          <w:p w:rsidR="00F40998" w:rsidRPr="005409DF" w:rsidRDefault="00F40998" w:rsidP="00B343DD">
            <w:pPr>
              <w:keepNext/>
              <w:spacing w:before="40" w:after="40" w:line="240" w:lineRule="auto"/>
              <w:ind w:right="175"/>
              <w:rPr>
                <w:kern w:val="0"/>
                <w:sz w:val="20"/>
                <w:szCs w:val="20"/>
                <w:lang w:val="en-AU"/>
              </w:rPr>
            </w:pPr>
            <w:r w:rsidRPr="005409DF">
              <w:rPr>
                <w:kern w:val="0"/>
                <w:sz w:val="20"/>
                <w:szCs w:val="20"/>
                <w:lang w:val="en-AU"/>
              </w:rPr>
              <w:t>Single dose should be sufficient for majority of bleeds. Maintenance dose after 48–72 hours if there is further evidence of bleeding.</w:t>
            </w:r>
          </w:p>
        </w:tc>
      </w:tr>
      <w:tr w:rsidR="00F40998" w:rsidRPr="005409DF" w:rsidTr="00C26C99">
        <w:trPr>
          <w:trHeight w:val="270"/>
        </w:trPr>
        <w:tc>
          <w:tcPr>
            <w:tcW w:w="2552" w:type="dxa"/>
            <w:tcBorders>
              <w:bottom w:val="single" w:sz="4" w:space="0" w:color="auto"/>
            </w:tcBorders>
            <w:shd w:val="clear" w:color="auto" w:fill="auto"/>
          </w:tcPr>
          <w:p w:rsidR="00F40998" w:rsidRPr="005409DF" w:rsidRDefault="00F40998" w:rsidP="005409DF">
            <w:pPr>
              <w:keepNext/>
              <w:spacing w:before="40" w:after="40" w:line="240" w:lineRule="auto"/>
              <w:ind w:right="29"/>
              <w:rPr>
                <w:b/>
                <w:kern w:val="0"/>
                <w:sz w:val="20"/>
                <w:szCs w:val="20"/>
                <w:lang w:val="en-AU"/>
              </w:rPr>
            </w:pPr>
            <w:r w:rsidRPr="005409DF">
              <w:rPr>
                <w:b/>
                <w:kern w:val="0"/>
                <w:sz w:val="20"/>
                <w:szCs w:val="20"/>
                <w:lang w:val="en-AU"/>
              </w:rPr>
              <w:t>Major</w:t>
            </w:r>
          </w:p>
          <w:p w:rsidR="00F40998" w:rsidRPr="005409DF" w:rsidRDefault="00F40998" w:rsidP="005409DF">
            <w:pPr>
              <w:keepNext/>
              <w:spacing w:before="40" w:after="40" w:line="240" w:lineRule="auto"/>
              <w:ind w:right="29"/>
              <w:rPr>
                <w:kern w:val="0"/>
                <w:sz w:val="20"/>
                <w:szCs w:val="20"/>
                <w:lang w:val="en-AU"/>
              </w:rPr>
            </w:pPr>
            <w:r w:rsidRPr="005409DF">
              <w:rPr>
                <w:kern w:val="0"/>
                <w:sz w:val="20"/>
                <w:szCs w:val="20"/>
                <w:lang w:val="en-AU"/>
              </w:rPr>
              <w:t>Life threatening haemorrhages, deep muscle bleeding including ili</w:t>
            </w:r>
            <w:r w:rsidR="00350E4F" w:rsidRPr="005409DF">
              <w:rPr>
                <w:kern w:val="0"/>
                <w:sz w:val="20"/>
                <w:szCs w:val="20"/>
                <w:lang w:val="en-AU"/>
              </w:rPr>
              <w:t>o</w:t>
            </w:r>
            <w:r w:rsidRPr="005409DF">
              <w:rPr>
                <w:kern w:val="0"/>
                <w:sz w:val="20"/>
                <w:szCs w:val="20"/>
                <w:lang w:val="en-AU"/>
              </w:rPr>
              <w:t>psoas</w:t>
            </w:r>
          </w:p>
        </w:tc>
        <w:tc>
          <w:tcPr>
            <w:tcW w:w="1896" w:type="dxa"/>
            <w:tcBorders>
              <w:bottom w:val="single" w:sz="4" w:space="0" w:color="auto"/>
            </w:tcBorders>
            <w:shd w:val="clear" w:color="auto" w:fill="auto"/>
          </w:tcPr>
          <w:p w:rsidR="00F40998" w:rsidRPr="005409DF" w:rsidRDefault="00F40998" w:rsidP="005409DF">
            <w:pPr>
              <w:keepNext/>
              <w:spacing w:before="40" w:after="40" w:line="240" w:lineRule="auto"/>
              <w:ind w:right="87"/>
              <w:rPr>
                <w:kern w:val="0"/>
                <w:sz w:val="20"/>
                <w:szCs w:val="20"/>
                <w:lang w:val="en-AU"/>
              </w:rPr>
            </w:pPr>
            <w:r w:rsidRPr="005409DF">
              <w:rPr>
                <w:kern w:val="0"/>
                <w:sz w:val="20"/>
                <w:szCs w:val="20"/>
                <w:lang w:val="en-AU"/>
              </w:rPr>
              <w:t>60–100</w:t>
            </w:r>
          </w:p>
        </w:tc>
        <w:tc>
          <w:tcPr>
            <w:tcW w:w="4346" w:type="dxa"/>
            <w:tcBorders>
              <w:bottom w:val="single" w:sz="4" w:space="0" w:color="auto"/>
            </w:tcBorders>
            <w:shd w:val="clear" w:color="auto" w:fill="auto"/>
          </w:tcPr>
          <w:p w:rsidR="00F40998" w:rsidRPr="005409DF" w:rsidRDefault="00F40998" w:rsidP="005409DF">
            <w:pPr>
              <w:keepNext/>
              <w:spacing w:before="40" w:after="40" w:line="240" w:lineRule="auto"/>
              <w:ind w:right="175"/>
              <w:rPr>
                <w:kern w:val="0"/>
                <w:sz w:val="20"/>
                <w:szCs w:val="20"/>
                <w:lang w:val="en-AU"/>
              </w:rPr>
            </w:pPr>
            <w:r w:rsidRPr="005409DF">
              <w:rPr>
                <w:kern w:val="0"/>
                <w:sz w:val="20"/>
                <w:szCs w:val="20"/>
                <w:lang w:val="en-AU"/>
              </w:rPr>
              <w:t>Repeat every 48</w:t>
            </w:r>
            <w:r w:rsidR="00803AC9" w:rsidRPr="005409DF">
              <w:rPr>
                <w:kern w:val="0"/>
                <w:sz w:val="20"/>
                <w:szCs w:val="20"/>
                <w:lang w:val="en-AU"/>
              </w:rPr>
              <w:t>–</w:t>
            </w:r>
            <w:r w:rsidRPr="005409DF">
              <w:rPr>
                <w:kern w:val="0"/>
                <w:sz w:val="20"/>
                <w:szCs w:val="20"/>
                <w:lang w:val="en-AU"/>
              </w:rPr>
              <w:t>72 hours for the first week, and then maintenance dose weekly until bleeding stops and healing is achieved.</w:t>
            </w:r>
          </w:p>
        </w:tc>
      </w:tr>
      <w:tr w:rsidR="002C4A72" w:rsidRPr="005409DF" w:rsidTr="00C26C99">
        <w:trPr>
          <w:trHeight w:val="272"/>
        </w:trPr>
        <w:tc>
          <w:tcPr>
            <w:tcW w:w="2552" w:type="dxa"/>
            <w:tcBorders>
              <w:bottom w:val="single" w:sz="4" w:space="0" w:color="auto"/>
            </w:tcBorders>
            <w:shd w:val="pct15" w:color="auto" w:fill="auto"/>
          </w:tcPr>
          <w:p w:rsidR="002C4A72" w:rsidRPr="005409DF" w:rsidRDefault="00ED03EF" w:rsidP="00ED03EF">
            <w:pPr>
              <w:pStyle w:val="TableCellHeading10pt"/>
              <w:keepLines/>
              <w:spacing w:beforeLines="40" w:before="96" w:afterLines="40" w:after="96"/>
              <w:ind w:right="29"/>
              <w:jc w:val="left"/>
              <w:rPr>
                <w:szCs w:val="20"/>
              </w:rPr>
            </w:pPr>
            <w:r w:rsidRPr="005409DF">
              <w:rPr>
                <w:szCs w:val="20"/>
              </w:rPr>
              <w:t xml:space="preserve">Control and prevention of </w:t>
            </w:r>
            <w:r>
              <w:rPr>
                <w:szCs w:val="20"/>
              </w:rPr>
              <w:t>bleeding in the p</w:t>
            </w:r>
            <w:r w:rsidR="002C4A72" w:rsidRPr="005409DF">
              <w:rPr>
                <w:szCs w:val="20"/>
              </w:rPr>
              <w:t xml:space="preserve">erioperative </w:t>
            </w:r>
            <w:r>
              <w:rPr>
                <w:szCs w:val="20"/>
              </w:rPr>
              <w:t>setting</w:t>
            </w:r>
          </w:p>
        </w:tc>
        <w:tc>
          <w:tcPr>
            <w:tcW w:w="1896" w:type="dxa"/>
            <w:tcBorders>
              <w:bottom w:val="single" w:sz="4" w:space="0" w:color="auto"/>
            </w:tcBorders>
            <w:shd w:val="pct15" w:color="auto" w:fill="auto"/>
          </w:tcPr>
          <w:p w:rsidR="002C4A72" w:rsidRPr="005409DF" w:rsidRDefault="002C4A72" w:rsidP="005409DF">
            <w:pPr>
              <w:pStyle w:val="TableCellHeading10pt"/>
              <w:keepLines/>
              <w:spacing w:beforeLines="40" w:before="96" w:afterLines="40" w:after="96"/>
              <w:ind w:right="87"/>
              <w:jc w:val="left"/>
              <w:rPr>
                <w:szCs w:val="20"/>
              </w:rPr>
            </w:pPr>
            <w:r w:rsidRPr="005409DF">
              <w:rPr>
                <w:szCs w:val="20"/>
              </w:rPr>
              <w:t>FIX level required (%) (IU/dL)</w:t>
            </w:r>
          </w:p>
        </w:tc>
        <w:tc>
          <w:tcPr>
            <w:tcW w:w="4346" w:type="dxa"/>
            <w:tcBorders>
              <w:bottom w:val="single" w:sz="4" w:space="0" w:color="auto"/>
            </w:tcBorders>
            <w:shd w:val="pct15" w:color="auto" w:fill="auto"/>
          </w:tcPr>
          <w:p w:rsidR="002C4A72" w:rsidRPr="005409DF" w:rsidRDefault="002C4A72" w:rsidP="000B43C0">
            <w:pPr>
              <w:pStyle w:val="TableCellHeading10pt"/>
              <w:keepLines/>
              <w:spacing w:beforeLines="40" w:before="96" w:afterLines="40" w:after="96"/>
              <w:ind w:right="175"/>
              <w:jc w:val="left"/>
              <w:rPr>
                <w:szCs w:val="20"/>
              </w:rPr>
            </w:pPr>
            <w:r w:rsidRPr="005409DF">
              <w:rPr>
                <w:szCs w:val="20"/>
              </w:rPr>
              <w:t>Frequency of doses (hours)/Duration of therapy (days)</w:t>
            </w:r>
          </w:p>
        </w:tc>
      </w:tr>
      <w:tr w:rsidR="00F40998" w:rsidRPr="005409DF" w:rsidTr="00C26C99">
        <w:trPr>
          <w:trHeight w:val="457"/>
        </w:trPr>
        <w:tc>
          <w:tcPr>
            <w:tcW w:w="2552" w:type="dxa"/>
            <w:shd w:val="clear" w:color="auto" w:fill="auto"/>
          </w:tcPr>
          <w:p w:rsidR="00F40998" w:rsidRPr="005409DF" w:rsidRDefault="00965452" w:rsidP="005409DF">
            <w:pPr>
              <w:keepNext/>
              <w:spacing w:before="40" w:after="40" w:line="240" w:lineRule="auto"/>
              <w:ind w:right="29"/>
              <w:rPr>
                <w:b/>
                <w:kern w:val="0"/>
                <w:sz w:val="20"/>
                <w:szCs w:val="20"/>
                <w:lang w:val="en-AU"/>
              </w:rPr>
            </w:pPr>
            <w:r>
              <w:rPr>
                <w:b/>
                <w:kern w:val="0"/>
                <w:sz w:val="20"/>
                <w:szCs w:val="20"/>
                <w:lang w:val="en-AU"/>
              </w:rPr>
              <w:t>Minor s</w:t>
            </w:r>
            <w:r w:rsidR="00F40998" w:rsidRPr="005409DF">
              <w:rPr>
                <w:b/>
                <w:kern w:val="0"/>
                <w:sz w:val="20"/>
                <w:szCs w:val="20"/>
                <w:lang w:val="en-AU"/>
              </w:rPr>
              <w:t>urgery</w:t>
            </w:r>
          </w:p>
          <w:p w:rsidR="00F40998" w:rsidRPr="005409DF" w:rsidRDefault="00F40998" w:rsidP="005409DF">
            <w:pPr>
              <w:keepNext/>
              <w:spacing w:before="40" w:after="40" w:line="240" w:lineRule="auto"/>
              <w:ind w:right="29"/>
              <w:rPr>
                <w:kern w:val="0"/>
                <w:sz w:val="20"/>
                <w:szCs w:val="20"/>
                <w:lang w:val="en-AU"/>
              </w:rPr>
            </w:pPr>
            <w:r w:rsidRPr="005409DF">
              <w:rPr>
                <w:kern w:val="0"/>
                <w:sz w:val="20"/>
                <w:szCs w:val="20"/>
                <w:lang w:val="en-AU"/>
              </w:rPr>
              <w:t>e.g. (including uncomplicated tooth extraction)</w:t>
            </w:r>
          </w:p>
        </w:tc>
        <w:tc>
          <w:tcPr>
            <w:tcW w:w="1896" w:type="dxa"/>
            <w:shd w:val="clear" w:color="auto" w:fill="auto"/>
          </w:tcPr>
          <w:p w:rsidR="0015542E" w:rsidRPr="005409DF" w:rsidRDefault="00F40998" w:rsidP="005409DF">
            <w:pPr>
              <w:keepNext/>
              <w:spacing w:before="40" w:after="40" w:line="240" w:lineRule="auto"/>
              <w:ind w:right="87"/>
              <w:rPr>
                <w:kern w:val="0"/>
                <w:sz w:val="20"/>
                <w:szCs w:val="20"/>
                <w:lang w:val="en-AU"/>
              </w:rPr>
            </w:pPr>
            <w:r w:rsidRPr="005409DF">
              <w:rPr>
                <w:kern w:val="0"/>
                <w:sz w:val="20"/>
                <w:szCs w:val="20"/>
                <w:lang w:val="en-AU"/>
              </w:rPr>
              <w:t>50–80</w:t>
            </w:r>
          </w:p>
          <w:p w:rsidR="00F40998" w:rsidRPr="005409DF" w:rsidRDefault="00F40998" w:rsidP="005409DF">
            <w:pPr>
              <w:keepNext/>
              <w:spacing w:before="40" w:after="40" w:line="240" w:lineRule="auto"/>
              <w:ind w:right="87"/>
              <w:rPr>
                <w:kern w:val="0"/>
                <w:sz w:val="20"/>
                <w:szCs w:val="20"/>
                <w:lang w:val="en-AU"/>
              </w:rPr>
            </w:pPr>
            <w:r w:rsidRPr="005409DF">
              <w:rPr>
                <w:kern w:val="0"/>
                <w:sz w:val="20"/>
                <w:szCs w:val="20"/>
                <w:lang w:val="en-AU"/>
              </w:rPr>
              <w:t>(initial level)</w:t>
            </w:r>
          </w:p>
        </w:tc>
        <w:tc>
          <w:tcPr>
            <w:tcW w:w="4346" w:type="dxa"/>
            <w:shd w:val="clear" w:color="auto" w:fill="auto"/>
          </w:tcPr>
          <w:p w:rsidR="00F40998" w:rsidRPr="005409DF" w:rsidRDefault="00F40998" w:rsidP="00B343DD">
            <w:pPr>
              <w:keepNext/>
              <w:spacing w:before="40" w:after="40" w:line="240" w:lineRule="auto"/>
              <w:ind w:right="175"/>
              <w:rPr>
                <w:kern w:val="0"/>
                <w:sz w:val="20"/>
                <w:szCs w:val="20"/>
                <w:lang w:val="en-AU"/>
              </w:rPr>
            </w:pPr>
            <w:r w:rsidRPr="005409DF">
              <w:rPr>
                <w:kern w:val="0"/>
                <w:sz w:val="20"/>
                <w:szCs w:val="20"/>
                <w:lang w:val="en-AU"/>
              </w:rPr>
              <w:t>Single dose may be sufficient for a majority of minor surgeries. If needed, maintenance dose can be provided after 48–72 hours until bleeding stops and healing is achieved.</w:t>
            </w:r>
          </w:p>
        </w:tc>
      </w:tr>
      <w:tr w:rsidR="00F40998" w:rsidRPr="005409DF" w:rsidTr="00C26C99">
        <w:trPr>
          <w:trHeight w:val="650"/>
        </w:trPr>
        <w:tc>
          <w:tcPr>
            <w:tcW w:w="2552" w:type="dxa"/>
            <w:shd w:val="clear" w:color="auto" w:fill="auto"/>
          </w:tcPr>
          <w:p w:rsidR="00F40998" w:rsidRPr="005409DF" w:rsidRDefault="00F40998" w:rsidP="008A73D1">
            <w:pPr>
              <w:spacing w:before="40" w:after="40" w:line="240" w:lineRule="auto"/>
              <w:ind w:right="28"/>
              <w:rPr>
                <w:b/>
                <w:kern w:val="0"/>
                <w:sz w:val="20"/>
                <w:szCs w:val="20"/>
                <w:lang w:val="en-AU"/>
              </w:rPr>
            </w:pPr>
            <w:r w:rsidRPr="005409DF">
              <w:rPr>
                <w:b/>
                <w:kern w:val="0"/>
                <w:sz w:val="20"/>
                <w:szCs w:val="20"/>
                <w:lang w:val="en-AU"/>
              </w:rPr>
              <w:t>Major surgery</w:t>
            </w:r>
          </w:p>
        </w:tc>
        <w:tc>
          <w:tcPr>
            <w:tcW w:w="1896" w:type="dxa"/>
            <w:shd w:val="clear" w:color="auto" w:fill="auto"/>
          </w:tcPr>
          <w:p w:rsidR="0015542E" w:rsidRPr="005409DF" w:rsidRDefault="00F40998" w:rsidP="005409DF">
            <w:pPr>
              <w:spacing w:before="40" w:after="40" w:line="240" w:lineRule="auto"/>
              <w:ind w:right="87"/>
              <w:rPr>
                <w:kern w:val="0"/>
                <w:sz w:val="20"/>
                <w:szCs w:val="20"/>
                <w:lang w:val="en-AU"/>
              </w:rPr>
            </w:pPr>
            <w:r w:rsidRPr="005409DF">
              <w:rPr>
                <w:kern w:val="0"/>
                <w:sz w:val="20"/>
                <w:szCs w:val="20"/>
                <w:lang w:val="en-AU"/>
              </w:rPr>
              <w:t>60–100</w:t>
            </w:r>
          </w:p>
          <w:p w:rsidR="00F40998" w:rsidRPr="005409DF" w:rsidRDefault="00F40998" w:rsidP="005409DF">
            <w:pPr>
              <w:spacing w:before="40" w:after="40" w:line="240" w:lineRule="auto"/>
              <w:ind w:right="87"/>
              <w:rPr>
                <w:kern w:val="0"/>
                <w:sz w:val="20"/>
                <w:szCs w:val="20"/>
                <w:lang w:val="en-AU"/>
              </w:rPr>
            </w:pPr>
            <w:r w:rsidRPr="005409DF">
              <w:rPr>
                <w:kern w:val="0"/>
                <w:sz w:val="20"/>
                <w:szCs w:val="20"/>
                <w:lang w:val="en-AU"/>
              </w:rPr>
              <w:t>(initial level)</w:t>
            </w:r>
          </w:p>
        </w:tc>
        <w:tc>
          <w:tcPr>
            <w:tcW w:w="4346" w:type="dxa"/>
            <w:shd w:val="clear" w:color="auto" w:fill="auto"/>
          </w:tcPr>
          <w:p w:rsidR="00F40998" w:rsidRPr="005409DF" w:rsidRDefault="00F40998" w:rsidP="005409DF">
            <w:pPr>
              <w:spacing w:before="40" w:after="40" w:line="240" w:lineRule="auto"/>
              <w:ind w:right="175"/>
              <w:rPr>
                <w:kern w:val="0"/>
                <w:sz w:val="20"/>
                <w:szCs w:val="20"/>
                <w:lang w:val="en-AU"/>
              </w:rPr>
            </w:pPr>
            <w:r w:rsidRPr="005409DF">
              <w:rPr>
                <w:kern w:val="0"/>
                <w:sz w:val="20"/>
                <w:szCs w:val="20"/>
                <w:lang w:val="en-AU"/>
              </w:rPr>
              <w:t>Repeat every 48–72 hours for the first week, and then maintenance dose 1–2 times per week until bleeding stops and healing is achieved.</w:t>
            </w:r>
          </w:p>
        </w:tc>
      </w:tr>
    </w:tbl>
    <w:p w:rsidR="00856F0C" w:rsidRPr="00B349E4" w:rsidRDefault="00856F0C" w:rsidP="004C49FB">
      <w:pPr>
        <w:pStyle w:val="DocumentText"/>
        <w:keepNext/>
        <w:spacing w:before="240" w:after="120"/>
        <w:rPr>
          <w:b/>
          <w:i/>
          <w:sz w:val="28"/>
          <w:szCs w:val="28"/>
        </w:rPr>
      </w:pPr>
      <w:r w:rsidRPr="00B349E4">
        <w:rPr>
          <w:b/>
          <w:i/>
          <w:sz w:val="28"/>
          <w:szCs w:val="28"/>
        </w:rPr>
        <w:t>Older people</w:t>
      </w:r>
    </w:p>
    <w:p w:rsidR="00856F0C" w:rsidRDefault="00856F0C" w:rsidP="00856F0C">
      <w:pPr>
        <w:pStyle w:val="DocumentText"/>
      </w:pPr>
      <w:r>
        <w:t>The dosage and method of administration in older people (&gt;65</w:t>
      </w:r>
      <w:r w:rsidR="00645A47">
        <w:t> </w:t>
      </w:r>
      <w:r>
        <w:t>years) has not been determined in clinical studies.</w:t>
      </w:r>
    </w:p>
    <w:p w:rsidR="00137C30" w:rsidRPr="00B1677F" w:rsidRDefault="00137C30" w:rsidP="00B1677F">
      <w:pPr>
        <w:pStyle w:val="Heading3"/>
        <w:numPr>
          <w:ilvl w:val="0"/>
          <w:numId w:val="0"/>
        </w:numPr>
        <w:ind w:left="2138" w:hanging="2138"/>
      </w:pPr>
      <w:r w:rsidRPr="00B1677F">
        <w:t>Monitoring</w:t>
      </w:r>
      <w:r w:rsidR="003C480C">
        <w:t xml:space="preserve"> advice</w:t>
      </w:r>
    </w:p>
    <w:p w:rsidR="00137C30" w:rsidRDefault="00856F0C" w:rsidP="00B1677F">
      <w:pPr>
        <w:pStyle w:val="DocumentText"/>
      </w:pPr>
      <w:r w:rsidRPr="000F3841">
        <w:t xml:space="preserve">Patients should be monitored </w:t>
      </w:r>
      <w:r w:rsidR="00DD0A37">
        <w:t>to confirm adequate FIX levels have been achieved and maintained</w:t>
      </w:r>
      <w:r w:rsidR="00E85CEA">
        <w:t>,</w:t>
      </w:r>
      <w:r w:rsidR="00DD0A37">
        <w:t xml:space="preserve"> and </w:t>
      </w:r>
      <w:r w:rsidRPr="000F3841">
        <w:t xml:space="preserve">for the development of </w:t>
      </w:r>
      <w:r>
        <w:t>FIX</w:t>
      </w:r>
      <w:r w:rsidRPr="000F3841">
        <w:t xml:space="preserve"> </w:t>
      </w:r>
      <w:r>
        <w:t xml:space="preserve">inhibitors. See </w:t>
      </w:r>
      <w:r w:rsidRPr="00DA5358">
        <w:rPr>
          <w:b/>
        </w:rPr>
        <w:t>PRECAUTIONS</w:t>
      </w:r>
      <w:r w:rsidRPr="00D25B82">
        <w:t>.</w:t>
      </w:r>
    </w:p>
    <w:p w:rsidR="00856F0C" w:rsidRPr="00B349E4" w:rsidRDefault="00856F0C" w:rsidP="00B80344">
      <w:pPr>
        <w:pStyle w:val="Heading3"/>
        <w:numPr>
          <w:ilvl w:val="0"/>
          <w:numId w:val="0"/>
        </w:numPr>
        <w:ind w:left="2138" w:hanging="2138"/>
      </w:pPr>
      <w:r w:rsidRPr="00B349E4">
        <w:t>General instructions</w:t>
      </w:r>
    </w:p>
    <w:p w:rsidR="006374D3" w:rsidRDefault="006374D3" w:rsidP="004A4600">
      <w:pPr>
        <w:pStyle w:val="DocumentText"/>
        <w:keepNext/>
        <w:spacing w:after="120"/>
      </w:pPr>
      <w:r>
        <w:t>For intravenous use</w:t>
      </w:r>
      <w:r w:rsidR="00C26C99">
        <w:t xml:space="preserve"> only after reconstitution.</w:t>
      </w:r>
    </w:p>
    <w:p w:rsidR="00856F0C" w:rsidRPr="00A607D3" w:rsidRDefault="00856F0C" w:rsidP="00C26C99">
      <w:pPr>
        <w:pStyle w:val="DocumentText"/>
        <w:spacing w:after="120"/>
      </w:pPr>
      <w:r w:rsidRPr="00A607D3">
        <w:t xml:space="preserve">The solution should be clear or slightly opalescent, yellow to colourless. </w:t>
      </w:r>
      <w:r w:rsidRPr="00AE16E4">
        <w:t>After</w:t>
      </w:r>
      <w:r w:rsidRPr="00A607D3">
        <w:t xml:space="preserve"> filtering/withdrawal (</w:t>
      </w:r>
      <w:r w:rsidR="00054304">
        <w:t xml:space="preserve">see </w:t>
      </w:r>
      <w:r w:rsidRPr="00965452">
        <w:rPr>
          <w:b/>
          <w:i/>
        </w:rPr>
        <w:t>Reconstitution</w:t>
      </w:r>
      <w:r w:rsidRPr="00A607D3">
        <w:t>) the reconstituted product should be inspected visually for particulate matter and discoloration prior to administration.</w:t>
      </w:r>
    </w:p>
    <w:p w:rsidR="00856F0C" w:rsidRDefault="00856F0C" w:rsidP="00C26C99">
      <w:pPr>
        <w:pStyle w:val="DocumentText"/>
        <w:spacing w:after="120"/>
      </w:pPr>
      <w:r w:rsidRPr="00A607D3">
        <w:t>Do not use solutions that are cloudy or have deposits.</w:t>
      </w:r>
    </w:p>
    <w:p w:rsidR="00856F0C" w:rsidRPr="00B1677F" w:rsidRDefault="00856F0C" w:rsidP="00C26C99">
      <w:pPr>
        <w:pStyle w:val="DocumentText"/>
      </w:pPr>
      <w:r w:rsidRPr="00A607D3">
        <w:t>Reconstitution and withdrawal must be carried out under aseptic conditions.</w:t>
      </w:r>
    </w:p>
    <w:p w:rsidR="00137C30" w:rsidRPr="00B349E4" w:rsidRDefault="00137C30" w:rsidP="00BE1AC6">
      <w:pPr>
        <w:pStyle w:val="DocumentText"/>
        <w:keepNext/>
        <w:spacing w:before="120" w:after="120"/>
        <w:rPr>
          <w:i/>
        </w:rPr>
      </w:pPr>
      <w:r w:rsidRPr="00B349E4">
        <w:rPr>
          <w:b/>
          <w:i/>
          <w:sz w:val="28"/>
          <w:szCs w:val="28"/>
        </w:rPr>
        <w:lastRenderedPageBreak/>
        <w:t>Reconstitution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6491"/>
      </w:tblGrid>
      <w:tr w:rsidR="002E09FB" w:rsidRPr="004A4600" w:rsidTr="008E539B">
        <w:tc>
          <w:tcPr>
            <w:tcW w:w="2581" w:type="dxa"/>
            <w:vAlign w:val="bottom"/>
          </w:tcPr>
          <w:p w:rsidR="002E09FB" w:rsidRPr="004A4600" w:rsidRDefault="008E539B" w:rsidP="008E539B">
            <w:pPr>
              <w:pStyle w:val="LAFISPCNormal"/>
              <w:tabs>
                <w:tab w:val="clear" w:pos="567"/>
                <w:tab w:val="left" w:pos="318"/>
                <w:tab w:val="left" w:pos="2019"/>
              </w:tabs>
              <w:spacing w:before="120" w:after="120"/>
              <w:ind w:left="0"/>
              <w:jc w:val="center"/>
              <w:rPr>
                <w:lang w:val="en-US"/>
              </w:rPr>
            </w:pPr>
            <w:r>
              <w:rPr>
                <w:lang w:val="en-US"/>
              </w:rPr>
              <w:tab/>
            </w:r>
            <w:r w:rsidRPr="004A4600">
              <w:rPr>
                <w:noProof/>
                <w:lang w:val="en-AU" w:eastAsia="en-AU"/>
              </w:rPr>
              <w:drawing>
                <wp:inline distT="0" distB="0" distL="0" distR="0" wp14:anchorId="2811615D" wp14:editId="3DD10401">
                  <wp:extent cx="707390" cy="724535"/>
                  <wp:effectExtent l="0" t="0" r="0" b="0"/>
                  <wp:docPr id="10" name="Picture 10" descr="Abb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b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7390" cy="724535"/>
                          </a:xfrm>
                          <a:prstGeom prst="rect">
                            <a:avLst/>
                          </a:prstGeom>
                          <a:noFill/>
                          <a:ln>
                            <a:noFill/>
                          </a:ln>
                        </pic:spPr>
                      </pic:pic>
                    </a:graphicData>
                  </a:graphic>
                </wp:inline>
              </w:drawing>
            </w:r>
            <w:r>
              <w:rPr>
                <w:lang w:val="en-US"/>
              </w:rPr>
              <w:tab/>
            </w:r>
            <w:r w:rsidR="00C26C99" w:rsidRPr="004A4600">
              <w:rPr>
                <w:lang w:val="en-US"/>
              </w:rPr>
              <w:t>1</w:t>
            </w:r>
          </w:p>
        </w:tc>
        <w:tc>
          <w:tcPr>
            <w:tcW w:w="6491" w:type="dxa"/>
          </w:tcPr>
          <w:p w:rsidR="00F14EF7" w:rsidRPr="004A4600" w:rsidRDefault="002E09FB" w:rsidP="00F14EF7">
            <w:pPr>
              <w:pStyle w:val="DocumentText"/>
              <w:keepNext/>
            </w:pPr>
            <w:r w:rsidRPr="004A4600">
              <w:t xml:space="preserve">1. </w:t>
            </w:r>
            <w:r w:rsidR="00F14EF7" w:rsidRPr="004A4600">
              <w:t xml:space="preserve">Bring the WFI to room temperature. Ensure </w:t>
            </w:r>
            <w:r w:rsidR="009D6286">
              <w:t>IDELVION</w:t>
            </w:r>
            <w:r w:rsidR="00F14EF7" w:rsidRPr="004A4600">
              <w:rPr>
                <w:vertAlign w:val="superscript"/>
              </w:rPr>
              <w:t>®</w:t>
            </w:r>
            <w:r w:rsidR="00F14EF7" w:rsidRPr="004A4600">
              <w:t xml:space="preserve"> and WFI vial flip caps are removed and the stoppers are treated with an antiseptic solution and allowed to dry prior to opening the Mix2Vial</w:t>
            </w:r>
            <w:r w:rsidR="00F14EF7" w:rsidRPr="004A4600">
              <w:rPr>
                <w:vertAlign w:val="superscript"/>
              </w:rPr>
              <w:t>™</w:t>
            </w:r>
            <w:r w:rsidR="00F14EF7" w:rsidRPr="004A4600">
              <w:t xml:space="preserve"> package.</w:t>
            </w:r>
          </w:p>
          <w:p w:rsidR="002E09FB" w:rsidRPr="004A4600" w:rsidRDefault="002E09FB" w:rsidP="000B44A6">
            <w:pPr>
              <w:pStyle w:val="DocumentText"/>
              <w:spacing w:before="120" w:after="120"/>
            </w:pPr>
            <w:r w:rsidRPr="004A4600">
              <w:t>Open the Mix2Vial</w:t>
            </w:r>
            <w:r w:rsidRPr="004A4600">
              <w:rPr>
                <w:vertAlign w:val="superscript"/>
              </w:rPr>
              <w:t>™</w:t>
            </w:r>
            <w:r w:rsidRPr="004A4600">
              <w:t xml:space="preserve"> package by peeling off the lid. Do </w:t>
            </w:r>
            <w:r w:rsidRPr="004A4600">
              <w:rPr>
                <w:b/>
                <w:u w:val="single"/>
              </w:rPr>
              <w:t>not</w:t>
            </w:r>
            <w:r w:rsidRPr="004A4600">
              <w:t xml:space="preserve"> remove the Mix2Vial</w:t>
            </w:r>
            <w:r w:rsidRPr="004A4600">
              <w:rPr>
                <w:vertAlign w:val="superscript"/>
              </w:rPr>
              <w:t>™</w:t>
            </w:r>
            <w:r w:rsidRPr="004A4600">
              <w:t xml:space="preserve"> from the blister package!</w:t>
            </w:r>
          </w:p>
        </w:tc>
      </w:tr>
      <w:tr w:rsidR="002E09FB" w:rsidRPr="004A4600" w:rsidTr="005409DF">
        <w:tc>
          <w:tcPr>
            <w:tcW w:w="2581" w:type="dxa"/>
          </w:tcPr>
          <w:p w:rsidR="002E09FB" w:rsidRPr="004A4600" w:rsidRDefault="00D12884" w:rsidP="000B44A6">
            <w:pPr>
              <w:pStyle w:val="LAFISPCNormal"/>
              <w:tabs>
                <w:tab w:val="clear" w:pos="567"/>
                <w:tab w:val="left" w:pos="426"/>
                <w:tab w:val="left" w:pos="1985"/>
              </w:tabs>
              <w:spacing w:before="120" w:after="120"/>
              <w:ind w:left="0"/>
              <w:jc w:val="center"/>
              <w:rPr>
                <w:lang w:val="en-US"/>
              </w:rPr>
            </w:pPr>
            <w:r w:rsidRPr="004A4600">
              <w:rPr>
                <w:lang w:val="en-US"/>
              </w:rPr>
              <w:tab/>
            </w:r>
            <w:r w:rsidR="002E09FB" w:rsidRPr="004A4600">
              <w:rPr>
                <w:noProof/>
                <w:lang w:val="en-AU" w:eastAsia="en-AU"/>
              </w:rPr>
              <w:drawing>
                <wp:inline distT="0" distB="0" distL="0" distR="0" wp14:anchorId="16935E53" wp14:editId="2E966654">
                  <wp:extent cx="560705" cy="1147445"/>
                  <wp:effectExtent l="0" t="0" r="0" b="0"/>
                  <wp:docPr id="8" name="Picture 8" descr="Ab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b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0705" cy="1147445"/>
                          </a:xfrm>
                          <a:prstGeom prst="rect">
                            <a:avLst/>
                          </a:prstGeom>
                          <a:noFill/>
                          <a:ln>
                            <a:noFill/>
                          </a:ln>
                        </pic:spPr>
                      </pic:pic>
                    </a:graphicData>
                  </a:graphic>
                </wp:inline>
              </w:drawing>
            </w:r>
            <w:r w:rsidR="002E09FB" w:rsidRPr="004A4600">
              <w:rPr>
                <w:lang w:val="en-US"/>
              </w:rPr>
              <w:tab/>
              <w:t>2</w:t>
            </w:r>
          </w:p>
        </w:tc>
        <w:tc>
          <w:tcPr>
            <w:tcW w:w="6491" w:type="dxa"/>
          </w:tcPr>
          <w:p w:rsidR="002E09FB" w:rsidRPr="004A4600" w:rsidRDefault="002E09FB" w:rsidP="000B44A6">
            <w:pPr>
              <w:pStyle w:val="DocumentText"/>
              <w:spacing w:before="120" w:after="120"/>
            </w:pPr>
            <w:r w:rsidRPr="004A4600">
              <w:t xml:space="preserve">2. Place the </w:t>
            </w:r>
            <w:r w:rsidR="00606E6A" w:rsidRPr="004A4600">
              <w:rPr>
                <w:b/>
              </w:rPr>
              <w:t>WFI</w:t>
            </w:r>
            <w:r w:rsidRPr="004A4600">
              <w:rPr>
                <w:b/>
              </w:rPr>
              <w:t xml:space="preserve"> vial</w:t>
            </w:r>
            <w:r w:rsidRPr="004A4600">
              <w:t xml:space="preserve"> on an even, clean surface and hold the vial tight. Take the Mix2Vial</w:t>
            </w:r>
            <w:r w:rsidRPr="004A4600">
              <w:rPr>
                <w:vertAlign w:val="superscript"/>
              </w:rPr>
              <w:t>™</w:t>
            </w:r>
            <w:r w:rsidRPr="004A4600">
              <w:t xml:space="preserve"> together with the blister package and push the spike of the </w:t>
            </w:r>
            <w:r w:rsidRPr="004A4600">
              <w:rPr>
                <w:b/>
              </w:rPr>
              <w:t>blue</w:t>
            </w:r>
            <w:r w:rsidRPr="004A4600">
              <w:t xml:space="preserve"> adapter end </w:t>
            </w:r>
            <w:r w:rsidRPr="004A4600">
              <w:rPr>
                <w:b/>
              </w:rPr>
              <w:t>straight down</w:t>
            </w:r>
            <w:r w:rsidRPr="004A4600">
              <w:t xml:space="preserve"> through the </w:t>
            </w:r>
            <w:r w:rsidR="0019180F" w:rsidRPr="004A4600">
              <w:t>WFI</w:t>
            </w:r>
            <w:r w:rsidRPr="004A4600">
              <w:t xml:space="preserve"> vial stopper.</w:t>
            </w:r>
          </w:p>
        </w:tc>
      </w:tr>
      <w:tr w:rsidR="002E09FB" w:rsidRPr="004A4600" w:rsidTr="005409DF">
        <w:tc>
          <w:tcPr>
            <w:tcW w:w="2581" w:type="dxa"/>
          </w:tcPr>
          <w:p w:rsidR="002E09FB" w:rsidRPr="004A4600" w:rsidRDefault="002E09FB" w:rsidP="000B44A6">
            <w:pPr>
              <w:pStyle w:val="LAFISPCNormal"/>
              <w:tabs>
                <w:tab w:val="clear" w:pos="567"/>
                <w:tab w:val="left" w:pos="589"/>
                <w:tab w:val="left" w:pos="1985"/>
              </w:tabs>
              <w:spacing w:before="120" w:after="120"/>
              <w:ind w:left="0"/>
              <w:jc w:val="center"/>
              <w:rPr>
                <w:lang w:val="en-US"/>
              </w:rPr>
            </w:pPr>
            <w:r w:rsidRPr="004A4600">
              <w:rPr>
                <w:lang w:val="en-US"/>
              </w:rPr>
              <w:tab/>
            </w:r>
            <w:r w:rsidRPr="004A4600">
              <w:rPr>
                <w:noProof/>
                <w:lang w:val="en-AU" w:eastAsia="en-AU"/>
              </w:rPr>
              <w:drawing>
                <wp:inline distT="0" distB="0" distL="0" distR="0" wp14:anchorId="5AE065A1" wp14:editId="6DA7A568">
                  <wp:extent cx="431165" cy="1155700"/>
                  <wp:effectExtent l="0" t="0" r="6985" b="6350"/>
                  <wp:docPr id="7" name="Picture 7" descr="Ab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b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1165" cy="1155700"/>
                          </a:xfrm>
                          <a:prstGeom prst="rect">
                            <a:avLst/>
                          </a:prstGeom>
                          <a:noFill/>
                          <a:ln>
                            <a:noFill/>
                          </a:ln>
                        </pic:spPr>
                      </pic:pic>
                    </a:graphicData>
                  </a:graphic>
                </wp:inline>
              </w:drawing>
            </w:r>
            <w:r w:rsidRPr="004A4600">
              <w:rPr>
                <w:lang w:val="en-US"/>
              </w:rPr>
              <w:tab/>
              <w:t>3</w:t>
            </w:r>
          </w:p>
        </w:tc>
        <w:tc>
          <w:tcPr>
            <w:tcW w:w="6491" w:type="dxa"/>
          </w:tcPr>
          <w:p w:rsidR="002E09FB" w:rsidRPr="00091E44" w:rsidRDefault="002E09FB" w:rsidP="000B44A6">
            <w:pPr>
              <w:pStyle w:val="DocumentText"/>
              <w:spacing w:before="120" w:after="120"/>
            </w:pPr>
            <w:r w:rsidRPr="004A4600">
              <w:t>3. Carefully remove the blister package from the Mix2Vial</w:t>
            </w:r>
            <w:r w:rsidRPr="004A4600">
              <w:rPr>
                <w:vertAlign w:val="superscript"/>
              </w:rPr>
              <w:t>™</w:t>
            </w:r>
            <w:r w:rsidRPr="004A4600">
              <w:t xml:space="preserve"> set by holding at the rim, and pulling </w:t>
            </w:r>
            <w:r w:rsidRPr="004A4600">
              <w:rPr>
                <w:b/>
              </w:rPr>
              <w:t>vertically</w:t>
            </w:r>
            <w:r w:rsidRPr="004A4600">
              <w:t xml:space="preserve"> upwards. Make sure that you only pull away the blister package and not the Mix2Vial</w:t>
            </w:r>
            <w:r w:rsidRPr="004A4600">
              <w:rPr>
                <w:vertAlign w:val="superscript"/>
              </w:rPr>
              <w:t>™</w:t>
            </w:r>
            <w:r w:rsidRPr="004A4600">
              <w:t xml:space="preserve"> set.</w:t>
            </w:r>
            <w:r w:rsidR="00091E44">
              <w:t xml:space="preserve"> Do not touch the exposed end of the Mix2Vial</w:t>
            </w:r>
            <w:r w:rsidR="00091E44">
              <w:rPr>
                <w:vertAlign w:val="superscript"/>
              </w:rPr>
              <w:t>™</w:t>
            </w:r>
            <w:r w:rsidR="00091E44">
              <w:t xml:space="preserve"> set.</w:t>
            </w:r>
          </w:p>
        </w:tc>
      </w:tr>
      <w:tr w:rsidR="002E09FB" w:rsidRPr="004A4600" w:rsidTr="005409DF">
        <w:tc>
          <w:tcPr>
            <w:tcW w:w="2581" w:type="dxa"/>
          </w:tcPr>
          <w:p w:rsidR="002E09FB" w:rsidRPr="004A4600" w:rsidRDefault="002E09FB" w:rsidP="000B44A6">
            <w:pPr>
              <w:pStyle w:val="LAFISPCNormal"/>
              <w:tabs>
                <w:tab w:val="clear" w:pos="567"/>
                <w:tab w:val="left" w:pos="709"/>
                <w:tab w:val="left" w:pos="1964"/>
              </w:tabs>
              <w:spacing w:before="120" w:after="120"/>
              <w:ind w:left="0"/>
              <w:jc w:val="center"/>
              <w:rPr>
                <w:lang w:val="en-US"/>
              </w:rPr>
            </w:pPr>
            <w:r w:rsidRPr="004A4600">
              <w:rPr>
                <w:lang w:val="en-US"/>
              </w:rPr>
              <w:tab/>
            </w:r>
            <w:r w:rsidRPr="004A4600">
              <w:rPr>
                <w:noProof/>
                <w:lang w:val="en-AU" w:eastAsia="en-AU"/>
              </w:rPr>
              <w:drawing>
                <wp:inline distT="0" distB="0" distL="0" distR="0" wp14:anchorId="53817167" wp14:editId="27E8688B">
                  <wp:extent cx="310515" cy="1216025"/>
                  <wp:effectExtent l="0" t="0" r="0" b="3175"/>
                  <wp:docPr id="6" name="Picture 6" descr="Abb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bb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0515" cy="1216025"/>
                          </a:xfrm>
                          <a:prstGeom prst="rect">
                            <a:avLst/>
                          </a:prstGeom>
                          <a:noFill/>
                          <a:ln>
                            <a:noFill/>
                          </a:ln>
                        </pic:spPr>
                      </pic:pic>
                    </a:graphicData>
                  </a:graphic>
                </wp:inline>
              </w:drawing>
            </w:r>
            <w:r w:rsidRPr="004A4600">
              <w:rPr>
                <w:lang w:val="en-US"/>
              </w:rPr>
              <w:tab/>
              <w:t>4</w:t>
            </w:r>
          </w:p>
        </w:tc>
        <w:tc>
          <w:tcPr>
            <w:tcW w:w="6491" w:type="dxa"/>
          </w:tcPr>
          <w:p w:rsidR="002E09FB" w:rsidRPr="004A4600" w:rsidRDefault="002E09FB" w:rsidP="0019180F">
            <w:pPr>
              <w:pStyle w:val="DocumentText"/>
              <w:spacing w:before="120" w:after="120"/>
            </w:pPr>
            <w:r w:rsidRPr="004A4600">
              <w:t xml:space="preserve">4. Place the </w:t>
            </w:r>
            <w:r w:rsidR="009D6286">
              <w:rPr>
                <w:b/>
              </w:rPr>
              <w:t>IDELVION</w:t>
            </w:r>
            <w:r w:rsidR="0019180F" w:rsidRPr="004A4600">
              <w:rPr>
                <w:b/>
                <w:vertAlign w:val="superscript"/>
              </w:rPr>
              <w:t>®</w:t>
            </w:r>
            <w:r w:rsidRPr="004A4600">
              <w:rPr>
                <w:b/>
              </w:rPr>
              <w:t xml:space="preserve"> vial</w:t>
            </w:r>
            <w:r w:rsidRPr="004A4600">
              <w:t xml:space="preserve"> on an even and firm surface. Invert the </w:t>
            </w:r>
            <w:r w:rsidR="0019180F" w:rsidRPr="004A4600">
              <w:t>WFI</w:t>
            </w:r>
            <w:r w:rsidRPr="004A4600">
              <w:t xml:space="preserve"> vial with the Mix2Vial</w:t>
            </w:r>
            <w:r w:rsidRPr="004A4600">
              <w:rPr>
                <w:vertAlign w:val="superscript"/>
              </w:rPr>
              <w:t>™</w:t>
            </w:r>
            <w:r w:rsidRPr="004A4600">
              <w:t xml:space="preserve"> set attached and push the spike of the </w:t>
            </w:r>
            <w:r w:rsidRPr="004A4600">
              <w:rPr>
                <w:b/>
              </w:rPr>
              <w:t>transparent</w:t>
            </w:r>
            <w:r w:rsidRPr="004A4600">
              <w:t xml:space="preserve"> adapter end </w:t>
            </w:r>
            <w:r w:rsidRPr="004A4600">
              <w:rPr>
                <w:b/>
              </w:rPr>
              <w:t xml:space="preserve">straight down </w:t>
            </w:r>
            <w:r w:rsidRPr="004A4600">
              <w:t xml:space="preserve">through the </w:t>
            </w:r>
            <w:r w:rsidR="009D6286">
              <w:t>IDELVION</w:t>
            </w:r>
            <w:r w:rsidR="0019180F" w:rsidRPr="004A4600">
              <w:rPr>
                <w:vertAlign w:val="superscript"/>
              </w:rPr>
              <w:t>®</w:t>
            </w:r>
            <w:r w:rsidRPr="004A4600">
              <w:t xml:space="preserve"> vial stopper. The </w:t>
            </w:r>
            <w:r w:rsidR="0019180F" w:rsidRPr="004A4600">
              <w:t>WFI</w:t>
            </w:r>
            <w:r w:rsidRPr="004A4600">
              <w:t xml:space="preserve"> will automatically flow into the </w:t>
            </w:r>
            <w:r w:rsidR="009D6286">
              <w:t>IDELVION</w:t>
            </w:r>
            <w:r w:rsidR="0019180F" w:rsidRPr="004A4600">
              <w:rPr>
                <w:vertAlign w:val="superscript"/>
              </w:rPr>
              <w:t>®</w:t>
            </w:r>
            <w:r w:rsidRPr="004A4600">
              <w:t xml:space="preserve"> vial.</w:t>
            </w:r>
          </w:p>
        </w:tc>
      </w:tr>
      <w:tr w:rsidR="002E09FB" w:rsidRPr="004A4600" w:rsidTr="005409DF">
        <w:tc>
          <w:tcPr>
            <w:tcW w:w="2581" w:type="dxa"/>
          </w:tcPr>
          <w:p w:rsidR="002E09FB" w:rsidRPr="004A4600" w:rsidRDefault="002E09FB" w:rsidP="000B44A6">
            <w:pPr>
              <w:pStyle w:val="LAFISPCNormal"/>
              <w:tabs>
                <w:tab w:val="left" w:pos="1985"/>
              </w:tabs>
              <w:spacing w:before="120" w:after="120"/>
              <w:ind w:left="0"/>
              <w:jc w:val="center"/>
              <w:rPr>
                <w:lang w:val="en-US"/>
              </w:rPr>
            </w:pPr>
            <w:r w:rsidRPr="004A4600">
              <w:rPr>
                <w:lang w:val="en-US"/>
              </w:rPr>
              <w:tab/>
            </w:r>
            <w:r w:rsidRPr="004A4600">
              <w:rPr>
                <w:noProof/>
                <w:lang w:val="en-AU" w:eastAsia="en-AU"/>
              </w:rPr>
              <w:drawing>
                <wp:inline distT="0" distB="0" distL="0" distR="0" wp14:anchorId="19FF5418" wp14:editId="7349EE03">
                  <wp:extent cx="405130" cy="1285240"/>
                  <wp:effectExtent l="0" t="0" r="0" b="0"/>
                  <wp:docPr id="5" name="Picture 5" descr="Abb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bb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5130" cy="1285240"/>
                          </a:xfrm>
                          <a:prstGeom prst="rect">
                            <a:avLst/>
                          </a:prstGeom>
                          <a:noFill/>
                          <a:ln>
                            <a:noFill/>
                          </a:ln>
                        </pic:spPr>
                      </pic:pic>
                    </a:graphicData>
                  </a:graphic>
                </wp:inline>
              </w:drawing>
            </w:r>
            <w:r w:rsidRPr="004A4600">
              <w:rPr>
                <w:lang w:val="en-US"/>
              </w:rPr>
              <w:tab/>
              <w:t>5</w:t>
            </w:r>
          </w:p>
        </w:tc>
        <w:tc>
          <w:tcPr>
            <w:tcW w:w="6491" w:type="dxa"/>
          </w:tcPr>
          <w:p w:rsidR="002E09FB" w:rsidRPr="004A4600" w:rsidRDefault="002E09FB" w:rsidP="001F1BFD">
            <w:pPr>
              <w:pStyle w:val="DocumentText"/>
              <w:spacing w:before="120"/>
            </w:pPr>
            <w:r w:rsidRPr="004A4600">
              <w:t xml:space="preserve">5. With one hand grasp the </w:t>
            </w:r>
            <w:r w:rsidR="009D6286">
              <w:t>IDELVION</w:t>
            </w:r>
            <w:r w:rsidR="0019180F" w:rsidRPr="004A4600">
              <w:rPr>
                <w:vertAlign w:val="superscript"/>
              </w:rPr>
              <w:t>®</w:t>
            </w:r>
            <w:r w:rsidR="0019180F" w:rsidRPr="004A4600">
              <w:t xml:space="preserve"> </w:t>
            </w:r>
            <w:r w:rsidRPr="004A4600">
              <w:t>side of the Mix2Vial</w:t>
            </w:r>
            <w:r w:rsidRPr="004A4600">
              <w:rPr>
                <w:vertAlign w:val="superscript"/>
              </w:rPr>
              <w:t>™</w:t>
            </w:r>
            <w:r w:rsidRPr="004A4600">
              <w:t xml:space="preserve"> set and with the other hand grasp the </w:t>
            </w:r>
            <w:r w:rsidR="0019180F" w:rsidRPr="004A4600">
              <w:t xml:space="preserve">WFI </w:t>
            </w:r>
            <w:r w:rsidRPr="004A4600">
              <w:t>side and unscrew the set carefully counterclockwise into two pieces.</w:t>
            </w:r>
          </w:p>
          <w:p w:rsidR="002E09FB" w:rsidRPr="004A4600" w:rsidRDefault="002E09FB" w:rsidP="001F1BFD">
            <w:pPr>
              <w:pStyle w:val="DocumentText"/>
              <w:spacing w:after="120"/>
            </w:pPr>
            <w:r w:rsidRPr="004A4600">
              <w:t xml:space="preserve">Discard the </w:t>
            </w:r>
            <w:r w:rsidR="0019180F" w:rsidRPr="004A4600">
              <w:t>WFI</w:t>
            </w:r>
            <w:r w:rsidRPr="004A4600">
              <w:t xml:space="preserve"> vial with the blue Mix2Vial</w:t>
            </w:r>
            <w:r w:rsidRPr="004A4600">
              <w:rPr>
                <w:vertAlign w:val="superscript"/>
              </w:rPr>
              <w:t>™</w:t>
            </w:r>
            <w:r w:rsidRPr="004A4600">
              <w:t xml:space="preserve"> adapter attached.</w:t>
            </w:r>
          </w:p>
        </w:tc>
      </w:tr>
      <w:tr w:rsidR="002E09FB" w:rsidRPr="004A4600" w:rsidTr="005409DF">
        <w:tc>
          <w:tcPr>
            <w:tcW w:w="2581" w:type="dxa"/>
          </w:tcPr>
          <w:p w:rsidR="002E09FB" w:rsidRPr="004A4600" w:rsidRDefault="002E09FB" w:rsidP="000B44A6">
            <w:pPr>
              <w:pStyle w:val="LAFISPCNormal"/>
              <w:tabs>
                <w:tab w:val="clear" w:pos="567"/>
                <w:tab w:val="left" w:pos="284"/>
                <w:tab w:val="left" w:pos="1985"/>
              </w:tabs>
              <w:spacing w:before="120" w:after="120"/>
              <w:ind w:left="0"/>
              <w:jc w:val="center"/>
              <w:rPr>
                <w:lang w:val="en-US"/>
              </w:rPr>
            </w:pPr>
            <w:r w:rsidRPr="004A4600">
              <w:rPr>
                <w:lang w:val="en-US"/>
              </w:rPr>
              <w:lastRenderedPageBreak/>
              <w:tab/>
            </w:r>
            <w:r w:rsidRPr="004A4600">
              <w:rPr>
                <w:noProof/>
                <w:lang w:val="en-AU" w:eastAsia="en-AU"/>
              </w:rPr>
              <w:drawing>
                <wp:inline distT="0" distB="0" distL="0" distR="0" wp14:anchorId="763CEC5C" wp14:editId="1A448E9E">
                  <wp:extent cx="905510" cy="905510"/>
                  <wp:effectExtent l="0" t="0" r="8890" b="8890"/>
                  <wp:docPr id="4" name="Picture 4" descr="Abb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bb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5510" cy="905510"/>
                          </a:xfrm>
                          <a:prstGeom prst="rect">
                            <a:avLst/>
                          </a:prstGeom>
                          <a:noFill/>
                          <a:ln>
                            <a:noFill/>
                          </a:ln>
                        </pic:spPr>
                      </pic:pic>
                    </a:graphicData>
                  </a:graphic>
                </wp:inline>
              </w:drawing>
            </w:r>
            <w:r w:rsidRPr="004A4600">
              <w:rPr>
                <w:lang w:val="en-US"/>
              </w:rPr>
              <w:tab/>
              <w:t>6</w:t>
            </w:r>
          </w:p>
        </w:tc>
        <w:tc>
          <w:tcPr>
            <w:tcW w:w="6491" w:type="dxa"/>
          </w:tcPr>
          <w:p w:rsidR="002E09FB" w:rsidRPr="004A4600" w:rsidRDefault="002E09FB" w:rsidP="0019180F">
            <w:pPr>
              <w:pStyle w:val="DocumentText"/>
              <w:spacing w:before="120" w:after="120"/>
            </w:pPr>
            <w:r w:rsidRPr="004A4600">
              <w:t xml:space="preserve">6. Gently swirl the </w:t>
            </w:r>
            <w:r w:rsidR="009D6286">
              <w:t>IDELVION</w:t>
            </w:r>
            <w:r w:rsidR="0019180F" w:rsidRPr="004A4600">
              <w:rPr>
                <w:vertAlign w:val="superscript"/>
              </w:rPr>
              <w:t>®</w:t>
            </w:r>
            <w:r w:rsidRPr="004A4600">
              <w:t xml:space="preserve"> vial with the transparent adapter attached until the substance is fully dissolved. Do not shake.</w:t>
            </w:r>
          </w:p>
        </w:tc>
      </w:tr>
      <w:tr w:rsidR="002E09FB" w:rsidRPr="004A4600" w:rsidTr="005409DF">
        <w:tc>
          <w:tcPr>
            <w:tcW w:w="2581" w:type="dxa"/>
          </w:tcPr>
          <w:p w:rsidR="002E09FB" w:rsidRPr="004A4600" w:rsidRDefault="002E09FB" w:rsidP="000B44A6">
            <w:pPr>
              <w:pStyle w:val="LAFISPCNormal"/>
              <w:tabs>
                <w:tab w:val="clear" w:pos="567"/>
                <w:tab w:val="left" w:pos="142"/>
                <w:tab w:val="left" w:pos="1992"/>
              </w:tabs>
              <w:spacing w:before="120" w:after="120"/>
              <w:ind w:left="0"/>
              <w:jc w:val="center"/>
              <w:rPr>
                <w:lang w:val="en-US"/>
              </w:rPr>
            </w:pPr>
            <w:r w:rsidRPr="004A4600">
              <w:rPr>
                <w:lang w:val="en-US"/>
              </w:rPr>
              <w:tab/>
            </w:r>
            <w:r w:rsidRPr="004A4600">
              <w:rPr>
                <w:noProof/>
                <w:lang w:val="en-AU" w:eastAsia="en-AU"/>
              </w:rPr>
              <w:drawing>
                <wp:inline distT="0" distB="0" distL="0" distR="0" wp14:anchorId="53200D5A" wp14:editId="0FAD1A41">
                  <wp:extent cx="1061085" cy="1501140"/>
                  <wp:effectExtent l="0" t="0" r="5715" b="3810"/>
                  <wp:docPr id="3" name="Picture 3" descr="Abb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b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61085" cy="1501140"/>
                          </a:xfrm>
                          <a:prstGeom prst="rect">
                            <a:avLst/>
                          </a:prstGeom>
                          <a:noFill/>
                          <a:ln>
                            <a:noFill/>
                          </a:ln>
                        </pic:spPr>
                      </pic:pic>
                    </a:graphicData>
                  </a:graphic>
                </wp:inline>
              </w:drawing>
            </w:r>
            <w:r w:rsidRPr="004A4600">
              <w:rPr>
                <w:lang w:val="en-US"/>
              </w:rPr>
              <w:tab/>
              <w:t>7</w:t>
            </w:r>
          </w:p>
        </w:tc>
        <w:tc>
          <w:tcPr>
            <w:tcW w:w="6491" w:type="dxa"/>
          </w:tcPr>
          <w:p w:rsidR="002E09FB" w:rsidRPr="004A4600" w:rsidRDefault="002E09FB" w:rsidP="0019180F">
            <w:pPr>
              <w:pStyle w:val="DocumentText"/>
              <w:spacing w:before="120" w:after="120"/>
            </w:pPr>
            <w:r w:rsidRPr="004A4600">
              <w:t xml:space="preserve">7. Draw air into an empty, sterile syringe. While the </w:t>
            </w:r>
            <w:r w:rsidR="009D6286">
              <w:t>IDELVION</w:t>
            </w:r>
            <w:r w:rsidR="0019180F" w:rsidRPr="004A4600">
              <w:rPr>
                <w:vertAlign w:val="superscript"/>
              </w:rPr>
              <w:t>®</w:t>
            </w:r>
            <w:r w:rsidRPr="004A4600">
              <w:t xml:space="preserve"> vial is upright, connect the syringe to the Mix2Vial</w:t>
            </w:r>
            <w:r w:rsidRPr="004A4600">
              <w:rPr>
                <w:vertAlign w:val="superscript"/>
              </w:rPr>
              <w:t>™</w:t>
            </w:r>
            <w:r w:rsidRPr="004A4600">
              <w:t>’s Luer</w:t>
            </w:r>
            <w:r w:rsidR="00505721">
              <w:t> </w:t>
            </w:r>
            <w:r w:rsidRPr="004A4600">
              <w:t xml:space="preserve">Lock fitting by screwing clockwise. Inject air into the </w:t>
            </w:r>
            <w:r w:rsidR="009D6286">
              <w:t>IDELVION</w:t>
            </w:r>
            <w:r w:rsidR="0019180F" w:rsidRPr="004A4600">
              <w:rPr>
                <w:vertAlign w:val="superscript"/>
              </w:rPr>
              <w:t>®</w:t>
            </w:r>
            <w:r w:rsidRPr="004A4600">
              <w:t xml:space="preserve"> vial.</w:t>
            </w:r>
          </w:p>
        </w:tc>
      </w:tr>
    </w:tbl>
    <w:p w:rsidR="00856F0C" w:rsidRPr="004A4600" w:rsidRDefault="00856F0C" w:rsidP="00BE1AC6">
      <w:pPr>
        <w:pStyle w:val="DocumentText"/>
        <w:keepNext/>
        <w:spacing w:before="240" w:after="120"/>
        <w:rPr>
          <w:b/>
          <w:i/>
          <w:sz w:val="28"/>
          <w:szCs w:val="28"/>
        </w:rPr>
      </w:pPr>
      <w:r w:rsidRPr="004A4600">
        <w:rPr>
          <w:b/>
          <w:i/>
          <w:sz w:val="28"/>
          <w:szCs w:val="28"/>
        </w:rPr>
        <w:t>Withdrawal and application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6491"/>
      </w:tblGrid>
      <w:tr w:rsidR="00856F0C" w:rsidRPr="004A4600" w:rsidTr="005409DF">
        <w:tc>
          <w:tcPr>
            <w:tcW w:w="2581" w:type="dxa"/>
          </w:tcPr>
          <w:p w:rsidR="00856F0C" w:rsidRPr="004A4600" w:rsidRDefault="000B44A6" w:rsidP="000B44A6">
            <w:pPr>
              <w:pStyle w:val="LAFISPCNormal"/>
              <w:tabs>
                <w:tab w:val="clear" w:pos="567"/>
                <w:tab w:val="left" w:pos="709"/>
                <w:tab w:val="left" w:pos="1973"/>
              </w:tabs>
              <w:spacing w:before="120" w:after="120"/>
              <w:ind w:left="0"/>
              <w:jc w:val="center"/>
              <w:rPr>
                <w:lang w:val="en-US"/>
              </w:rPr>
            </w:pPr>
            <w:r w:rsidRPr="004A4600">
              <w:rPr>
                <w:lang w:val="en-US"/>
              </w:rPr>
              <w:tab/>
            </w:r>
            <w:r w:rsidRPr="004A4600">
              <w:rPr>
                <w:noProof/>
                <w:lang w:val="en-AU" w:eastAsia="en-AU"/>
              </w:rPr>
              <w:drawing>
                <wp:inline distT="0" distB="0" distL="0" distR="0" wp14:anchorId="7ED4D9F2" wp14:editId="46BA0ACE">
                  <wp:extent cx="293370" cy="1509395"/>
                  <wp:effectExtent l="0" t="0" r="0" b="0"/>
                  <wp:docPr id="2" name="Picture 2" descr="Abb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bb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3370" cy="1509395"/>
                          </a:xfrm>
                          <a:prstGeom prst="rect">
                            <a:avLst/>
                          </a:prstGeom>
                          <a:noFill/>
                          <a:ln>
                            <a:noFill/>
                          </a:ln>
                        </pic:spPr>
                      </pic:pic>
                    </a:graphicData>
                  </a:graphic>
                </wp:inline>
              </w:drawing>
            </w:r>
            <w:r w:rsidRPr="004A4600">
              <w:rPr>
                <w:lang w:val="en-US"/>
              </w:rPr>
              <w:tab/>
            </w:r>
            <w:r w:rsidR="00856F0C" w:rsidRPr="004A4600">
              <w:rPr>
                <w:lang w:val="en-US"/>
              </w:rPr>
              <w:t>8</w:t>
            </w:r>
          </w:p>
        </w:tc>
        <w:tc>
          <w:tcPr>
            <w:tcW w:w="6491" w:type="dxa"/>
          </w:tcPr>
          <w:p w:rsidR="00856F0C" w:rsidRDefault="00856F0C" w:rsidP="000B44A6">
            <w:pPr>
              <w:pStyle w:val="DocumentText"/>
              <w:spacing w:before="120" w:after="120"/>
            </w:pPr>
            <w:r w:rsidRPr="004A4600">
              <w:t>8. While keeping the syringe plunger pressed, turn the system upside down and draw the solution into the syringe by pulling the plunger back slowly.</w:t>
            </w:r>
          </w:p>
          <w:p w:rsidR="002A2E92" w:rsidRDefault="002A2E92" w:rsidP="000B44A6">
            <w:pPr>
              <w:pStyle w:val="DocumentText"/>
              <w:spacing w:before="120" w:after="120"/>
            </w:pPr>
          </w:p>
          <w:p w:rsidR="002A2E92" w:rsidRDefault="002A2E92" w:rsidP="000B44A6">
            <w:pPr>
              <w:pStyle w:val="DocumentText"/>
              <w:spacing w:before="120" w:after="120"/>
            </w:pPr>
          </w:p>
          <w:p w:rsidR="002A2E92" w:rsidRDefault="002A2E92" w:rsidP="000B44A6">
            <w:pPr>
              <w:pStyle w:val="DocumentText"/>
              <w:spacing w:before="120" w:after="120"/>
            </w:pPr>
          </w:p>
          <w:p w:rsidR="002A2E92" w:rsidRPr="004A4600" w:rsidRDefault="002A2E92" w:rsidP="000B44A6">
            <w:pPr>
              <w:pStyle w:val="DocumentText"/>
              <w:spacing w:before="120" w:after="120"/>
            </w:pPr>
          </w:p>
        </w:tc>
      </w:tr>
      <w:tr w:rsidR="00856F0C" w:rsidRPr="004A4600" w:rsidTr="005409DF">
        <w:tc>
          <w:tcPr>
            <w:tcW w:w="2581" w:type="dxa"/>
          </w:tcPr>
          <w:p w:rsidR="00606E6A" w:rsidRPr="004A4600" w:rsidRDefault="00606E6A" w:rsidP="000B44A6">
            <w:pPr>
              <w:pStyle w:val="LAFISPCNormal"/>
              <w:tabs>
                <w:tab w:val="clear" w:pos="567"/>
                <w:tab w:val="left" w:pos="709"/>
                <w:tab w:val="left" w:pos="1954"/>
              </w:tabs>
              <w:spacing w:before="120" w:after="120"/>
              <w:ind w:left="0"/>
              <w:jc w:val="center"/>
              <w:rPr>
                <w:lang w:val="en-US"/>
              </w:rPr>
            </w:pPr>
          </w:p>
          <w:p w:rsidR="00856F0C" w:rsidRPr="004A4600" w:rsidRDefault="000B44A6" w:rsidP="000B44A6">
            <w:pPr>
              <w:pStyle w:val="LAFISPCNormal"/>
              <w:tabs>
                <w:tab w:val="clear" w:pos="567"/>
                <w:tab w:val="left" w:pos="709"/>
                <w:tab w:val="left" w:pos="1954"/>
              </w:tabs>
              <w:spacing w:before="120" w:after="120"/>
              <w:ind w:left="0"/>
              <w:jc w:val="center"/>
              <w:rPr>
                <w:lang w:val="en-US"/>
              </w:rPr>
            </w:pPr>
            <w:r w:rsidRPr="004A4600">
              <w:rPr>
                <w:lang w:val="en-US"/>
              </w:rPr>
              <w:tab/>
            </w:r>
            <w:r w:rsidRPr="004A4600">
              <w:rPr>
                <w:noProof/>
                <w:lang w:val="en-AU" w:eastAsia="en-AU"/>
              </w:rPr>
              <w:drawing>
                <wp:inline distT="0" distB="0" distL="0" distR="0" wp14:anchorId="6A3D5E45" wp14:editId="4F566A50">
                  <wp:extent cx="276225" cy="1518285"/>
                  <wp:effectExtent l="0" t="0" r="952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518285"/>
                          </a:xfrm>
                          <a:prstGeom prst="rect">
                            <a:avLst/>
                          </a:prstGeom>
                          <a:noFill/>
                          <a:ln>
                            <a:noFill/>
                          </a:ln>
                        </pic:spPr>
                      </pic:pic>
                    </a:graphicData>
                  </a:graphic>
                </wp:inline>
              </w:drawing>
            </w:r>
            <w:r w:rsidRPr="004A4600">
              <w:rPr>
                <w:lang w:val="en-US"/>
              </w:rPr>
              <w:tab/>
            </w:r>
            <w:r w:rsidR="00856F0C" w:rsidRPr="004A4600">
              <w:rPr>
                <w:lang w:val="en-US"/>
              </w:rPr>
              <w:t>9</w:t>
            </w:r>
          </w:p>
        </w:tc>
        <w:tc>
          <w:tcPr>
            <w:tcW w:w="6491" w:type="dxa"/>
          </w:tcPr>
          <w:p w:rsidR="00856F0C" w:rsidRPr="004A4600" w:rsidRDefault="00856F0C" w:rsidP="000B44A6">
            <w:pPr>
              <w:pStyle w:val="DocumentText"/>
              <w:spacing w:before="120" w:after="120"/>
            </w:pPr>
            <w:r w:rsidRPr="004A4600">
              <w:t>9. Now that the solution has been transferred into the syringe, firmly hold on to the barrel of the syringe (keeping the syringe plunger facing down) and disconnect the transparent Mix2Vial</w:t>
            </w:r>
            <w:r w:rsidR="00A763F2" w:rsidRPr="004A4600">
              <w:rPr>
                <w:vertAlign w:val="superscript"/>
              </w:rPr>
              <w:t>™</w:t>
            </w:r>
            <w:r w:rsidRPr="004A4600">
              <w:t xml:space="preserve"> adapter from the syringe by unscrewing counterclockwise.</w:t>
            </w:r>
          </w:p>
        </w:tc>
      </w:tr>
    </w:tbl>
    <w:p w:rsidR="00856F0C" w:rsidRPr="004A4600" w:rsidRDefault="00856F0C" w:rsidP="005409DF">
      <w:pPr>
        <w:pStyle w:val="DocumentText"/>
        <w:spacing w:before="240"/>
      </w:pPr>
      <w:r w:rsidRPr="004A4600">
        <w:lastRenderedPageBreak/>
        <w:t>For injection of</w:t>
      </w:r>
      <w:r w:rsidR="001332D9" w:rsidRPr="004A4600">
        <w:t xml:space="preserve"> </w:t>
      </w:r>
      <w:r w:rsidR="009D6286">
        <w:t>IDELVION</w:t>
      </w:r>
      <w:r w:rsidR="001332D9" w:rsidRPr="004A4600">
        <w:rPr>
          <w:vertAlign w:val="superscript"/>
        </w:rPr>
        <w:t>®</w:t>
      </w:r>
      <w:r w:rsidRPr="004A4600">
        <w:t>, the provided administration sets</w:t>
      </w:r>
      <w:r w:rsidR="00C72779">
        <w:t xml:space="preserve"> are recommended to</w:t>
      </w:r>
      <w:r w:rsidRPr="004A4600">
        <w:t xml:space="preserve"> be used because treatment failure can occur as a consequence of FIX adsorption to the internal surface of some injection equipment.</w:t>
      </w:r>
    </w:p>
    <w:p w:rsidR="007776C4" w:rsidRPr="005E33D1" w:rsidRDefault="00856F0C" w:rsidP="00893345">
      <w:pPr>
        <w:pStyle w:val="DocumentText"/>
      </w:pPr>
      <w:r w:rsidRPr="004A4600">
        <w:t>Care should be taken that no blood</w:t>
      </w:r>
      <w:r w:rsidRPr="00D17187">
        <w:t xml:space="preserve"> enters the syringe filled with </w:t>
      </w:r>
      <w:r w:rsidR="009D6286">
        <w:t>IDELVION</w:t>
      </w:r>
      <w:r w:rsidR="0019180F">
        <w:rPr>
          <w:vertAlign w:val="superscript"/>
        </w:rPr>
        <w:t>®</w:t>
      </w:r>
      <w:r w:rsidRPr="00D17187">
        <w:t>, as there is a risk that the blood could coagulate in the syringe and fibrin clots could therefore be administered to the patient.</w:t>
      </w:r>
      <w:r w:rsidR="00091E44">
        <w:t xml:space="preserve"> </w:t>
      </w:r>
      <w:r w:rsidR="005E33D1">
        <w:t>If blood enters the syringe</w:t>
      </w:r>
      <w:r w:rsidR="00F4024A">
        <w:t xml:space="preserve"> </w:t>
      </w:r>
      <w:r w:rsidR="005E33D1">
        <w:t>discard and prepare a new vial of IDELVION</w:t>
      </w:r>
      <w:r w:rsidR="005E33D1">
        <w:rPr>
          <w:vertAlign w:val="superscript"/>
        </w:rPr>
        <w:t>®</w:t>
      </w:r>
      <w:r w:rsidR="005E33D1">
        <w:t>.</w:t>
      </w:r>
    </w:p>
    <w:p w:rsidR="00856F0C" w:rsidRDefault="00856F0C" w:rsidP="00893345">
      <w:pPr>
        <w:pStyle w:val="DocumentText"/>
      </w:pPr>
      <w:r w:rsidRPr="00D17187">
        <w:t xml:space="preserve">The </w:t>
      </w:r>
      <w:r w:rsidR="009D6286">
        <w:t>IDELVION</w:t>
      </w:r>
      <w:r w:rsidR="001332D9" w:rsidRPr="00151E18">
        <w:rPr>
          <w:vertAlign w:val="superscript"/>
        </w:rPr>
        <w:t>®</w:t>
      </w:r>
      <w:r w:rsidR="001332D9">
        <w:t xml:space="preserve"> </w:t>
      </w:r>
      <w:r w:rsidRPr="00D17187">
        <w:t>solution must not be diluted.</w:t>
      </w:r>
    </w:p>
    <w:p w:rsidR="00137C30" w:rsidRPr="00B349E4" w:rsidRDefault="00137C30" w:rsidP="00BE1AC6">
      <w:pPr>
        <w:pStyle w:val="DocumentText"/>
        <w:keepNext/>
        <w:spacing w:before="120" w:after="120"/>
        <w:rPr>
          <w:i/>
        </w:rPr>
      </w:pPr>
      <w:r w:rsidRPr="00B349E4">
        <w:rPr>
          <w:b/>
          <w:i/>
          <w:sz w:val="28"/>
          <w:szCs w:val="28"/>
        </w:rPr>
        <w:t>Administration</w:t>
      </w:r>
    </w:p>
    <w:p w:rsidR="00137C30" w:rsidRDefault="00856F0C" w:rsidP="00BE1AC6">
      <w:pPr>
        <w:pStyle w:val="DocumentText"/>
        <w:keepNext/>
      </w:pPr>
      <w:r w:rsidRPr="00D17187">
        <w:t>Intravenous use.</w:t>
      </w:r>
    </w:p>
    <w:p w:rsidR="00856F0C" w:rsidRDefault="00856F0C" w:rsidP="003C74A1">
      <w:pPr>
        <w:pStyle w:val="DocumentText"/>
      </w:pPr>
      <w:r w:rsidRPr="00785A68">
        <w:t xml:space="preserve">For instructions on reconstitution of the medicinal product before administration, see </w:t>
      </w:r>
      <w:r w:rsidR="00C3580D">
        <w:rPr>
          <w:b/>
        </w:rPr>
        <w:t>General instructions</w:t>
      </w:r>
      <w:r w:rsidRPr="00785A68">
        <w:t>. The reconstituted preparation should be injected slowly intravenously at a rate comfortable for the patient.</w:t>
      </w:r>
    </w:p>
    <w:p w:rsidR="001102F7" w:rsidRDefault="001102F7" w:rsidP="003C74A1">
      <w:pPr>
        <w:pStyle w:val="DocumentText"/>
      </w:pPr>
      <w:r w:rsidRPr="009E605D">
        <w:t xml:space="preserve">The patient should be observed for any immediate reaction. If any reaction takes place that might be related to the administration of </w:t>
      </w:r>
      <w:r w:rsidR="007B584A">
        <w:t>IDELVION</w:t>
      </w:r>
      <w:r w:rsidR="007B584A" w:rsidRPr="00151E18">
        <w:rPr>
          <w:vertAlign w:val="superscript"/>
        </w:rPr>
        <w:t>®</w:t>
      </w:r>
      <w:r w:rsidRPr="009E605D">
        <w:t>, the rate of injection should be decreased or the application should be stopped, as required by the clinical condition of the patient</w:t>
      </w:r>
      <w:r>
        <w:t>.</w:t>
      </w:r>
      <w:r w:rsidRPr="009E605D">
        <w:t xml:space="preserve"> </w:t>
      </w:r>
      <w:r>
        <w:t>S</w:t>
      </w:r>
      <w:r w:rsidRPr="009E605D">
        <w:t xml:space="preserve">ee </w:t>
      </w:r>
      <w:r w:rsidRPr="000003A2">
        <w:rPr>
          <w:b/>
        </w:rPr>
        <w:t>PRECAUTIONS</w:t>
      </w:r>
      <w:r w:rsidRPr="009E605D">
        <w:t>.</w:t>
      </w:r>
    </w:p>
    <w:p w:rsidR="00683D94" w:rsidRPr="0072554A" w:rsidRDefault="00683D94" w:rsidP="00683D94">
      <w:pPr>
        <w:pStyle w:val="DocumentText"/>
        <w:rPr>
          <w:lang w:val="en-AU"/>
        </w:rPr>
      </w:pPr>
      <w:r w:rsidRPr="0072554A" w:rsidDel="0004629A">
        <w:rPr>
          <w:lang w:val="en-AU"/>
        </w:rPr>
        <w:t>Use in one patient on one occasion only.</w:t>
      </w:r>
    </w:p>
    <w:p w:rsidR="00683D94" w:rsidRPr="0072554A" w:rsidRDefault="00683D94" w:rsidP="00683D94">
      <w:pPr>
        <w:pStyle w:val="DocumentText"/>
        <w:rPr>
          <w:lang w:val="en-AU"/>
        </w:rPr>
      </w:pPr>
      <w:r w:rsidRPr="0072554A">
        <w:rPr>
          <w:lang w:val="en-AU"/>
        </w:rPr>
        <w:t>Any unused medicinal product or waste material should be disposed of in acco</w:t>
      </w:r>
      <w:r w:rsidR="00645A47">
        <w:rPr>
          <w:lang w:val="en-AU"/>
        </w:rPr>
        <w:t>rdance with local requirements.</w:t>
      </w:r>
    </w:p>
    <w:p w:rsidR="00683D94" w:rsidRDefault="00FB1DC7" w:rsidP="00FB1DC7">
      <w:pPr>
        <w:pStyle w:val="DocumentText"/>
      </w:pPr>
      <w:r w:rsidRPr="00E90699">
        <w:t xml:space="preserve">It is strongly recommended that every time that </w:t>
      </w:r>
      <w:r w:rsidR="009D6286">
        <w:t>IDELVION</w:t>
      </w:r>
      <w:r w:rsidR="001332D9" w:rsidRPr="00151E18">
        <w:rPr>
          <w:vertAlign w:val="superscript"/>
        </w:rPr>
        <w:t>®</w:t>
      </w:r>
      <w:r w:rsidR="001332D9">
        <w:t xml:space="preserve"> </w:t>
      </w:r>
      <w:r w:rsidRPr="00E90699">
        <w:t>is administered to a patient, the name and batch number of the product are recorded in order to maintain a link between the patient and the batch of the medicinal product.</w:t>
      </w:r>
    </w:p>
    <w:p w:rsidR="00856F0C" w:rsidRPr="00B349E4" w:rsidRDefault="00856F0C" w:rsidP="00BE1AC6">
      <w:pPr>
        <w:pStyle w:val="DocumentText"/>
        <w:keepNext/>
        <w:spacing w:before="120" w:after="120"/>
        <w:rPr>
          <w:b/>
          <w:i/>
          <w:sz w:val="28"/>
          <w:szCs w:val="28"/>
        </w:rPr>
      </w:pPr>
      <w:r w:rsidRPr="00B349E4">
        <w:rPr>
          <w:b/>
          <w:i/>
          <w:sz w:val="28"/>
          <w:szCs w:val="28"/>
        </w:rPr>
        <w:t>Compatibility with other medicines</w:t>
      </w:r>
    </w:p>
    <w:p w:rsidR="00856F0C" w:rsidRPr="00B1677F" w:rsidRDefault="00856F0C" w:rsidP="00856F0C">
      <w:pPr>
        <w:pStyle w:val="DocumentText"/>
      </w:pPr>
      <w:r w:rsidRPr="000F3841">
        <w:t xml:space="preserve">In the absence of compatibility studies, this medicinal product must not be mixed with other medicinal products, diluents or solvents except those mentioned in </w:t>
      </w:r>
      <w:r w:rsidRPr="00DA5358">
        <w:t xml:space="preserve">section </w:t>
      </w:r>
      <w:r w:rsidRPr="00DA5358">
        <w:rPr>
          <w:b/>
        </w:rPr>
        <w:t>DESCRIPTION</w:t>
      </w:r>
      <w:r w:rsidRPr="00DA5358">
        <w:t>.</w:t>
      </w:r>
    </w:p>
    <w:p w:rsidR="00137C30" w:rsidRPr="00B1677F" w:rsidRDefault="00137C30" w:rsidP="00393118">
      <w:pPr>
        <w:pStyle w:val="Heading2"/>
        <w:numPr>
          <w:ilvl w:val="0"/>
          <w:numId w:val="0"/>
        </w:numPr>
        <w:ind w:left="1901" w:hanging="1901"/>
      </w:pPr>
      <w:r w:rsidRPr="00B1677F">
        <w:lastRenderedPageBreak/>
        <w:t>OVERDOSAGE</w:t>
      </w:r>
    </w:p>
    <w:p w:rsidR="0045308B" w:rsidRDefault="00856F0C" w:rsidP="0045308B">
      <w:pPr>
        <w:pStyle w:val="DocumentText"/>
      </w:pPr>
      <w:r w:rsidRPr="00D17187">
        <w:t xml:space="preserve">No symptoms of overdose with </w:t>
      </w:r>
      <w:r w:rsidR="009D6286">
        <w:t>IDELVION</w:t>
      </w:r>
      <w:r w:rsidR="001332D9" w:rsidRPr="00151E18">
        <w:rPr>
          <w:vertAlign w:val="superscript"/>
        </w:rPr>
        <w:t>®</w:t>
      </w:r>
      <w:r w:rsidR="001332D9">
        <w:t xml:space="preserve"> </w:t>
      </w:r>
      <w:r w:rsidRPr="00D17187">
        <w:t>have been reported.</w:t>
      </w:r>
    </w:p>
    <w:p w:rsidR="0045308B" w:rsidRDefault="003663EA" w:rsidP="0045308B">
      <w:pPr>
        <w:pStyle w:val="DocumentText"/>
        <w:spacing w:after="0"/>
      </w:pPr>
      <w:r>
        <w:t xml:space="preserve">For </w:t>
      </w:r>
      <w:r w:rsidR="0045308B">
        <w:t xml:space="preserve">general advice </w:t>
      </w:r>
      <w:r>
        <w:t xml:space="preserve">on </w:t>
      </w:r>
      <w:r w:rsidR="0045308B">
        <w:t>overdose management</w:t>
      </w:r>
      <w:r w:rsidR="00B059F6">
        <w:t xml:space="preserve"> </w:t>
      </w:r>
      <w:r w:rsidR="0045308B">
        <w:t>contact the Po</w:t>
      </w:r>
      <w:r w:rsidR="00B059F6">
        <w:t>isons Information Centre on 131 </w:t>
      </w:r>
      <w:r w:rsidR="0045308B">
        <w:t>126.</w:t>
      </w:r>
    </w:p>
    <w:p w:rsidR="001B7CD7" w:rsidRPr="00B1677F" w:rsidRDefault="005B39D4" w:rsidP="00393118">
      <w:pPr>
        <w:pStyle w:val="Heading2"/>
        <w:numPr>
          <w:ilvl w:val="0"/>
          <w:numId w:val="0"/>
        </w:numPr>
        <w:ind w:left="1901" w:hanging="1901"/>
      </w:pPr>
      <w:r w:rsidRPr="00B1677F">
        <w:t>PRESENTATION</w:t>
      </w:r>
      <w:r w:rsidR="001B7CD7" w:rsidRPr="00B1677F">
        <w:t xml:space="preserve"> AND STORAGE CONDITIONS</w:t>
      </w:r>
    </w:p>
    <w:p w:rsidR="008611BA" w:rsidRDefault="008611BA" w:rsidP="008611BA">
      <w:pPr>
        <w:pStyle w:val="DocumentText"/>
      </w:pPr>
      <w:r>
        <w:t>Store</w:t>
      </w:r>
      <w:r w:rsidRPr="00A607D3">
        <w:t xml:space="preserve"> at 2–25°C.</w:t>
      </w:r>
      <w:r>
        <w:t xml:space="preserve"> </w:t>
      </w:r>
      <w:r w:rsidRPr="00A607D3">
        <w:t>Do not freeze. Keep vials in the outer carton in order to protect from light.</w:t>
      </w:r>
    </w:p>
    <w:p w:rsidR="00137C30" w:rsidRDefault="00856F0C" w:rsidP="00393118">
      <w:pPr>
        <w:pStyle w:val="DocumentText"/>
      </w:pPr>
      <w:r w:rsidRPr="00CC37C8">
        <w:t>After reconstitution the chemical and physical in-use stability has been demonstrated for 8 hours at room temperature (below 25°C).</w:t>
      </w:r>
    </w:p>
    <w:p w:rsidR="00503D5D" w:rsidRDefault="00503D5D" w:rsidP="00393118">
      <w:pPr>
        <w:pStyle w:val="DocumentText"/>
      </w:pPr>
      <w:r>
        <w:rPr>
          <w:lang w:val="en-AU"/>
        </w:rPr>
        <w:t xml:space="preserve">As </w:t>
      </w:r>
      <w:r w:rsidR="009D6286">
        <w:rPr>
          <w:lang w:val="en-AU"/>
        </w:rPr>
        <w:t>IDELVION</w:t>
      </w:r>
      <w:r w:rsidRPr="00503D5D">
        <w:rPr>
          <w:vertAlign w:val="superscript"/>
          <w:lang w:val="en-AU"/>
        </w:rPr>
        <w:t>®</w:t>
      </w:r>
      <w:r>
        <w:rPr>
          <w:lang w:val="en-AU"/>
        </w:rPr>
        <w:t xml:space="preserve"> </w:t>
      </w:r>
      <w:r w:rsidRPr="0072554A">
        <w:rPr>
          <w:lang w:val="en-AU"/>
        </w:rPr>
        <w:t>contain</w:t>
      </w:r>
      <w:r>
        <w:rPr>
          <w:lang w:val="en-AU"/>
        </w:rPr>
        <w:t>s</w:t>
      </w:r>
      <w:r w:rsidRPr="0072554A">
        <w:rPr>
          <w:lang w:val="en-AU"/>
        </w:rPr>
        <w:t xml:space="preserve"> </w:t>
      </w:r>
      <w:r>
        <w:rPr>
          <w:lang w:val="en-AU"/>
        </w:rPr>
        <w:t>no</w:t>
      </w:r>
      <w:r w:rsidRPr="0072554A">
        <w:rPr>
          <w:lang w:val="en-AU"/>
        </w:rPr>
        <w:t xml:space="preserve"> </w:t>
      </w:r>
      <w:r>
        <w:rPr>
          <w:lang w:val="en-AU"/>
        </w:rPr>
        <w:t xml:space="preserve">antimicrobial </w:t>
      </w:r>
      <w:r w:rsidRPr="0072554A">
        <w:rPr>
          <w:lang w:val="en-AU"/>
        </w:rPr>
        <w:t>preservative</w:t>
      </w:r>
      <w:r>
        <w:rPr>
          <w:lang w:val="en-AU"/>
        </w:rPr>
        <w:t>s, the product should be used within 4</w:t>
      </w:r>
      <w:r w:rsidR="00B343DD">
        <w:rPr>
          <w:lang w:val="en-AU"/>
        </w:rPr>
        <w:t> </w:t>
      </w:r>
      <w:r>
        <w:rPr>
          <w:lang w:val="en-AU"/>
        </w:rPr>
        <w:t xml:space="preserve">hours of reconstitution. Keep at </w:t>
      </w:r>
      <w:r>
        <w:t>room temperature (below 25</w:t>
      </w:r>
      <w:r w:rsidRPr="00CC37C8">
        <w:t>°C</w:t>
      </w:r>
      <w:r>
        <w:t>)</w:t>
      </w:r>
      <w:r w:rsidRPr="00CC37C8">
        <w:t>.</w:t>
      </w:r>
    </w:p>
    <w:p w:rsidR="00856F0C" w:rsidRDefault="004125DC" w:rsidP="00393118">
      <w:pPr>
        <w:pStyle w:val="DocumentText"/>
      </w:pPr>
      <w:r w:rsidRPr="0072554A">
        <w:rPr>
          <w:lang w:val="en-AU"/>
        </w:rPr>
        <w:t>Do not use after the expiry date.</w:t>
      </w:r>
    </w:p>
    <w:p w:rsidR="00856F0C" w:rsidRPr="00076D2F" w:rsidRDefault="00856F0C" w:rsidP="00B349E4">
      <w:pPr>
        <w:pStyle w:val="Heading3"/>
        <w:numPr>
          <w:ilvl w:val="0"/>
          <w:numId w:val="0"/>
        </w:numPr>
        <w:ind w:left="2138" w:hanging="2138"/>
      </w:pPr>
      <w:r w:rsidRPr="00076D2F">
        <w:t>Immediate containers</w:t>
      </w:r>
    </w:p>
    <w:p w:rsidR="00856F0C" w:rsidRDefault="00856F0C" w:rsidP="00C26C99">
      <w:pPr>
        <w:pStyle w:val="DocumentText"/>
        <w:keepNext/>
        <w:numPr>
          <w:ilvl w:val="0"/>
          <w:numId w:val="6"/>
        </w:numPr>
        <w:spacing w:after="120"/>
        <w:ind w:left="357" w:hanging="357"/>
      </w:pPr>
      <w:r w:rsidRPr="00A607D3">
        <w:t>Powder (250/500/1000 IU) in a 6 mL vial (type</w:t>
      </w:r>
      <w:r w:rsidR="00645A47">
        <w:t> </w:t>
      </w:r>
      <w:r w:rsidRPr="00A607D3">
        <w:t xml:space="preserve">I glass), with a stopper (rubber) a disc </w:t>
      </w:r>
      <w:r w:rsidR="00C26C99">
        <w:t>(plastic) and a cap (aluminium)</w:t>
      </w:r>
    </w:p>
    <w:p w:rsidR="00856F0C" w:rsidRDefault="00856F0C" w:rsidP="00297E8D">
      <w:pPr>
        <w:pStyle w:val="DocumentText"/>
        <w:keepNext/>
        <w:spacing w:after="120"/>
        <w:ind w:left="357"/>
      </w:pPr>
      <w:r>
        <w:t>2</w:t>
      </w:r>
      <w:r w:rsidRPr="00A607D3">
        <w:t xml:space="preserve">.5 mL of </w:t>
      </w:r>
      <w:r w:rsidR="005878BB">
        <w:rPr>
          <w:kern w:val="0"/>
          <w:lang w:val="en-AU"/>
        </w:rPr>
        <w:t xml:space="preserve">Water </w:t>
      </w:r>
      <w:r w:rsidR="009D03D3">
        <w:rPr>
          <w:kern w:val="0"/>
          <w:lang w:val="en-AU"/>
        </w:rPr>
        <w:t xml:space="preserve">for </w:t>
      </w:r>
      <w:r w:rsidR="005878BB">
        <w:rPr>
          <w:kern w:val="0"/>
          <w:lang w:val="en-AU"/>
        </w:rPr>
        <w:t xml:space="preserve">Injections </w:t>
      </w:r>
      <w:r w:rsidRPr="00A607D3">
        <w:t>in a vial (type</w:t>
      </w:r>
      <w:r w:rsidR="00645A47">
        <w:t> </w:t>
      </w:r>
      <w:r w:rsidRPr="00A607D3">
        <w:t xml:space="preserve">I glass), with a stopper (rubber) a disc </w:t>
      </w:r>
      <w:r w:rsidR="00C26C99">
        <w:t>(plastic) and a cap (aluminium)</w:t>
      </w:r>
    </w:p>
    <w:p w:rsidR="00856F0C" w:rsidRDefault="00856F0C" w:rsidP="00C26C99">
      <w:pPr>
        <w:pStyle w:val="DocumentText"/>
        <w:keepNext/>
        <w:numPr>
          <w:ilvl w:val="0"/>
          <w:numId w:val="6"/>
        </w:numPr>
        <w:spacing w:after="120"/>
        <w:ind w:left="357" w:hanging="357"/>
      </w:pPr>
      <w:r w:rsidRPr="00A607D3">
        <w:t xml:space="preserve">Powder (2000 IU) in a 10 mL vial (type I glass), with a stopper (rubber) a disc </w:t>
      </w:r>
      <w:r w:rsidR="00C26C99">
        <w:t>(plastic) and a cap (aluminium)</w:t>
      </w:r>
    </w:p>
    <w:p w:rsidR="00856F0C" w:rsidRDefault="00856F0C" w:rsidP="00297E8D">
      <w:pPr>
        <w:pStyle w:val="DocumentText"/>
        <w:keepNext/>
        <w:ind w:left="357"/>
      </w:pPr>
      <w:r w:rsidRPr="00A607D3">
        <w:t xml:space="preserve">5 mL of </w:t>
      </w:r>
      <w:r w:rsidR="005878BB">
        <w:rPr>
          <w:kern w:val="0"/>
          <w:lang w:val="en-AU"/>
        </w:rPr>
        <w:t xml:space="preserve">Water </w:t>
      </w:r>
      <w:r w:rsidR="009D03D3">
        <w:rPr>
          <w:kern w:val="0"/>
          <w:lang w:val="en-AU"/>
        </w:rPr>
        <w:t xml:space="preserve">for </w:t>
      </w:r>
      <w:r w:rsidR="005878BB">
        <w:rPr>
          <w:kern w:val="0"/>
          <w:lang w:val="en-AU"/>
        </w:rPr>
        <w:t xml:space="preserve">Injections </w:t>
      </w:r>
      <w:r w:rsidRPr="00A607D3">
        <w:t>in a vial (type</w:t>
      </w:r>
      <w:r w:rsidR="00645A47">
        <w:t> </w:t>
      </w:r>
      <w:r w:rsidRPr="00A607D3">
        <w:t>I glass), with a stopper (rubber) a disc (plastic) and a cap (aluminium).</w:t>
      </w:r>
    </w:p>
    <w:p w:rsidR="00856F0C" w:rsidRPr="00076D2F" w:rsidRDefault="00856F0C" w:rsidP="00BE1AC6">
      <w:pPr>
        <w:pStyle w:val="Heading3"/>
        <w:numPr>
          <w:ilvl w:val="0"/>
          <w:numId w:val="0"/>
        </w:numPr>
        <w:ind w:left="2138" w:hanging="2138"/>
      </w:pPr>
      <w:r w:rsidRPr="00076D2F">
        <w:t>Presentation</w:t>
      </w:r>
    </w:p>
    <w:p w:rsidR="00FC1805" w:rsidRPr="00B349E4" w:rsidRDefault="00FC1805" w:rsidP="00BE1AC6">
      <w:pPr>
        <w:pStyle w:val="DocumentText"/>
        <w:keepNext/>
        <w:spacing w:before="120" w:after="120"/>
        <w:rPr>
          <w:b/>
          <w:i/>
          <w:sz w:val="28"/>
          <w:szCs w:val="28"/>
        </w:rPr>
      </w:pPr>
      <w:r w:rsidRPr="00B349E4">
        <w:rPr>
          <w:b/>
          <w:i/>
          <w:sz w:val="28"/>
          <w:szCs w:val="28"/>
        </w:rPr>
        <w:t>One pack with 250, 500 or 1000</w:t>
      </w:r>
      <w:r w:rsidR="00645A47">
        <w:t> </w:t>
      </w:r>
      <w:r w:rsidRPr="00B349E4">
        <w:rPr>
          <w:b/>
          <w:i/>
          <w:sz w:val="28"/>
          <w:szCs w:val="28"/>
        </w:rPr>
        <w:t>IU containing:</w:t>
      </w:r>
    </w:p>
    <w:p w:rsidR="00FC1805" w:rsidRPr="00A607D3" w:rsidRDefault="00FC1805" w:rsidP="00FC1805">
      <w:pPr>
        <w:spacing w:after="0" w:line="240" w:lineRule="auto"/>
        <w:rPr>
          <w:kern w:val="0"/>
          <w:lang w:val="en-AU"/>
        </w:rPr>
      </w:pPr>
      <w:r w:rsidRPr="00A607D3">
        <w:rPr>
          <w:kern w:val="0"/>
          <w:lang w:val="en-AU"/>
        </w:rPr>
        <w:t>1</w:t>
      </w:r>
      <w:r w:rsidR="00645A47" w:rsidRPr="000D6B8C">
        <w:rPr>
          <w:kern w:val="0"/>
          <w:lang w:val="en-AU"/>
        </w:rPr>
        <w:t> </w:t>
      </w:r>
      <w:r w:rsidRPr="00A607D3">
        <w:rPr>
          <w:kern w:val="0"/>
          <w:lang w:val="en-AU"/>
        </w:rPr>
        <w:t>vial</w:t>
      </w:r>
      <w:r>
        <w:rPr>
          <w:kern w:val="0"/>
          <w:lang w:val="en-AU"/>
        </w:rPr>
        <w:t xml:space="preserve"> with powder</w:t>
      </w:r>
    </w:p>
    <w:p w:rsidR="00B059F6" w:rsidRDefault="00FC1805" w:rsidP="000D6B8C">
      <w:pPr>
        <w:spacing w:after="0" w:line="240" w:lineRule="auto"/>
        <w:rPr>
          <w:kern w:val="0"/>
          <w:lang w:val="en-AU"/>
        </w:rPr>
      </w:pPr>
      <w:r w:rsidRPr="00A607D3">
        <w:rPr>
          <w:kern w:val="0"/>
          <w:lang w:val="en-AU"/>
        </w:rPr>
        <w:t>1</w:t>
      </w:r>
      <w:r w:rsidR="00645A47" w:rsidRPr="000D6B8C">
        <w:rPr>
          <w:kern w:val="0"/>
          <w:lang w:val="en-AU"/>
        </w:rPr>
        <w:t> </w:t>
      </w:r>
      <w:r w:rsidRPr="00A607D3">
        <w:rPr>
          <w:kern w:val="0"/>
          <w:lang w:val="en-AU"/>
        </w:rPr>
        <w:t>vial</w:t>
      </w:r>
      <w:r>
        <w:rPr>
          <w:kern w:val="0"/>
          <w:lang w:val="en-AU"/>
        </w:rPr>
        <w:t xml:space="preserve"> with 2.5</w:t>
      </w:r>
      <w:r w:rsidR="00645A47" w:rsidRPr="000D6B8C">
        <w:rPr>
          <w:kern w:val="0"/>
          <w:lang w:val="en-AU"/>
        </w:rPr>
        <w:t> </w:t>
      </w:r>
      <w:r>
        <w:rPr>
          <w:kern w:val="0"/>
          <w:lang w:val="en-AU"/>
        </w:rPr>
        <w:t xml:space="preserve">mL </w:t>
      </w:r>
      <w:r w:rsidR="005878BB">
        <w:rPr>
          <w:kern w:val="0"/>
          <w:lang w:val="en-AU"/>
        </w:rPr>
        <w:t xml:space="preserve">Water </w:t>
      </w:r>
      <w:r>
        <w:rPr>
          <w:kern w:val="0"/>
          <w:lang w:val="en-AU"/>
        </w:rPr>
        <w:t xml:space="preserve">for </w:t>
      </w:r>
      <w:r w:rsidR="005878BB">
        <w:rPr>
          <w:kern w:val="0"/>
          <w:lang w:val="en-AU"/>
        </w:rPr>
        <w:t>Injections</w:t>
      </w:r>
    </w:p>
    <w:p w:rsidR="00FC1805" w:rsidRPr="000D6B8C" w:rsidRDefault="00FC1805" w:rsidP="000D6B8C">
      <w:pPr>
        <w:spacing w:after="0" w:line="240" w:lineRule="auto"/>
        <w:rPr>
          <w:i/>
          <w:kern w:val="0"/>
          <w:lang w:val="en-AU"/>
        </w:rPr>
      </w:pPr>
      <w:r w:rsidRPr="000D6B8C">
        <w:rPr>
          <w:i/>
          <w:kern w:val="0"/>
          <w:lang w:val="en-AU"/>
        </w:rPr>
        <w:t xml:space="preserve">One </w:t>
      </w:r>
      <w:r w:rsidR="00875CA6" w:rsidRPr="000D6B8C">
        <w:rPr>
          <w:i/>
          <w:kern w:val="0"/>
          <w:lang w:val="en-AU"/>
        </w:rPr>
        <w:t xml:space="preserve">administration </w:t>
      </w:r>
      <w:proofErr w:type="gramStart"/>
      <w:r w:rsidR="000D6B8C" w:rsidRPr="000D6B8C">
        <w:rPr>
          <w:i/>
          <w:kern w:val="0"/>
          <w:lang w:val="en-AU"/>
        </w:rPr>
        <w:t>pack</w:t>
      </w:r>
      <w:proofErr w:type="gramEnd"/>
      <w:r w:rsidR="000D6B8C" w:rsidRPr="000D6B8C">
        <w:rPr>
          <w:i/>
          <w:kern w:val="0"/>
          <w:lang w:val="en-AU"/>
        </w:rPr>
        <w:t xml:space="preserve"> </w:t>
      </w:r>
      <w:r w:rsidRPr="000D6B8C">
        <w:rPr>
          <w:i/>
          <w:kern w:val="0"/>
          <w:lang w:val="en-AU"/>
        </w:rPr>
        <w:t>containing:</w:t>
      </w:r>
    </w:p>
    <w:p w:rsidR="00FC1805" w:rsidRDefault="00FC1805" w:rsidP="00FC1805">
      <w:pPr>
        <w:spacing w:after="0" w:line="240" w:lineRule="auto"/>
        <w:rPr>
          <w:kern w:val="0"/>
          <w:lang w:val="en-AU"/>
        </w:rPr>
      </w:pPr>
      <w:r w:rsidRPr="00A607D3">
        <w:rPr>
          <w:kern w:val="0"/>
          <w:lang w:val="en-AU"/>
        </w:rPr>
        <w:t>1</w:t>
      </w:r>
      <w:r w:rsidR="00645A47">
        <w:t> </w:t>
      </w:r>
      <w:r>
        <w:rPr>
          <w:kern w:val="0"/>
          <w:lang w:val="en-AU"/>
        </w:rPr>
        <w:t>filter</w:t>
      </w:r>
      <w:r w:rsidRPr="00A607D3">
        <w:rPr>
          <w:kern w:val="0"/>
          <w:lang w:val="en-AU"/>
        </w:rPr>
        <w:t xml:space="preserve"> transfer </w:t>
      </w:r>
      <w:r>
        <w:rPr>
          <w:kern w:val="0"/>
          <w:lang w:val="en-AU"/>
        </w:rPr>
        <w:t>device 20/20</w:t>
      </w:r>
    </w:p>
    <w:p w:rsidR="00FC1805" w:rsidRDefault="00FC1805" w:rsidP="00FC1805">
      <w:pPr>
        <w:spacing w:after="0" w:line="240" w:lineRule="auto"/>
        <w:rPr>
          <w:kern w:val="0"/>
          <w:lang w:val="en-AU"/>
        </w:rPr>
      </w:pPr>
      <w:r w:rsidRPr="00A607D3">
        <w:rPr>
          <w:kern w:val="0"/>
          <w:lang w:val="en-AU"/>
        </w:rPr>
        <w:t>1</w:t>
      </w:r>
      <w:r w:rsidR="00645A47">
        <w:t> </w:t>
      </w:r>
      <w:r>
        <w:rPr>
          <w:kern w:val="0"/>
          <w:lang w:val="en-AU"/>
        </w:rPr>
        <w:t>disposable 5</w:t>
      </w:r>
      <w:r w:rsidR="00645A47">
        <w:t> </w:t>
      </w:r>
      <w:r w:rsidRPr="00A607D3">
        <w:rPr>
          <w:kern w:val="0"/>
          <w:lang w:val="en-AU"/>
        </w:rPr>
        <w:t>mL</w:t>
      </w:r>
      <w:r>
        <w:rPr>
          <w:kern w:val="0"/>
          <w:lang w:val="en-AU"/>
        </w:rPr>
        <w:t xml:space="preserve"> syringe</w:t>
      </w:r>
    </w:p>
    <w:p w:rsidR="00FC1805" w:rsidRDefault="00FC1805" w:rsidP="00FC1805">
      <w:pPr>
        <w:spacing w:after="0" w:line="240" w:lineRule="auto"/>
        <w:rPr>
          <w:kern w:val="0"/>
          <w:lang w:val="en-AU"/>
        </w:rPr>
      </w:pPr>
      <w:r>
        <w:rPr>
          <w:kern w:val="0"/>
          <w:lang w:val="en-AU"/>
        </w:rPr>
        <w:t>1</w:t>
      </w:r>
      <w:r w:rsidR="00645A47">
        <w:t> </w:t>
      </w:r>
      <w:r>
        <w:rPr>
          <w:kern w:val="0"/>
          <w:lang w:val="en-AU"/>
        </w:rPr>
        <w:t>venipuncture set</w:t>
      </w:r>
    </w:p>
    <w:p w:rsidR="00FC1805" w:rsidRPr="00A607D3" w:rsidRDefault="00FC1805" w:rsidP="00FC1805">
      <w:pPr>
        <w:spacing w:after="0" w:line="240" w:lineRule="auto"/>
        <w:rPr>
          <w:kern w:val="0"/>
          <w:lang w:val="en-AU"/>
        </w:rPr>
      </w:pPr>
      <w:r>
        <w:rPr>
          <w:kern w:val="0"/>
          <w:lang w:val="en-AU"/>
        </w:rPr>
        <w:t>2</w:t>
      </w:r>
      <w:r w:rsidR="00645A47">
        <w:t> </w:t>
      </w:r>
      <w:r w:rsidRPr="00A607D3">
        <w:rPr>
          <w:kern w:val="0"/>
          <w:lang w:val="en-AU"/>
        </w:rPr>
        <w:t>alcohol swab</w:t>
      </w:r>
      <w:r>
        <w:rPr>
          <w:kern w:val="0"/>
          <w:lang w:val="en-AU"/>
        </w:rPr>
        <w:t>s</w:t>
      </w:r>
    </w:p>
    <w:p w:rsidR="00FC1805" w:rsidRDefault="00FC1805" w:rsidP="00FC1805">
      <w:pPr>
        <w:pStyle w:val="DocumentText"/>
        <w:rPr>
          <w:kern w:val="0"/>
          <w:lang w:val="en-AU"/>
        </w:rPr>
      </w:pPr>
      <w:r w:rsidRPr="00A607D3">
        <w:rPr>
          <w:kern w:val="0"/>
          <w:lang w:val="en-AU"/>
        </w:rPr>
        <w:lastRenderedPageBreak/>
        <w:t>1</w:t>
      </w:r>
      <w:r w:rsidR="00645A47">
        <w:t> </w:t>
      </w:r>
      <w:r w:rsidRPr="00A607D3">
        <w:rPr>
          <w:kern w:val="0"/>
          <w:lang w:val="en-AU"/>
        </w:rPr>
        <w:t>no</w:t>
      </w:r>
      <w:r>
        <w:rPr>
          <w:kern w:val="0"/>
          <w:lang w:val="en-AU"/>
        </w:rPr>
        <w:t>n-</w:t>
      </w:r>
      <w:r w:rsidRPr="00A607D3">
        <w:rPr>
          <w:kern w:val="0"/>
          <w:lang w:val="en-AU"/>
        </w:rPr>
        <w:t>sterile plaster</w:t>
      </w:r>
    </w:p>
    <w:p w:rsidR="00FC1805" w:rsidRPr="00B349E4" w:rsidRDefault="00FC1805" w:rsidP="00267841">
      <w:pPr>
        <w:pStyle w:val="DocumentText"/>
        <w:keepNext/>
        <w:spacing w:before="120" w:after="120"/>
        <w:rPr>
          <w:b/>
          <w:i/>
          <w:sz w:val="28"/>
          <w:szCs w:val="28"/>
        </w:rPr>
      </w:pPr>
      <w:r w:rsidRPr="00B349E4">
        <w:rPr>
          <w:b/>
          <w:i/>
          <w:sz w:val="28"/>
          <w:szCs w:val="28"/>
        </w:rPr>
        <w:t>One pack with 2000</w:t>
      </w:r>
      <w:r w:rsidR="00645A47">
        <w:t> </w:t>
      </w:r>
      <w:r w:rsidRPr="00B349E4">
        <w:rPr>
          <w:b/>
          <w:i/>
          <w:sz w:val="28"/>
          <w:szCs w:val="28"/>
        </w:rPr>
        <w:t>IU containing:</w:t>
      </w:r>
    </w:p>
    <w:p w:rsidR="00FC1805" w:rsidRPr="00A607D3" w:rsidRDefault="00FC1805" w:rsidP="000D6B8C">
      <w:pPr>
        <w:spacing w:after="0" w:line="240" w:lineRule="auto"/>
        <w:rPr>
          <w:kern w:val="0"/>
          <w:lang w:val="en-AU"/>
        </w:rPr>
      </w:pPr>
      <w:r w:rsidRPr="00A607D3">
        <w:rPr>
          <w:kern w:val="0"/>
          <w:lang w:val="en-AU"/>
        </w:rPr>
        <w:t>1 vial</w:t>
      </w:r>
      <w:r>
        <w:rPr>
          <w:kern w:val="0"/>
          <w:lang w:val="en-AU"/>
        </w:rPr>
        <w:t xml:space="preserve"> with powder</w:t>
      </w:r>
    </w:p>
    <w:p w:rsidR="00B059F6" w:rsidRDefault="00FC1805" w:rsidP="000D6B8C">
      <w:pPr>
        <w:spacing w:after="0" w:line="240" w:lineRule="auto"/>
        <w:rPr>
          <w:kern w:val="0"/>
          <w:lang w:val="en-AU"/>
        </w:rPr>
      </w:pPr>
      <w:r w:rsidRPr="00A607D3">
        <w:rPr>
          <w:kern w:val="0"/>
          <w:lang w:val="en-AU"/>
        </w:rPr>
        <w:t>1 vial</w:t>
      </w:r>
      <w:r>
        <w:rPr>
          <w:kern w:val="0"/>
          <w:lang w:val="en-AU"/>
        </w:rPr>
        <w:t xml:space="preserve"> with 5</w:t>
      </w:r>
      <w:r w:rsidR="0043187B">
        <w:rPr>
          <w:kern w:val="0"/>
          <w:lang w:val="en-AU"/>
        </w:rPr>
        <w:t> </w:t>
      </w:r>
      <w:r>
        <w:rPr>
          <w:kern w:val="0"/>
          <w:lang w:val="en-AU"/>
        </w:rPr>
        <w:t xml:space="preserve">mL </w:t>
      </w:r>
      <w:r w:rsidR="00275CD4">
        <w:rPr>
          <w:kern w:val="0"/>
          <w:lang w:val="en-AU"/>
        </w:rPr>
        <w:t>W</w:t>
      </w:r>
      <w:r>
        <w:rPr>
          <w:kern w:val="0"/>
          <w:lang w:val="en-AU"/>
        </w:rPr>
        <w:t xml:space="preserve">ater for </w:t>
      </w:r>
      <w:r w:rsidR="00275CD4">
        <w:rPr>
          <w:kern w:val="0"/>
          <w:lang w:val="en-AU"/>
        </w:rPr>
        <w:t>I</w:t>
      </w:r>
      <w:r>
        <w:rPr>
          <w:kern w:val="0"/>
          <w:lang w:val="en-AU"/>
        </w:rPr>
        <w:t>njections</w:t>
      </w:r>
    </w:p>
    <w:p w:rsidR="00FC1805" w:rsidRPr="000D6B8C" w:rsidRDefault="00FC1805" w:rsidP="000D6B8C">
      <w:pPr>
        <w:spacing w:after="0" w:line="240" w:lineRule="auto"/>
        <w:rPr>
          <w:i/>
          <w:kern w:val="0"/>
          <w:lang w:val="en-AU"/>
        </w:rPr>
      </w:pPr>
      <w:r w:rsidRPr="000D6B8C">
        <w:rPr>
          <w:i/>
          <w:kern w:val="0"/>
          <w:lang w:val="en-AU"/>
        </w:rPr>
        <w:t xml:space="preserve">One </w:t>
      </w:r>
      <w:r w:rsidR="00875CA6" w:rsidRPr="000D6B8C">
        <w:rPr>
          <w:i/>
          <w:kern w:val="0"/>
          <w:lang w:val="en-AU"/>
        </w:rPr>
        <w:t xml:space="preserve">administration </w:t>
      </w:r>
      <w:proofErr w:type="gramStart"/>
      <w:r w:rsidRPr="000D6B8C">
        <w:rPr>
          <w:i/>
          <w:kern w:val="0"/>
          <w:lang w:val="en-AU"/>
        </w:rPr>
        <w:t>pack</w:t>
      </w:r>
      <w:proofErr w:type="gramEnd"/>
      <w:r w:rsidRPr="000D6B8C">
        <w:rPr>
          <w:i/>
          <w:kern w:val="0"/>
          <w:lang w:val="en-AU"/>
        </w:rPr>
        <w:t xml:space="preserve"> containing:</w:t>
      </w:r>
    </w:p>
    <w:p w:rsidR="00FC1805" w:rsidRDefault="00FC1805" w:rsidP="00FC1805">
      <w:pPr>
        <w:spacing w:after="0" w:line="240" w:lineRule="auto"/>
        <w:rPr>
          <w:kern w:val="0"/>
          <w:lang w:val="en-AU"/>
        </w:rPr>
      </w:pPr>
      <w:r w:rsidRPr="00A607D3">
        <w:rPr>
          <w:kern w:val="0"/>
          <w:lang w:val="en-AU"/>
        </w:rPr>
        <w:t>1</w:t>
      </w:r>
      <w:r w:rsidR="00645A47">
        <w:t> </w:t>
      </w:r>
      <w:r>
        <w:rPr>
          <w:kern w:val="0"/>
          <w:lang w:val="en-AU"/>
        </w:rPr>
        <w:t>filter</w:t>
      </w:r>
      <w:r w:rsidRPr="00A607D3">
        <w:rPr>
          <w:kern w:val="0"/>
          <w:lang w:val="en-AU"/>
        </w:rPr>
        <w:t xml:space="preserve"> transfer </w:t>
      </w:r>
      <w:r>
        <w:rPr>
          <w:kern w:val="0"/>
          <w:lang w:val="en-AU"/>
        </w:rPr>
        <w:t>device 20/20</w:t>
      </w:r>
    </w:p>
    <w:p w:rsidR="00FC1805" w:rsidRDefault="00FC1805" w:rsidP="00FC1805">
      <w:pPr>
        <w:spacing w:after="0" w:line="240" w:lineRule="auto"/>
        <w:rPr>
          <w:kern w:val="0"/>
          <w:lang w:val="en-AU"/>
        </w:rPr>
      </w:pPr>
      <w:r w:rsidRPr="00A607D3">
        <w:rPr>
          <w:kern w:val="0"/>
          <w:lang w:val="en-AU"/>
        </w:rPr>
        <w:t>1</w:t>
      </w:r>
      <w:r w:rsidR="00645A47">
        <w:t> </w:t>
      </w:r>
      <w:r>
        <w:rPr>
          <w:kern w:val="0"/>
          <w:lang w:val="en-AU"/>
        </w:rPr>
        <w:t>disposable 10</w:t>
      </w:r>
      <w:r w:rsidR="00645A47">
        <w:t> </w:t>
      </w:r>
      <w:r w:rsidRPr="00A607D3">
        <w:rPr>
          <w:kern w:val="0"/>
          <w:lang w:val="en-AU"/>
        </w:rPr>
        <w:t>mL</w:t>
      </w:r>
      <w:r>
        <w:rPr>
          <w:kern w:val="0"/>
          <w:lang w:val="en-AU"/>
        </w:rPr>
        <w:t xml:space="preserve"> syringe</w:t>
      </w:r>
    </w:p>
    <w:p w:rsidR="00FC1805" w:rsidRDefault="00FC1805" w:rsidP="00FC1805">
      <w:pPr>
        <w:spacing w:after="0" w:line="240" w:lineRule="auto"/>
        <w:rPr>
          <w:kern w:val="0"/>
          <w:lang w:val="en-AU"/>
        </w:rPr>
      </w:pPr>
      <w:r>
        <w:rPr>
          <w:kern w:val="0"/>
          <w:lang w:val="en-AU"/>
        </w:rPr>
        <w:t>1</w:t>
      </w:r>
      <w:r w:rsidR="00645A47">
        <w:t> </w:t>
      </w:r>
      <w:r>
        <w:rPr>
          <w:kern w:val="0"/>
          <w:lang w:val="en-AU"/>
        </w:rPr>
        <w:t>venipuncture set</w:t>
      </w:r>
    </w:p>
    <w:p w:rsidR="00FC1805" w:rsidRPr="00A607D3" w:rsidRDefault="00FC1805" w:rsidP="00FC1805">
      <w:pPr>
        <w:spacing w:after="0" w:line="240" w:lineRule="auto"/>
        <w:rPr>
          <w:kern w:val="0"/>
          <w:lang w:val="en-AU"/>
        </w:rPr>
      </w:pPr>
      <w:r>
        <w:rPr>
          <w:kern w:val="0"/>
          <w:lang w:val="en-AU"/>
        </w:rPr>
        <w:t>2</w:t>
      </w:r>
      <w:r w:rsidR="00645A47">
        <w:t> </w:t>
      </w:r>
      <w:r w:rsidRPr="00A607D3">
        <w:rPr>
          <w:kern w:val="0"/>
          <w:lang w:val="en-AU"/>
        </w:rPr>
        <w:t>alcohol swab</w:t>
      </w:r>
      <w:r>
        <w:rPr>
          <w:kern w:val="0"/>
          <w:lang w:val="en-AU"/>
        </w:rPr>
        <w:t>s</w:t>
      </w:r>
    </w:p>
    <w:p w:rsidR="00FC1805" w:rsidRDefault="00FC1805" w:rsidP="00FC1805">
      <w:pPr>
        <w:pStyle w:val="DocumentText"/>
        <w:rPr>
          <w:kern w:val="0"/>
          <w:lang w:val="en-AU"/>
        </w:rPr>
      </w:pPr>
      <w:r w:rsidRPr="00A607D3">
        <w:rPr>
          <w:kern w:val="0"/>
          <w:lang w:val="en-AU"/>
        </w:rPr>
        <w:t>1</w:t>
      </w:r>
      <w:r w:rsidR="00645A47">
        <w:t> </w:t>
      </w:r>
      <w:r w:rsidRPr="00A607D3">
        <w:rPr>
          <w:kern w:val="0"/>
          <w:lang w:val="en-AU"/>
        </w:rPr>
        <w:t>no</w:t>
      </w:r>
      <w:r>
        <w:rPr>
          <w:kern w:val="0"/>
          <w:lang w:val="en-AU"/>
        </w:rPr>
        <w:t>n-</w:t>
      </w:r>
      <w:r w:rsidRPr="00A607D3">
        <w:rPr>
          <w:kern w:val="0"/>
          <w:lang w:val="en-AU"/>
        </w:rPr>
        <w:t>sterile plaster</w:t>
      </w:r>
    </w:p>
    <w:p w:rsidR="00856F0C" w:rsidRPr="00B1677F" w:rsidRDefault="00856F0C" w:rsidP="00A763F2">
      <w:pPr>
        <w:pStyle w:val="DocumentText"/>
        <w:spacing w:before="240"/>
      </w:pPr>
      <w:r w:rsidRPr="00A607D3">
        <w:t>Not all pack sizes may be marketed.</w:t>
      </w:r>
    </w:p>
    <w:p w:rsidR="00137C30" w:rsidRPr="00B1677F" w:rsidRDefault="00137C30" w:rsidP="00393118">
      <w:pPr>
        <w:pStyle w:val="Heading2"/>
        <w:numPr>
          <w:ilvl w:val="0"/>
          <w:numId w:val="0"/>
        </w:numPr>
        <w:ind w:left="1901" w:hanging="1901"/>
      </w:pPr>
      <w:r w:rsidRPr="00B1677F">
        <w:t>NAME AND ADDRESS OF THE SPONSOR</w:t>
      </w:r>
      <w:r w:rsidR="00820A60">
        <w:t xml:space="preserve"> </w:t>
      </w:r>
    </w:p>
    <w:p w:rsidR="00032506" w:rsidRDefault="00856F0C" w:rsidP="00C26C99">
      <w:pPr>
        <w:pStyle w:val="DocumentText"/>
        <w:keepNext/>
        <w:spacing w:after="0" w:line="240" w:lineRule="auto"/>
      </w:pPr>
      <w:r w:rsidRPr="00EB3180">
        <w:t xml:space="preserve">CSL </w:t>
      </w:r>
      <w:r w:rsidR="00032506">
        <w:t>Behring (Australia) Pty Ltd</w:t>
      </w:r>
    </w:p>
    <w:p w:rsidR="00856F0C" w:rsidRPr="00EB3180" w:rsidRDefault="00032506" w:rsidP="00856F0C">
      <w:pPr>
        <w:pStyle w:val="DocumentText"/>
        <w:spacing w:after="0" w:line="240" w:lineRule="auto"/>
      </w:pPr>
      <w:r w:rsidRPr="00032506">
        <w:t>ABN 48 160 734 761</w:t>
      </w:r>
    </w:p>
    <w:p w:rsidR="00856F0C" w:rsidRPr="00EB3180" w:rsidRDefault="00856F0C" w:rsidP="00856F0C">
      <w:pPr>
        <w:pStyle w:val="DocumentText"/>
        <w:spacing w:after="0" w:line="240" w:lineRule="auto"/>
      </w:pPr>
      <w:r w:rsidRPr="00EB3180">
        <w:t>189–209 Camp Road</w:t>
      </w:r>
    </w:p>
    <w:p w:rsidR="00856F0C" w:rsidRPr="00EB3180" w:rsidRDefault="00856F0C" w:rsidP="00856F0C">
      <w:pPr>
        <w:pStyle w:val="DocumentText"/>
        <w:spacing w:after="0" w:line="240" w:lineRule="auto"/>
      </w:pPr>
      <w:proofErr w:type="spellStart"/>
      <w:r w:rsidRPr="00EB3180">
        <w:t>Broadmeadows</w:t>
      </w:r>
      <w:proofErr w:type="spellEnd"/>
      <w:r w:rsidRPr="00EB3180">
        <w:t xml:space="preserve"> VIC 3047</w:t>
      </w:r>
    </w:p>
    <w:p w:rsidR="001B7CD7" w:rsidRDefault="00856F0C" w:rsidP="00856F0C">
      <w:pPr>
        <w:pStyle w:val="DocumentText"/>
      </w:pPr>
      <w:r w:rsidRPr="00EB3180">
        <w:t>Australia</w:t>
      </w:r>
    </w:p>
    <w:p w:rsidR="00DE0903" w:rsidRPr="00B1677F" w:rsidRDefault="00DE0903" w:rsidP="00393118">
      <w:pPr>
        <w:pStyle w:val="Heading2"/>
        <w:numPr>
          <w:ilvl w:val="0"/>
          <w:numId w:val="0"/>
        </w:numPr>
        <w:ind w:left="1901" w:hanging="1901"/>
      </w:pPr>
      <w:r w:rsidRPr="00B1677F">
        <w:t>POISON SCHEDULE OF THE MEDICINE</w:t>
      </w:r>
      <w:r w:rsidR="00820A60">
        <w:t xml:space="preserve"> </w:t>
      </w:r>
    </w:p>
    <w:p w:rsidR="00DE0903" w:rsidRDefault="00856F0C" w:rsidP="00393118">
      <w:pPr>
        <w:pStyle w:val="DocumentText"/>
      </w:pPr>
      <w:r>
        <w:t>Unscheduled</w:t>
      </w:r>
    </w:p>
    <w:p w:rsidR="00137C30" w:rsidRPr="00B1677F" w:rsidRDefault="001B7CD7" w:rsidP="00B349E4">
      <w:pPr>
        <w:pStyle w:val="Heading2"/>
        <w:numPr>
          <w:ilvl w:val="0"/>
          <w:numId w:val="0"/>
        </w:numPr>
        <w:tabs>
          <w:tab w:val="clear" w:pos="1901"/>
          <w:tab w:val="left" w:pos="0"/>
        </w:tabs>
      </w:pPr>
      <w:r w:rsidRPr="00B1677F">
        <w:t xml:space="preserve">DATE OF FIRST INCLUSION </w:t>
      </w:r>
      <w:r w:rsidR="00977932" w:rsidRPr="00B1677F">
        <w:t>I</w:t>
      </w:r>
      <w:r w:rsidRPr="00B1677F">
        <w:t>N THE A</w:t>
      </w:r>
      <w:r w:rsidR="00523BC2" w:rsidRPr="00B1677F">
        <w:t xml:space="preserve">USTRALIAN </w:t>
      </w:r>
      <w:r w:rsidRPr="00B1677F">
        <w:t>R</w:t>
      </w:r>
      <w:r w:rsidR="00523BC2" w:rsidRPr="00B1677F">
        <w:t>EGISTER OF THERAPEU</w:t>
      </w:r>
      <w:r w:rsidRPr="00B1677F">
        <w:t>T</w:t>
      </w:r>
      <w:r w:rsidR="00523BC2" w:rsidRPr="00B1677F">
        <w:t xml:space="preserve">IC </w:t>
      </w:r>
      <w:r w:rsidRPr="00B1677F">
        <w:t>G</w:t>
      </w:r>
      <w:r w:rsidR="00523BC2" w:rsidRPr="00B1677F">
        <w:t>OODS</w:t>
      </w:r>
      <w:r w:rsidR="007C0E09">
        <w:t xml:space="preserve"> (THE ARTG)</w:t>
      </w:r>
    </w:p>
    <w:p w:rsidR="00523BC2" w:rsidRPr="00B1677F" w:rsidRDefault="00A24C9F" w:rsidP="00393118">
      <w:pPr>
        <w:pStyle w:val="DocumentText"/>
      </w:pPr>
      <w:r>
        <w:t>20 September 2016</w:t>
      </w:r>
    </w:p>
    <w:p w:rsidR="00982A75" w:rsidRPr="00B1677F" w:rsidRDefault="00982A75" w:rsidP="00393118">
      <w:pPr>
        <w:pStyle w:val="Heading2"/>
        <w:numPr>
          <w:ilvl w:val="0"/>
          <w:numId w:val="0"/>
        </w:numPr>
        <w:ind w:left="1901" w:hanging="1901"/>
      </w:pPr>
      <w:bookmarkStart w:id="0" w:name="_Hlk472396991"/>
      <w:r w:rsidRPr="00B1677F">
        <w:t>DATE OF MOST RECENT AMENDMENT</w:t>
      </w:r>
    </w:p>
    <w:p w:rsidR="000F4068" w:rsidRDefault="009B6E23" w:rsidP="00393118">
      <w:pPr>
        <w:pStyle w:val="DocumentText"/>
      </w:pPr>
      <w:r>
        <w:t>04 April 2017</w:t>
      </w:r>
    </w:p>
    <w:bookmarkEnd w:id="0"/>
    <w:p w:rsidR="00137C30" w:rsidRDefault="00856F0C" w:rsidP="00393118">
      <w:pPr>
        <w:pStyle w:val="DocumentText"/>
      </w:pPr>
      <w:r w:rsidRPr="0035726E">
        <w:rPr>
          <w:vertAlign w:val="superscript"/>
        </w:rPr>
        <w:t>®</w:t>
      </w:r>
      <w:r w:rsidRPr="0035726E">
        <w:t xml:space="preserve"> Registered trademark of CSL Limited</w:t>
      </w:r>
      <w:r w:rsidR="00702FD7">
        <w:t xml:space="preserve"> or its affiliated companies</w:t>
      </w:r>
    </w:p>
    <w:p w:rsidR="00856F0C" w:rsidRPr="00B1677F" w:rsidRDefault="00856F0C" w:rsidP="00393118">
      <w:pPr>
        <w:pStyle w:val="DocumentText"/>
      </w:pPr>
      <w:r w:rsidRPr="0035726E">
        <w:rPr>
          <w:vertAlign w:val="superscript"/>
        </w:rPr>
        <w:t xml:space="preserve">™ </w:t>
      </w:r>
      <w:r w:rsidRPr="0035726E">
        <w:t>Mix2Vial is a trademark of West Pharmaceutical Services, Inc. or a subsidiary thereof</w:t>
      </w:r>
    </w:p>
    <w:p w:rsidR="009C0F09" w:rsidRPr="00B1677F" w:rsidRDefault="009C0F09" w:rsidP="003C74A1">
      <w:pPr>
        <w:pStyle w:val="Heading3"/>
        <w:numPr>
          <w:ilvl w:val="0"/>
          <w:numId w:val="0"/>
        </w:numPr>
        <w:spacing w:before="240"/>
        <w:ind w:left="2138" w:hanging="2138"/>
      </w:pPr>
      <w:r w:rsidRPr="00B1677F">
        <w:t>For Medical/Technical Enquiries</w:t>
      </w:r>
    </w:p>
    <w:p w:rsidR="009C0F09" w:rsidRDefault="009C0F09" w:rsidP="005B6597">
      <w:pPr>
        <w:pStyle w:val="DocumentText"/>
        <w:spacing w:after="0"/>
      </w:pPr>
      <w:r w:rsidRPr="00B1677F">
        <w:t>TOLL FREE: 1800 642 865</w:t>
      </w:r>
    </w:p>
    <w:p w:rsidR="009C0F09" w:rsidRPr="00B1677F" w:rsidRDefault="009C0F09" w:rsidP="003C74A1">
      <w:pPr>
        <w:pStyle w:val="Heading3"/>
        <w:numPr>
          <w:ilvl w:val="0"/>
          <w:numId w:val="0"/>
        </w:numPr>
        <w:spacing w:before="240"/>
        <w:ind w:left="2138" w:hanging="2138"/>
      </w:pPr>
      <w:r w:rsidRPr="00B1677F">
        <w:lastRenderedPageBreak/>
        <w:t>For Customer Service Enquiries</w:t>
      </w:r>
    </w:p>
    <w:p w:rsidR="009C0F09" w:rsidRDefault="009C0F09" w:rsidP="005B6597">
      <w:pPr>
        <w:pStyle w:val="DocumentText"/>
        <w:spacing w:after="0"/>
      </w:pPr>
      <w:r w:rsidRPr="00B1677F">
        <w:t>TOLL FREE: 1800 063 8</w:t>
      </w:r>
      <w:r w:rsidR="00CF2ECF">
        <w:t>9</w:t>
      </w:r>
      <w:r w:rsidRPr="00B1677F">
        <w:t>2</w:t>
      </w:r>
    </w:p>
    <w:p w:rsidR="009C0F09" w:rsidRPr="00B1677F" w:rsidRDefault="00A02AEB" w:rsidP="007A7D2D">
      <w:pPr>
        <w:pStyle w:val="DocumentText"/>
      </w:pPr>
      <w:r w:rsidRPr="00393118">
        <w:t>customerservice@csl</w:t>
      </w:r>
      <w:r w:rsidR="00A55E55">
        <w:t>behring</w:t>
      </w:r>
      <w:r w:rsidRPr="00393118">
        <w:t>.com.au</w:t>
      </w:r>
    </w:p>
    <w:p w:rsidR="009C0F09" w:rsidRPr="00B1677F" w:rsidRDefault="00A02AEB" w:rsidP="007A7D2D">
      <w:pPr>
        <w:pStyle w:val="DocumentText"/>
      </w:pPr>
      <w:r w:rsidRPr="00393118">
        <w:t>www.cslb</w:t>
      </w:r>
      <w:r w:rsidR="00A55E55">
        <w:t>ehring</w:t>
      </w:r>
      <w:r w:rsidRPr="00393118">
        <w:t>.com.au</w:t>
      </w:r>
    </w:p>
    <w:sectPr w:rsidR="009C0F09" w:rsidRPr="00B1677F" w:rsidSect="00826AE3">
      <w:headerReference w:type="even" r:id="rId18"/>
      <w:headerReference w:type="default" r:id="rId19"/>
      <w:footerReference w:type="even" r:id="rId20"/>
      <w:footerReference w:type="default" r:id="rId21"/>
      <w:headerReference w:type="first" r:id="rId22"/>
      <w:footerReference w:type="first" r:id="rId23"/>
      <w:footnotePr>
        <w:numFmt w:val="lowerRoman"/>
      </w:footnotePr>
      <w:endnotePr>
        <w:numFmt w:val="decimal"/>
      </w:endnotePr>
      <w:pgSz w:w="11907" w:h="16840" w:code="9"/>
      <w:pgMar w:top="1440" w:right="1440" w:bottom="2434" w:left="1440" w:header="720" w:footer="1714" w:gutter="0"/>
      <w:pgNumType w:start="1"/>
      <w:cols w:space="720"/>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7F1" w:rsidRDefault="003427F1" w:rsidP="00137C30">
      <w:r>
        <w:separator/>
      </w:r>
    </w:p>
  </w:endnote>
  <w:endnote w:type="continuationSeparator" w:id="0">
    <w:p w:rsidR="003427F1" w:rsidRDefault="003427F1" w:rsidP="00137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83" w:usb1="08070000" w:usb2="00000010" w:usb3="00000000" w:csb0="00020009"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734" w:rsidRDefault="006137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7F1" w:rsidRPr="003D2F43" w:rsidRDefault="003427F1" w:rsidP="003D2F43">
    <w:pPr>
      <w:pStyle w:val="Footer"/>
      <w:pBdr>
        <w:top w:val="single" w:sz="6" w:space="1" w:color="auto"/>
      </w:pBdr>
      <w:tabs>
        <w:tab w:val="clear" w:pos="4478"/>
        <w:tab w:val="clear" w:pos="8957"/>
        <w:tab w:val="left" w:pos="7920"/>
      </w:tabs>
    </w:pPr>
    <w:r>
      <w:t>IDELVION</w:t>
    </w:r>
    <w:r>
      <w:rPr>
        <w:vertAlign w:val="superscript"/>
      </w:rPr>
      <w:t>®</w:t>
    </w:r>
    <w:r>
      <w:t xml:space="preserve"> AU PI v2.00</w:t>
    </w:r>
    <w:r w:rsidRPr="003D2F43">
      <w:tab/>
      <w:t xml:space="preserve">Page </w:t>
    </w:r>
    <w:r w:rsidRPr="003D2F43">
      <w:fldChar w:fldCharType="begin"/>
    </w:r>
    <w:r w:rsidRPr="003D2F43">
      <w:instrText xml:space="preserve"> PAGE   \* MERGEFORMAT </w:instrText>
    </w:r>
    <w:r w:rsidRPr="003D2F43">
      <w:fldChar w:fldCharType="separate"/>
    </w:r>
    <w:r w:rsidR="00613734">
      <w:rPr>
        <w:noProof/>
      </w:rPr>
      <w:t>1</w:t>
    </w:r>
    <w:r w:rsidRPr="003D2F43">
      <w:fldChar w:fldCharType="end"/>
    </w:r>
    <w:r w:rsidRPr="003D2F43">
      <w:t xml:space="preserve"> of </w:t>
    </w:r>
    <w:fldSimple w:instr=" NUMPAGES   \* MERGEFORMAT ">
      <w:r w:rsidR="00613734">
        <w:rPr>
          <w:noProof/>
        </w:rPr>
        <w:t>25</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734" w:rsidRDefault="006137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7F1" w:rsidRDefault="003427F1" w:rsidP="00137C30">
      <w:r>
        <w:separator/>
      </w:r>
    </w:p>
  </w:footnote>
  <w:footnote w:type="continuationSeparator" w:id="0">
    <w:p w:rsidR="003427F1" w:rsidRDefault="003427F1" w:rsidP="00137C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734" w:rsidRDefault="006137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1A346E" w:rsidTr="002937EF">
      <w:tc>
        <w:tcPr>
          <w:tcW w:w="8720" w:type="dxa"/>
          <w:shd w:val="clear" w:color="auto" w:fill="E4F2E0"/>
        </w:tcPr>
        <w:p w:rsidR="001A346E" w:rsidRPr="00D361CA" w:rsidRDefault="001A346E" w:rsidP="001A346E">
          <w:pPr>
            <w:spacing w:before="40" w:after="40"/>
            <w:rPr>
              <w:b/>
              <w:sz w:val="20"/>
              <w:szCs w:val="20"/>
            </w:rPr>
          </w:pPr>
          <w:bookmarkStart w:id="1" w:name="_GoBack"/>
          <w:bookmarkEnd w:id="1"/>
          <w:r w:rsidRPr="00D361CA">
            <w:rPr>
              <w:b/>
              <w:sz w:val="20"/>
              <w:szCs w:val="20"/>
            </w:rPr>
            <w:t xml:space="preserve">Attachment 1: Product information for </w:t>
          </w:r>
          <w:proofErr w:type="spellStart"/>
          <w:r w:rsidRPr="001A346E">
            <w:rPr>
              <w:b/>
              <w:sz w:val="20"/>
              <w:szCs w:val="20"/>
            </w:rPr>
            <w:t>AusPAR</w:t>
          </w:r>
          <w:proofErr w:type="spellEnd"/>
          <w:r w:rsidRPr="001A346E">
            <w:rPr>
              <w:b/>
              <w:sz w:val="20"/>
              <w:szCs w:val="20"/>
            </w:rPr>
            <w:t xml:space="preserve"> </w:t>
          </w:r>
          <w:proofErr w:type="spellStart"/>
          <w:r w:rsidRPr="001A346E">
            <w:rPr>
              <w:b/>
              <w:sz w:val="20"/>
              <w:szCs w:val="20"/>
            </w:rPr>
            <w:t>Idelvion</w:t>
          </w:r>
          <w:proofErr w:type="spellEnd"/>
          <w:r w:rsidRPr="001A346E">
            <w:rPr>
              <w:b/>
              <w:sz w:val="20"/>
              <w:szCs w:val="20"/>
            </w:rPr>
            <w:t xml:space="preserve"> </w:t>
          </w:r>
          <w:proofErr w:type="spellStart"/>
          <w:r w:rsidRPr="001A346E">
            <w:rPr>
              <w:b/>
              <w:sz w:val="20"/>
              <w:szCs w:val="20"/>
            </w:rPr>
            <w:t>albutrepenonacog</w:t>
          </w:r>
          <w:proofErr w:type="spellEnd"/>
          <w:r w:rsidRPr="001A346E">
            <w:rPr>
              <w:b/>
              <w:sz w:val="20"/>
              <w:szCs w:val="20"/>
            </w:rPr>
            <w:t xml:space="preserve"> alfa </w:t>
          </w:r>
          <w:proofErr w:type="spellStart"/>
          <w:r w:rsidRPr="001A346E">
            <w:rPr>
              <w:b/>
              <w:sz w:val="20"/>
              <w:szCs w:val="20"/>
            </w:rPr>
            <w:t>rch</w:t>
          </w:r>
          <w:proofErr w:type="spellEnd"/>
          <w:r w:rsidRPr="001A346E">
            <w:rPr>
              <w:b/>
              <w:sz w:val="20"/>
              <w:szCs w:val="20"/>
            </w:rPr>
            <w:t xml:space="preserve"> CSL </w:t>
          </w:r>
          <w:proofErr w:type="spellStart"/>
          <w:r w:rsidRPr="001A346E">
            <w:rPr>
              <w:b/>
              <w:sz w:val="20"/>
              <w:szCs w:val="20"/>
            </w:rPr>
            <w:t>Bhering</w:t>
          </w:r>
          <w:proofErr w:type="spellEnd"/>
          <w:r w:rsidRPr="001A346E">
            <w:rPr>
              <w:b/>
              <w:sz w:val="20"/>
              <w:szCs w:val="20"/>
            </w:rPr>
            <w:t xml:space="preserve"> Pty Ltd PM-2015-01850-1-4</w:t>
          </w:r>
          <w:r>
            <w:rPr>
              <w:b/>
              <w:sz w:val="20"/>
              <w:szCs w:val="20"/>
            </w:rPr>
            <w:t xml:space="preserve"> </w:t>
          </w:r>
          <w:r w:rsidRPr="001A346E">
            <w:rPr>
              <w:b/>
              <w:sz w:val="20"/>
              <w:szCs w:val="20"/>
            </w:rPr>
            <w:t>Final 26 September 2017</w:t>
          </w:r>
          <w:r>
            <w:rPr>
              <w:b/>
              <w:sz w:val="20"/>
              <w:szCs w:val="20"/>
            </w:rPr>
            <w:t xml:space="preserve">. </w:t>
          </w:r>
          <w:r w:rsidRPr="00D361CA">
            <w:rPr>
              <w:b/>
              <w:sz w:val="20"/>
              <w:szCs w:val="20"/>
            </w:rPr>
            <w:t xml:space="preserve">This Product Information was approved at the time this </w:t>
          </w:r>
          <w:proofErr w:type="spellStart"/>
          <w:r w:rsidRPr="00D361CA">
            <w:rPr>
              <w:b/>
              <w:sz w:val="20"/>
              <w:szCs w:val="20"/>
            </w:rPr>
            <w:t>AusPAR</w:t>
          </w:r>
          <w:proofErr w:type="spellEnd"/>
          <w:r w:rsidRPr="00D361CA">
            <w:rPr>
              <w:b/>
              <w:sz w:val="20"/>
              <w:szCs w:val="20"/>
            </w:rPr>
            <w:t xml:space="preserve"> was published.</w:t>
          </w:r>
        </w:p>
      </w:tc>
    </w:tr>
  </w:tbl>
  <w:p w:rsidR="001A346E" w:rsidRDefault="001A34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734" w:rsidRDefault="006137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717C"/>
    <w:multiLevelType w:val="hybridMultilevel"/>
    <w:tmpl w:val="78CC9470"/>
    <w:lvl w:ilvl="0" w:tplc="A99C6726">
      <w:start w:val="15"/>
      <w:numFmt w:val="bullet"/>
      <w:lvlText w:val=""/>
      <w:lvlJc w:val="left"/>
      <w:pPr>
        <w:ind w:left="720" w:hanging="360"/>
      </w:pPr>
      <w:rPr>
        <w:rFonts w:ascii="Symbol" w:eastAsia="TimesNew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E103E63"/>
    <w:multiLevelType w:val="hybridMultilevel"/>
    <w:tmpl w:val="30AA4F4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0E5A4ADB"/>
    <w:multiLevelType w:val="hybridMultilevel"/>
    <w:tmpl w:val="F0F80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697300"/>
    <w:multiLevelType w:val="hybridMultilevel"/>
    <w:tmpl w:val="32D2153C"/>
    <w:lvl w:ilvl="0" w:tplc="1AB4D6C0">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D75385E"/>
    <w:multiLevelType w:val="hybridMultilevel"/>
    <w:tmpl w:val="A1E2070C"/>
    <w:lvl w:ilvl="0" w:tplc="0E1CA7AE">
      <w:start w:val="1"/>
      <w:numFmt w:val="lowerLetter"/>
      <w:pStyle w:val="TableNote"/>
      <w:lvlText w:val="%1."/>
      <w:lvlJc w:val="left"/>
      <w:pPr>
        <w:tabs>
          <w:tab w:val="num" w:pos="360"/>
        </w:tabs>
        <w:ind w:left="340" w:hanging="340"/>
      </w:pPr>
      <w:rPr>
        <w:rFonts w:cs="Times New Roman" w:hint="default"/>
        <w:caps w:val="0"/>
        <w:strike w:val="0"/>
        <w:dstrike w:val="0"/>
        <w:vanish w:val="0"/>
        <w:sz w:val="24"/>
        <w:vertAlign w:val="superscript"/>
        <w14:shadow w14:blurRad="0" w14:dist="0" w14:dir="0" w14:sx="0" w14:sy="0" w14:kx="0" w14:ky="0" w14:algn="none">
          <w14:srgbClr w14:val="000000"/>
        </w14:shadow>
        <w14:textOutline w14:w="0" w14:cap="rnd" w14:cmpd="sng" w14:algn="ctr">
          <w14:noFill/>
          <w14:prstDash w14:val="solid"/>
          <w14:bevel/>
        </w14:textOutline>
      </w:rPr>
    </w:lvl>
    <w:lvl w:ilvl="1" w:tplc="5F4AFAA4" w:tentative="1">
      <w:start w:val="1"/>
      <w:numFmt w:val="lowerLetter"/>
      <w:lvlText w:val="%2."/>
      <w:lvlJc w:val="left"/>
      <w:pPr>
        <w:tabs>
          <w:tab w:val="num" w:pos="1440"/>
        </w:tabs>
        <w:ind w:left="1440" w:hanging="360"/>
      </w:pPr>
      <w:rPr>
        <w:rFonts w:cs="Times New Roman"/>
      </w:rPr>
    </w:lvl>
    <w:lvl w:ilvl="2" w:tplc="298E7E72" w:tentative="1">
      <w:start w:val="1"/>
      <w:numFmt w:val="lowerRoman"/>
      <w:lvlText w:val="%3."/>
      <w:lvlJc w:val="right"/>
      <w:pPr>
        <w:tabs>
          <w:tab w:val="num" w:pos="2160"/>
        </w:tabs>
        <w:ind w:left="2160" w:hanging="180"/>
      </w:pPr>
      <w:rPr>
        <w:rFonts w:cs="Times New Roman"/>
      </w:rPr>
    </w:lvl>
    <w:lvl w:ilvl="3" w:tplc="579C8436" w:tentative="1">
      <w:start w:val="1"/>
      <w:numFmt w:val="decimal"/>
      <w:lvlText w:val="%4."/>
      <w:lvlJc w:val="left"/>
      <w:pPr>
        <w:tabs>
          <w:tab w:val="num" w:pos="2880"/>
        </w:tabs>
        <w:ind w:left="2880" w:hanging="360"/>
      </w:pPr>
      <w:rPr>
        <w:rFonts w:cs="Times New Roman"/>
      </w:rPr>
    </w:lvl>
    <w:lvl w:ilvl="4" w:tplc="A1DE4442" w:tentative="1">
      <w:start w:val="1"/>
      <w:numFmt w:val="lowerLetter"/>
      <w:lvlText w:val="%5."/>
      <w:lvlJc w:val="left"/>
      <w:pPr>
        <w:tabs>
          <w:tab w:val="num" w:pos="3600"/>
        </w:tabs>
        <w:ind w:left="3600" w:hanging="360"/>
      </w:pPr>
      <w:rPr>
        <w:rFonts w:cs="Times New Roman"/>
      </w:rPr>
    </w:lvl>
    <w:lvl w:ilvl="5" w:tplc="1660AF16" w:tentative="1">
      <w:start w:val="1"/>
      <w:numFmt w:val="lowerRoman"/>
      <w:lvlText w:val="%6."/>
      <w:lvlJc w:val="right"/>
      <w:pPr>
        <w:tabs>
          <w:tab w:val="num" w:pos="4320"/>
        </w:tabs>
        <w:ind w:left="4320" w:hanging="180"/>
      </w:pPr>
      <w:rPr>
        <w:rFonts w:cs="Times New Roman"/>
      </w:rPr>
    </w:lvl>
    <w:lvl w:ilvl="6" w:tplc="7B7EF7CC" w:tentative="1">
      <w:start w:val="1"/>
      <w:numFmt w:val="decimal"/>
      <w:lvlText w:val="%7."/>
      <w:lvlJc w:val="left"/>
      <w:pPr>
        <w:tabs>
          <w:tab w:val="num" w:pos="5040"/>
        </w:tabs>
        <w:ind w:left="5040" w:hanging="360"/>
      </w:pPr>
      <w:rPr>
        <w:rFonts w:cs="Times New Roman"/>
      </w:rPr>
    </w:lvl>
    <w:lvl w:ilvl="7" w:tplc="E460F2CA" w:tentative="1">
      <w:start w:val="1"/>
      <w:numFmt w:val="lowerLetter"/>
      <w:lvlText w:val="%8."/>
      <w:lvlJc w:val="left"/>
      <w:pPr>
        <w:tabs>
          <w:tab w:val="num" w:pos="5760"/>
        </w:tabs>
        <w:ind w:left="5760" w:hanging="360"/>
      </w:pPr>
      <w:rPr>
        <w:rFonts w:cs="Times New Roman"/>
      </w:rPr>
    </w:lvl>
    <w:lvl w:ilvl="8" w:tplc="DA6E3B1A" w:tentative="1">
      <w:start w:val="1"/>
      <w:numFmt w:val="lowerRoman"/>
      <w:lvlText w:val="%9."/>
      <w:lvlJc w:val="right"/>
      <w:pPr>
        <w:tabs>
          <w:tab w:val="num" w:pos="6480"/>
        </w:tabs>
        <w:ind w:left="6480" w:hanging="180"/>
      </w:pPr>
      <w:rPr>
        <w:rFonts w:cs="Times New Roman"/>
      </w:rPr>
    </w:lvl>
  </w:abstractNum>
  <w:abstractNum w:abstractNumId="5">
    <w:nsid w:val="270074AD"/>
    <w:multiLevelType w:val="hybridMultilevel"/>
    <w:tmpl w:val="2EA611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0E914FE"/>
    <w:multiLevelType w:val="multilevel"/>
    <w:tmpl w:val="FA9CE9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33F44C6E"/>
    <w:multiLevelType w:val="hybridMultilevel"/>
    <w:tmpl w:val="F79A5532"/>
    <w:lvl w:ilvl="0" w:tplc="0C09000F">
      <w:start w:val="1"/>
      <w:numFmt w:val="decimal"/>
      <w:lvlText w:val="%1."/>
      <w:lvlJc w:val="left"/>
      <w:pPr>
        <w:ind w:left="720" w:hanging="360"/>
      </w:pPr>
    </w:lvl>
    <w:lvl w:ilvl="1" w:tplc="BDB2DF90">
      <w:numFmt w:val="bullet"/>
      <w:lvlText w:val="•"/>
      <w:lvlJc w:val="left"/>
      <w:pPr>
        <w:ind w:left="1440" w:hanging="360"/>
      </w:pPr>
      <w:rPr>
        <w:rFonts w:ascii="Times New Roman" w:eastAsia="Times New Roman"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6D415D6"/>
    <w:multiLevelType w:val="hybridMultilevel"/>
    <w:tmpl w:val="F320A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FEE3D6A"/>
    <w:multiLevelType w:val="hybridMultilevel"/>
    <w:tmpl w:val="EABCB226"/>
    <w:lvl w:ilvl="0" w:tplc="D9D41DFE">
      <w:start w:val="1"/>
      <w:numFmt w:val="decimal"/>
      <w:lvlRestart w:val="0"/>
      <w:pStyle w:val="ListNumbered"/>
      <w:lvlText w:val="%1."/>
      <w:lvlJc w:val="left"/>
      <w:pPr>
        <w:tabs>
          <w:tab w:val="num" w:pos="648"/>
        </w:tabs>
        <w:ind w:left="648"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DC417D"/>
    <w:multiLevelType w:val="hybridMultilevel"/>
    <w:tmpl w:val="3DAEB5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4C69105C"/>
    <w:multiLevelType w:val="hybridMultilevel"/>
    <w:tmpl w:val="A744662A"/>
    <w:lvl w:ilvl="0" w:tplc="BD1A0148">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C9B172C"/>
    <w:multiLevelType w:val="hybridMultilevel"/>
    <w:tmpl w:val="8B62AB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D5B657F"/>
    <w:multiLevelType w:val="hybridMultilevel"/>
    <w:tmpl w:val="C3F42122"/>
    <w:lvl w:ilvl="0" w:tplc="8BA6F5A2">
      <w:start w:val="1"/>
      <w:numFmt w:val="bullet"/>
      <w:pStyle w:val="ListBulleted"/>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55893CC6"/>
    <w:multiLevelType w:val="hybridMultilevel"/>
    <w:tmpl w:val="82BAB814"/>
    <w:lvl w:ilvl="0" w:tplc="7C3EFA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AC78B2"/>
    <w:multiLevelType w:val="hybridMultilevel"/>
    <w:tmpl w:val="1D00EBD0"/>
    <w:lvl w:ilvl="0" w:tplc="486CE862">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5897863"/>
    <w:multiLevelType w:val="multilevel"/>
    <w:tmpl w:val="C172EDA4"/>
    <w:lvl w:ilvl="0">
      <w:start w:val="1"/>
      <w:numFmt w:val="decimal"/>
      <w:lvlRestart w:val="0"/>
      <w:pStyle w:val="Heading1"/>
      <w:lvlText w:val="%1"/>
      <w:lvlJc w:val="left"/>
      <w:pPr>
        <w:ind w:left="1649" w:hanging="1649"/>
      </w:pPr>
      <w:rPr>
        <w:rFonts w:hint="default"/>
      </w:rPr>
    </w:lvl>
    <w:lvl w:ilvl="1">
      <w:start w:val="1"/>
      <w:numFmt w:val="decimal"/>
      <w:pStyle w:val="Heading2"/>
      <w:lvlText w:val="%1.%2"/>
      <w:lvlJc w:val="left"/>
      <w:pPr>
        <w:ind w:left="1901" w:hanging="1901"/>
      </w:pPr>
      <w:rPr>
        <w:rFonts w:hint="default"/>
      </w:rPr>
    </w:lvl>
    <w:lvl w:ilvl="2">
      <w:start w:val="1"/>
      <w:numFmt w:val="decimal"/>
      <w:pStyle w:val="Heading3"/>
      <w:lvlText w:val="%1.%2.%3"/>
      <w:lvlJc w:val="left"/>
      <w:pPr>
        <w:ind w:left="2138" w:hanging="2138"/>
      </w:pPr>
      <w:rPr>
        <w:rFonts w:hint="default"/>
      </w:rPr>
    </w:lvl>
    <w:lvl w:ilvl="3">
      <w:start w:val="1"/>
      <w:numFmt w:val="decimal"/>
      <w:pStyle w:val="Heading4"/>
      <w:lvlText w:val="%1.%2.%3.%4"/>
      <w:lvlJc w:val="left"/>
      <w:pPr>
        <w:ind w:left="2362" w:hanging="2362"/>
      </w:pPr>
      <w:rPr>
        <w:rFonts w:hint="default"/>
      </w:rPr>
    </w:lvl>
    <w:lvl w:ilvl="4">
      <w:start w:val="1"/>
      <w:numFmt w:val="decimal"/>
      <w:pStyle w:val="Heading5"/>
      <w:lvlText w:val="%1.%2.%3.%4.%5"/>
      <w:lvlJc w:val="left"/>
      <w:pPr>
        <w:ind w:left="2570" w:hanging="2570"/>
      </w:pPr>
      <w:rPr>
        <w:rFonts w:hint="default"/>
      </w:rPr>
    </w:lvl>
    <w:lvl w:ilvl="5">
      <w:start w:val="1"/>
      <w:numFmt w:val="decimal"/>
      <w:pStyle w:val="Heading6"/>
      <w:lvlText w:val="%1.%2.%3.%4.%5.%6"/>
      <w:lvlJc w:val="left"/>
      <w:pPr>
        <w:ind w:left="2765" w:hanging="2765"/>
      </w:pPr>
      <w:rPr>
        <w:rFonts w:hint="default"/>
      </w:rPr>
    </w:lvl>
    <w:lvl w:ilvl="6">
      <w:start w:val="1"/>
      <w:numFmt w:val="decimal"/>
      <w:pStyle w:val="Heading7"/>
      <w:lvlText w:val="%1.%2.%3.%4.%5.%6.%7"/>
      <w:lvlJc w:val="left"/>
      <w:pPr>
        <w:ind w:left="2945" w:hanging="2945"/>
      </w:pPr>
      <w:rPr>
        <w:rFonts w:hint="default"/>
      </w:rPr>
    </w:lvl>
    <w:lvl w:ilvl="7">
      <w:start w:val="1"/>
      <w:numFmt w:val="decimal"/>
      <w:pStyle w:val="Heading8"/>
      <w:lvlText w:val="%1.%2.%3.%4.%5.%6.%7.%8"/>
      <w:lvlJc w:val="left"/>
      <w:pPr>
        <w:ind w:left="4820" w:hanging="3110"/>
      </w:pPr>
      <w:rPr>
        <w:rFonts w:hint="default"/>
      </w:rPr>
    </w:lvl>
    <w:lvl w:ilvl="8">
      <w:start w:val="1"/>
      <w:numFmt w:val="decimal"/>
      <w:pStyle w:val="Heading9"/>
      <w:lvlText w:val="%1.%2.%3.%4.%5.%6.%7.%8.%9"/>
      <w:lvlJc w:val="left"/>
      <w:pPr>
        <w:ind w:left="3262" w:hanging="3262"/>
      </w:pPr>
      <w:rPr>
        <w:rFonts w:hint="default"/>
      </w:rPr>
    </w:lvl>
  </w:abstractNum>
  <w:abstractNum w:abstractNumId="17">
    <w:nsid w:val="6A685A3B"/>
    <w:multiLevelType w:val="hybridMultilevel"/>
    <w:tmpl w:val="B4F0F0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3943B06"/>
    <w:multiLevelType w:val="hybridMultilevel"/>
    <w:tmpl w:val="12A8F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8F35AA0"/>
    <w:multiLevelType w:val="hybridMultilevel"/>
    <w:tmpl w:val="DFBA692A"/>
    <w:lvl w:ilvl="0" w:tplc="D082832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9"/>
  </w:num>
  <w:num w:numId="4">
    <w:abstractNumId w:val="1"/>
  </w:num>
  <w:num w:numId="5">
    <w:abstractNumId w:val="2"/>
  </w:num>
  <w:num w:numId="6">
    <w:abstractNumId w:val="10"/>
  </w:num>
  <w:num w:numId="7">
    <w:abstractNumId w:val="8"/>
  </w:num>
  <w:num w:numId="8">
    <w:abstractNumId w:val="18"/>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6"/>
  </w:num>
  <w:num w:numId="15">
    <w:abstractNumId w:val="0"/>
  </w:num>
  <w:num w:numId="16">
    <w:abstractNumId w:val="16"/>
  </w:num>
  <w:num w:numId="17">
    <w:abstractNumId w:val="16"/>
  </w:num>
  <w:num w:numId="18">
    <w:abstractNumId w:val="16"/>
  </w:num>
  <w:num w:numId="19">
    <w:abstractNumId w:val="16"/>
  </w:num>
  <w:num w:numId="20">
    <w:abstractNumId w:val="19"/>
  </w:num>
  <w:num w:numId="21">
    <w:abstractNumId w:val="4"/>
  </w:num>
  <w:num w:numId="22">
    <w:abstractNumId w:val="14"/>
  </w:num>
  <w:num w:numId="23">
    <w:abstractNumId w:val="16"/>
  </w:num>
  <w:num w:numId="24">
    <w:abstractNumId w:val="16"/>
  </w:num>
  <w:num w:numId="25">
    <w:abstractNumId w:val="16"/>
  </w:num>
  <w:num w:numId="26">
    <w:abstractNumId w:val="7"/>
  </w:num>
  <w:num w:numId="27">
    <w:abstractNumId w:val="5"/>
  </w:num>
  <w:num w:numId="28">
    <w:abstractNumId w:val="17"/>
  </w:num>
  <w:num w:numId="29">
    <w:abstractNumId w:val="12"/>
  </w:num>
  <w:num w:numId="30">
    <w:abstractNumId w:val="15"/>
  </w:num>
  <w:num w:numId="31">
    <w:abstractNumId w:val="3"/>
  </w:num>
  <w:num w:numId="32">
    <w:abstractNumId w:val="11"/>
  </w:num>
  <w:num w:numId="3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74"/>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221"/>
  <w:displayHorizontalDrawingGridEvery w:val="0"/>
  <w:displayVerticalDrawingGridEvery w:val="0"/>
  <w:doNotShadeFormData/>
  <w:noPunctuationKerning/>
  <w:characterSpacingControl w:val="doNotCompress"/>
  <w:hdrShapeDefaults>
    <o:shapedefaults v:ext="edit" spidmax="6145"/>
  </w:hdrShapeDefaults>
  <w:footnotePr>
    <w:numFmt w:val="lowerRoman"/>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903"/>
    <w:rsid w:val="000003A2"/>
    <w:rsid w:val="00000D10"/>
    <w:rsid w:val="00002178"/>
    <w:rsid w:val="00002458"/>
    <w:rsid w:val="00004B55"/>
    <w:rsid w:val="00006CE6"/>
    <w:rsid w:val="00006E81"/>
    <w:rsid w:val="00007E13"/>
    <w:rsid w:val="00010047"/>
    <w:rsid w:val="00013034"/>
    <w:rsid w:val="0001409C"/>
    <w:rsid w:val="000151B9"/>
    <w:rsid w:val="00015DE4"/>
    <w:rsid w:val="000164F7"/>
    <w:rsid w:val="000167C0"/>
    <w:rsid w:val="00017017"/>
    <w:rsid w:val="00017AC1"/>
    <w:rsid w:val="000210D5"/>
    <w:rsid w:val="00022C5E"/>
    <w:rsid w:val="000242FD"/>
    <w:rsid w:val="0002593B"/>
    <w:rsid w:val="000261A5"/>
    <w:rsid w:val="00032506"/>
    <w:rsid w:val="00032FD1"/>
    <w:rsid w:val="0003412F"/>
    <w:rsid w:val="00034496"/>
    <w:rsid w:val="0004064E"/>
    <w:rsid w:val="00040B0A"/>
    <w:rsid w:val="000417CF"/>
    <w:rsid w:val="000461D6"/>
    <w:rsid w:val="00046E5E"/>
    <w:rsid w:val="00047042"/>
    <w:rsid w:val="00050C75"/>
    <w:rsid w:val="00051562"/>
    <w:rsid w:val="00053804"/>
    <w:rsid w:val="00054304"/>
    <w:rsid w:val="00054752"/>
    <w:rsid w:val="00056EE9"/>
    <w:rsid w:val="000609B7"/>
    <w:rsid w:val="000624E3"/>
    <w:rsid w:val="000627FE"/>
    <w:rsid w:val="0006430F"/>
    <w:rsid w:val="000672B7"/>
    <w:rsid w:val="00071BA2"/>
    <w:rsid w:val="000728AD"/>
    <w:rsid w:val="0007296A"/>
    <w:rsid w:val="000765D2"/>
    <w:rsid w:val="00076CC8"/>
    <w:rsid w:val="00076D2F"/>
    <w:rsid w:val="000824DE"/>
    <w:rsid w:val="00083861"/>
    <w:rsid w:val="00090DC6"/>
    <w:rsid w:val="00090F51"/>
    <w:rsid w:val="00091E44"/>
    <w:rsid w:val="00093AA2"/>
    <w:rsid w:val="00096DF7"/>
    <w:rsid w:val="000A01AF"/>
    <w:rsid w:val="000A3A4B"/>
    <w:rsid w:val="000A3ED5"/>
    <w:rsid w:val="000B2A71"/>
    <w:rsid w:val="000B3DA3"/>
    <w:rsid w:val="000B42BE"/>
    <w:rsid w:val="000B43C0"/>
    <w:rsid w:val="000B44A6"/>
    <w:rsid w:val="000B5E0F"/>
    <w:rsid w:val="000B78DF"/>
    <w:rsid w:val="000C070F"/>
    <w:rsid w:val="000C2431"/>
    <w:rsid w:val="000C4075"/>
    <w:rsid w:val="000C4EB3"/>
    <w:rsid w:val="000C750A"/>
    <w:rsid w:val="000D01DE"/>
    <w:rsid w:val="000D2D1E"/>
    <w:rsid w:val="000D32C9"/>
    <w:rsid w:val="000D423C"/>
    <w:rsid w:val="000D47DC"/>
    <w:rsid w:val="000D4A96"/>
    <w:rsid w:val="000D4D59"/>
    <w:rsid w:val="000D5853"/>
    <w:rsid w:val="000D6B8C"/>
    <w:rsid w:val="000E5714"/>
    <w:rsid w:val="000F265E"/>
    <w:rsid w:val="000F4068"/>
    <w:rsid w:val="000F52A3"/>
    <w:rsid w:val="000F5D25"/>
    <w:rsid w:val="000F76AF"/>
    <w:rsid w:val="000F79E8"/>
    <w:rsid w:val="0010488B"/>
    <w:rsid w:val="00105A30"/>
    <w:rsid w:val="001060C1"/>
    <w:rsid w:val="00107F0B"/>
    <w:rsid w:val="001102F7"/>
    <w:rsid w:val="00111CA0"/>
    <w:rsid w:val="00113BD8"/>
    <w:rsid w:val="00116A00"/>
    <w:rsid w:val="00117A30"/>
    <w:rsid w:val="001245D9"/>
    <w:rsid w:val="001256B2"/>
    <w:rsid w:val="00126257"/>
    <w:rsid w:val="001332D9"/>
    <w:rsid w:val="001335BB"/>
    <w:rsid w:val="00137C30"/>
    <w:rsid w:val="00137CB3"/>
    <w:rsid w:val="0014254D"/>
    <w:rsid w:val="001429F4"/>
    <w:rsid w:val="00146B1B"/>
    <w:rsid w:val="00147F6F"/>
    <w:rsid w:val="00150977"/>
    <w:rsid w:val="00151E18"/>
    <w:rsid w:val="00152C59"/>
    <w:rsid w:val="0015325E"/>
    <w:rsid w:val="001532DB"/>
    <w:rsid w:val="001545D3"/>
    <w:rsid w:val="001546E7"/>
    <w:rsid w:val="0015542E"/>
    <w:rsid w:val="00156683"/>
    <w:rsid w:val="00160582"/>
    <w:rsid w:val="00163EAC"/>
    <w:rsid w:val="00167D64"/>
    <w:rsid w:val="0017007C"/>
    <w:rsid w:val="0017039A"/>
    <w:rsid w:val="00170D4C"/>
    <w:rsid w:val="001718EE"/>
    <w:rsid w:val="001721B1"/>
    <w:rsid w:val="001730F5"/>
    <w:rsid w:val="001742BC"/>
    <w:rsid w:val="0017667E"/>
    <w:rsid w:val="00180B17"/>
    <w:rsid w:val="001823AF"/>
    <w:rsid w:val="00190029"/>
    <w:rsid w:val="0019180F"/>
    <w:rsid w:val="00191FA8"/>
    <w:rsid w:val="00192C02"/>
    <w:rsid w:val="00196412"/>
    <w:rsid w:val="001977A6"/>
    <w:rsid w:val="00197841"/>
    <w:rsid w:val="00197CD9"/>
    <w:rsid w:val="001A346E"/>
    <w:rsid w:val="001A3993"/>
    <w:rsid w:val="001B20C4"/>
    <w:rsid w:val="001B7CD7"/>
    <w:rsid w:val="001C349C"/>
    <w:rsid w:val="001C3632"/>
    <w:rsid w:val="001C3CB5"/>
    <w:rsid w:val="001C6EAD"/>
    <w:rsid w:val="001C7DE3"/>
    <w:rsid w:val="001D36D4"/>
    <w:rsid w:val="001D4007"/>
    <w:rsid w:val="001D428F"/>
    <w:rsid w:val="001D4821"/>
    <w:rsid w:val="001D4EC0"/>
    <w:rsid w:val="001E21AE"/>
    <w:rsid w:val="001E2709"/>
    <w:rsid w:val="001F1BFD"/>
    <w:rsid w:val="001F2350"/>
    <w:rsid w:val="001F37DA"/>
    <w:rsid w:val="001F41DA"/>
    <w:rsid w:val="001F7195"/>
    <w:rsid w:val="001F7B1F"/>
    <w:rsid w:val="002008CB"/>
    <w:rsid w:val="00201694"/>
    <w:rsid w:val="00203767"/>
    <w:rsid w:val="002047F4"/>
    <w:rsid w:val="00204954"/>
    <w:rsid w:val="0020523B"/>
    <w:rsid w:val="0020607D"/>
    <w:rsid w:val="00207E62"/>
    <w:rsid w:val="00210D88"/>
    <w:rsid w:val="00211BBF"/>
    <w:rsid w:val="002124C5"/>
    <w:rsid w:val="00214AB0"/>
    <w:rsid w:val="00215990"/>
    <w:rsid w:val="002159F4"/>
    <w:rsid w:val="002165CF"/>
    <w:rsid w:val="0021660C"/>
    <w:rsid w:val="00217C10"/>
    <w:rsid w:val="00221A0E"/>
    <w:rsid w:val="00224203"/>
    <w:rsid w:val="002273C7"/>
    <w:rsid w:val="00230BB3"/>
    <w:rsid w:val="00230CF9"/>
    <w:rsid w:val="0023282E"/>
    <w:rsid w:val="0023582F"/>
    <w:rsid w:val="00236697"/>
    <w:rsid w:val="00236CCA"/>
    <w:rsid w:val="00237004"/>
    <w:rsid w:val="00237C8B"/>
    <w:rsid w:val="00241294"/>
    <w:rsid w:val="0024150A"/>
    <w:rsid w:val="002416C1"/>
    <w:rsid w:val="00243CCA"/>
    <w:rsid w:val="00244CCB"/>
    <w:rsid w:val="00250521"/>
    <w:rsid w:val="00250D6F"/>
    <w:rsid w:val="002569BD"/>
    <w:rsid w:val="00257442"/>
    <w:rsid w:val="0026116F"/>
    <w:rsid w:val="002637F4"/>
    <w:rsid w:val="0026641D"/>
    <w:rsid w:val="00267841"/>
    <w:rsid w:val="00270CD7"/>
    <w:rsid w:val="00272613"/>
    <w:rsid w:val="00274159"/>
    <w:rsid w:val="002758A0"/>
    <w:rsid w:val="00275CD4"/>
    <w:rsid w:val="00276FDF"/>
    <w:rsid w:val="00281984"/>
    <w:rsid w:val="0028436A"/>
    <w:rsid w:val="0028693D"/>
    <w:rsid w:val="00293DA7"/>
    <w:rsid w:val="00297462"/>
    <w:rsid w:val="00297E8D"/>
    <w:rsid w:val="002A2E92"/>
    <w:rsid w:val="002A5C72"/>
    <w:rsid w:val="002A6102"/>
    <w:rsid w:val="002A6F00"/>
    <w:rsid w:val="002A77D0"/>
    <w:rsid w:val="002B00D3"/>
    <w:rsid w:val="002B4512"/>
    <w:rsid w:val="002B74C7"/>
    <w:rsid w:val="002B7F19"/>
    <w:rsid w:val="002C08A3"/>
    <w:rsid w:val="002C4A72"/>
    <w:rsid w:val="002C5420"/>
    <w:rsid w:val="002C7961"/>
    <w:rsid w:val="002D2396"/>
    <w:rsid w:val="002D34EA"/>
    <w:rsid w:val="002D42A5"/>
    <w:rsid w:val="002D4568"/>
    <w:rsid w:val="002D59FD"/>
    <w:rsid w:val="002D710B"/>
    <w:rsid w:val="002D7364"/>
    <w:rsid w:val="002D753F"/>
    <w:rsid w:val="002E03AB"/>
    <w:rsid w:val="002E0601"/>
    <w:rsid w:val="002E09FB"/>
    <w:rsid w:val="002E18C2"/>
    <w:rsid w:val="002E215C"/>
    <w:rsid w:val="002E7B35"/>
    <w:rsid w:val="002F1B92"/>
    <w:rsid w:val="002F4F19"/>
    <w:rsid w:val="002F735A"/>
    <w:rsid w:val="002F7A29"/>
    <w:rsid w:val="003011F4"/>
    <w:rsid w:val="00301CC1"/>
    <w:rsid w:val="0030307F"/>
    <w:rsid w:val="003039BC"/>
    <w:rsid w:val="00304D8F"/>
    <w:rsid w:val="00307A7D"/>
    <w:rsid w:val="00315DF9"/>
    <w:rsid w:val="00317A10"/>
    <w:rsid w:val="0032008E"/>
    <w:rsid w:val="003232C5"/>
    <w:rsid w:val="003243B1"/>
    <w:rsid w:val="00326D49"/>
    <w:rsid w:val="00326EA1"/>
    <w:rsid w:val="0032791F"/>
    <w:rsid w:val="00331DFB"/>
    <w:rsid w:val="00332490"/>
    <w:rsid w:val="0033730A"/>
    <w:rsid w:val="003402D8"/>
    <w:rsid w:val="00341AA7"/>
    <w:rsid w:val="003427F1"/>
    <w:rsid w:val="00347F1B"/>
    <w:rsid w:val="00350368"/>
    <w:rsid w:val="00350E4F"/>
    <w:rsid w:val="00351688"/>
    <w:rsid w:val="00352281"/>
    <w:rsid w:val="003538EB"/>
    <w:rsid w:val="0035399C"/>
    <w:rsid w:val="0035420D"/>
    <w:rsid w:val="00354CBF"/>
    <w:rsid w:val="00355F44"/>
    <w:rsid w:val="0035680E"/>
    <w:rsid w:val="00361D16"/>
    <w:rsid w:val="00361DC3"/>
    <w:rsid w:val="0036458F"/>
    <w:rsid w:val="0036567F"/>
    <w:rsid w:val="003658D1"/>
    <w:rsid w:val="003663EA"/>
    <w:rsid w:val="003665A9"/>
    <w:rsid w:val="003673E0"/>
    <w:rsid w:val="0037041C"/>
    <w:rsid w:val="003717E8"/>
    <w:rsid w:val="00371815"/>
    <w:rsid w:val="0037498F"/>
    <w:rsid w:val="00377D3F"/>
    <w:rsid w:val="003837C1"/>
    <w:rsid w:val="003858B3"/>
    <w:rsid w:val="00390F43"/>
    <w:rsid w:val="00391EE2"/>
    <w:rsid w:val="00393118"/>
    <w:rsid w:val="00394FC6"/>
    <w:rsid w:val="003953D0"/>
    <w:rsid w:val="003A0085"/>
    <w:rsid w:val="003A1F2E"/>
    <w:rsid w:val="003A33D9"/>
    <w:rsid w:val="003A4189"/>
    <w:rsid w:val="003A4397"/>
    <w:rsid w:val="003A7377"/>
    <w:rsid w:val="003B24AB"/>
    <w:rsid w:val="003B421D"/>
    <w:rsid w:val="003B5A5F"/>
    <w:rsid w:val="003B6A93"/>
    <w:rsid w:val="003B6CE6"/>
    <w:rsid w:val="003C1288"/>
    <w:rsid w:val="003C41C1"/>
    <w:rsid w:val="003C480C"/>
    <w:rsid w:val="003C4DAC"/>
    <w:rsid w:val="003C74A1"/>
    <w:rsid w:val="003D08D9"/>
    <w:rsid w:val="003D2F43"/>
    <w:rsid w:val="003D384F"/>
    <w:rsid w:val="003D48CE"/>
    <w:rsid w:val="003D6075"/>
    <w:rsid w:val="003E324C"/>
    <w:rsid w:val="003E37AB"/>
    <w:rsid w:val="003E5A70"/>
    <w:rsid w:val="003E5EB3"/>
    <w:rsid w:val="003E67B6"/>
    <w:rsid w:val="003F11FA"/>
    <w:rsid w:val="003F3F97"/>
    <w:rsid w:val="003F7C2A"/>
    <w:rsid w:val="00404EDD"/>
    <w:rsid w:val="004079B4"/>
    <w:rsid w:val="004125DC"/>
    <w:rsid w:val="004240C3"/>
    <w:rsid w:val="004241B5"/>
    <w:rsid w:val="0043187B"/>
    <w:rsid w:val="00432524"/>
    <w:rsid w:val="00432581"/>
    <w:rsid w:val="00434E23"/>
    <w:rsid w:val="00441B14"/>
    <w:rsid w:val="00441D90"/>
    <w:rsid w:val="00443CA1"/>
    <w:rsid w:val="004526CC"/>
    <w:rsid w:val="00452B41"/>
    <w:rsid w:val="0045308B"/>
    <w:rsid w:val="0045733F"/>
    <w:rsid w:val="004603A6"/>
    <w:rsid w:val="0046066B"/>
    <w:rsid w:val="00461212"/>
    <w:rsid w:val="004647FF"/>
    <w:rsid w:val="004649B9"/>
    <w:rsid w:val="004664D0"/>
    <w:rsid w:val="00471D4C"/>
    <w:rsid w:val="00471E8F"/>
    <w:rsid w:val="00473CC4"/>
    <w:rsid w:val="0048510E"/>
    <w:rsid w:val="00486D87"/>
    <w:rsid w:val="004924C4"/>
    <w:rsid w:val="00492D87"/>
    <w:rsid w:val="004965BF"/>
    <w:rsid w:val="004969CB"/>
    <w:rsid w:val="00496A6B"/>
    <w:rsid w:val="004A21A2"/>
    <w:rsid w:val="004A2364"/>
    <w:rsid w:val="004A35DB"/>
    <w:rsid w:val="004A4600"/>
    <w:rsid w:val="004B125D"/>
    <w:rsid w:val="004B1F46"/>
    <w:rsid w:val="004C49FB"/>
    <w:rsid w:val="004D013F"/>
    <w:rsid w:val="004D0F95"/>
    <w:rsid w:val="004D2B15"/>
    <w:rsid w:val="004D377F"/>
    <w:rsid w:val="004D6BEF"/>
    <w:rsid w:val="004E478F"/>
    <w:rsid w:val="004E5DE6"/>
    <w:rsid w:val="004E7FB7"/>
    <w:rsid w:val="004F1B90"/>
    <w:rsid w:val="004F441C"/>
    <w:rsid w:val="0050213F"/>
    <w:rsid w:val="00503D5D"/>
    <w:rsid w:val="00505721"/>
    <w:rsid w:val="005057E6"/>
    <w:rsid w:val="00506806"/>
    <w:rsid w:val="0051117D"/>
    <w:rsid w:val="0051199D"/>
    <w:rsid w:val="00516A24"/>
    <w:rsid w:val="005177EE"/>
    <w:rsid w:val="00517F24"/>
    <w:rsid w:val="00520285"/>
    <w:rsid w:val="0052117E"/>
    <w:rsid w:val="0052356F"/>
    <w:rsid w:val="00523BC2"/>
    <w:rsid w:val="00525CC2"/>
    <w:rsid w:val="00525E5E"/>
    <w:rsid w:val="005320BA"/>
    <w:rsid w:val="0053232D"/>
    <w:rsid w:val="00532972"/>
    <w:rsid w:val="0053475E"/>
    <w:rsid w:val="005361FA"/>
    <w:rsid w:val="0053673A"/>
    <w:rsid w:val="005368BE"/>
    <w:rsid w:val="00537228"/>
    <w:rsid w:val="005373E2"/>
    <w:rsid w:val="0054000F"/>
    <w:rsid w:val="005409DF"/>
    <w:rsid w:val="00541BAB"/>
    <w:rsid w:val="00543DD3"/>
    <w:rsid w:val="0054763E"/>
    <w:rsid w:val="00550A4D"/>
    <w:rsid w:val="005533CE"/>
    <w:rsid w:val="005548F3"/>
    <w:rsid w:val="0055535B"/>
    <w:rsid w:val="00555906"/>
    <w:rsid w:val="00563109"/>
    <w:rsid w:val="0056333D"/>
    <w:rsid w:val="00566DBA"/>
    <w:rsid w:val="00571686"/>
    <w:rsid w:val="005724D1"/>
    <w:rsid w:val="0057569E"/>
    <w:rsid w:val="005771DC"/>
    <w:rsid w:val="00577498"/>
    <w:rsid w:val="0058073D"/>
    <w:rsid w:val="00581264"/>
    <w:rsid w:val="005848D9"/>
    <w:rsid w:val="00586B30"/>
    <w:rsid w:val="005878BB"/>
    <w:rsid w:val="00590D61"/>
    <w:rsid w:val="00591116"/>
    <w:rsid w:val="00594839"/>
    <w:rsid w:val="00594F52"/>
    <w:rsid w:val="005A1251"/>
    <w:rsid w:val="005A1300"/>
    <w:rsid w:val="005A13D1"/>
    <w:rsid w:val="005A1AA5"/>
    <w:rsid w:val="005A2F82"/>
    <w:rsid w:val="005A3DC9"/>
    <w:rsid w:val="005A7370"/>
    <w:rsid w:val="005A7F49"/>
    <w:rsid w:val="005B269B"/>
    <w:rsid w:val="005B2EE5"/>
    <w:rsid w:val="005B39D4"/>
    <w:rsid w:val="005B4851"/>
    <w:rsid w:val="005B6597"/>
    <w:rsid w:val="005B712E"/>
    <w:rsid w:val="005C17E6"/>
    <w:rsid w:val="005C2BA3"/>
    <w:rsid w:val="005C4E3A"/>
    <w:rsid w:val="005C645F"/>
    <w:rsid w:val="005D04E3"/>
    <w:rsid w:val="005D0ECF"/>
    <w:rsid w:val="005D617A"/>
    <w:rsid w:val="005D6285"/>
    <w:rsid w:val="005D7622"/>
    <w:rsid w:val="005E2A0C"/>
    <w:rsid w:val="005E33D1"/>
    <w:rsid w:val="005E68F5"/>
    <w:rsid w:val="005E71C8"/>
    <w:rsid w:val="005F1DE7"/>
    <w:rsid w:val="005F2088"/>
    <w:rsid w:val="005F267E"/>
    <w:rsid w:val="005F3F8F"/>
    <w:rsid w:val="005F49BD"/>
    <w:rsid w:val="005F7EED"/>
    <w:rsid w:val="00601671"/>
    <w:rsid w:val="0060217B"/>
    <w:rsid w:val="00602323"/>
    <w:rsid w:val="00602A11"/>
    <w:rsid w:val="00603715"/>
    <w:rsid w:val="0060535F"/>
    <w:rsid w:val="00605D6C"/>
    <w:rsid w:val="0060663C"/>
    <w:rsid w:val="00606E6A"/>
    <w:rsid w:val="00611D7A"/>
    <w:rsid w:val="00613734"/>
    <w:rsid w:val="00614674"/>
    <w:rsid w:val="006164B8"/>
    <w:rsid w:val="00616B40"/>
    <w:rsid w:val="00617637"/>
    <w:rsid w:val="00617732"/>
    <w:rsid w:val="00631384"/>
    <w:rsid w:val="00631465"/>
    <w:rsid w:val="00632301"/>
    <w:rsid w:val="00633C82"/>
    <w:rsid w:val="00635162"/>
    <w:rsid w:val="00636BE1"/>
    <w:rsid w:val="00636E9E"/>
    <w:rsid w:val="006374D3"/>
    <w:rsid w:val="00641D53"/>
    <w:rsid w:val="00641D69"/>
    <w:rsid w:val="00644DDD"/>
    <w:rsid w:val="00644DF3"/>
    <w:rsid w:val="00645A47"/>
    <w:rsid w:val="00651799"/>
    <w:rsid w:val="00653CC7"/>
    <w:rsid w:val="0065540F"/>
    <w:rsid w:val="00656816"/>
    <w:rsid w:val="006576CA"/>
    <w:rsid w:val="00666435"/>
    <w:rsid w:val="00672014"/>
    <w:rsid w:val="0067381E"/>
    <w:rsid w:val="0068065E"/>
    <w:rsid w:val="0068253D"/>
    <w:rsid w:val="00683D94"/>
    <w:rsid w:val="00683EB8"/>
    <w:rsid w:val="006923A3"/>
    <w:rsid w:val="00692B36"/>
    <w:rsid w:val="00695FA6"/>
    <w:rsid w:val="00696C10"/>
    <w:rsid w:val="006A0439"/>
    <w:rsid w:val="006A05F6"/>
    <w:rsid w:val="006A289B"/>
    <w:rsid w:val="006A33FA"/>
    <w:rsid w:val="006A5B9E"/>
    <w:rsid w:val="006B092C"/>
    <w:rsid w:val="006B298C"/>
    <w:rsid w:val="006B2C8F"/>
    <w:rsid w:val="006B44EA"/>
    <w:rsid w:val="006B55C7"/>
    <w:rsid w:val="006C0EFD"/>
    <w:rsid w:val="006C13EE"/>
    <w:rsid w:val="006C2136"/>
    <w:rsid w:val="006C4F31"/>
    <w:rsid w:val="006C573E"/>
    <w:rsid w:val="006C641A"/>
    <w:rsid w:val="006D2F42"/>
    <w:rsid w:val="006D3BC3"/>
    <w:rsid w:val="006D4CCA"/>
    <w:rsid w:val="006D60C4"/>
    <w:rsid w:val="006E100E"/>
    <w:rsid w:val="006E1406"/>
    <w:rsid w:val="006E1AA1"/>
    <w:rsid w:val="006E25F8"/>
    <w:rsid w:val="006E2C28"/>
    <w:rsid w:val="006E34FA"/>
    <w:rsid w:val="006E54A5"/>
    <w:rsid w:val="006E67E7"/>
    <w:rsid w:val="006E7DB1"/>
    <w:rsid w:val="006F0B21"/>
    <w:rsid w:val="006F0C2C"/>
    <w:rsid w:val="006F0DD4"/>
    <w:rsid w:val="006F1C9D"/>
    <w:rsid w:val="006F24F6"/>
    <w:rsid w:val="006F3889"/>
    <w:rsid w:val="00702FD7"/>
    <w:rsid w:val="00704566"/>
    <w:rsid w:val="00704793"/>
    <w:rsid w:val="0070582D"/>
    <w:rsid w:val="00706354"/>
    <w:rsid w:val="0071419A"/>
    <w:rsid w:val="00721034"/>
    <w:rsid w:val="00721C7E"/>
    <w:rsid w:val="00721CB2"/>
    <w:rsid w:val="00724A5E"/>
    <w:rsid w:val="007300C5"/>
    <w:rsid w:val="007309FD"/>
    <w:rsid w:val="007341FD"/>
    <w:rsid w:val="007343A6"/>
    <w:rsid w:val="00735B4A"/>
    <w:rsid w:val="007364B3"/>
    <w:rsid w:val="00736A75"/>
    <w:rsid w:val="00744AEC"/>
    <w:rsid w:val="007454F9"/>
    <w:rsid w:val="007457F4"/>
    <w:rsid w:val="007468EA"/>
    <w:rsid w:val="00747C23"/>
    <w:rsid w:val="007544D3"/>
    <w:rsid w:val="007552D6"/>
    <w:rsid w:val="007555B2"/>
    <w:rsid w:val="007558B7"/>
    <w:rsid w:val="0075635C"/>
    <w:rsid w:val="00763317"/>
    <w:rsid w:val="00763A43"/>
    <w:rsid w:val="00765832"/>
    <w:rsid w:val="00765A2B"/>
    <w:rsid w:val="00770327"/>
    <w:rsid w:val="007720C7"/>
    <w:rsid w:val="007776C4"/>
    <w:rsid w:val="00777A54"/>
    <w:rsid w:val="00785181"/>
    <w:rsid w:val="0078783B"/>
    <w:rsid w:val="00794C4C"/>
    <w:rsid w:val="00797D9B"/>
    <w:rsid w:val="007A02E8"/>
    <w:rsid w:val="007A14D1"/>
    <w:rsid w:val="007A2AC1"/>
    <w:rsid w:val="007A3796"/>
    <w:rsid w:val="007A5B90"/>
    <w:rsid w:val="007A7D2D"/>
    <w:rsid w:val="007B05E9"/>
    <w:rsid w:val="007B4B88"/>
    <w:rsid w:val="007B584A"/>
    <w:rsid w:val="007B769A"/>
    <w:rsid w:val="007C0E09"/>
    <w:rsid w:val="007C1C08"/>
    <w:rsid w:val="007C5070"/>
    <w:rsid w:val="007C583D"/>
    <w:rsid w:val="007C5D12"/>
    <w:rsid w:val="007D1E53"/>
    <w:rsid w:val="007D2736"/>
    <w:rsid w:val="007D5416"/>
    <w:rsid w:val="007D5722"/>
    <w:rsid w:val="007D6286"/>
    <w:rsid w:val="007E4331"/>
    <w:rsid w:val="007E4E04"/>
    <w:rsid w:val="007E4F53"/>
    <w:rsid w:val="007E7607"/>
    <w:rsid w:val="007E7DB5"/>
    <w:rsid w:val="007F0516"/>
    <w:rsid w:val="007F09EA"/>
    <w:rsid w:val="007F525C"/>
    <w:rsid w:val="00800EE9"/>
    <w:rsid w:val="00800F7B"/>
    <w:rsid w:val="00803AC9"/>
    <w:rsid w:val="00805654"/>
    <w:rsid w:val="00810C13"/>
    <w:rsid w:val="00813951"/>
    <w:rsid w:val="00816B95"/>
    <w:rsid w:val="008177A4"/>
    <w:rsid w:val="00820A60"/>
    <w:rsid w:val="00820B2C"/>
    <w:rsid w:val="00820B3E"/>
    <w:rsid w:val="00820E72"/>
    <w:rsid w:val="0082193A"/>
    <w:rsid w:val="00822CCB"/>
    <w:rsid w:val="00823E13"/>
    <w:rsid w:val="00823F2F"/>
    <w:rsid w:val="00825D55"/>
    <w:rsid w:val="00826AE3"/>
    <w:rsid w:val="00827681"/>
    <w:rsid w:val="0083087D"/>
    <w:rsid w:val="008318C6"/>
    <w:rsid w:val="00831E02"/>
    <w:rsid w:val="00831FCE"/>
    <w:rsid w:val="00832906"/>
    <w:rsid w:val="00834D17"/>
    <w:rsid w:val="0085253C"/>
    <w:rsid w:val="00856F0C"/>
    <w:rsid w:val="008602AE"/>
    <w:rsid w:val="00861002"/>
    <w:rsid w:val="008611BA"/>
    <w:rsid w:val="00863E13"/>
    <w:rsid w:val="008640B7"/>
    <w:rsid w:val="00866DA1"/>
    <w:rsid w:val="00873A49"/>
    <w:rsid w:val="00874EC6"/>
    <w:rsid w:val="00875B0A"/>
    <w:rsid w:val="00875CA6"/>
    <w:rsid w:val="00880107"/>
    <w:rsid w:val="0088013E"/>
    <w:rsid w:val="00882223"/>
    <w:rsid w:val="00882584"/>
    <w:rsid w:val="008848A8"/>
    <w:rsid w:val="0088641F"/>
    <w:rsid w:val="00890042"/>
    <w:rsid w:val="00891B63"/>
    <w:rsid w:val="00892C77"/>
    <w:rsid w:val="00893345"/>
    <w:rsid w:val="0089350A"/>
    <w:rsid w:val="0089361E"/>
    <w:rsid w:val="00893D51"/>
    <w:rsid w:val="00897CF4"/>
    <w:rsid w:val="008A10D9"/>
    <w:rsid w:val="008A2BAC"/>
    <w:rsid w:val="008A30F5"/>
    <w:rsid w:val="008A3A0B"/>
    <w:rsid w:val="008A3B5F"/>
    <w:rsid w:val="008A46C9"/>
    <w:rsid w:val="008A4CE7"/>
    <w:rsid w:val="008A73D1"/>
    <w:rsid w:val="008A7CE8"/>
    <w:rsid w:val="008A7D24"/>
    <w:rsid w:val="008B0CE1"/>
    <w:rsid w:val="008B112D"/>
    <w:rsid w:val="008B13F5"/>
    <w:rsid w:val="008B2AD9"/>
    <w:rsid w:val="008B2ECA"/>
    <w:rsid w:val="008B3455"/>
    <w:rsid w:val="008B4B38"/>
    <w:rsid w:val="008B59A3"/>
    <w:rsid w:val="008C0F4A"/>
    <w:rsid w:val="008C302C"/>
    <w:rsid w:val="008C4455"/>
    <w:rsid w:val="008C7CD5"/>
    <w:rsid w:val="008D02F3"/>
    <w:rsid w:val="008D1CC6"/>
    <w:rsid w:val="008D3D71"/>
    <w:rsid w:val="008E01A9"/>
    <w:rsid w:val="008E0E26"/>
    <w:rsid w:val="008E1FF9"/>
    <w:rsid w:val="008E4110"/>
    <w:rsid w:val="008E539B"/>
    <w:rsid w:val="008E7A3A"/>
    <w:rsid w:val="008F30B5"/>
    <w:rsid w:val="008F49CA"/>
    <w:rsid w:val="008F50F9"/>
    <w:rsid w:val="008F7745"/>
    <w:rsid w:val="008F7C29"/>
    <w:rsid w:val="00900DC5"/>
    <w:rsid w:val="00900F32"/>
    <w:rsid w:val="00903066"/>
    <w:rsid w:val="00903781"/>
    <w:rsid w:val="00903FE4"/>
    <w:rsid w:val="00904100"/>
    <w:rsid w:val="009076DC"/>
    <w:rsid w:val="00911353"/>
    <w:rsid w:val="00912FF8"/>
    <w:rsid w:val="0091331F"/>
    <w:rsid w:val="009155F8"/>
    <w:rsid w:val="00917212"/>
    <w:rsid w:val="00917227"/>
    <w:rsid w:val="00917B0C"/>
    <w:rsid w:val="00917C2C"/>
    <w:rsid w:val="00922683"/>
    <w:rsid w:val="00922685"/>
    <w:rsid w:val="00923A6E"/>
    <w:rsid w:val="00923C68"/>
    <w:rsid w:val="009263B8"/>
    <w:rsid w:val="009270DD"/>
    <w:rsid w:val="009303B1"/>
    <w:rsid w:val="00931477"/>
    <w:rsid w:val="009317B3"/>
    <w:rsid w:val="00933093"/>
    <w:rsid w:val="0093636B"/>
    <w:rsid w:val="00937797"/>
    <w:rsid w:val="00941B7B"/>
    <w:rsid w:val="009430B3"/>
    <w:rsid w:val="00945DEA"/>
    <w:rsid w:val="00946173"/>
    <w:rsid w:val="00950129"/>
    <w:rsid w:val="0095207B"/>
    <w:rsid w:val="00954D5D"/>
    <w:rsid w:val="00956A63"/>
    <w:rsid w:val="00957E7B"/>
    <w:rsid w:val="00965258"/>
    <w:rsid w:val="00965452"/>
    <w:rsid w:val="00965C70"/>
    <w:rsid w:val="00965CF1"/>
    <w:rsid w:val="00967DB2"/>
    <w:rsid w:val="00974C45"/>
    <w:rsid w:val="00976445"/>
    <w:rsid w:val="00977932"/>
    <w:rsid w:val="00981FE5"/>
    <w:rsid w:val="009820C9"/>
    <w:rsid w:val="00982162"/>
    <w:rsid w:val="00982A75"/>
    <w:rsid w:val="00982EC1"/>
    <w:rsid w:val="0098474B"/>
    <w:rsid w:val="009850B0"/>
    <w:rsid w:val="009859C1"/>
    <w:rsid w:val="009862BA"/>
    <w:rsid w:val="00986958"/>
    <w:rsid w:val="00986EDE"/>
    <w:rsid w:val="00992990"/>
    <w:rsid w:val="00994AEE"/>
    <w:rsid w:val="00994CF6"/>
    <w:rsid w:val="00995645"/>
    <w:rsid w:val="009976F5"/>
    <w:rsid w:val="00997A50"/>
    <w:rsid w:val="009A12AD"/>
    <w:rsid w:val="009A1795"/>
    <w:rsid w:val="009A36A5"/>
    <w:rsid w:val="009A4266"/>
    <w:rsid w:val="009A5A56"/>
    <w:rsid w:val="009A6851"/>
    <w:rsid w:val="009B1211"/>
    <w:rsid w:val="009B25FC"/>
    <w:rsid w:val="009B2759"/>
    <w:rsid w:val="009B4322"/>
    <w:rsid w:val="009B6E0C"/>
    <w:rsid w:val="009B6E23"/>
    <w:rsid w:val="009C0F09"/>
    <w:rsid w:val="009C2373"/>
    <w:rsid w:val="009C3013"/>
    <w:rsid w:val="009C3AE9"/>
    <w:rsid w:val="009C3D34"/>
    <w:rsid w:val="009C6414"/>
    <w:rsid w:val="009D03D3"/>
    <w:rsid w:val="009D16B1"/>
    <w:rsid w:val="009D289F"/>
    <w:rsid w:val="009D3156"/>
    <w:rsid w:val="009D3BA8"/>
    <w:rsid w:val="009D6286"/>
    <w:rsid w:val="009E01D7"/>
    <w:rsid w:val="009E13EC"/>
    <w:rsid w:val="009E1521"/>
    <w:rsid w:val="009E32CA"/>
    <w:rsid w:val="009E3F59"/>
    <w:rsid w:val="009F16F9"/>
    <w:rsid w:val="009F2EE3"/>
    <w:rsid w:val="009F3295"/>
    <w:rsid w:val="009F43CF"/>
    <w:rsid w:val="009F4DC8"/>
    <w:rsid w:val="009F5D50"/>
    <w:rsid w:val="00A00AD0"/>
    <w:rsid w:val="00A02AEB"/>
    <w:rsid w:val="00A07270"/>
    <w:rsid w:val="00A07994"/>
    <w:rsid w:val="00A1159D"/>
    <w:rsid w:val="00A13031"/>
    <w:rsid w:val="00A14425"/>
    <w:rsid w:val="00A1479A"/>
    <w:rsid w:val="00A16AC4"/>
    <w:rsid w:val="00A22F3F"/>
    <w:rsid w:val="00A2314F"/>
    <w:rsid w:val="00A241BE"/>
    <w:rsid w:val="00A24C9F"/>
    <w:rsid w:val="00A24DEE"/>
    <w:rsid w:val="00A25721"/>
    <w:rsid w:val="00A32314"/>
    <w:rsid w:val="00A3349F"/>
    <w:rsid w:val="00A33B33"/>
    <w:rsid w:val="00A33C72"/>
    <w:rsid w:val="00A3680C"/>
    <w:rsid w:val="00A3722E"/>
    <w:rsid w:val="00A37523"/>
    <w:rsid w:val="00A40505"/>
    <w:rsid w:val="00A4178D"/>
    <w:rsid w:val="00A4563C"/>
    <w:rsid w:val="00A45EEC"/>
    <w:rsid w:val="00A52617"/>
    <w:rsid w:val="00A5443D"/>
    <w:rsid w:val="00A55BDB"/>
    <w:rsid w:val="00A55E55"/>
    <w:rsid w:val="00A56192"/>
    <w:rsid w:val="00A57806"/>
    <w:rsid w:val="00A60CE0"/>
    <w:rsid w:val="00A621D1"/>
    <w:rsid w:val="00A656AB"/>
    <w:rsid w:val="00A66B8F"/>
    <w:rsid w:val="00A66D28"/>
    <w:rsid w:val="00A674EE"/>
    <w:rsid w:val="00A702E8"/>
    <w:rsid w:val="00A717DA"/>
    <w:rsid w:val="00A71CB4"/>
    <w:rsid w:val="00A73DC7"/>
    <w:rsid w:val="00A74B13"/>
    <w:rsid w:val="00A763F2"/>
    <w:rsid w:val="00A772FB"/>
    <w:rsid w:val="00A77F28"/>
    <w:rsid w:val="00A82970"/>
    <w:rsid w:val="00A83E95"/>
    <w:rsid w:val="00A8615D"/>
    <w:rsid w:val="00A92551"/>
    <w:rsid w:val="00A97F0F"/>
    <w:rsid w:val="00AA0C1F"/>
    <w:rsid w:val="00AB0441"/>
    <w:rsid w:val="00AB5F45"/>
    <w:rsid w:val="00AC0FA9"/>
    <w:rsid w:val="00AC2A13"/>
    <w:rsid w:val="00AC3BA8"/>
    <w:rsid w:val="00AC56B1"/>
    <w:rsid w:val="00AC5A11"/>
    <w:rsid w:val="00AC79A0"/>
    <w:rsid w:val="00AD2FEC"/>
    <w:rsid w:val="00AD3C5E"/>
    <w:rsid w:val="00AD7DA7"/>
    <w:rsid w:val="00AE0226"/>
    <w:rsid w:val="00AE5013"/>
    <w:rsid w:val="00AE7FD9"/>
    <w:rsid w:val="00AF045E"/>
    <w:rsid w:val="00AF056F"/>
    <w:rsid w:val="00AF0DCE"/>
    <w:rsid w:val="00AF459B"/>
    <w:rsid w:val="00AF6D91"/>
    <w:rsid w:val="00B00A36"/>
    <w:rsid w:val="00B00DFB"/>
    <w:rsid w:val="00B04D81"/>
    <w:rsid w:val="00B0568A"/>
    <w:rsid w:val="00B059F6"/>
    <w:rsid w:val="00B10BB5"/>
    <w:rsid w:val="00B1341A"/>
    <w:rsid w:val="00B13B6A"/>
    <w:rsid w:val="00B15B33"/>
    <w:rsid w:val="00B1677F"/>
    <w:rsid w:val="00B167BD"/>
    <w:rsid w:val="00B17476"/>
    <w:rsid w:val="00B17EDF"/>
    <w:rsid w:val="00B21EE9"/>
    <w:rsid w:val="00B21F23"/>
    <w:rsid w:val="00B25A91"/>
    <w:rsid w:val="00B274FF"/>
    <w:rsid w:val="00B3084E"/>
    <w:rsid w:val="00B343DD"/>
    <w:rsid w:val="00B346D0"/>
    <w:rsid w:val="00B349E4"/>
    <w:rsid w:val="00B377A4"/>
    <w:rsid w:val="00B52319"/>
    <w:rsid w:val="00B55031"/>
    <w:rsid w:val="00B57AA2"/>
    <w:rsid w:val="00B60BCF"/>
    <w:rsid w:val="00B61449"/>
    <w:rsid w:val="00B6270B"/>
    <w:rsid w:val="00B62BA6"/>
    <w:rsid w:val="00B63687"/>
    <w:rsid w:val="00B6482E"/>
    <w:rsid w:val="00B648B2"/>
    <w:rsid w:val="00B73119"/>
    <w:rsid w:val="00B74AD3"/>
    <w:rsid w:val="00B80344"/>
    <w:rsid w:val="00B82BE5"/>
    <w:rsid w:val="00B93A4C"/>
    <w:rsid w:val="00B93DA7"/>
    <w:rsid w:val="00B97094"/>
    <w:rsid w:val="00B97E0D"/>
    <w:rsid w:val="00BA01C9"/>
    <w:rsid w:val="00BA3554"/>
    <w:rsid w:val="00BA4F9E"/>
    <w:rsid w:val="00BA557C"/>
    <w:rsid w:val="00BA5FAC"/>
    <w:rsid w:val="00BA7651"/>
    <w:rsid w:val="00BB09AE"/>
    <w:rsid w:val="00BB265C"/>
    <w:rsid w:val="00BB293B"/>
    <w:rsid w:val="00BB53D3"/>
    <w:rsid w:val="00BC2148"/>
    <w:rsid w:val="00BC21F0"/>
    <w:rsid w:val="00BC2F3F"/>
    <w:rsid w:val="00BC37D7"/>
    <w:rsid w:val="00BC4155"/>
    <w:rsid w:val="00BC6CAE"/>
    <w:rsid w:val="00BC7024"/>
    <w:rsid w:val="00BD1A47"/>
    <w:rsid w:val="00BD2D1F"/>
    <w:rsid w:val="00BD479C"/>
    <w:rsid w:val="00BD6D8C"/>
    <w:rsid w:val="00BD792E"/>
    <w:rsid w:val="00BE1AC6"/>
    <w:rsid w:val="00BE5133"/>
    <w:rsid w:val="00BE6F38"/>
    <w:rsid w:val="00BE7495"/>
    <w:rsid w:val="00BE761A"/>
    <w:rsid w:val="00BF22EC"/>
    <w:rsid w:val="00BF5AE2"/>
    <w:rsid w:val="00C019A2"/>
    <w:rsid w:val="00C019B8"/>
    <w:rsid w:val="00C0253B"/>
    <w:rsid w:val="00C02A7A"/>
    <w:rsid w:val="00C03A04"/>
    <w:rsid w:val="00C065CA"/>
    <w:rsid w:val="00C06955"/>
    <w:rsid w:val="00C113DD"/>
    <w:rsid w:val="00C17904"/>
    <w:rsid w:val="00C17C05"/>
    <w:rsid w:val="00C269D4"/>
    <w:rsid w:val="00C26C99"/>
    <w:rsid w:val="00C26D71"/>
    <w:rsid w:val="00C27CED"/>
    <w:rsid w:val="00C27D7C"/>
    <w:rsid w:val="00C30982"/>
    <w:rsid w:val="00C30CB6"/>
    <w:rsid w:val="00C3266B"/>
    <w:rsid w:val="00C34711"/>
    <w:rsid w:val="00C3580D"/>
    <w:rsid w:val="00C36A58"/>
    <w:rsid w:val="00C41C7D"/>
    <w:rsid w:val="00C44993"/>
    <w:rsid w:val="00C4614E"/>
    <w:rsid w:val="00C474A7"/>
    <w:rsid w:val="00C520A6"/>
    <w:rsid w:val="00C55E56"/>
    <w:rsid w:val="00C55F95"/>
    <w:rsid w:val="00C57442"/>
    <w:rsid w:val="00C5754C"/>
    <w:rsid w:val="00C62CBB"/>
    <w:rsid w:val="00C63F62"/>
    <w:rsid w:val="00C643ED"/>
    <w:rsid w:val="00C678A3"/>
    <w:rsid w:val="00C67BF1"/>
    <w:rsid w:val="00C711E2"/>
    <w:rsid w:val="00C72145"/>
    <w:rsid w:val="00C72779"/>
    <w:rsid w:val="00C73E10"/>
    <w:rsid w:val="00C74C31"/>
    <w:rsid w:val="00C750A2"/>
    <w:rsid w:val="00C750C0"/>
    <w:rsid w:val="00C856FF"/>
    <w:rsid w:val="00C87D70"/>
    <w:rsid w:val="00C91EF8"/>
    <w:rsid w:val="00C93C5B"/>
    <w:rsid w:val="00C97EA6"/>
    <w:rsid w:val="00CA24D1"/>
    <w:rsid w:val="00CA2B8D"/>
    <w:rsid w:val="00CA2C29"/>
    <w:rsid w:val="00CA32E5"/>
    <w:rsid w:val="00CA336D"/>
    <w:rsid w:val="00CA3625"/>
    <w:rsid w:val="00CA55C3"/>
    <w:rsid w:val="00CA5C7A"/>
    <w:rsid w:val="00CA679D"/>
    <w:rsid w:val="00CA6A25"/>
    <w:rsid w:val="00CB1CDA"/>
    <w:rsid w:val="00CB4A8C"/>
    <w:rsid w:val="00CC0ABA"/>
    <w:rsid w:val="00CC2B19"/>
    <w:rsid w:val="00CC4832"/>
    <w:rsid w:val="00CC7F95"/>
    <w:rsid w:val="00CD1BEF"/>
    <w:rsid w:val="00CD27EC"/>
    <w:rsid w:val="00CD2E70"/>
    <w:rsid w:val="00CD7474"/>
    <w:rsid w:val="00CE01D1"/>
    <w:rsid w:val="00CE7E90"/>
    <w:rsid w:val="00CF2920"/>
    <w:rsid w:val="00CF2ECF"/>
    <w:rsid w:val="00CF4826"/>
    <w:rsid w:val="00CF65F7"/>
    <w:rsid w:val="00CF6C63"/>
    <w:rsid w:val="00CF79E7"/>
    <w:rsid w:val="00D00834"/>
    <w:rsid w:val="00D01318"/>
    <w:rsid w:val="00D016AE"/>
    <w:rsid w:val="00D01B5A"/>
    <w:rsid w:val="00D02A16"/>
    <w:rsid w:val="00D07F9E"/>
    <w:rsid w:val="00D12884"/>
    <w:rsid w:val="00D162F6"/>
    <w:rsid w:val="00D17259"/>
    <w:rsid w:val="00D2094A"/>
    <w:rsid w:val="00D21833"/>
    <w:rsid w:val="00D21958"/>
    <w:rsid w:val="00D21C73"/>
    <w:rsid w:val="00D22292"/>
    <w:rsid w:val="00D23809"/>
    <w:rsid w:val="00D239EE"/>
    <w:rsid w:val="00D240BC"/>
    <w:rsid w:val="00D241F1"/>
    <w:rsid w:val="00D2513D"/>
    <w:rsid w:val="00D30C6F"/>
    <w:rsid w:val="00D31FAE"/>
    <w:rsid w:val="00D350EE"/>
    <w:rsid w:val="00D43A71"/>
    <w:rsid w:val="00D46EA3"/>
    <w:rsid w:val="00D52667"/>
    <w:rsid w:val="00D53DE2"/>
    <w:rsid w:val="00D54033"/>
    <w:rsid w:val="00D55044"/>
    <w:rsid w:val="00D56BFD"/>
    <w:rsid w:val="00D575C8"/>
    <w:rsid w:val="00D6226E"/>
    <w:rsid w:val="00D6268A"/>
    <w:rsid w:val="00D62A72"/>
    <w:rsid w:val="00D6546E"/>
    <w:rsid w:val="00D65D48"/>
    <w:rsid w:val="00D67057"/>
    <w:rsid w:val="00D72F86"/>
    <w:rsid w:val="00D73E8E"/>
    <w:rsid w:val="00D80698"/>
    <w:rsid w:val="00D8268E"/>
    <w:rsid w:val="00D83824"/>
    <w:rsid w:val="00D90778"/>
    <w:rsid w:val="00D9301F"/>
    <w:rsid w:val="00D9448B"/>
    <w:rsid w:val="00DA0F27"/>
    <w:rsid w:val="00DA3207"/>
    <w:rsid w:val="00DA3662"/>
    <w:rsid w:val="00DA4403"/>
    <w:rsid w:val="00DA60C8"/>
    <w:rsid w:val="00DA6216"/>
    <w:rsid w:val="00DA6971"/>
    <w:rsid w:val="00DA7BBF"/>
    <w:rsid w:val="00DB311B"/>
    <w:rsid w:val="00DB387F"/>
    <w:rsid w:val="00DB595B"/>
    <w:rsid w:val="00DC0CC5"/>
    <w:rsid w:val="00DC3273"/>
    <w:rsid w:val="00DC412B"/>
    <w:rsid w:val="00DD0A37"/>
    <w:rsid w:val="00DD1817"/>
    <w:rsid w:val="00DD4EBB"/>
    <w:rsid w:val="00DD5831"/>
    <w:rsid w:val="00DE0903"/>
    <w:rsid w:val="00DE1972"/>
    <w:rsid w:val="00DE4090"/>
    <w:rsid w:val="00DF0B8F"/>
    <w:rsid w:val="00DF1705"/>
    <w:rsid w:val="00DF1D8F"/>
    <w:rsid w:val="00DF3364"/>
    <w:rsid w:val="00DF43FA"/>
    <w:rsid w:val="00DF4B8A"/>
    <w:rsid w:val="00E0479E"/>
    <w:rsid w:val="00E07329"/>
    <w:rsid w:val="00E0758B"/>
    <w:rsid w:val="00E13C75"/>
    <w:rsid w:val="00E145FF"/>
    <w:rsid w:val="00E163A0"/>
    <w:rsid w:val="00E1714E"/>
    <w:rsid w:val="00E2157A"/>
    <w:rsid w:val="00E2257D"/>
    <w:rsid w:val="00E22799"/>
    <w:rsid w:val="00E23529"/>
    <w:rsid w:val="00E24F82"/>
    <w:rsid w:val="00E309FC"/>
    <w:rsid w:val="00E34293"/>
    <w:rsid w:val="00E372AF"/>
    <w:rsid w:val="00E40447"/>
    <w:rsid w:val="00E42677"/>
    <w:rsid w:val="00E43770"/>
    <w:rsid w:val="00E443A0"/>
    <w:rsid w:val="00E469CD"/>
    <w:rsid w:val="00E47B38"/>
    <w:rsid w:val="00E52F7B"/>
    <w:rsid w:val="00E5355A"/>
    <w:rsid w:val="00E54C1C"/>
    <w:rsid w:val="00E56125"/>
    <w:rsid w:val="00E5700C"/>
    <w:rsid w:val="00E60D64"/>
    <w:rsid w:val="00E61F7A"/>
    <w:rsid w:val="00E62F0F"/>
    <w:rsid w:val="00E64B1B"/>
    <w:rsid w:val="00E7145B"/>
    <w:rsid w:val="00E76EF1"/>
    <w:rsid w:val="00E809EE"/>
    <w:rsid w:val="00E8188C"/>
    <w:rsid w:val="00E85379"/>
    <w:rsid w:val="00E85687"/>
    <w:rsid w:val="00E85CEA"/>
    <w:rsid w:val="00E86801"/>
    <w:rsid w:val="00E940B6"/>
    <w:rsid w:val="00E95071"/>
    <w:rsid w:val="00EA04C4"/>
    <w:rsid w:val="00EA1192"/>
    <w:rsid w:val="00EA16B9"/>
    <w:rsid w:val="00EB1B1B"/>
    <w:rsid w:val="00EB3141"/>
    <w:rsid w:val="00EB5900"/>
    <w:rsid w:val="00EB77C6"/>
    <w:rsid w:val="00EC2CBC"/>
    <w:rsid w:val="00EC5017"/>
    <w:rsid w:val="00ED03EF"/>
    <w:rsid w:val="00ED0C92"/>
    <w:rsid w:val="00ED209A"/>
    <w:rsid w:val="00ED2B46"/>
    <w:rsid w:val="00ED350C"/>
    <w:rsid w:val="00ED3915"/>
    <w:rsid w:val="00EE0D6B"/>
    <w:rsid w:val="00EE0E31"/>
    <w:rsid w:val="00EE2B2B"/>
    <w:rsid w:val="00EE4D51"/>
    <w:rsid w:val="00EE729C"/>
    <w:rsid w:val="00EF28C4"/>
    <w:rsid w:val="00EF7EA6"/>
    <w:rsid w:val="00F00320"/>
    <w:rsid w:val="00F0120C"/>
    <w:rsid w:val="00F0222E"/>
    <w:rsid w:val="00F02ADD"/>
    <w:rsid w:val="00F07573"/>
    <w:rsid w:val="00F11F13"/>
    <w:rsid w:val="00F12442"/>
    <w:rsid w:val="00F14EF7"/>
    <w:rsid w:val="00F16C5C"/>
    <w:rsid w:val="00F16F7E"/>
    <w:rsid w:val="00F177EA"/>
    <w:rsid w:val="00F17FBE"/>
    <w:rsid w:val="00F20A2F"/>
    <w:rsid w:val="00F22164"/>
    <w:rsid w:val="00F22AC2"/>
    <w:rsid w:val="00F2372B"/>
    <w:rsid w:val="00F23DCB"/>
    <w:rsid w:val="00F243CD"/>
    <w:rsid w:val="00F2639C"/>
    <w:rsid w:val="00F27A9E"/>
    <w:rsid w:val="00F30451"/>
    <w:rsid w:val="00F3107B"/>
    <w:rsid w:val="00F31C43"/>
    <w:rsid w:val="00F346B3"/>
    <w:rsid w:val="00F35926"/>
    <w:rsid w:val="00F35B3E"/>
    <w:rsid w:val="00F378ED"/>
    <w:rsid w:val="00F4024A"/>
    <w:rsid w:val="00F40998"/>
    <w:rsid w:val="00F435F9"/>
    <w:rsid w:val="00F45A3C"/>
    <w:rsid w:val="00F45BBE"/>
    <w:rsid w:val="00F47013"/>
    <w:rsid w:val="00F474CC"/>
    <w:rsid w:val="00F54C93"/>
    <w:rsid w:val="00F6088B"/>
    <w:rsid w:val="00F608B5"/>
    <w:rsid w:val="00F61C02"/>
    <w:rsid w:val="00F639B8"/>
    <w:rsid w:val="00F65649"/>
    <w:rsid w:val="00F66E89"/>
    <w:rsid w:val="00F66EEF"/>
    <w:rsid w:val="00F75C33"/>
    <w:rsid w:val="00F76B64"/>
    <w:rsid w:val="00F80304"/>
    <w:rsid w:val="00F80DB8"/>
    <w:rsid w:val="00F8153D"/>
    <w:rsid w:val="00F81A11"/>
    <w:rsid w:val="00F839FC"/>
    <w:rsid w:val="00F84455"/>
    <w:rsid w:val="00F86636"/>
    <w:rsid w:val="00F87504"/>
    <w:rsid w:val="00F87F83"/>
    <w:rsid w:val="00F94847"/>
    <w:rsid w:val="00F9578D"/>
    <w:rsid w:val="00F97768"/>
    <w:rsid w:val="00FA3689"/>
    <w:rsid w:val="00FA58C1"/>
    <w:rsid w:val="00FA72C3"/>
    <w:rsid w:val="00FA72C6"/>
    <w:rsid w:val="00FB1DC7"/>
    <w:rsid w:val="00FB436F"/>
    <w:rsid w:val="00FB4C2A"/>
    <w:rsid w:val="00FC0CA1"/>
    <w:rsid w:val="00FC1805"/>
    <w:rsid w:val="00FC1C70"/>
    <w:rsid w:val="00FC2360"/>
    <w:rsid w:val="00FC38B0"/>
    <w:rsid w:val="00FC3B8A"/>
    <w:rsid w:val="00FC6482"/>
    <w:rsid w:val="00FD0F68"/>
    <w:rsid w:val="00FD20F8"/>
    <w:rsid w:val="00FD286B"/>
    <w:rsid w:val="00FD6446"/>
    <w:rsid w:val="00FE0317"/>
    <w:rsid w:val="00FE281E"/>
    <w:rsid w:val="00FE2E53"/>
    <w:rsid w:val="00FE37A1"/>
    <w:rsid w:val="00FE3FE8"/>
    <w:rsid w:val="00FE4955"/>
    <w:rsid w:val="00FE6742"/>
    <w:rsid w:val="00FF0286"/>
    <w:rsid w:val="00FF122E"/>
    <w:rsid w:val="00FF4725"/>
    <w:rsid w:val="00FF57F6"/>
    <w:rsid w:val="00FF79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677F"/>
    <w:pPr>
      <w:spacing w:after="240" w:line="300" w:lineRule="auto"/>
    </w:pPr>
    <w:rPr>
      <w:kern w:val="24"/>
      <w:sz w:val="24"/>
      <w:szCs w:val="24"/>
      <w:lang w:val="en-US" w:eastAsia="en-US"/>
    </w:rPr>
  </w:style>
  <w:style w:type="paragraph" w:styleId="Heading1">
    <w:name w:val="heading 1"/>
    <w:basedOn w:val="DocumentText"/>
    <w:next w:val="DocumentText"/>
    <w:qFormat/>
    <w:rsid w:val="00B1677F"/>
    <w:pPr>
      <w:keepNext/>
      <w:keepLines/>
      <w:numPr>
        <w:numId w:val="2"/>
      </w:numPr>
      <w:tabs>
        <w:tab w:val="left" w:pos="1649"/>
      </w:tabs>
      <w:spacing w:before="120" w:after="120"/>
      <w:outlineLvl w:val="0"/>
    </w:pPr>
    <w:rPr>
      <w:b/>
      <w:kern w:val="28"/>
      <w:sz w:val="28"/>
      <w:szCs w:val="28"/>
    </w:rPr>
  </w:style>
  <w:style w:type="paragraph" w:styleId="Heading2">
    <w:name w:val="heading 2"/>
    <w:basedOn w:val="Heading1"/>
    <w:next w:val="DocumentText"/>
    <w:link w:val="Heading2Char"/>
    <w:qFormat/>
    <w:rsid w:val="00B1677F"/>
    <w:pPr>
      <w:numPr>
        <w:ilvl w:val="1"/>
      </w:numPr>
      <w:tabs>
        <w:tab w:val="clear" w:pos="1649"/>
        <w:tab w:val="left" w:pos="1901"/>
      </w:tabs>
      <w:outlineLvl w:val="1"/>
    </w:pPr>
  </w:style>
  <w:style w:type="paragraph" w:styleId="Heading3">
    <w:name w:val="heading 3"/>
    <w:basedOn w:val="Heading1"/>
    <w:next w:val="DocumentText"/>
    <w:qFormat/>
    <w:rsid w:val="00B1677F"/>
    <w:pPr>
      <w:numPr>
        <w:ilvl w:val="2"/>
      </w:numPr>
      <w:tabs>
        <w:tab w:val="clear" w:pos="1649"/>
        <w:tab w:val="left" w:pos="2138"/>
      </w:tabs>
      <w:outlineLvl w:val="2"/>
    </w:pPr>
  </w:style>
  <w:style w:type="paragraph" w:styleId="Heading4">
    <w:name w:val="heading 4"/>
    <w:basedOn w:val="Heading1"/>
    <w:next w:val="DocumentText"/>
    <w:qFormat/>
    <w:rsid w:val="00B1677F"/>
    <w:pPr>
      <w:numPr>
        <w:ilvl w:val="3"/>
      </w:numPr>
      <w:tabs>
        <w:tab w:val="clear" w:pos="1649"/>
        <w:tab w:val="left" w:pos="2362"/>
      </w:tabs>
      <w:outlineLvl w:val="3"/>
    </w:pPr>
  </w:style>
  <w:style w:type="paragraph" w:styleId="Heading5">
    <w:name w:val="heading 5"/>
    <w:basedOn w:val="Heading1"/>
    <w:next w:val="DocumentText"/>
    <w:qFormat/>
    <w:rsid w:val="00B1677F"/>
    <w:pPr>
      <w:numPr>
        <w:ilvl w:val="4"/>
      </w:numPr>
      <w:tabs>
        <w:tab w:val="clear" w:pos="1649"/>
        <w:tab w:val="left" w:pos="2570"/>
      </w:tabs>
      <w:outlineLvl w:val="4"/>
    </w:pPr>
  </w:style>
  <w:style w:type="paragraph" w:styleId="Heading6">
    <w:name w:val="heading 6"/>
    <w:basedOn w:val="Heading1"/>
    <w:next w:val="DocumentText"/>
    <w:qFormat/>
    <w:rsid w:val="00B1677F"/>
    <w:pPr>
      <w:numPr>
        <w:ilvl w:val="5"/>
      </w:numPr>
      <w:tabs>
        <w:tab w:val="clear" w:pos="1649"/>
        <w:tab w:val="left" w:pos="2765"/>
      </w:tabs>
      <w:outlineLvl w:val="5"/>
    </w:pPr>
  </w:style>
  <w:style w:type="paragraph" w:styleId="Heading7">
    <w:name w:val="heading 7"/>
    <w:basedOn w:val="Heading1"/>
    <w:next w:val="DocumentText"/>
    <w:qFormat/>
    <w:rsid w:val="00B1677F"/>
    <w:pPr>
      <w:numPr>
        <w:ilvl w:val="6"/>
      </w:numPr>
      <w:tabs>
        <w:tab w:val="clear" w:pos="1649"/>
        <w:tab w:val="left" w:pos="2945"/>
      </w:tabs>
      <w:outlineLvl w:val="6"/>
    </w:pPr>
  </w:style>
  <w:style w:type="paragraph" w:styleId="Heading8">
    <w:name w:val="heading 8"/>
    <w:basedOn w:val="Heading1"/>
    <w:next w:val="DocumentText"/>
    <w:qFormat/>
    <w:rsid w:val="00B1677F"/>
    <w:pPr>
      <w:numPr>
        <w:ilvl w:val="7"/>
      </w:numPr>
      <w:tabs>
        <w:tab w:val="clear" w:pos="1649"/>
        <w:tab w:val="left" w:pos="3110"/>
      </w:tabs>
      <w:ind w:left="3110"/>
      <w:outlineLvl w:val="7"/>
    </w:pPr>
  </w:style>
  <w:style w:type="paragraph" w:styleId="Heading9">
    <w:name w:val="heading 9"/>
    <w:basedOn w:val="Heading1"/>
    <w:next w:val="DocumentText"/>
    <w:qFormat/>
    <w:rsid w:val="00B1677F"/>
    <w:pPr>
      <w:numPr>
        <w:ilvl w:val="8"/>
      </w:numPr>
      <w:tabs>
        <w:tab w:val="clear" w:pos="1649"/>
        <w:tab w:val="left" w:pos="326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rsid w:val="00B1677F"/>
    <w:pPr>
      <w:spacing w:after="0" w:line="240" w:lineRule="auto"/>
      <w:ind w:left="240" w:hanging="240"/>
    </w:pPr>
  </w:style>
  <w:style w:type="paragraph" w:styleId="TOC3">
    <w:name w:val="toc 3"/>
    <w:basedOn w:val="Normal"/>
    <w:next w:val="Normal"/>
    <w:autoRedefine/>
    <w:semiHidden/>
    <w:rsid w:val="00B1677F"/>
    <w:pPr>
      <w:spacing w:after="60" w:line="240" w:lineRule="auto"/>
      <w:ind w:left="2138" w:hanging="2138"/>
    </w:pPr>
  </w:style>
  <w:style w:type="paragraph" w:styleId="TOC2">
    <w:name w:val="toc 2"/>
    <w:basedOn w:val="Normal"/>
    <w:next w:val="Normal"/>
    <w:autoRedefine/>
    <w:semiHidden/>
    <w:rsid w:val="00B1677F"/>
    <w:pPr>
      <w:spacing w:after="120" w:line="240" w:lineRule="auto"/>
      <w:ind w:left="1901" w:hanging="1901"/>
    </w:pPr>
  </w:style>
  <w:style w:type="paragraph" w:styleId="TOC1">
    <w:name w:val="toc 1"/>
    <w:basedOn w:val="Normal"/>
    <w:next w:val="Normal"/>
    <w:autoRedefine/>
    <w:semiHidden/>
    <w:rsid w:val="00B1677F"/>
    <w:pPr>
      <w:spacing w:after="180" w:line="240" w:lineRule="auto"/>
      <w:ind w:left="1649" w:hanging="1649"/>
    </w:pPr>
  </w:style>
  <w:style w:type="table" w:styleId="LightGrid">
    <w:name w:val="Light Grid"/>
    <w:basedOn w:val="TableNormal"/>
    <w:uiPriority w:val="62"/>
    <w:rsid w:val="00B1677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1677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1677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Footer">
    <w:name w:val="footer"/>
    <w:basedOn w:val="DocumentText"/>
    <w:rsid w:val="00B1677F"/>
    <w:pPr>
      <w:tabs>
        <w:tab w:val="center" w:pos="4478"/>
        <w:tab w:val="right" w:pos="8957"/>
      </w:tabs>
      <w:spacing w:before="120" w:after="0" w:line="240" w:lineRule="auto"/>
    </w:pPr>
    <w:rPr>
      <w:kern w:val="18"/>
      <w:sz w:val="20"/>
    </w:rPr>
  </w:style>
  <w:style w:type="paragraph" w:styleId="Header">
    <w:name w:val="header"/>
    <w:basedOn w:val="DocumentText"/>
    <w:link w:val="HeaderChar"/>
    <w:uiPriority w:val="99"/>
    <w:rsid w:val="00B1677F"/>
    <w:pPr>
      <w:tabs>
        <w:tab w:val="right" w:pos="8957"/>
      </w:tabs>
      <w:spacing w:after="120" w:line="240" w:lineRule="auto"/>
    </w:pPr>
    <w:rPr>
      <w:kern w:val="18"/>
      <w:sz w:val="20"/>
    </w:rPr>
  </w:style>
  <w:style w:type="paragraph" w:styleId="Title">
    <w:name w:val="Title"/>
    <w:basedOn w:val="DocumentText"/>
    <w:next w:val="DocumentText"/>
    <w:link w:val="TitleChar"/>
    <w:qFormat/>
    <w:rsid w:val="00B1677F"/>
    <w:pPr>
      <w:keepNext/>
      <w:keepLines/>
      <w:spacing w:after="0"/>
      <w:jc w:val="center"/>
    </w:pPr>
    <w:rPr>
      <w:rFonts w:cs="Arial"/>
      <w:b/>
      <w:bCs/>
      <w:kern w:val="28"/>
      <w:sz w:val="28"/>
      <w:szCs w:val="28"/>
    </w:rPr>
  </w:style>
  <w:style w:type="table" w:styleId="Table3Deffects1">
    <w:name w:val="Table 3D effects 1"/>
    <w:basedOn w:val="TableNormal"/>
    <w:rsid w:val="00B1677F"/>
    <w:pPr>
      <w:spacing w:after="240"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1677F"/>
    <w:pPr>
      <w:spacing w:after="240"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aption1">
    <w:name w:val="Caption1"/>
    <w:basedOn w:val="Normal"/>
    <w:rsid w:val="003D48CE"/>
    <w:rPr>
      <w:rFonts w:ascii="Arial" w:hAnsi="Arial"/>
      <w:sz w:val="20"/>
    </w:rPr>
  </w:style>
  <w:style w:type="character" w:customStyle="1" w:styleId="TitleChar">
    <w:name w:val="Title Char"/>
    <w:basedOn w:val="DefaultParagraphFont"/>
    <w:link w:val="Title"/>
    <w:rsid w:val="00B1677F"/>
    <w:rPr>
      <w:rFonts w:cs="Arial"/>
      <w:b/>
      <w:bCs/>
      <w:kern w:val="28"/>
      <w:sz w:val="28"/>
      <w:szCs w:val="28"/>
      <w:lang w:val="en-US" w:eastAsia="en-US"/>
    </w:rPr>
  </w:style>
  <w:style w:type="table" w:styleId="LightGrid-Accent3">
    <w:name w:val="Light Grid Accent 3"/>
    <w:basedOn w:val="TableNormal"/>
    <w:uiPriority w:val="62"/>
    <w:rsid w:val="00B1677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olorfulGrid">
    <w:name w:val="Colorful Grid"/>
    <w:basedOn w:val="TableNormal"/>
    <w:uiPriority w:val="73"/>
    <w:rsid w:val="00B1677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1677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1677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Grid-Accent4">
    <w:name w:val="Light Grid Accent 4"/>
    <w:basedOn w:val="TableNormal"/>
    <w:uiPriority w:val="62"/>
    <w:rsid w:val="00B1677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TableClassic1">
    <w:name w:val="Table Classic 1"/>
    <w:basedOn w:val="TableNormal"/>
    <w:rsid w:val="00B1677F"/>
    <w:pPr>
      <w:spacing w:after="240"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rsid w:val="00B1677F"/>
    <w:pPr>
      <w:spacing w:after="240"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rfulGrid-Accent3">
    <w:name w:val="Colorful Grid Accent 3"/>
    <w:basedOn w:val="TableNormal"/>
    <w:uiPriority w:val="73"/>
    <w:rsid w:val="00B1677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Table3Deffects3">
    <w:name w:val="Table 3D effects 3"/>
    <w:basedOn w:val="TableNormal"/>
    <w:rsid w:val="00B1677F"/>
    <w:pPr>
      <w:spacing w:after="240"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arkList">
    <w:name w:val="Dark List"/>
    <w:basedOn w:val="TableNormal"/>
    <w:uiPriority w:val="70"/>
    <w:rsid w:val="00B1677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1677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1677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1677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bleClassic2">
    <w:name w:val="Table Classic 2"/>
    <w:basedOn w:val="TableNormal"/>
    <w:rsid w:val="00B1677F"/>
    <w:pPr>
      <w:spacing w:after="240"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ableFootnote">
    <w:name w:val="Table Footnote"/>
    <w:basedOn w:val="DocumentText"/>
    <w:next w:val="DocumentText"/>
    <w:link w:val="TableFootnoteChar"/>
    <w:rsid w:val="00B1677F"/>
    <w:pPr>
      <w:keepNext/>
      <w:keepLines/>
      <w:spacing w:before="40" w:after="0" w:line="240" w:lineRule="auto"/>
      <w:ind w:left="360" w:hanging="360"/>
    </w:pPr>
    <w:rPr>
      <w:kern w:val="20"/>
      <w:sz w:val="20"/>
      <w:szCs w:val="20"/>
    </w:rPr>
  </w:style>
  <w:style w:type="paragraph" w:styleId="BodyText">
    <w:name w:val="Body Text"/>
    <w:basedOn w:val="Normal"/>
    <w:link w:val="BodyTextChar"/>
    <w:rsid w:val="00B1677F"/>
    <w:pPr>
      <w:spacing w:after="120"/>
    </w:pPr>
  </w:style>
  <w:style w:type="character" w:customStyle="1" w:styleId="BodyTextChar">
    <w:name w:val="Body Text Char"/>
    <w:basedOn w:val="DefaultParagraphFont"/>
    <w:link w:val="BodyText"/>
    <w:rsid w:val="00B1677F"/>
    <w:rPr>
      <w:kern w:val="24"/>
      <w:sz w:val="24"/>
      <w:szCs w:val="24"/>
      <w:lang w:val="en-US" w:eastAsia="en-US"/>
    </w:rPr>
  </w:style>
  <w:style w:type="table" w:styleId="TableClassic3">
    <w:name w:val="Table Classic 3"/>
    <w:basedOn w:val="TableNormal"/>
    <w:rsid w:val="00B1677F"/>
    <w:pPr>
      <w:spacing w:after="240"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Hyperlink">
    <w:name w:val="Hyperlink"/>
    <w:basedOn w:val="DefaultParagraphFont"/>
    <w:rsid w:val="00B1677F"/>
    <w:rPr>
      <w:color w:val="0000FF"/>
      <w:u w:val="none"/>
    </w:rPr>
  </w:style>
  <w:style w:type="table" w:styleId="LightGrid-Accent5">
    <w:name w:val="Light Grid Accent 5"/>
    <w:basedOn w:val="TableNormal"/>
    <w:uiPriority w:val="62"/>
    <w:rsid w:val="00B1677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Caption">
    <w:name w:val="caption"/>
    <w:basedOn w:val="Normal"/>
    <w:next w:val="Normal"/>
    <w:qFormat/>
    <w:rsid w:val="00B1677F"/>
    <w:pPr>
      <w:keepNext/>
      <w:spacing w:before="240" w:after="120" w:line="240" w:lineRule="auto"/>
      <w:ind w:left="2160" w:hanging="2160"/>
    </w:pPr>
    <w:rPr>
      <w:b/>
      <w:bCs/>
      <w:szCs w:val="20"/>
    </w:rPr>
  </w:style>
  <w:style w:type="paragraph" w:customStyle="1" w:styleId="Guidance">
    <w:name w:val="Guidance"/>
    <w:basedOn w:val="DocumentText"/>
    <w:link w:val="GuidanceChar"/>
    <w:qFormat/>
    <w:rsid w:val="00B1677F"/>
  </w:style>
  <w:style w:type="table" w:styleId="DarkList-Accent4">
    <w:name w:val="Dark List Accent 4"/>
    <w:basedOn w:val="TableNormal"/>
    <w:uiPriority w:val="70"/>
    <w:rsid w:val="00B1677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character" w:customStyle="1" w:styleId="TableFootnoteChar">
    <w:name w:val="Table Footnote Char"/>
    <w:basedOn w:val="DefaultParagraphFont"/>
    <w:link w:val="TableFootnote"/>
    <w:rsid w:val="00B1677F"/>
    <w:rPr>
      <w:kern w:val="20"/>
      <w:lang w:val="en-US" w:eastAsia="en-US"/>
    </w:rPr>
  </w:style>
  <w:style w:type="paragraph" w:customStyle="1" w:styleId="CTDTable10">
    <w:name w:val="CTD Table 10"/>
    <w:basedOn w:val="Normal"/>
    <w:rsid w:val="00E24F82"/>
    <w:rPr>
      <w:sz w:val="20"/>
    </w:rPr>
  </w:style>
  <w:style w:type="table" w:styleId="ColorfulGrid-Accent4">
    <w:name w:val="Colorful Grid Accent 4"/>
    <w:basedOn w:val="TableNormal"/>
    <w:uiPriority w:val="73"/>
    <w:rsid w:val="00B1677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1677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Revision">
    <w:name w:val="Revision"/>
    <w:hidden/>
    <w:uiPriority w:val="99"/>
    <w:semiHidden/>
    <w:rsid w:val="00DF4B8A"/>
    <w:rPr>
      <w:b/>
      <w:sz w:val="22"/>
      <w:lang w:eastAsia="en-US"/>
    </w:rPr>
  </w:style>
  <w:style w:type="paragraph" w:customStyle="1" w:styleId="DocumentText">
    <w:name w:val="Document Text"/>
    <w:basedOn w:val="Normal"/>
    <w:link w:val="DocumentTextChar"/>
    <w:rsid w:val="00B1677F"/>
  </w:style>
  <w:style w:type="character" w:customStyle="1" w:styleId="GuidanceChar">
    <w:name w:val="Guidance Char"/>
    <w:basedOn w:val="DefaultParagraphFont"/>
    <w:link w:val="Guidance"/>
    <w:rsid w:val="00B1677F"/>
    <w:rPr>
      <w:kern w:val="24"/>
      <w:sz w:val="24"/>
      <w:szCs w:val="24"/>
      <w:lang w:val="en-US" w:eastAsia="en-US"/>
    </w:rPr>
  </w:style>
  <w:style w:type="paragraph" w:customStyle="1" w:styleId="ListBulleted">
    <w:name w:val="List Bulleted"/>
    <w:basedOn w:val="DocumentText"/>
    <w:rsid w:val="00B1677F"/>
    <w:pPr>
      <w:keepLines/>
      <w:numPr>
        <w:numId w:val="1"/>
      </w:numPr>
      <w:adjustRightInd w:val="0"/>
      <w:spacing w:before="120" w:after="120"/>
      <w:ind w:left="648"/>
    </w:pPr>
  </w:style>
  <w:style w:type="paragraph" w:customStyle="1" w:styleId="ListNumbered">
    <w:name w:val="List Numbered"/>
    <w:basedOn w:val="DocumentText"/>
    <w:rsid w:val="00B1677F"/>
    <w:pPr>
      <w:keepLines/>
      <w:numPr>
        <w:numId w:val="3"/>
      </w:numPr>
      <w:snapToGrid w:val="0"/>
      <w:spacing w:before="120" w:after="120"/>
    </w:pPr>
  </w:style>
  <w:style w:type="paragraph" w:customStyle="1" w:styleId="TableTitleContinued">
    <w:name w:val="Table Title Continued"/>
    <w:basedOn w:val="DocumentText"/>
    <w:next w:val="DocumentText"/>
    <w:rsid w:val="00B1677F"/>
    <w:pPr>
      <w:keepNext/>
      <w:spacing w:before="240" w:after="120" w:line="240" w:lineRule="auto"/>
      <w:ind w:left="2160" w:hanging="2160"/>
    </w:pPr>
    <w:rPr>
      <w:b/>
      <w:bCs/>
    </w:rPr>
  </w:style>
  <w:style w:type="table" w:styleId="TableGrid">
    <w:name w:val="Table Grid"/>
    <w:basedOn w:val="TableNormal"/>
    <w:uiPriority w:val="59"/>
    <w:rsid w:val="00B1677F"/>
    <w:pPr>
      <w:spacing w:after="240" w:line="30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Heading12pt">
    <w:name w:val="Table Cell Heading 12pt"/>
    <w:basedOn w:val="DocumentText"/>
    <w:rsid w:val="00B1677F"/>
    <w:pPr>
      <w:keepNext/>
      <w:spacing w:before="40" w:after="40" w:line="240" w:lineRule="auto"/>
      <w:jc w:val="center"/>
    </w:pPr>
    <w:rPr>
      <w:b/>
    </w:rPr>
  </w:style>
  <w:style w:type="paragraph" w:customStyle="1" w:styleId="TableCellHeading10pt">
    <w:name w:val="Table Cell Heading 10pt"/>
    <w:basedOn w:val="TableCellHeading12pt"/>
    <w:rsid w:val="00B1677F"/>
    <w:rPr>
      <w:kern w:val="20"/>
      <w:sz w:val="20"/>
    </w:rPr>
  </w:style>
  <w:style w:type="paragraph" w:styleId="TableofFigures">
    <w:name w:val="table of figures"/>
    <w:basedOn w:val="Normal"/>
    <w:next w:val="Normal"/>
    <w:rsid w:val="00B1677F"/>
    <w:pPr>
      <w:spacing w:line="240" w:lineRule="auto"/>
      <w:ind w:left="1440" w:hanging="1440"/>
    </w:pPr>
  </w:style>
  <w:style w:type="paragraph" w:customStyle="1" w:styleId="TableCellText12pt">
    <w:name w:val="Table Cell Text 12pt"/>
    <w:basedOn w:val="DocumentText"/>
    <w:rsid w:val="00B1677F"/>
    <w:pPr>
      <w:keepNext/>
      <w:spacing w:before="40" w:after="40" w:line="240" w:lineRule="auto"/>
    </w:pPr>
  </w:style>
  <w:style w:type="paragraph" w:customStyle="1" w:styleId="TableCellText10pt">
    <w:name w:val="Table Cell Text 10pt"/>
    <w:basedOn w:val="TableCellText12pt"/>
    <w:rsid w:val="00B1677F"/>
    <w:rPr>
      <w:sz w:val="20"/>
    </w:rPr>
  </w:style>
  <w:style w:type="paragraph" w:customStyle="1" w:styleId="TableCellText09pt">
    <w:name w:val="Table Cell Text 09pt"/>
    <w:basedOn w:val="TableCellText10pt"/>
    <w:rsid w:val="00B1677F"/>
    <w:rPr>
      <w:sz w:val="18"/>
    </w:rPr>
  </w:style>
  <w:style w:type="paragraph" w:customStyle="1" w:styleId="TOCTitle">
    <w:name w:val="TOC Title"/>
    <w:basedOn w:val="Title"/>
    <w:next w:val="DocumentText"/>
    <w:rsid w:val="00B1677F"/>
    <w:pPr>
      <w:outlineLvl w:val="0"/>
    </w:pPr>
  </w:style>
  <w:style w:type="paragraph" w:styleId="TOC4">
    <w:name w:val="toc 4"/>
    <w:basedOn w:val="Normal"/>
    <w:next w:val="Normal"/>
    <w:autoRedefine/>
    <w:rsid w:val="00B1677F"/>
    <w:pPr>
      <w:spacing w:after="60" w:line="240" w:lineRule="auto"/>
      <w:ind w:left="2362" w:hanging="2362"/>
    </w:pPr>
  </w:style>
  <w:style w:type="paragraph" w:styleId="TOC5">
    <w:name w:val="toc 5"/>
    <w:basedOn w:val="Normal"/>
    <w:next w:val="Normal"/>
    <w:autoRedefine/>
    <w:rsid w:val="00B1677F"/>
    <w:pPr>
      <w:spacing w:after="60" w:line="240" w:lineRule="auto"/>
      <w:ind w:left="2570" w:hanging="2570"/>
    </w:pPr>
  </w:style>
  <w:style w:type="paragraph" w:styleId="TOC6">
    <w:name w:val="toc 6"/>
    <w:basedOn w:val="Normal"/>
    <w:next w:val="Normal"/>
    <w:autoRedefine/>
    <w:rsid w:val="00B1677F"/>
    <w:pPr>
      <w:spacing w:after="60" w:line="240" w:lineRule="auto"/>
      <w:ind w:left="2765" w:hanging="2765"/>
    </w:pPr>
  </w:style>
  <w:style w:type="paragraph" w:styleId="TOC7">
    <w:name w:val="toc 7"/>
    <w:basedOn w:val="Normal"/>
    <w:next w:val="Normal"/>
    <w:autoRedefine/>
    <w:rsid w:val="00B1677F"/>
    <w:pPr>
      <w:spacing w:after="60" w:line="240" w:lineRule="auto"/>
      <w:ind w:left="2945" w:hanging="2945"/>
      <w:contextualSpacing/>
    </w:pPr>
  </w:style>
  <w:style w:type="paragraph" w:styleId="TOC8">
    <w:name w:val="toc 8"/>
    <w:basedOn w:val="Normal"/>
    <w:next w:val="Normal"/>
    <w:autoRedefine/>
    <w:rsid w:val="00B1677F"/>
    <w:pPr>
      <w:spacing w:after="60" w:line="240" w:lineRule="auto"/>
      <w:ind w:left="3110" w:hanging="3110"/>
    </w:pPr>
  </w:style>
  <w:style w:type="paragraph" w:styleId="TOC9">
    <w:name w:val="toc 9"/>
    <w:basedOn w:val="Normal"/>
    <w:next w:val="Normal"/>
    <w:autoRedefine/>
    <w:rsid w:val="00B1677F"/>
    <w:pPr>
      <w:spacing w:after="60" w:line="240" w:lineRule="auto"/>
      <w:ind w:left="3262" w:hanging="3262"/>
    </w:pPr>
  </w:style>
  <w:style w:type="table" w:styleId="ColorfulGrid-Accent6">
    <w:name w:val="Colorful Grid Accent 6"/>
    <w:basedOn w:val="TableNormal"/>
    <w:uiPriority w:val="73"/>
    <w:rsid w:val="00B1677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1677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1677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1677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1677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1677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1677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1677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1677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1677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1677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1677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1677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1677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1677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Accent5">
    <w:name w:val="Dark List Accent 5"/>
    <w:basedOn w:val="TableNormal"/>
    <w:uiPriority w:val="70"/>
    <w:rsid w:val="00B1677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1677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LightGrid-Accent6">
    <w:name w:val="Light Grid Accent 6"/>
    <w:basedOn w:val="TableNormal"/>
    <w:uiPriority w:val="62"/>
    <w:rsid w:val="00B1677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1677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1677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1677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1677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1677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1677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1677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1677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1677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1677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1677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1677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1677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1677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Grid1">
    <w:name w:val="Medium Grid 1"/>
    <w:basedOn w:val="TableNormal"/>
    <w:uiPriority w:val="67"/>
    <w:rsid w:val="00B1677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1677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1677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1677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1677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1677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1677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1677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1677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1677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1677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1677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1677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1677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1677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1677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1677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1677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1677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1677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1677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1677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1677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1677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1677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1677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1677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1677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1677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1677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1677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1677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1677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1677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1677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1677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1677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1677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1677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1677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1677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1677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1677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1677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1677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1677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1677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1677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1677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Classic4">
    <w:name w:val="Table Classic 4"/>
    <w:basedOn w:val="TableNormal"/>
    <w:rsid w:val="00B1677F"/>
    <w:pPr>
      <w:spacing w:after="240"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1677F"/>
    <w:pPr>
      <w:spacing w:after="240"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1677F"/>
    <w:pPr>
      <w:spacing w:after="240"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1677F"/>
    <w:pPr>
      <w:spacing w:after="240"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1677F"/>
    <w:pPr>
      <w:spacing w:after="240"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1677F"/>
    <w:pPr>
      <w:spacing w:after="240"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1677F"/>
    <w:pPr>
      <w:spacing w:after="240"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1677F"/>
    <w:pPr>
      <w:spacing w:after="240"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1677F"/>
    <w:pPr>
      <w:spacing w:after="240"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1677F"/>
    <w:pPr>
      <w:spacing w:after="240"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1677F"/>
    <w:pPr>
      <w:spacing w:after="240"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B1677F"/>
    <w:pPr>
      <w:spacing w:after="240"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1677F"/>
    <w:pPr>
      <w:spacing w:after="240"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1677F"/>
    <w:pPr>
      <w:spacing w:after="240"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1677F"/>
    <w:pPr>
      <w:spacing w:after="240"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1677F"/>
    <w:pPr>
      <w:spacing w:after="240"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1677F"/>
    <w:pPr>
      <w:spacing w:after="240"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1677F"/>
    <w:pPr>
      <w:spacing w:after="240"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1677F"/>
    <w:pPr>
      <w:spacing w:after="240"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B1677F"/>
    <w:pPr>
      <w:spacing w:after="240"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1677F"/>
    <w:pPr>
      <w:spacing w:after="240"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1677F"/>
    <w:pPr>
      <w:spacing w:after="240"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1677F"/>
    <w:pPr>
      <w:spacing w:after="240"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1677F"/>
    <w:pPr>
      <w:spacing w:after="240"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1677F"/>
    <w:pPr>
      <w:spacing w:after="240"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1677F"/>
    <w:pPr>
      <w:spacing w:after="240"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1677F"/>
    <w:pPr>
      <w:spacing w:after="240"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1677F"/>
    <w:pPr>
      <w:spacing w:after="240"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1677F"/>
    <w:pPr>
      <w:spacing w:after="240"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1677F"/>
    <w:pPr>
      <w:spacing w:after="240"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1677F"/>
    <w:pPr>
      <w:spacing w:after="240"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1677F"/>
    <w:pPr>
      <w:spacing w:after="240"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1677F"/>
    <w:pPr>
      <w:spacing w:after="240"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1677F"/>
    <w:pPr>
      <w:spacing w:after="240"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1677F"/>
    <w:pPr>
      <w:spacing w:after="240"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1677F"/>
    <w:pPr>
      <w:spacing w:after="240"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rsid w:val="00635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35162"/>
    <w:rPr>
      <w:rFonts w:ascii="Tahoma" w:hAnsi="Tahoma" w:cs="Tahoma"/>
      <w:kern w:val="24"/>
      <w:sz w:val="16"/>
      <w:szCs w:val="16"/>
      <w:lang w:val="en-US" w:eastAsia="en-US"/>
    </w:rPr>
  </w:style>
  <w:style w:type="character" w:styleId="CommentReference">
    <w:name w:val="annotation reference"/>
    <w:uiPriority w:val="99"/>
    <w:unhideWhenUsed/>
    <w:rsid w:val="00F40998"/>
    <w:rPr>
      <w:sz w:val="16"/>
      <w:szCs w:val="16"/>
    </w:rPr>
  </w:style>
  <w:style w:type="paragraph" w:customStyle="1" w:styleId="LAFISPCNormal">
    <w:name w:val="LA_FI_SPC_Normal"/>
    <w:basedOn w:val="BodyText"/>
    <w:rsid w:val="00856F0C"/>
    <w:pPr>
      <w:tabs>
        <w:tab w:val="left" w:pos="567"/>
      </w:tabs>
      <w:spacing w:after="0" w:line="240" w:lineRule="auto"/>
      <w:ind w:left="567"/>
    </w:pPr>
    <w:rPr>
      <w:kern w:val="0"/>
      <w:szCs w:val="20"/>
      <w:lang w:val="en-GB"/>
    </w:rPr>
  </w:style>
  <w:style w:type="paragraph" w:styleId="ListParagraph">
    <w:name w:val="List Paragraph"/>
    <w:basedOn w:val="Normal"/>
    <w:uiPriority w:val="34"/>
    <w:qFormat/>
    <w:rsid w:val="00856F0C"/>
    <w:pPr>
      <w:ind w:left="720"/>
      <w:contextualSpacing/>
    </w:pPr>
  </w:style>
  <w:style w:type="paragraph" w:customStyle="1" w:styleId="Default">
    <w:name w:val="Default"/>
    <w:rsid w:val="0075635C"/>
    <w:pPr>
      <w:autoSpaceDE w:val="0"/>
      <w:autoSpaceDN w:val="0"/>
      <w:adjustRightInd w:val="0"/>
    </w:pPr>
    <w:rPr>
      <w:color w:val="000000"/>
      <w:sz w:val="24"/>
      <w:szCs w:val="24"/>
      <w:lang w:val="en-US"/>
    </w:rPr>
  </w:style>
  <w:style w:type="paragraph" w:styleId="CommentText">
    <w:name w:val="annotation text"/>
    <w:basedOn w:val="Normal"/>
    <w:link w:val="CommentTextChar"/>
    <w:uiPriority w:val="99"/>
    <w:rsid w:val="00AF0DCE"/>
    <w:pPr>
      <w:spacing w:line="240" w:lineRule="auto"/>
    </w:pPr>
    <w:rPr>
      <w:sz w:val="20"/>
      <w:szCs w:val="20"/>
    </w:rPr>
  </w:style>
  <w:style w:type="character" w:customStyle="1" w:styleId="CommentTextChar">
    <w:name w:val="Comment Text Char"/>
    <w:basedOn w:val="DefaultParagraphFont"/>
    <w:link w:val="CommentText"/>
    <w:uiPriority w:val="99"/>
    <w:rsid w:val="00AF0DCE"/>
    <w:rPr>
      <w:kern w:val="24"/>
      <w:lang w:val="en-US" w:eastAsia="en-US"/>
    </w:rPr>
  </w:style>
  <w:style w:type="paragraph" w:styleId="CommentSubject">
    <w:name w:val="annotation subject"/>
    <w:basedOn w:val="CommentText"/>
    <w:next w:val="CommentText"/>
    <w:link w:val="CommentSubjectChar"/>
    <w:rsid w:val="00AF0DCE"/>
    <w:rPr>
      <w:b/>
      <w:bCs/>
    </w:rPr>
  </w:style>
  <w:style w:type="character" w:customStyle="1" w:styleId="CommentSubjectChar">
    <w:name w:val="Comment Subject Char"/>
    <w:basedOn w:val="CommentTextChar"/>
    <w:link w:val="CommentSubject"/>
    <w:rsid w:val="00AF0DCE"/>
    <w:rPr>
      <w:b/>
      <w:bCs/>
      <w:kern w:val="24"/>
      <w:lang w:val="en-US" w:eastAsia="en-US"/>
    </w:rPr>
  </w:style>
  <w:style w:type="character" w:customStyle="1" w:styleId="Heading2Char">
    <w:name w:val="Heading 2 Char"/>
    <w:basedOn w:val="DefaultParagraphFont"/>
    <w:link w:val="Heading2"/>
    <w:rsid w:val="00820A60"/>
    <w:rPr>
      <w:b/>
      <w:kern w:val="28"/>
      <w:sz w:val="28"/>
      <w:szCs w:val="28"/>
      <w:lang w:val="en-US" w:eastAsia="en-US"/>
    </w:rPr>
  </w:style>
  <w:style w:type="paragraph" w:customStyle="1" w:styleId="TableNote">
    <w:name w:val="Table Note"/>
    <w:basedOn w:val="FootnoteText"/>
    <w:rsid w:val="00875B0A"/>
    <w:pPr>
      <w:keepLines/>
      <w:widowControl w:val="0"/>
      <w:numPr>
        <w:numId w:val="21"/>
      </w:numPr>
      <w:tabs>
        <w:tab w:val="clear" w:pos="360"/>
      </w:tabs>
      <w:spacing w:after="60"/>
      <w:ind w:left="1649" w:hanging="1649"/>
    </w:pPr>
    <w:rPr>
      <w:kern w:val="0"/>
      <w:sz w:val="18"/>
      <w:szCs w:val="24"/>
      <w:lang w:val="pt-BR"/>
    </w:rPr>
  </w:style>
  <w:style w:type="paragraph" w:styleId="FootnoteText">
    <w:name w:val="footnote text"/>
    <w:basedOn w:val="Normal"/>
    <w:link w:val="FootnoteTextChar"/>
    <w:rsid w:val="00875B0A"/>
    <w:pPr>
      <w:spacing w:after="0" w:line="240" w:lineRule="auto"/>
    </w:pPr>
    <w:rPr>
      <w:sz w:val="20"/>
      <w:szCs w:val="20"/>
    </w:rPr>
  </w:style>
  <w:style w:type="character" w:customStyle="1" w:styleId="FootnoteTextChar">
    <w:name w:val="Footnote Text Char"/>
    <w:basedOn w:val="DefaultParagraphFont"/>
    <w:link w:val="FootnoteText"/>
    <w:rsid w:val="00875B0A"/>
    <w:rPr>
      <w:kern w:val="24"/>
      <w:lang w:val="en-US" w:eastAsia="en-US"/>
    </w:rPr>
  </w:style>
  <w:style w:type="character" w:customStyle="1" w:styleId="DocumentTextChar">
    <w:name w:val="Document Text Char"/>
    <w:link w:val="DocumentText"/>
    <w:rsid w:val="006A289B"/>
    <w:rPr>
      <w:kern w:val="24"/>
      <w:sz w:val="24"/>
      <w:szCs w:val="24"/>
      <w:lang w:val="en-US" w:eastAsia="en-US"/>
    </w:rPr>
  </w:style>
  <w:style w:type="paragraph" w:styleId="NormalWeb">
    <w:name w:val="Normal (Web)"/>
    <w:basedOn w:val="Normal"/>
    <w:uiPriority w:val="99"/>
    <w:unhideWhenUsed/>
    <w:rsid w:val="001823AF"/>
    <w:pPr>
      <w:spacing w:before="100" w:beforeAutospacing="1" w:after="100" w:afterAutospacing="1" w:line="240" w:lineRule="auto"/>
    </w:pPr>
    <w:rPr>
      <w:kern w:val="0"/>
    </w:rPr>
  </w:style>
  <w:style w:type="table" w:customStyle="1" w:styleId="TableGrid10">
    <w:name w:val="Table Grid1"/>
    <w:basedOn w:val="TableNormal"/>
    <w:uiPriority w:val="59"/>
    <w:rsid w:val="00022C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6177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1A346E"/>
    <w:rPr>
      <w:kern w:val="1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677F"/>
    <w:pPr>
      <w:spacing w:after="240" w:line="300" w:lineRule="auto"/>
    </w:pPr>
    <w:rPr>
      <w:kern w:val="24"/>
      <w:sz w:val="24"/>
      <w:szCs w:val="24"/>
      <w:lang w:val="en-US" w:eastAsia="en-US"/>
    </w:rPr>
  </w:style>
  <w:style w:type="paragraph" w:styleId="Heading1">
    <w:name w:val="heading 1"/>
    <w:basedOn w:val="DocumentText"/>
    <w:next w:val="DocumentText"/>
    <w:qFormat/>
    <w:rsid w:val="00B1677F"/>
    <w:pPr>
      <w:keepNext/>
      <w:keepLines/>
      <w:numPr>
        <w:numId w:val="2"/>
      </w:numPr>
      <w:tabs>
        <w:tab w:val="left" w:pos="1649"/>
      </w:tabs>
      <w:spacing w:before="120" w:after="120"/>
      <w:outlineLvl w:val="0"/>
    </w:pPr>
    <w:rPr>
      <w:b/>
      <w:kern w:val="28"/>
      <w:sz w:val="28"/>
      <w:szCs w:val="28"/>
    </w:rPr>
  </w:style>
  <w:style w:type="paragraph" w:styleId="Heading2">
    <w:name w:val="heading 2"/>
    <w:basedOn w:val="Heading1"/>
    <w:next w:val="DocumentText"/>
    <w:link w:val="Heading2Char"/>
    <w:qFormat/>
    <w:rsid w:val="00B1677F"/>
    <w:pPr>
      <w:numPr>
        <w:ilvl w:val="1"/>
      </w:numPr>
      <w:tabs>
        <w:tab w:val="clear" w:pos="1649"/>
        <w:tab w:val="left" w:pos="1901"/>
      </w:tabs>
      <w:outlineLvl w:val="1"/>
    </w:pPr>
  </w:style>
  <w:style w:type="paragraph" w:styleId="Heading3">
    <w:name w:val="heading 3"/>
    <w:basedOn w:val="Heading1"/>
    <w:next w:val="DocumentText"/>
    <w:qFormat/>
    <w:rsid w:val="00B1677F"/>
    <w:pPr>
      <w:numPr>
        <w:ilvl w:val="2"/>
      </w:numPr>
      <w:tabs>
        <w:tab w:val="clear" w:pos="1649"/>
        <w:tab w:val="left" w:pos="2138"/>
      </w:tabs>
      <w:outlineLvl w:val="2"/>
    </w:pPr>
  </w:style>
  <w:style w:type="paragraph" w:styleId="Heading4">
    <w:name w:val="heading 4"/>
    <w:basedOn w:val="Heading1"/>
    <w:next w:val="DocumentText"/>
    <w:qFormat/>
    <w:rsid w:val="00B1677F"/>
    <w:pPr>
      <w:numPr>
        <w:ilvl w:val="3"/>
      </w:numPr>
      <w:tabs>
        <w:tab w:val="clear" w:pos="1649"/>
        <w:tab w:val="left" w:pos="2362"/>
      </w:tabs>
      <w:outlineLvl w:val="3"/>
    </w:pPr>
  </w:style>
  <w:style w:type="paragraph" w:styleId="Heading5">
    <w:name w:val="heading 5"/>
    <w:basedOn w:val="Heading1"/>
    <w:next w:val="DocumentText"/>
    <w:qFormat/>
    <w:rsid w:val="00B1677F"/>
    <w:pPr>
      <w:numPr>
        <w:ilvl w:val="4"/>
      </w:numPr>
      <w:tabs>
        <w:tab w:val="clear" w:pos="1649"/>
        <w:tab w:val="left" w:pos="2570"/>
      </w:tabs>
      <w:outlineLvl w:val="4"/>
    </w:pPr>
  </w:style>
  <w:style w:type="paragraph" w:styleId="Heading6">
    <w:name w:val="heading 6"/>
    <w:basedOn w:val="Heading1"/>
    <w:next w:val="DocumentText"/>
    <w:qFormat/>
    <w:rsid w:val="00B1677F"/>
    <w:pPr>
      <w:numPr>
        <w:ilvl w:val="5"/>
      </w:numPr>
      <w:tabs>
        <w:tab w:val="clear" w:pos="1649"/>
        <w:tab w:val="left" w:pos="2765"/>
      </w:tabs>
      <w:outlineLvl w:val="5"/>
    </w:pPr>
  </w:style>
  <w:style w:type="paragraph" w:styleId="Heading7">
    <w:name w:val="heading 7"/>
    <w:basedOn w:val="Heading1"/>
    <w:next w:val="DocumentText"/>
    <w:qFormat/>
    <w:rsid w:val="00B1677F"/>
    <w:pPr>
      <w:numPr>
        <w:ilvl w:val="6"/>
      </w:numPr>
      <w:tabs>
        <w:tab w:val="clear" w:pos="1649"/>
        <w:tab w:val="left" w:pos="2945"/>
      </w:tabs>
      <w:outlineLvl w:val="6"/>
    </w:pPr>
  </w:style>
  <w:style w:type="paragraph" w:styleId="Heading8">
    <w:name w:val="heading 8"/>
    <w:basedOn w:val="Heading1"/>
    <w:next w:val="DocumentText"/>
    <w:qFormat/>
    <w:rsid w:val="00B1677F"/>
    <w:pPr>
      <w:numPr>
        <w:ilvl w:val="7"/>
      </w:numPr>
      <w:tabs>
        <w:tab w:val="clear" w:pos="1649"/>
        <w:tab w:val="left" w:pos="3110"/>
      </w:tabs>
      <w:ind w:left="3110"/>
      <w:outlineLvl w:val="7"/>
    </w:pPr>
  </w:style>
  <w:style w:type="paragraph" w:styleId="Heading9">
    <w:name w:val="heading 9"/>
    <w:basedOn w:val="Heading1"/>
    <w:next w:val="DocumentText"/>
    <w:qFormat/>
    <w:rsid w:val="00B1677F"/>
    <w:pPr>
      <w:numPr>
        <w:ilvl w:val="8"/>
      </w:numPr>
      <w:tabs>
        <w:tab w:val="clear" w:pos="1649"/>
        <w:tab w:val="left" w:pos="326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rsid w:val="00B1677F"/>
    <w:pPr>
      <w:spacing w:after="0" w:line="240" w:lineRule="auto"/>
      <w:ind w:left="240" w:hanging="240"/>
    </w:pPr>
  </w:style>
  <w:style w:type="paragraph" w:styleId="TOC3">
    <w:name w:val="toc 3"/>
    <w:basedOn w:val="Normal"/>
    <w:next w:val="Normal"/>
    <w:autoRedefine/>
    <w:semiHidden/>
    <w:rsid w:val="00B1677F"/>
    <w:pPr>
      <w:spacing w:after="60" w:line="240" w:lineRule="auto"/>
      <w:ind w:left="2138" w:hanging="2138"/>
    </w:pPr>
  </w:style>
  <w:style w:type="paragraph" w:styleId="TOC2">
    <w:name w:val="toc 2"/>
    <w:basedOn w:val="Normal"/>
    <w:next w:val="Normal"/>
    <w:autoRedefine/>
    <w:semiHidden/>
    <w:rsid w:val="00B1677F"/>
    <w:pPr>
      <w:spacing w:after="120" w:line="240" w:lineRule="auto"/>
      <w:ind w:left="1901" w:hanging="1901"/>
    </w:pPr>
  </w:style>
  <w:style w:type="paragraph" w:styleId="TOC1">
    <w:name w:val="toc 1"/>
    <w:basedOn w:val="Normal"/>
    <w:next w:val="Normal"/>
    <w:autoRedefine/>
    <w:semiHidden/>
    <w:rsid w:val="00B1677F"/>
    <w:pPr>
      <w:spacing w:after="180" w:line="240" w:lineRule="auto"/>
      <w:ind w:left="1649" w:hanging="1649"/>
    </w:pPr>
  </w:style>
  <w:style w:type="table" w:styleId="LightGrid">
    <w:name w:val="Light Grid"/>
    <w:basedOn w:val="TableNormal"/>
    <w:uiPriority w:val="62"/>
    <w:rsid w:val="00B1677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1677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1677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Footer">
    <w:name w:val="footer"/>
    <w:basedOn w:val="DocumentText"/>
    <w:rsid w:val="00B1677F"/>
    <w:pPr>
      <w:tabs>
        <w:tab w:val="center" w:pos="4478"/>
        <w:tab w:val="right" w:pos="8957"/>
      </w:tabs>
      <w:spacing w:before="120" w:after="0" w:line="240" w:lineRule="auto"/>
    </w:pPr>
    <w:rPr>
      <w:kern w:val="18"/>
      <w:sz w:val="20"/>
    </w:rPr>
  </w:style>
  <w:style w:type="paragraph" w:styleId="Header">
    <w:name w:val="header"/>
    <w:basedOn w:val="DocumentText"/>
    <w:link w:val="HeaderChar"/>
    <w:uiPriority w:val="99"/>
    <w:rsid w:val="00B1677F"/>
    <w:pPr>
      <w:tabs>
        <w:tab w:val="right" w:pos="8957"/>
      </w:tabs>
      <w:spacing w:after="120" w:line="240" w:lineRule="auto"/>
    </w:pPr>
    <w:rPr>
      <w:kern w:val="18"/>
      <w:sz w:val="20"/>
    </w:rPr>
  </w:style>
  <w:style w:type="paragraph" w:styleId="Title">
    <w:name w:val="Title"/>
    <w:basedOn w:val="DocumentText"/>
    <w:next w:val="DocumentText"/>
    <w:link w:val="TitleChar"/>
    <w:qFormat/>
    <w:rsid w:val="00B1677F"/>
    <w:pPr>
      <w:keepNext/>
      <w:keepLines/>
      <w:spacing w:after="0"/>
      <w:jc w:val="center"/>
    </w:pPr>
    <w:rPr>
      <w:rFonts w:cs="Arial"/>
      <w:b/>
      <w:bCs/>
      <w:kern w:val="28"/>
      <w:sz w:val="28"/>
      <w:szCs w:val="28"/>
    </w:rPr>
  </w:style>
  <w:style w:type="table" w:styleId="Table3Deffects1">
    <w:name w:val="Table 3D effects 1"/>
    <w:basedOn w:val="TableNormal"/>
    <w:rsid w:val="00B1677F"/>
    <w:pPr>
      <w:spacing w:after="240"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1677F"/>
    <w:pPr>
      <w:spacing w:after="240"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aption1">
    <w:name w:val="Caption1"/>
    <w:basedOn w:val="Normal"/>
    <w:rsid w:val="003D48CE"/>
    <w:rPr>
      <w:rFonts w:ascii="Arial" w:hAnsi="Arial"/>
      <w:sz w:val="20"/>
    </w:rPr>
  </w:style>
  <w:style w:type="character" w:customStyle="1" w:styleId="TitleChar">
    <w:name w:val="Title Char"/>
    <w:basedOn w:val="DefaultParagraphFont"/>
    <w:link w:val="Title"/>
    <w:rsid w:val="00B1677F"/>
    <w:rPr>
      <w:rFonts w:cs="Arial"/>
      <w:b/>
      <w:bCs/>
      <w:kern w:val="28"/>
      <w:sz w:val="28"/>
      <w:szCs w:val="28"/>
      <w:lang w:val="en-US" w:eastAsia="en-US"/>
    </w:rPr>
  </w:style>
  <w:style w:type="table" w:styleId="LightGrid-Accent3">
    <w:name w:val="Light Grid Accent 3"/>
    <w:basedOn w:val="TableNormal"/>
    <w:uiPriority w:val="62"/>
    <w:rsid w:val="00B1677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olorfulGrid">
    <w:name w:val="Colorful Grid"/>
    <w:basedOn w:val="TableNormal"/>
    <w:uiPriority w:val="73"/>
    <w:rsid w:val="00B1677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1677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1677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Grid-Accent4">
    <w:name w:val="Light Grid Accent 4"/>
    <w:basedOn w:val="TableNormal"/>
    <w:uiPriority w:val="62"/>
    <w:rsid w:val="00B1677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TableClassic1">
    <w:name w:val="Table Classic 1"/>
    <w:basedOn w:val="TableNormal"/>
    <w:rsid w:val="00B1677F"/>
    <w:pPr>
      <w:spacing w:after="240"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rsid w:val="00B1677F"/>
    <w:pPr>
      <w:spacing w:after="240"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rfulGrid-Accent3">
    <w:name w:val="Colorful Grid Accent 3"/>
    <w:basedOn w:val="TableNormal"/>
    <w:uiPriority w:val="73"/>
    <w:rsid w:val="00B1677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Table3Deffects3">
    <w:name w:val="Table 3D effects 3"/>
    <w:basedOn w:val="TableNormal"/>
    <w:rsid w:val="00B1677F"/>
    <w:pPr>
      <w:spacing w:after="240"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arkList">
    <w:name w:val="Dark List"/>
    <w:basedOn w:val="TableNormal"/>
    <w:uiPriority w:val="70"/>
    <w:rsid w:val="00B1677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1677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1677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1677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bleClassic2">
    <w:name w:val="Table Classic 2"/>
    <w:basedOn w:val="TableNormal"/>
    <w:rsid w:val="00B1677F"/>
    <w:pPr>
      <w:spacing w:after="240"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ableFootnote">
    <w:name w:val="Table Footnote"/>
    <w:basedOn w:val="DocumentText"/>
    <w:next w:val="DocumentText"/>
    <w:link w:val="TableFootnoteChar"/>
    <w:rsid w:val="00B1677F"/>
    <w:pPr>
      <w:keepNext/>
      <w:keepLines/>
      <w:spacing w:before="40" w:after="0" w:line="240" w:lineRule="auto"/>
      <w:ind w:left="360" w:hanging="360"/>
    </w:pPr>
    <w:rPr>
      <w:kern w:val="20"/>
      <w:sz w:val="20"/>
      <w:szCs w:val="20"/>
    </w:rPr>
  </w:style>
  <w:style w:type="paragraph" w:styleId="BodyText">
    <w:name w:val="Body Text"/>
    <w:basedOn w:val="Normal"/>
    <w:link w:val="BodyTextChar"/>
    <w:rsid w:val="00B1677F"/>
    <w:pPr>
      <w:spacing w:after="120"/>
    </w:pPr>
  </w:style>
  <w:style w:type="character" w:customStyle="1" w:styleId="BodyTextChar">
    <w:name w:val="Body Text Char"/>
    <w:basedOn w:val="DefaultParagraphFont"/>
    <w:link w:val="BodyText"/>
    <w:rsid w:val="00B1677F"/>
    <w:rPr>
      <w:kern w:val="24"/>
      <w:sz w:val="24"/>
      <w:szCs w:val="24"/>
      <w:lang w:val="en-US" w:eastAsia="en-US"/>
    </w:rPr>
  </w:style>
  <w:style w:type="table" w:styleId="TableClassic3">
    <w:name w:val="Table Classic 3"/>
    <w:basedOn w:val="TableNormal"/>
    <w:rsid w:val="00B1677F"/>
    <w:pPr>
      <w:spacing w:after="240"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Hyperlink">
    <w:name w:val="Hyperlink"/>
    <w:basedOn w:val="DefaultParagraphFont"/>
    <w:rsid w:val="00B1677F"/>
    <w:rPr>
      <w:color w:val="0000FF"/>
      <w:u w:val="none"/>
    </w:rPr>
  </w:style>
  <w:style w:type="table" w:styleId="LightGrid-Accent5">
    <w:name w:val="Light Grid Accent 5"/>
    <w:basedOn w:val="TableNormal"/>
    <w:uiPriority w:val="62"/>
    <w:rsid w:val="00B1677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Caption">
    <w:name w:val="caption"/>
    <w:basedOn w:val="Normal"/>
    <w:next w:val="Normal"/>
    <w:qFormat/>
    <w:rsid w:val="00B1677F"/>
    <w:pPr>
      <w:keepNext/>
      <w:spacing w:before="240" w:after="120" w:line="240" w:lineRule="auto"/>
      <w:ind w:left="2160" w:hanging="2160"/>
    </w:pPr>
    <w:rPr>
      <w:b/>
      <w:bCs/>
      <w:szCs w:val="20"/>
    </w:rPr>
  </w:style>
  <w:style w:type="paragraph" w:customStyle="1" w:styleId="Guidance">
    <w:name w:val="Guidance"/>
    <w:basedOn w:val="DocumentText"/>
    <w:link w:val="GuidanceChar"/>
    <w:qFormat/>
    <w:rsid w:val="00B1677F"/>
  </w:style>
  <w:style w:type="table" w:styleId="DarkList-Accent4">
    <w:name w:val="Dark List Accent 4"/>
    <w:basedOn w:val="TableNormal"/>
    <w:uiPriority w:val="70"/>
    <w:rsid w:val="00B1677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character" w:customStyle="1" w:styleId="TableFootnoteChar">
    <w:name w:val="Table Footnote Char"/>
    <w:basedOn w:val="DefaultParagraphFont"/>
    <w:link w:val="TableFootnote"/>
    <w:rsid w:val="00B1677F"/>
    <w:rPr>
      <w:kern w:val="20"/>
      <w:lang w:val="en-US" w:eastAsia="en-US"/>
    </w:rPr>
  </w:style>
  <w:style w:type="paragraph" w:customStyle="1" w:styleId="CTDTable10">
    <w:name w:val="CTD Table 10"/>
    <w:basedOn w:val="Normal"/>
    <w:rsid w:val="00E24F82"/>
    <w:rPr>
      <w:sz w:val="20"/>
    </w:rPr>
  </w:style>
  <w:style w:type="table" w:styleId="ColorfulGrid-Accent4">
    <w:name w:val="Colorful Grid Accent 4"/>
    <w:basedOn w:val="TableNormal"/>
    <w:uiPriority w:val="73"/>
    <w:rsid w:val="00B1677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1677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Revision">
    <w:name w:val="Revision"/>
    <w:hidden/>
    <w:uiPriority w:val="99"/>
    <w:semiHidden/>
    <w:rsid w:val="00DF4B8A"/>
    <w:rPr>
      <w:b/>
      <w:sz w:val="22"/>
      <w:lang w:eastAsia="en-US"/>
    </w:rPr>
  </w:style>
  <w:style w:type="paragraph" w:customStyle="1" w:styleId="DocumentText">
    <w:name w:val="Document Text"/>
    <w:basedOn w:val="Normal"/>
    <w:link w:val="DocumentTextChar"/>
    <w:rsid w:val="00B1677F"/>
  </w:style>
  <w:style w:type="character" w:customStyle="1" w:styleId="GuidanceChar">
    <w:name w:val="Guidance Char"/>
    <w:basedOn w:val="DefaultParagraphFont"/>
    <w:link w:val="Guidance"/>
    <w:rsid w:val="00B1677F"/>
    <w:rPr>
      <w:kern w:val="24"/>
      <w:sz w:val="24"/>
      <w:szCs w:val="24"/>
      <w:lang w:val="en-US" w:eastAsia="en-US"/>
    </w:rPr>
  </w:style>
  <w:style w:type="paragraph" w:customStyle="1" w:styleId="ListBulleted">
    <w:name w:val="List Bulleted"/>
    <w:basedOn w:val="DocumentText"/>
    <w:rsid w:val="00B1677F"/>
    <w:pPr>
      <w:keepLines/>
      <w:numPr>
        <w:numId w:val="1"/>
      </w:numPr>
      <w:adjustRightInd w:val="0"/>
      <w:spacing w:before="120" w:after="120"/>
      <w:ind w:left="648"/>
    </w:pPr>
  </w:style>
  <w:style w:type="paragraph" w:customStyle="1" w:styleId="ListNumbered">
    <w:name w:val="List Numbered"/>
    <w:basedOn w:val="DocumentText"/>
    <w:rsid w:val="00B1677F"/>
    <w:pPr>
      <w:keepLines/>
      <w:numPr>
        <w:numId w:val="3"/>
      </w:numPr>
      <w:snapToGrid w:val="0"/>
      <w:spacing w:before="120" w:after="120"/>
    </w:pPr>
  </w:style>
  <w:style w:type="paragraph" w:customStyle="1" w:styleId="TableTitleContinued">
    <w:name w:val="Table Title Continued"/>
    <w:basedOn w:val="DocumentText"/>
    <w:next w:val="DocumentText"/>
    <w:rsid w:val="00B1677F"/>
    <w:pPr>
      <w:keepNext/>
      <w:spacing w:before="240" w:after="120" w:line="240" w:lineRule="auto"/>
      <w:ind w:left="2160" w:hanging="2160"/>
    </w:pPr>
    <w:rPr>
      <w:b/>
      <w:bCs/>
    </w:rPr>
  </w:style>
  <w:style w:type="table" w:styleId="TableGrid">
    <w:name w:val="Table Grid"/>
    <w:basedOn w:val="TableNormal"/>
    <w:uiPriority w:val="59"/>
    <w:rsid w:val="00B1677F"/>
    <w:pPr>
      <w:spacing w:after="240" w:line="30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Heading12pt">
    <w:name w:val="Table Cell Heading 12pt"/>
    <w:basedOn w:val="DocumentText"/>
    <w:rsid w:val="00B1677F"/>
    <w:pPr>
      <w:keepNext/>
      <w:spacing w:before="40" w:after="40" w:line="240" w:lineRule="auto"/>
      <w:jc w:val="center"/>
    </w:pPr>
    <w:rPr>
      <w:b/>
    </w:rPr>
  </w:style>
  <w:style w:type="paragraph" w:customStyle="1" w:styleId="TableCellHeading10pt">
    <w:name w:val="Table Cell Heading 10pt"/>
    <w:basedOn w:val="TableCellHeading12pt"/>
    <w:rsid w:val="00B1677F"/>
    <w:rPr>
      <w:kern w:val="20"/>
      <w:sz w:val="20"/>
    </w:rPr>
  </w:style>
  <w:style w:type="paragraph" w:styleId="TableofFigures">
    <w:name w:val="table of figures"/>
    <w:basedOn w:val="Normal"/>
    <w:next w:val="Normal"/>
    <w:rsid w:val="00B1677F"/>
    <w:pPr>
      <w:spacing w:line="240" w:lineRule="auto"/>
      <w:ind w:left="1440" w:hanging="1440"/>
    </w:pPr>
  </w:style>
  <w:style w:type="paragraph" w:customStyle="1" w:styleId="TableCellText12pt">
    <w:name w:val="Table Cell Text 12pt"/>
    <w:basedOn w:val="DocumentText"/>
    <w:rsid w:val="00B1677F"/>
    <w:pPr>
      <w:keepNext/>
      <w:spacing w:before="40" w:after="40" w:line="240" w:lineRule="auto"/>
    </w:pPr>
  </w:style>
  <w:style w:type="paragraph" w:customStyle="1" w:styleId="TableCellText10pt">
    <w:name w:val="Table Cell Text 10pt"/>
    <w:basedOn w:val="TableCellText12pt"/>
    <w:rsid w:val="00B1677F"/>
    <w:rPr>
      <w:sz w:val="20"/>
    </w:rPr>
  </w:style>
  <w:style w:type="paragraph" w:customStyle="1" w:styleId="TableCellText09pt">
    <w:name w:val="Table Cell Text 09pt"/>
    <w:basedOn w:val="TableCellText10pt"/>
    <w:rsid w:val="00B1677F"/>
    <w:rPr>
      <w:sz w:val="18"/>
    </w:rPr>
  </w:style>
  <w:style w:type="paragraph" w:customStyle="1" w:styleId="TOCTitle">
    <w:name w:val="TOC Title"/>
    <w:basedOn w:val="Title"/>
    <w:next w:val="DocumentText"/>
    <w:rsid w:val="00B1677F"/>
    <w:pPr>
      <w:outlineLvl w:val="0"/>
    </w:pPr>
  </w:style>
  <w:style w:type="paragraph" w:styleId="TOC4">
    <w:name w:val="toc 4"/>
    <w:basedOn w:val="Normal"/>
    <w:next w:val="Normal"/>
    <w:autoRedefine/>
    <w:rsid w:val="00B1677F"/>
    <w:pPr>
      <w:spacing w:after="60" w:line="240" w:lineRule="auto"/>
      <w:ind w:left="2362" w:hanging="2362"/>
    </w:pPr>
  </w:style>
  <w:style w:type="paragraph" w:styleId="TOC5">
    <w:name w:val="toc 5"/>
    <w:basedOn w:val="Normal"/>
    <w:next w:val="Normal"/>
    <w:autoRedefine/>
    <w:rsid w:val="00B1677F"/>
    <w:pPr>
      <w:spacing w:after="60" w:line="240" w:lineRule="auto"/>
      <w:ind w:left="2570" w:hanging="2570"/>
    </w:pPr>
  </w:style>
  <w:style w:type="paragraph" w:styleId="TOC6">
    <w:name w:val="toc 6"/>
    <w:basedOn w:val="Normal"/>
    <w:next w:val="Normal"/>
    <w:autoRedefine/>
    <w:rsid w:val="00B1677F"/>
    <w:pPr>
      <w:spacing w:after="60" w:line="240" w:lineRule="auto"/>
      <w:ind w:left="2765" w:hanging="2765"/>
    </w:pPr>
  </w:style>
  <w:style w:type="paragraph" w:styleId="TOC7">
    <w:name w:val="toc 7"/>
    <w:basedOn w:val="Normal"/>
    <w:next w:val="Normal"/>
    <w:autoRedefine/>
    <w:rsid w:val="00B1677F"/>
    <w:pPr>
      <w:spacing w:after="60" w:line="240" w:lineRule="auto"/>
      <w:ind w:left="2945" w:hanging="2945"/>
      <w:contextualSpacing/>
    </w:pPr>
  </w:style>
  <w:style w:type="paragraph" w:styleId="TOC8">
    <w:name w:val="toc 8"/>
    <w:basedOn w:val="Normal"/>
    <w:next w:val="Normal"/>
    <w:autoRedefine/>
    <w:rsid w:val="00B1677F"/>
    <w:pPr>
      <w:spacing w:after="60" w:line="240" w:lineRule="auto"/>
      <w:ind w:left="3110" w:hanging="3110"/>
    </w:pPr>
  </w:style>
  <w:style w:type="paragraph" w:styleId="TOC9">
    <w:name w:val="toc 9"/>
    <w:basedOn w:val="Normal"/>
    <w:next w:val="Normal"/>
    <w:autoRedefine/>
    <w:rsid w:val="00B1677F"/>
    <w:pPr>
      <w:spacing w:after="60" w:line="240" w:lineRule="auto"/>
      <w:ind w:left="3262" w:hanging="3262"/>
    </w:pPr>
  </w:style>
  <w:style w:type="table" w:styleId="ColorfulGrid-Accent6">
    <w:name w:val="Colorful Grid Accent 6"/>
    <w:basedOn w:val="TableNormal"/>
    <w:uiPriority w:val="73"/>
    <w:rsid w:val="00B1677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1677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1677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1677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1677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1677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1677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1677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1677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1677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1677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1677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1677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1677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1677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Accent5">
    <w:name w:val="Dark List Accent 5"/>
    <w:basedOn w:val="TableNormal"/>
    <w:uiPriority w:val="70"/>
    <w:rsid w:val="00B1677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1677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LightGrid-Accent6">
    <w:name w:val="Light Grid Accent 6"/>
    <w:basedOn w:val="TableNormal"/>
    <w:uiPriority w:val="62"/>
    <w:rsid w:val="00B1677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1677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1677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1677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1677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1677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1677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1677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1677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1677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1677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1677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1677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1677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1677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Grid1">
    <w:name w:val="Medium Grid 1"/>
    <w:basedOn w:val="TableNormal"/>
    <w:uiPriority w:val="67"/>
    <w:rsid w:val="00B1677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1677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1677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1677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1677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1677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1677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1677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1677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1677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1677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1677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1677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1677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1677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1677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1677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1677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1677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1677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1677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1677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1677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1677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1677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1677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1677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1677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1677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1677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1677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1677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1677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1677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1677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1677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1677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1677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1677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1677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1677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1677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1677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1677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1677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1677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1677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1677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1677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Classic4">
    <w:name w:val="Table Classic 4"/>
    <w:basedOn w:val="TableNormal"/>
    <w:rsid w:val="00B1677F"/>
    <w:pPr>
      <w:spacing w:after="240"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1677F"/>
    <w:pPr>
      <w:spacing w:after="240"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1677F"/>
    <w:pPr>
      <w:spacing w:after="240"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1677F"/>
    <w:pPr>
      <w:spacing w:after="240"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1677F"/>
    <w:pPr>
      <w:spacing w:after="240"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1677F"/>
    <w:pPr>
      <w:spacing w:after="240"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1677F"/>
    <w:pPr>
      <w:spacing w:after="240"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1677F"/>
    <w:pPr>
      <w:spacing w:after="240"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1677F"/>
    <w:pPr>
      <w:spacing w:after="240"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1677F"/>
    <w:pPr>
      <w:spacing w:after="240"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1677F"/>
    <w:pPr>
      <w:spacing w:after="240"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B1677F"/>
    <w:pPr>
      <w:spacing w:after="240"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1677F"/>
    <w:pPr>
      <w:spacing w:after="240"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1677F"/>
    <w:pPr>
      <w:spacing w:after="240"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1677F"/>
    <w:pPr>
      <w:spacing w:after="240"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1677F"/>
    <w:pPr>
      <w:spacing w:after="240"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1677F"/>
    <w:pPr>
      <w:spacing w:after="240"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1677F"/>
    <w:pPr>
      <w:spacing w:after="240"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1677F"/>
    <w:pPr>
      <w:spacing w:after="240"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B1677F"/>
    <w:pPr>
      <w:spacing w:after="240"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1677F"/>
    <w:pPr>
      <w:spacing w:after="240"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1677F"/>
    <w:pPr>
      <w:spacing w:after="240"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1677F"/>
    <w:pPr>
      <w:spacing w:after="240"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1677F"/>
    <w:pPr>
      <w:spacing w:after="240"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1677F"/>
    <w:pPr>
      <w:spacing w:after="240"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1677F"/>
    <w:pPr>
      <w:spacing w:after="240"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1677F"/>
    <w:pPr>
      <w:spacing w:after="240"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1677F"/>
    <w:pPr>
      <w:spacing w:after="240"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1677F"/>
    <w:pPr>
      <w:spacing w:after="240"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1677F"/>
    <w:pPr>
      <w:spacing w:after="240"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1677F"/>
    <w:pPr>
      <w:spacing w:after="240"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1677F"/>
    <w:pPr>
      <w:spacing w:after="240"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1677F"/>
    <w:pPr>
      <w:spacing w:after="240"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1677F"/>
    <w:pPr>
      <w:spacing w:after="240"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1677F"/>
    <w:pPr>
      <w:spacing w:after="240"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1677F"/>
    <w:pPr>
      <w:spacing w:after="240"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rsid w:val="00635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35162"/>
    <w:rPr>
      <w:rFonts w:ascii="Tahoma" w:hAnsi="Tahoma" w:cs="Tahoma"/>
      <w:kern w:val="24"/>
      <w:sz w:val="16"/>
      <w:szCs w:val="16"/>
      <w:lang w:val="en-US" w:eastAsia="en-US"/>
    </w:rPr>
  </w:style>
  <w:style w:type="character" w:styleId="CommentReference">
    <w:name w:val="annotation reference"/>
    <w:uiPriority w:val="99"/>
    <w:unhideWhenUsed/>
    <w:rsid w:val="00F40998"/>
    <w:rPr>
      <w:sz w:val="16"/>
      <w:szCs w:val="16"/>
    </w:rPr>
  </w:style>
  <w:style w:type="paragraph" w:customStyle="1" w:styleId="LAFISPCNormal">
    <w:name w:val="LA_FI_SPC_Normal"/>
    <w:basedOn w:val="BodyText"/>
    <w:rsid w:val="00856F0C"/>
    <w:pPr>
      <w:tabs>
        <w:tab w:val="left" w:pos="567"/>
      </w:tabs>
      <w:spacing w:after="0" w:line="240" w:lineRule="auto"/>
      <w:ind w:left="567"/>
    </w:pPr>
    <w:rPr>
      <w:kern w:val="0"/>
      <w:szCs w:val="20"/>
      <w:lang w:val="en-GB"/>
    </w:rPr>
  </w:style>
  <w:style w:type="paragraph" w:styleId="ListParagraph">
    <w:name w:val="List Paragraph"/>
    <w:basedOn w:val="Normal"/>
    <w:uiPriority w:val="34"/>
    <w:qFormat/>
    <w:rsid w:val="00856F0C"/>
    <w:pPr>
      <w:ind w:left="720"/>
      <w:contextualSpacing/>
    </w:pPr>
  </w:style>
  <w:style w:type="paragraph" w:customStyle="1" w:styleId="Default">
    <w:name w:val="Default"/>
    <w:rsid w:val="0075635C"/>
    <w:pPr>
      <w:autoSpaceDE w:val="0"/>
      <w:autoSpaceDN w:val="0"/>
      <w:adjustRightInd w:val="0"/>
    </w:pPr>
    <w:rPr>
      <w:color w:val="000000"/>
      <w:sz w:val="24"/>
      <w:szCs w:val="24"/>
      <w:lang w:val="en-US"/>
    </w:rPr>
  </w:style>
  <w:style w:type="paragraph" w:styleId="CommentText">
    <w:name w:val="annotation text"/>
    <w:basedOn w:val="Normal"/>
    <w:link w:val="CommentTextChar"/>
    <w:uiPriority w:val="99"/>
    <w:rsid w:val="00AF0DCE"/>
    <w:pPr>
      <w:spacing w:line="240" w:lineRule="auto"/>
    </w:pPr>
    <w:rPr>
      <w:sz w:val="20"/>
      <w:szCs w:val="20"/>
    </w:rPr>
  </w:style>
  <w:style w:type="character" w:customStyle="1" w:styleId="CommentTextChar">
    <w:name w:val="Comment Text Char"/>
    <w:basedOn w:val="DefaultParagraphFont"/>
    <w:link w:val="CommentText"/>
    <w:uiPriority w:val="99"/>
    <w:rsid w:val="00AF0DCE"/>
    <w:rPr>
      <w:kern w:val="24"/>
      <w:lang w:val="en-US" w:eastAsia="en-US"/>
    </w:rPr>
  </w:style>
  <w:style w:type="paragraph" w:styleId="CommentSubject">
    <w:name w:val="annotation subject"/>
    <w:basedOn w:val="CommentText"/>
    <w:next w:val="CommentText"/>
    <w:link w:val="CommentSubjectChar"/>
    <w:rsid w:val="00AF0DCE"/>
    <w:rPr>
      <w:b/>
      <w:bCs/>
    </w:rPr>
  </w:style>
  <w:style w:type="character" w:customStyle="1" w:styleId="CommentSubjectChar">
    <w:name w:val="Comment Subject Char"/>
    <w:basedOn w:val="CommentTextChar"/>
    <w:link w:val="CommentSubject"/>
    <w:rsid w:val="00AF0DCE"/>
    <w:rPr>
      <w:b/>
      <w:bCs/>
      <w:kern w:val="24"/>
      <w:lang w:val="en-US" w:eastAsia="en-US"/>
    </w:rPr>
  </w:style>
  <w:style w:type="character" w:customStyle="1" w:styleId="Heading2Char">
    <w:name w:val="Heading 2 Char"/>
    <w:basedOn w:val="DefaultParagraphFont"/>
    <w:link w:val="Heading2"/>
    <w:rsid w:val="00820A60"/>
    <w:rPr>
      <w:b/>
      <w:kern w:val="28"/>
      <w:sz w:val="28"/>
      <w:szCs w:val="28"/>
      <w:lang w:val="en-US" w:eastAsia="en-US"/>
    </w:rPr>
  </w:style>
  <w:style w:type="paragraph" w:customStyle="1" w:styleId="TableNote">
    <w:name w:val="Table Note"/>
    <w:basedOn w:val="FootnoteText"/>
    <w:rsid w:val="00875B0A"/>
    <w:pPr>
      <w:keepLines/>
      <w:widowControl w:val="0"/>
      <w:numPr>
        <w:numId w:val="21"/>
      </w:numPr>
      <w:tabs>
        <w:tab w:val="clear" w:pos="360"/>
      </w:tabs>
      <w:spacing w:after="60"/>
      <w:ind w:left="1649" w:hanging="1649"/>
    </w:pPr>
    <w:rPr>
      <w:kern w:val="0"/>
      <w:sz w:val="18"/>
      <w:szCs w:val="24"/>
      <w:lang w:val="pt-BR"/>
    </w:rPr>
  </w:style>
  <w:style w:type="paragraph" w:styleId="FootnoteText">
    <w:name w:val="footnote text"/>
    <w:basedOn w:val="Normal"/>
    <w:link w:val="FootnoteTextChar"/>
    <w:rsid w:val="00875B0A"/>
    <w:pPr>
      <w:spacing w:after="0" w:line="240" w:lineRule="auto"/>
    </w:pPr>
    <w:rPr>
      <w:sz w:val="20"/>
      <w:szCs w:val="20"/>
    </w:rPr>
  </w:style>
  <w:style w:type="character" w:customStyle="1" w:styleId="FootnoteTextChar">
    <w:name w:val="Footnote Text Char"/>
    <w:basedOn w:val="DefaultParagraphFont"/>
    <w:link w:val="FootnoteText"/>
    <w:rsid w:val="00875B0A"/>
    <w:rPr>
      <w:kern w:val="24"/>
      <w:lang w:val="en-US" w:eastAsia="en-US"/>
    </w:rPr>
  </w:style>
  <w:style w:type="character" w:customStyle="1" w:styleId="DocumentTextChar">
    <w:name w:val="Document Text Char"/>
    <w:link w:val="DocumentText"/>
    <w:rsid w:val="006A289B"/>
    <w:rPr>
      <w:kern w:val="24"/>
      <w:sz w:val="24"/>
      <w:szCs w:val="24"/>
      <w:lang w:val="en-US" w:eastAsia="en-US"/>
    </w:rPr>
  </w:style>
  <w:style w:type="paragraph" w:styleId="NormalWeb">
    <w:name w:val="Normal (Web)"/>
    <w:basedOn w:val="Normal"/>
    <w:uiPriority w:val="99"/>
    <w:unhideWhenUsed/>
    <w:rsid w:val="001823AF"/>
    <w:pPr>
      <w:spacing w:before="100" w:beforeAutospacing="1" w:after="100" w:afterAutospacing="1" w:line="240" w:lineRule="auto"/>
    </w:pPr>
    <w:rPr>
      <w:kern w:val="0"/>
    </w:rPr>
  </w:style>
  <w:style w:type="table" w:customStyle="1" w:styleId="TableGrid10">
    <w:name w:val="Table Grid1"/>
    <w:basedOn w:val="TableNormal"/>
    <w:uiPriority w:val="59"/>
    <w:rsid w:val="00022C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6177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1A346E"/>
    <w:rPr>
      <w:kern w:val="1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36037">
      <w:bodyDiv w:val="1"/>
      <w:marLeft w:val="0"/>
      <w:marRight w:val="0"/>
      <w:marTop w:val="0"/>
      <w:marBottom w:val="0"/>
      <w:divBdr>
        <w:top w:val="none" w:sz="0" w:space="0" w:color="auto"/>
        <w:left w:val="none" w:sz="0" w:space="0" w:color="auto"/>
        <w:bottom w:val="none" w:sz="0" w:space="0" w:color="auto"/>
        <w:right w:val="none" w:sz="0" w:space="0" w:color="auto"/>
      </w:divBdr>
    </w:div>
    <w:div w:id="655374919">
      <w:bodyDiv w:val="1"/>
      <w:marLeft w:val="0"/>
      <w:marRight w:val="0"/>
      <w:marTop w:val="0"/>
      <w:marBottom w:val="0"/>
      <w:divBdr>
        <w:top w:val="none" w:sz="0" w:space="0" w:color="auto"/>
        <w:left w:val="none" w:sz="0" w:space="0" w:color="auto"/>
        <w:bottom w:val="none" w:sz="0" w:space="0" w:color="auto"/>
        <w:right w:val="none" w:sz="0" w:space="0" w:color="auto"/>
      </w:divBdr>
    </w:div>
    <w:div w:id="1619023246">
      <w:bodyDiv w:val="1"/>
      <w:marLeft w:val="0"/>
      <w:marRight w:val="0"/>
      <w:marTop w:val="0"/>
      <w:marBottom w:val="0"/>
      <w:divBdr>
        <w:top w:val="none" w:sz="0" w:space="0" w:color="auto"/>
        <w:left w:val="none" w:sz="0" w:space="0" w:color="auto"/>
        <w:bottom w:val="none" w:sz="0" w:space="0" w:color="auto"/>
        <w:right w:val="none" w:sz="0" w:space="0" w:color="auto"/>
      </w:divBdr>
    </w:div>
    <w:div w:id="199105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BFEFD-25E6-4335-A669-9506FEBF2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6425</Words>
  <Characters>34428</Characters>
  <Application>Microsoft Office Word</Application>
  <DocSecurity>2</DocSecurity>
  <Lines>782</Lines>
  <Paragraphs>371</Paragraphs>
  <ScaleCrop>false</ScaleCrop>
  <HeadingPairs>
    <vt:vector size="2" baseType="variant">
      <vt:variant>
        <vt:lpstr>Title</vt:lpstr>
      </vt:variant>
      <vt:variant>
        <vt:i4>1</vt:i4>
      </vt:variant>
    </vt:vector>
  </HeadingPairs>
  <TitlesOfParts>
    <vt:vector size="1" baseType="lpstr">
      <vt:lpstr>AusPAR Attachment 1: Product Information for Albutrepenonacog alfa (rch)</vt:lpstr>
    </vt:vector>
  </TitlesOfParts>
  <Company>CSL Limited</Company>
  <LinksUpToDate>false</LinksUpToDate>
  <CharactersWithSpaces>40482</CharactersWithSpaces>
  <SharedDoc>false</SharedDoc>
  <HLinks>
    <vt:vector size="12" baseType="variant">
      <vt:variant>
        <vt:i4>6750267</vt:i4>
      </vt:variant>
      <vt:variant>
        <vt:i4>3</vt:i4>
      </vt:variant>
      <vt:variant>
        <vt:i4>0</vt:i4>
      </vt:variant>
      <vt:variant>
        <vt:i4>5</vt:i4>
      </vt:variant>
      <vt:variant>
        <vt:lpwstr>http://www.cslbiotherapies.com.au/</vt:lpwstr>
      </vt:variant>
      <vt:variant>
        <vt:lpwstr/>
      </vt:variant>
      <vt:variant>
        <vt:i4>196647</vt:i4>
      </vt:variant>
      <vt:variant>
        <vt:i4>0</vt:i4>
      </vt:variant>
      <vt:variant>
        <vt:i4>0</vt:i4>
      </vt:variant>
      <vt:variant>
        <vt:i4>5</vt:i4>
      </vt:variant>
      <vt:variant>
        <vt:lpwstr>mailto:customerservice.plasmatherapies@csl.com.au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Albutrepenonacog alfa (rch)</dc:title>
  <dc:subject>Prescription medicines</dc:subject>
  <dc:creator>Nadia La Greca</dc:creator>
  <cp:keywords>AusPARs</cp:keywords>
  <dc:description/>
  <cp:lastModifiedBy>THOMPSON, Lynette</cp:lastModifiedBy>
  <cp:revision>5</cp:revision>
  <cp:lastPrinted>2016-09-08T23:32:00Z</cp:lastPrinted>
  <dcterms:created xsi:type="dcterms:W3CDTF">2017-07-10T00:52:00Z</dcterms:created>
  <dcterms:modified xsi:type="dcterms:W3CDTF">2017-10-10T05:11:00Z</dcterms:modified>
  <cp:category/>
</cp:coreProperties>
</file>