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37B4911" w14:textId="77777777" w:rsidTr="00BF1190">
        <w:trPr>
          <w:trHeight w:val="1863"/>
        </w:trPr>
        <w:tc>
          <w:tcPr>
            <w:tcW w:w="3652" w:type="dxa"/>
            <w:tcBorders>
              <w:top w:val="nil"/>
              <w:left w:val="nil"/>
              <w:bottom w:val="nil"/>
              <w:right w:val="nil"/>
            </w:tcBorders>
          </w:tcPr>
          <w:p w14:paraId="58684711" w14:textId="7A4B22FC" w:rsidR="008E7846" w:rsidRPr="00096AA7" w:rsidRDefault="00DB117A" w:rsidP="00096AA7">
            <w:pPr>
              <w:rPr>
                <w:rFonts w:ascii="Arial" w:hAnsi="Arial" w:cs="Arial"/>
                <w:b/>
                <w:color w:val="002C47"/>
                <w:sz w:val="36"/>
                <w:szCs w:val="36"/>
              </w:rPr>
            </w:pPr>
            <w:bookmarkStart w:id="0" w:name="_GoBack"/>
            <w:bookmarkEnd w:id="0"/>
            <w:r>
              <w:rPr>
                <w:rFonts w:ascii="Arial" w:hAnsi="Arial" w:cs="Arial"/>
                <w:b/>
                <w:color w:val="002C47"/>
                <w:sz w:val="36"/>
                <w:szCs w:val="36"/>
              </w:rPr>
              <w:t xml:space="preserve">December </w:t>
            </w:r>
            <w:r w:rsidR="00072035">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104C3EB" w14:textId="77777777" w:rsidTr="0032583B">
        <w:trPr>
          <w:trHeight w:val="868"/>
        </w:trPr>
        <w:tc>
          <w:tcPr>
            <w:tcW w:w="9079" w:type="dxa"/>
          </w:tcPr>
          <w:p w14:paraId="1BAEEE9D" w14:textId="77777777" w:rsidR="0032583B" w:rsidRPr="00A964D1" w:rsidRDefault="0032583B" w:rsidP="00072035">
            <w:pPr>
              <w:pStyle w:val="Title"/>
              <w:rPr>
                <w:color w:val="FFFFFF" w:themeColor="background1"/>
              </w:rPr>
            </w:pPr>
            <w:r w:rsidRPr="00A964D1">
              <w:rPr>
                <w:color w:val="FFFFFF" w:themeColor="background1"/>
              </w:rPr>
              <w:t xml:space="preserve">Australian Public Assessment Report for </w:t>
            </w:r>
            <w:r w:rsidR="00072035">
              <w:rPr>
                <w:color w:val="FFFFFF" w:themeColor="background1"/>
              </w:rPr>
              <w:t>Alanylglutamine</w:t>
            </w:r>
          </w:p>
        </w:tc>
      </w:tr>
      <w:tr w:rsidR="0032583B" w:rsidRPr="00B64760" w14:paraId="0ACDFC6A" w14:textId="77777777" w:rsidTr="0032583B">
        <w:tc>
          <w:tcPr>
            <w:tcW w:w="9079" w:type="dxa"/>
          </w:tcPr>
          <w:p w14:paraId="4EDCE1C4" w14:textId="77777777" w:rsidR="0032583B" w:rsidRPr="008E7846" w:rsidRDefault="00072035" w:rsidP="00072035">
            <w:pPr>
              <w:pStyle w:val="Subtitle"/>
              <w:rPr>
                <w:color w:val="FFFFFF" w:themeColor="background1"/>
              </w:rPr>
            </w:pPr>
            <w:r>
              <w:rPr>
                <w:color w:val="FFFFFF" w:themeColor="background1"/>
              </w:rPr>
              <w:t>Proprietary Product Name: Dipeptiven</w:t>
            </w:r>
          </w:p>
        </w:tc>
      </w:tr>
      <w:tr w:rsidR="0032583B" w:rsidRPr="00B64760" w14:paraId="46C70338" w14:textId="77777777" w:rsidTr="0032583B">
        <w:trPr>
          <w:trHeight w:val="486"/>
        </w:trPr>
        <w:tc>
          <w:tcPr>
            <w:tcW w:w="9079" w:type="dxa"/>
          </w:tcPr>
          <w:p w14:paraId="1B592AAE" w14:textId="77777777" w:rsidR="0032583B" w:rsidRPr="008E7846" w:rsidRDefault="00072035" w:rsidP="0032583B">
            <w:pPr>
              <w:pStyle w:val="Subtitle"/>
              <w:rPr>
                <w:color w:val="FFFFFF" w:themeColor="background1"/>
              </w:rPr>
            </w:pPr>
            <w:r>
              <w:rPr>
                <w:color w:val="FFFFFF" w:themeColor="background1"/>
              </w:rPr>
              <w:t>Sponsor: Fresenius Kabi Australia Pty Ltd</w:t>
            </w:r>
          </w:p>
        </w:tc>
      </w:tr>
    </w:tbl>
    <w:p w14:paraId="5BD3430C" w14:textId="77777777" w:rsidR="008E7846" w:rsidRPr="0085156D" w:rsidRDefault="008E7846" w:rsidP="0085156D">
      <w:r w:rsidRPr="0085156D">
        <w:br w:type="page"/>
      </w:r>
    </w:p>
    <w:p w14:paraId="52C01D0B" w14:textId="77777777" w:rsidR="008E7846" w:rsidRPr="001F6CBA" w:rsidRDefault="008E7846" w:rsidP="008E7846">
      <w:pPr>
        <w:pStyle w:val="NonTOCHeading2"/>
      </w:pPr>
      <w:r w:rsidRPr="001F6CBA">
        <w:lastRenderedPageBreak/>
        <w:t>About the Therapeutic Goods Administration (TGA)</w:t>
      </w:r>
    </w:p>
    <w:p w14:paraId="2F27083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773CC74"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0772BC7"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6D7162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479E476" w14:textId="59C62540"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33E3F7C" w14:textId="77777777" w:rsidR="008E7846" w:rsidRDefault="008E7846" w:rsidP="00875A6B">
      <w:pPr>
        <w:pStyle w:val="NonTOCHeading2"/>
      </w:pPr>
      <w:r>
        <w:t>About AusPARs</w:t>
      </w:r>
    </w:p>
    <w:p w14:paraId="46164FDD"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102A6A0" w14:textId="77777777" w:rsidR="008E7846" w:rsidRDefault="008E7846" w:rsidP="008E7846">
      <w:pPr>
        <w:pStyle w:val="ListBullet"/>
        <w:numPr>
          <w:ilvl w:val="0"/>
          <w:numId w:val="3"/>
        </w:numPr>
        <w:ind w:left="357" w:hanging="357"/>
      </w:pPr>
      <w:r>
        <w:t>AusPARs are prepared and published by the TGA.</w:t>
      </w:r>
    </w:p>
    <w:p w14:paraId="3DBF440F"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DA2B78E"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668C710"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CA969AF" w14:textId="77777777" w:rsidR="00924482" w:rsidRPr="00DF1D7F" w:rsidRDefault="00924482" w:rsidP="00F54B65">
      <w:pPr>
        <w:pStyle w:val="LegalSubheading"/>
        <w:spacing w:before="3120"/>
      </w:pPr>
      <w:r w:rsidRPr="00DF1D7F">
        <w:t>Copyright</w:t>
      </w:r>
    </w:p>
    <w:p w14:paraId="1A48333F" w14:textId="218FEFB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5EE2B51A"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A4A8FA5" w14:textId="77777777" w:rsidR="0089635C" w:rsidRPr="0089635C" w:rsidRDefault="0089635C" w:rsidP="0010788A">
          <w:pPr>
            <w:pStyle w:val="Contents"/>
          </w:pPr>
          <w:r w:rsidRPr="0010788A">
            <w:t>Contents</w:t>
          </w:r>
        </w:p>
        <w:p w14:paraId="580BE045" w14:textId="4E588CF1" w:rsidR="003C7CA7"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54965531" w:history="1">
            <w:r w:rsidR="003C7CA7" w:rsidRPr="00C955B5">
              <w:rPr>
                <w:rStyle w:val="Hyperlink"/>
                <w:noProof/>
              </w:rPr>
              <w:t>Common abbreviations</w:t>
            </w:r>
            <w:r w:rsidR="003C7CA7">
              <w:rPr>
                <w:noProof/>
                <w:webHidden/>
              </w:rPr>
              <w:tab/>
            </w:r>
            <w:r w:rsidR="003C7CA7">
              <w:rPr>
                <w:noProof/>
                <w:webHidden/>
              </w:rPr>
              <w:fldChar w:fldCharType="begin"/>
            </w:r>
            <w:r w:rsidR="003C7CA7">
              <w:rPr>
                <w:noProof/>
                <w:webHidden/>
              </w:rPr>
              <w:instrText xml:space="preserve"> PAGEREF _Toc54965531 \h </w:instrText>
            </w:r>
            <w:r w:rsidR="003C7CA7">
              <w:rPr>
                <w:noProof/>
                <w:webHidden/>
              </w:rPr>
            </w:r>
            <w:r w:rsidR="003C7CA7">
              <w:rPr>
                <w:noProof/>
                <w:webHidden/>
              </w:rPr>
              <w:fldChar w:fldCharType="separate"/>
            </w:r>
            <w:r w:rsidR="003C7CA7">
              <w:rPr>
                <w:noProof/>
                <w:webHidden/>
              </w:rPr>
              <w:t>4</w:t>
            </w:r>
            <w:r w:rsidR="003C7CA7">
              <w:rPr>
                <w:noProof/>
                <w:webHidden/>
              </w:rPr>
              <w:fldChar w:fldCharType="end"/>
            </w:r>
          </w:hyperlink>
        </w:p>
        <w:p w14:paraId="5AA7A00A" w14:textId="3F5F9083" w:rsidR="003C7CA7" w:rsidRDefault="008650BB">
          <w:pPr>
            <w:pStyle w:val="TOC1"/>
            <w:rPr>
              <w:rFonts w:asciiTheme="minorHAnsi" w:eastAsiaTheme="minorEastAsia" w:hAnsiTheme="minorHAnsi" w:cstheme="minorBidi"/>
              <w:b w:val="0"/>
              <w:noProof/>
              <w:sz w:val="22"/>
              <w:lang w:eastAsia="en-AU"/>
            </w:rPr>
          </w:pPr>
          <w:hyperlink w:anchor="_Toc54965532" w:history="1">
            <w:r w:rsidR="003C7CA7" w:rsidRPr="00C955B5">
              <w:rPr>
                <w:rStyle w:val="Hyperlink"/>
                <w:noProof/>
              </w:rPr>
              <w:t>I. Introduction to product submission</w:t>
            </w:r>
            <w:r w:rsidR="003C7CA7">
              <w:rPr>
                <w:noProof/>
                <w:webHidden/>
              </w:rPr>
              <w:tab/>
            </w:r>
            <w:r w:rsidR="003C7CA7">
              <w:rPr>
                <w:noProof/>
                <w:webHidden/>
              </w:rPr>
              <w:fldChar w:fldCharType="begin"/>
            </w:r>
            <w:r w:rsidR="003C7CA7">
              <w:rPr>
                <w:noProof/>
                <w:webHidden/>
              </w:rPr>
              <w:instrText xml:space="preserve"> PAGEREF _Toc54965532 \h </w:instrText>
            </w:r>
            <w:r w:rsidR="003C7CA7">
              <w:rPr>
                <w:noProof/>
                <w:webHidden/>
              </w:rPr>
            </w:r>
            <w:r w:rsidR="003C7CA7">
              <w:rPr>
                <w:noProof/>
                <w:webHidden/>
              </w:rPr>
              <w:fldChar w:fldCharType="separate"/>
            </w:r>
            <w:r w:rsidR="003C7CA7">
              <w:rPr>
                <w:noProof/>
                <w:webHidden/>
              </w:rPr>
              <w:t>6</w:t>
            </w:r>
            <w:r w:rsidR="003C7CA7">
              <w:rPr>
                <w:noProof/>
                <w:webHidden/>
              </w:rPr>
              <w:fldChar w:fldCharType="end"/>
            </w:r>
          </w:hyperlink>
        </w:p>
        <w:p w14:paraId="6BB38BD4" w14:textId="3532EB4B" w:rsidR="003C7CA7" w:rsidRDefault="008650BB">
          <w:pPr>
            <w:pStyle w:val="TOC2"/>
            <w:rPr>
              <w:rFonts w:asciiTheme="minorHAnsi" w:eastAsiaTheme="minorEastAsia" w:hAnsiTheme="minorHAnsi" w:cstheme="minorBidi"/>
              <w:b w:val="0"/>
              <w:noProof/>
              <w:sz w:val="22"/>
              <w:lang w:eastAsia="en-AU"/>
            </w:rPr>
          </w:pPr>
          <w:hyperlink w:anchor="_Toc54965533" w:history="1">
            <w:r w:rsidR="003C7CA7" w:rsidRPr="00C955B5">
              <w:rPr>
                <w:rStyle w:val="Hyperlink"/>
                <w:noProof/>
                <w:lang w:eastAsia="en-AU"/>
              </w:rPr>
              <w:t>Submission details</w:t>
            </w:r>
            <w:r w:rsidR="003C7CA7">
              <w:rPr>
                <w:noProof/>
                <w:webHidden/>
              </w:rPr>
              <w:tab/>
            </w:r>
            <w:r w:rsidR="003C7CA7">
              <w:rPr>
                <w:noProof/>
                <w:webHidden/>
              </w:rPr>
              <w:fldChar w:fldCharType="begin"/>
            </w:r>
            <w:r w:rsidR="003C7CA7">
              <w:rPr>
                <w:noProof/>
                <w:webHidden/>
              </w:rPr>
              <w:instrText xml:space="preserve"> PAGEREF _Toc54965533 \h </w:instrText>
            </w:r>
            <w:r w:rsidR="003C7CA7">
              <w:rPr>
                <w:noProof/>
                <w:webHidden/>
              </w:rPr>
            </w:r>
            <w:r w:rsidR="003C7CA7">
              <w:rPr>
                <w:noProof/>
                <w:webHidden/>
              </w:rPr>
              <w:fldChar w:fldCharType="separate"/>
            </w:r>
            <w:r w:rsidR="003C7CA7">
              <w:rPr>
                <w:noProof/>
                <w:webHidden/>
              </w:rPr>
              <w:t>6</w:t>
            </w:r>
            <w:r w:rsidR="003C7CA7">
              <w:rPr>
                <w:noProof/>
                <w:webHidden/>
              </w:rPr>
              <w:fldChar w:fldCharType="end"/>
            </w:r>
          </w:hyperlink>
        </w:p>
        <w:p w14:paraId="620828F1" w14:textId="7F545F37" w:rsidR="003C7CA7" w:rsidRDefault="008650BB">
          <w:pPr>
            <w:pStyle w:val="TOC2"/>
            <w:rPr>
              <w:rFonts w:asciiTheme="minorHAnsi" w:eastAsiaTheme="minorEastAsia" w:hAnsiTheme="minorHAnsi" w:cstheme="minorBidi"/>
              <w:b w:val="0"/>
              <w:noProof/>
              <w:sz w:val="22"/>
              <w:lang w:eastAsia="en-AU"/>
            </w:rPr>
          </w:pPr>
          <w:hyperlink w:anchor="_Toc54965534" w:history="1">
            <w:r w:rsidR="003C7CA7" w:rsidRPr="00C955B5">
              <w:rPr>
                <w:rStyle w:val="Hyperlink"/>
                <w:noProof/>
              </w:rPr>
              <w:t>Product background</w:t>
            </w:r>
            <w:r w:rsidR="003C7CA7">
              <w:rPr>
                <w:noProof/>
                <w:webHidden/>
              </w:rPr>
              <w:tab/>
            </w:r>
            <w:r w:rsidR="003C7CA7">
              <w:rPr>
                <w:noProof/>
                <w:webHidden/>
              </w:rPr>
              <w:fldChar w:fldCharType="begin"/>
            </w:r>
            <w:r w:rsidR="003C7CA7">
              <w:rPr>
                <w:noProof/>
                <w:webHidden/>
              </w:rPr>
              <w:instrText xml:space="preserve"> PAGEREF _Toc54965534 \h </w:instrText>
            </w:r>
            <w:r w:rsidR="003C7CA7">
              <w:rPr>
                <w:noProof/>
                <w:webHidden/>
              </w:rPr>
            </w:r>
            <w:r w:rsidR="003C7CA7">
              <w:rPr>
                <w:noProof/>
                <w:webHidden/>
              </w:rPr>
              <w:fldChar w:fldCharType="separate"/>
            </w:r>
            <w:r w:rsidR="003C7CA7">
              <w:rPr>
                <w:noProof/>
                <w:webHidden/>
              </w:rPr>
              <w:t>6</w:t>
            </w:r>
            <w:r w:rsidR="003C7CA7">
              <w:rPr>
                <w:noProof/>
                <w:webHidden/>
              </w:rPr>
              <w:fldChar w:fldCharType="end"/>
            </w:r>
          </w:hyperlink>
        </w:p>
        <w:p w14:paraId="6E17992A" w14:textId="39F6FA9E" w:rsidR="003C7CA7" w:rsidRDefault="008650BB">
          <w:pPr>
            <w:pStyle w:val="TOC2"/>
            <w:rPr>
              <w:rFonts w:asciiTheme="minorHAnsi" w:eastAsiaTheme="minorEastAsia" w:hAnsiTheme="minorHAnsi" w:cstheme="minorBidi"/>
              <w:b w:val="0"/>
              <w:noProof/>
              <w:sz w:val="22"/>
              <w:lang w:eastAsia="en-AU"/>
            </w:rPr>
          </w:pPr>
          <w:hyperlink w:anchor="_Toc54965535" w:history="1">
            <w:r w:rsidR="003C7CA7" w:rsidRPr="00C955B5">
              <w:rPr>
                <w:rStyle w:val="Hyperlink"/>
                <w:noProof/>
              </w:rPr>
              <w:t>Regulatory status</w:t>
            </w:r>
            <w:r w:rsidR="003C7CA7">
              <w:rPr>
                <w:noProof/>
                <w:webHidden/>
              </w:rPr>
              <w:tab/>
            </w:r>
            <w:r w:rsidR="003C7CA7">
              <w:rPr>
                <w:noProof/>
                <w:webHidden/>
              </w:rPr>
              <w:fldChar w:fldCharType="begin"/>
            </w:r>
            <w:r w:rsidR="003C7CA7">
              <w:rPr>
                <w:noProof/>
                <w:webHidden/>
              </w:rPr>
              <w:instrText xml:space="preserve"> PAGEREF _Toc54965535 \h </w:instrText>
            </w:r>
            <w:r w:rsidR="003C7CA7">
              <w:rPr>
                <w:noProof/>
                <w:webHidden/>
              </w:rPr>
            </w:r>
            <w:r w:rsidR="003C7CA7">
              <w:rPr>
                <w:noProof/>
                <w:webHidden/>
              </w:rPr>
              <w:fldChar w:fldCharType="separate"/>
            </w:r>
            <w:r w:rsidR="003C7CA7">
              <w:rPr>
                <w:noProof/>
                <w:webHidden/>
              </w:rPr>
              <w:t>7</w:t>
            </w:r>
            <w:r w:rsidR="003C7CA7">
              <w:rPr>
                <w:noProof/>
                <w:webHidden/>
              </w:rPr>
              <w:fldChar w:fldCharType="end"/>
            </w:r>
          </w:hyperlink>
        </w:p>
        <w:p w14:paraId="1A5BC484" w14:textId="28BDA888" w:rsidR="003C7CA7" w:rsidRDefault="008650BB">
          <w:pPr>
            <w:pStyle w:val="TOC1"/>
            <w:rPr>
              <w:rFonts w:asciiTheme="minorHAnsi" w:eastAsiaTheme="minorEastAsia" w:hAnsiTheme="minorHAnsi" w:cstheme="minorBidi"/>
              <w:b w:val="0"/>
              <w:noProof/>
              <w:sz w:val="22"/>
              <w:lang w:eastAsia="en-AU"/>
            </w:rPr>
          </w:pPr>
          <w:hyperlink w:anchor="_Toc54965536" w:history="1">
            <w:r w:rsidR="003C7CA7" w:rsidRPr="00C955B5">
              <w:rPr>
                <w:rStyle w:val="Hyperlink"/>
                <w:noProof/>
              </w:rPr>
              <w:t>II. Registration timeline</w:t>
            </w:r>
            <w:r w:rsidR="003C7CA7">
              <w:rPr>
                <w:noProof/>
                <w:webHidden/>
              </w:rPr>
              <w:tab/>
            </w:r>
            <w:r w:rsidR="003C7CA7">
              <w:rPr>
                <w:noProof/>
                <w:webHidden/>
              </w:rPr>
              <w:fldChar w:fldCharType="begin"/>
            </w:r>
            <w:r w:rsidR="003C7CA7">
              <w:rPr>
                <w:noProof/>
                <w:webHidden/>
              </w:rPr>
              <w:instrText xml:space="preserve"> PAGEREF _Toc54965536 \h </w:instrText>
            </w:r>
            <w:r w:rsidR="003C7CA7">
              <w:rPr>
                <w:noProof/>
                <w:webHidden/>
              </w:rPr>
            </w:r>
            <w:r w:rsidR="003C7CA7">
              <w:rPr>
                <w:noProof/>
                <w:webHidden/>
              </w:rPr>
              <w:fldChar w:fldCharType="separate"/>
            </w:r>
            <w:r w:rsidR="003C7CA7">
              <w:rPr>
                <w:noProof/>
                <w:webHidden/>
              </w:rPr>
              <w:t>7</w:t>
            </w:r>
            <w:r w:rsidR="003C7CA7">
              <w:rPr>
                <w:noProof/>
                <w:webHidden/>
              </w:rPr>
              <w:fldChar w:fldCharType="end"/>
            </w:r>
          </w:hyperlink>
        </w:p>
        <w:p w14:paraId="4D8EB0ED" w14:textId="132AA690" w:rsidR="003C7CA7" w:rsidRDefault="008650BB">
          <w:pPr>
            <w:pStyle w:val="TOC1"/>
            <w:rPr>
              <w:rFonts w:asciiTheme="minorHAnsi" w:eastAsiaTheme="minorEastAsia" w:hAnsiTheme="minorHAnsi" w:cstheme="minorBidi"/>
              <w:b w:val="0"/>
              <w:noProof/>
              <w:sz w:val="22"/>
              <w:lang w:eastAsia="en-AU"/>
            </w:rPr>
          </w:pPr>
          <w:hyperlink w:anchor="_Toc54965537" w:history="1">
            <w:r w:rsidR="003C7CA7" w:rsidRPr="00C955B5">
              <w:rPr>
                <w:rStyle w:val="Hyperlink"/>
                <w:noProof/>
              </w:rPr>
              <w:t>III. Submission overview and risk/benefit assessment</w:t>
            </w:r>
            <w:r w:rsidR="003C7CA7">
              <w:rPr>
                <w:noProof/>
                <w:webHidden/>
              </w:rPr>
              <w:tab/>
            </w:r>
            <w:r w:rsidR="003C7CA7">
              <w:rPr>
                <w:noProof/>
                <w:webHidden/>
              </w:rPr>
              <w:fldChar w:fldCharType="begin"/>
            </w:r>
            <w:r w:rsidR="003C7CA7">
              <w:rPr>
                <w:noProof/>
                <w:webHidden/>
              </w:rPr>
              <w:instrText xml:space="preserve"> PAGEREF _Toc54965537 \h </w:instrText>
            </w:r>
            <w:r w:rsidR="003C7CA7">
              <w:rPr>
                <w:noProof/>
                <w:webHidden/>
              </w:rPr>
            </w:r>
            <w:r w:rsidR="003C7CA7">
              <w:rPr>
                <w:noProof/>
                <w:webHidden/>
              </w:rPr>
              <w:fldChar w:fldCharType="separate"/>
            </w:r>
            <w:r w:rsidR="003C7CA7">
              <w:rPr>
                <w:noProof/>
                <w:webHidden/>
              </w:rPr>
              <w:t>8</w:t>
            </w:r>
            <w:r w:rsidR="003C7CA7">
              <w:rPr>
                <w:noProof/>
                <w:webHidden/>
              </w:rPr>
              <w:fldChar w:fldCharType="end"/>
            </w:r>
          </w:hyperlink>
        </w:p>
        <w:p w14:paraId="76265E0B" w14:textId="550A2824" w:rsidR="003C7CA7" w:rsidRDefault="008650BB">
          <w:pPr>
            <w:pStyle w:val="TOC2"/>
            <w:rPr>
              <w:rFonts w:asciiTheme="minorHAnsi" w:eastAsiaTheme="minorEastAsia" w:hAnsiTheme="minorHAnsi" w:cstheme="minorBidi"/>
              <w:b w:val="0"/>
              <w:noProof/>
              <w:sz w:val="22"/>
              <w:lang w:eastAsia="en-AU"/>
            </w:rPr>
          </w:pPr>
          <w:hyperlink w:anchor="_Toc54965538" w:history="1">
            <w:r w:rsidR="003C7CA7" w:rsidRPr="00C955B5">
              <w:rPr>
                <w:rStyle w:val="Hyperlink"/>
                <w:noProof/>
              </w:rPr>
              <w:t>Quality</w:t>
            </w:r>
            <w:r w:rsidR="003C7CA7">
              <w:rPr>
                <w:noProof/>
                <w:webHidden/>
              </w:rPr>
              <w:tab/>
            </w:r>
            <w:r w:rsidR="003C7CA7">
              <w:rPr>
                <w:noProof/>
                <w:webHidden/>
              </w:rPr>
              <w:fldChar w:fldCharType="begin"/>
            </w:r>
            <w:r w:rsidR="003C7CA7">
              <w:rPr>
                <w:noProof/>
                <w:webHidden/>
              </w:rPr>
              <w:instrText xml:space="preserve"> PAGEREF _Toc54965538 \h </w:instrText>
            </w:r>
            <w:r w:rsidR="003C7CA7">
              <w:rPr>
                <w:noProof/>
                <w:webHidden/>
              </w:rPr>
            </w:r>
            <w:r w:rsidR="003C7CA7">
              <w:rPr>
                <w:noProof/>
                <w:webHidden/>
              </w:rPr>
              <w:fldChar w:fldCharType="separate"/>
            </w:r>
            <w:r w:rsidR="003C7CA7">
              <w:rPr>
                <w:noProof/>
                <w:webHidden/>
              </w:rPr>
              <w:t>8</w:t>
            </w:r>
            <w:r w:rsidR="003C7CA7">
              <w:rPr>
                <w:noProof/>
                <w:webHidden/>
              </w:rPr>
              <w:fldChar w:fldCharType="end"/>
            </w:r>
          </w:hyperlink>
        </w:p>
        <w:p w14:paraId="38F2C60E" w14:textId="792BF3AB" w:rsidR="003C7CA7" w:rsidRDefault="008650BB">
          <w:pPr>
            <w:pStyle w:val="TOC2"/>
            <w:rPr>
              <w:rFonts w:asciiTheme="minorHAnsi" w:eastAsiaTheme="minorEastAsia" w:hAnsiTheme="minorHAnsi" w:cstheme="minorBidi"/>
              <w:b w:val="0"/>
              <w:noProof/>
              <w:sz w:val="22"/>
              <w:lang w:eastAsia="en-AU"/>
            </w:rPr>
          </w:pPr>
          <w:hyperlink w:anchor="_Toc54965539" w:history="1">
            <w:r w:rsidR="003C7CA7" w:rsidRPr="00C955B5">
              <w:rPr>
                <w:rStyle w:val="Hyperlink"/>
                <w:noProof/>
              </w:rPr>
              <w:t>Nonclinical</w:t>
            </w:r>
            <w:r w:rsidR="003C7CA7">
              <w:rPr>
                <w:noProof/>
                <w:webHidden/>
              </w:rPr>
              <w:tab/>
            </w:r>
            <w:r w:rsidR="003C7CA7">
              <w:rPr>
                <w:noProof/>
                <w:webHidden/>
              </w:rPr>
              <w:fldChar w:fldCharType="begin"/>
            </w:r>
            <w:r w:rsidR="003C7CA7">
              <w:rPr>
                <w:noProof/>
                <w:webHidden/>
              </w:rPr>
              <w:instrText xml:space="preserve"> PAGEREF _Toc54965539 \h </w:instrText>
            </w:r>
            <w:r w:rsidR="003C7CA7">
              <w:rPr>
                <w:noProof/>
                <w:webHidden/>
              </w:rPr>
            </w:r>
            <w:r w:rsidR="003C7CA7">
              <w:rPr>
                <w:noProof/>
                <w:webHidden/>
              </w:rPr>
              <w:fldChar w:fldCharType="separate"/>
            </w:r>
            <w:r w:rsidR="003C7CA7">
              <w:rPr>
                <w:noProof/>
                <w:webHidden/>
              </w:rPr>
              <w:t>8</w:t>
            </w:r>
            <w:r w:rsidR="003C7CA7">
              <w:rPr>
                <w:noProof/>
                <w:webHidden/>
              </w:rPr>
              <w:fldChar w:fldCharType="end"/>
            </w:r>
          </w:hyperlink>
        </w:p>
        <w:p w14:paraId="54A4DCE1" w14:textId="2B64D644" w:rsidR="003C7CA7" w:rsidRDefault="008650BB">
          <w:pPr>
            <w:pStyle w:val="TOC2"/>
            <w:rPr>
              <w:rFonts w:asciiTheme="minorHAnsi" w:eastAsiaTheme="minorEastAsia" w:hAnsiTheme="minorHAnsi" w:cstheme="minorBidi"/>
              <w:b w:val="0"/>
              <w:noProof/>
              <w:sz w:val="22"/>
              <w:lang w:eastAsia="en-AU"/>
            </w:rPr>
          </w:pPr>
          <w:hyperlink w:anchor="_Toc54965540" w:history="1">
            <w:r w:rsidR="003C7CA7" w:rsidRPr="00C955B5">
              <w:rPr>
                <w:rStyle w:val="Hyperlink"/>
                <w:noProof/>
              </w:rPr>
              <w:t>Clinical</w:t>
            </w:r>
            <w:r w:rsidR="003C7CA7">
              <w:rPr>
                <w:noProof/>
                <w:webHidden/>
              </w:rPr>
              <w:tab/>
            </w:r>
            <w:r w:rsidR="003C7CA7">
              <w:rPr>
                <w:noProof/>
                <w:webHidden/>
              </w:rPr>
              <w:fldChar w:fldCharType="begin"/>
            </w:r>
            <w:r w:rsidR="003C7CA7">
              <w:rPr>
                <w:noProof/>
                <w:webHidden/>
              </w:rPr>
              <w:instrText xml:space="preserve"> PAGEREF _Toc54965540 \h </w:instrText>
            </w:r>
            <w:r w:rsidR="003C7CA7">
              <w:rPr>
                <w:noProof/>
                <w:webHidden/>
              </w:rPr>
            </w:r>
            <w:r w:rsidR="003C7CA7">
              <w:rPr>
                <w:noProof/>
                <w:webHidden/>
              </w:rPr>
              <w:fldChar w:fldCharType="separate"/>
            </w:r>
            <w:r w:rsidR="003C7CA7">
              <w:rPr>
                <w:noProof/>
                <w:webHidden/>
              </w:rPr>
              <w:t>9</w:t>
            </w:r>
            <w:r w:rsidR="003C7CA7">
              <w:rPr>
                <w:noProof/>
                <w:webHidden/>
              </w:rPr>
              <w:fldChar w:fldCharType="end"/>
            </w:r>
          </w:hyperlink>
        </w:p>
        <w:p w14:paraId="53BA7CC1" w14:textId="3BE16F12" w:rsidR="003C7CA7" w:rsidRDefault="008650BB">
          <w:pPr>
            <w:pStyle w:val="TOC2"/>
            <w:rPr>
              <w:rFonts w:asciiTheme="minorHAnsi" w:eastAsiaTheme="minorEastAsia" w:hAnsiTheme="minorHAnsi" w:cstheme="minorBidi"/>
              <w:b w:val="0"/>
              <w:noProof/>
              <w:sz w:val="22"/>
              <w:lang w:eastAsia="en-AU"/>
            </w:rPr>
          </w:pPr>
          <w:hyperlink w:anchor="_Toc54965541" w:history="1">
            <w:r w:rsidR="003C7CA7" w:rsidRPr="00C955B5">
              <w:rPr>
                <w:rStyle w:val="Hyperlink"/>
                <w:noProof/>
                <w:lang w:eastAsia="en-AU"/>
              </w:rPr>
              <w:t>Risk management plan</w:t>
            </w:r>
            <w:r w:rsidR="003C7CA7">
              <w:rPr>
                <w:noProof/>
                <w:webHidden/>
              </w:rPr>
              <w:tab/>
            </w:r>
            <w:r w:rsidR="003C7CA7">
              <w:rPr>
                <w:noProof/>
                <w:webHidden/>
              </w:rPr>
              <w:fldChar w:fldCharType="begin"/>
            </w:r>
            <w:r w:rsidR="003C7CA7">
              <w:rPr>
                <w:noProof/>
                <w:webHidden/>
              </w:rPr>
              <w:instrText xml:space="preserve"> PAGEREF _Toc54965541 \h </w:instrText>
            </w:r>
            <w:r w:rsidR="003C7CA7">
              <w:rPr>
                <w:noProof/>
                <w:webHidden/>
              </w:rPr>
            </w:r>
            <w:r w:rsidR="003C7CA7">
              <w:rPr>
                <w:noProof/>
                <w:webHidden/>
              </w:rPr>
              <w:fldChar w:fldCharType="separate"/>
            </w:r>
            <w:r w:rsidR="003C7CA7">
              <w:rPr>
                <w:noProof/>
                <w:webHidden/>
              </w:rPr>
              <w:t>19</w:t>
            </w:r>
            <w:r w:rsidR="003C7CA7">
              <w:rPr>
                <w:noProof/>
                <w:webHidden/>
              </w:rPr>
              <w:fldChar w:fldCharType="end"/>
            </w:r>
          </w:hyperlink>
        </w:p>
        <w:p w14:paraId="3450C9DC" w14:textId="0DC46320" w:rsidR="003C7CA7" w:rsidRDefault="008650BB">
          <w:pPr>
            <w:pStyle w:val="TOC2"/>
            <w:rPr>
              <w:rFonts w:asciiTheme="minorHAnsi" w:eastAsiaTheme="minorEastAsia" w:hAnsiTheme="minorHAnsi" w:cstheme="minorBidi"/>
              <w:b w:val="0"/>
              <w:noProof/>
              <w:sz w:val="22"/>
              <w:lang w:eastAsia="en-AU"/>
            </w:rPr>
          </w:pPr>
          <w:hyperlink w:anchor="_Toc54965542" w:history="1">
            <w:r w:rsidR="003C7CA7" w:rsidRPr="00C955B5">
              <w:rPr>
                <w:rStyle w:val="Hyperlink"/>
                <w:noProof/>
              </w:rPr>
              <w:t>Risk-benefit analysis</w:t>
            </w:r>
            <w:r w:rsidR="003C7CA7">
              <w:rPr>
                <w:noProof/>
                <w:webHidden/>
              </w:rPr>
              <w:tab/>
            </w:r>
            <w:r w:rsidR="003C7CA7">
              <w:rPr>
                <w:noProof/>
                <w:webHidden/>
              </w:rPr>
              <w:fldChar w:fldCharType="begin"/>
            </w:r>
            <w:r w:rsidR="003C7CA7">
              <w:rPr>
                <w:noProof/>
                <w:webHidden/>
              </w:rPr>
              <w:instrText xml:space="preserve"> PAGEREF _Toc54965542 \h </w:instrText>
            </w:r>
            <w:r w:rsidR="003C7CA7">
              <w:rPr>
                <w:noProof/>
                <w:webHidden/>
              </w:rPr>
            </w:r>
            <w:r w:rsidR="003C7CA7">
              <w:rPr>
                <w:noProof/>
                <w:webHidden/>
              </w:rPr>
              <w:fldChar w:fldCharType="separate"/>
            </w:r>
            <w:r w:rsidR="003C7CA7">
              <w:rPr>
                <w:noProof/>
                <w:webHidden/>
              </w:rPr>
              <w:t>20</w:t>
            </w:r>
            <w:r w:rsidR="003C7CA7">
              <w:rPr>
                <w:noProof/>
                <w:webHidden/>
              </w:rPr>
              <w:fldChar w:fldCharType="end"/>
            </w:r>
          </w:hyperlink>
        </w:p>
        <w:p w14:paraId="1A5CDD48" w14:textId="6BB43BE4" w:rsidR="003C7CA7" w:rsidRDefault="008650BB">
          <w:pPr>
            <w:pStyle w:val="TOC2"/>
            <w:rPr>
              <w:rFonts w:asciiTheme="minorHAnsi" w:eastAsiaTheme="minorEastAsia" w:hAnsiTheme="minorHAnsi" w:cstheme="minorBidi"/>
              <w:b w:val="0"/>
              <w:noProof/>
              <w:sz w:val="22"/>
              <w:lang w:eastAsia="en-AU"/>
            </w:rPr>
          </w:pPr>
          <w:hyperlink w:anchor="_Toc54965543" w:history="1">
            <w:r w:rsidR="003C7CA7" w:rsidRPr="00C955B5">
              <w:rPr>
                <w:rStyle w:val="Hyperlink"/>
                <w:noProof/>
              </w:rPr>
              <w:t>Outcome</w:t>
            </w:r>
            <w:r w:rsidR="003C7CA7">
              <w:rPr>
                <w:noProof/>
                <w:webHidden/>
              </w:rPr>
              <w:tab/>
            </w:r>
            <w:r w:rsidR="003C7CA7">
              <w:rPr>
                <w:noProof/>
                <w:webHidden/>
              </w:rPr>
              <w:fldChar w:fldCharType="begin"/>
            </w:r>
            <w:r w:rsidR="003C7CA7">
              <w:rPr>
                <w:noProof/>
                <w:webHidden/>
              </w:rPr>
              <w:instrText xml:space="preserve"> PAGEREF _Toc54965543 \h </w:instrText>
            </w:r>
            <w:r w:rsidR="003C7CA7">
              <w:rPr>
                <w:noProof/>
                <w:webHidden/>
              </w:rPr>
            </w:r>
            <w:r w:rsidR="003C7CA7">
              <w:rPr>
                <w:noProof/>
                <w:webHidden/>
              </w:rPr>
              <w:fldChar w:fldCharType="separate"/>
            </w:r>
            <w:r w:rsidR="003C7CA7">
              <w:rPr>
                <w:noProof/>
                <w:webHidden/>
              </w:rPr>
              <w:t>24</w:t>
            </w:r>
            <w:r w:rsidR="003C7CA7">
              <w:rPr>
                <w:noProof/>
                <w:webHidden/>
              </w:rPr>
              <w:fldChar w:fldCharType="end"/>
            </w:r>
          </w:hyperlink>
        </w:p>
        <w:p w14:paraId="20141428" w14:textId="113FCF99" w:rsidR="003A7F6C" w:rsidRPr="00B811C6" w:rsidRDefault="00C525A2" w:rsidP="00B811C6">
          <w:pPr>
            <w:pStyle w:val="TOC2"/>
          </w:pPr>
          <w:r>
            <w:fldChar w:fldCharType="end"/>
          </w:r>
        </w:p>
      </w:sdtContent>
    </w:sdt>
    <w:bookmarkStart w:id="3" w:name="_Toc314842482" w:displacedByCustomXml="prev"/>
    <w:p w14:paraId="4AE72C0C" w14:textId="61A30031" w:rsidR="00C52E24" w:rsidRPr="00C52E24" w:rsidRDefault="00441C3F" w:rsidP="001E0D61">
      <w:pPr>
        <w:pStyle w:val="Heading2"/>
        <w:pageBreakBefore/>
        <w:spacing w:before="0"/>
      </w:pPr>
      <w:bookmarkStart w:id="4" w:name="_Toc351716269"/>
      <w:bookmarkStart w:id="5" w:name="_Toc351718881"/>
      <w:bookmarkStart w:id="6" w:name="_Toc355338616"/>
      <w:bookmarkStart w:id="7" w:name="_Toc356306144"/>
      <w:bookmarkStart w:id="8" w:name="_Toc5496553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C760BA" w:rsidRPr="00FD119B" w14:paraId="2FE42C2F"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5161EBD7" w14:textId="77777777" w:rsidR="00C760BA" w:rsidRPr="00FD119B" w:rsidRDefault="00C760BA" w:rsidP="00CF5DAD">
            <w:pPr>
              <w:keepNext w:val="0"/>
              <w:ind w:left="0"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34A16D20" w14:textId="77777777" w:rsidR="00C760BA" w:rsidRPr="00FD119B" w:rsidRDefault="00C760BA" w:rsidP="00CF5DAD">
            <w:pPr>
              <w:keepNext w:val="0"/>
              <w:ind w:left="0" w:right="0"/>
              <w:rPr>
                <w:szCs w:val="22"/>
                <w:lang w:eastAsia="en-US"/>
              </w:rPr>
            </w:pPr>
            <w:r w:rsidRPr="00FD119B">
              <w:rPr>
                <w:szCs w:val="22"/>
                <w:lang w:eastAsia="en-US"/>
              </w:rPr>
              <w:t>Meaning</w:t>
            </w:r>
          </w:p>
        </w:tc>
      </w:tr>
      <w:tr w:rsidR="00C760BA" w:rsidRPr="00FD119B" w14:paraId="01C7FA74" w14:textId="77777777" w:rsidTr="00CF5DAD">
        <w:tc>
          <w:tcPr>
            <w:tcW w:w="1809" w:type="dxa"/>
            <w:tcBorders>
              <w:top w:val="single" w:sz="4" w:space="0" w:color="auto"/>
            </w:tcBorders>
          </w:tcPr>
          <w:p w14:paraId="5F7FCC75" w14:textId="77777777" w:rsidR="00C760BA" w:rsidRPr="00FD119B" w:rsidRDefault="00C760BA" w:rsidP="00CF5DAD">
            <w:pPr>
              <w:ind w:left="0" w:right="0"/>
            </w:pPr>
            <w:r>
              <w:t>ACM</w:t>
            </w:r>
          </w:p>
        </w:tc>
        <w:tc>
          <w:tcPr>
            <w:tcW w:w="6911" w:type="dxa"/>
            <w:tcBorders>
              <w:top w:val="single" w:sz="4" w:space="0" w:color="auto"/>
            </w:tcBorders>
          </w:tcPr>
          <w:p w14:paraId="44D385FC" w14:textId="77777777" w:rsidR="00C760BA" w:rsidRPr="00FD119B" w:rsidRDefault="00C760BA" w:rsidP="00CF5DAD">
            <w:pPr>
              <w:ind w:left="0" w:right="0"/>
            </w:pPr>
            <w:r w:rsidRPr="00460036">
              <w:t>Advisory Committee on Medicines</w:t>
            </w:r>
          </w:p>
        </w:tc>
      </w:tr>
      <w:tr w:rsidR="00C760BA" w:rsidRPr="00FD119B" w14:paraId="43E9C342" w14:textId="77777777" w:rsidTr="00FD119B">
        <w:tc>
          <w:tcPr>
            <w:tcW w:w="1809" w:type="dxa"/>
          </w:tcPr>
          <w:p w14:paraId="6FDFE8D0" w14:textId="77777777" w:rsidR="00C760BA" w:rsidRDefault="00C760BA" w:rsidP="00822E5E">
            <w:pPr>
              <w:ind w:left="0"/>
            </w:pPr>
            <w:r>
              <w:t>Ala-Gln</w:t>
            </w:r>
          </w:p>
        </w:tc>
        <w:tc>
          <w:tcPr>
            <w:tcW w:w="6911" w:type="dxa"/>
          </w:tcPr>
          <w:p w14:paraId="7BF36800" w14:textId="77777777" w:rsidR="00C760BA" w:rsidRPr="00822E5E" w:rsidRDefault="00C760BA" w:rsidP="00822E5E">
            <w:pPr>
              <w:ind w:left="0"/>
            </w:pPr>
            <w:r w:rsidRPr="00822E5E">
              <w:t>Alanylglutamine</w:t>
            </w:r>
          </w:p>
        </w:tc>
      </w:tr>
      <w:tr w:rsidR="00C760BA" w:rsidRPr="00FD119B" w14:paraId="559C811F" w14:textId="77777777" w:rsidTr="00FD119B">
        <w:tc>
          <w:tcPr>
            <w:tcW w:w="1809" w:type="dxa"/>
          </w:tcPr>
          <w:p w14:paraId="79F48D2B" w14:textId="77777777" w:rsidR="00C760BA" w:rsidRDefault="00C760BA" w:rsidP="00822E5E">
            <w:pPr>
              <w:ind w:left="0"/>
            </w:pPr>
            <w:r w:rsidRPr="00822E5E">
              <w:t>APACHE</w:t>
            </w:r>
          </w:p>
        </w:tc>
        <w:tc>
          <w:tcPr>
            <w:tcW w:w="6911" w:type="dxa"/>
          </w:tcPr>
          <w:p w14:paraId="35D8B4CA" w14:textId="45A23D45" w:rsidR="00C760BA" w:rsidRPr="00822E5E" w:rsidRDefault="00C760BA" w:rsidP="00822E5E">
            <w:pPr>
              <w:ind w:left="0"/>
            </w:pPr>
            <w:r>
              <w:t xml:space="preserve">Acute </w:t>
            </w:r>
            <w:r w:rsidR="00DB117A">
              <w:t>P</w:t>
            </w:r>
            <w:r>
              <w:t xml:space="preserve">hysiology </w:t>
            </w:r>
            <w:r w:rsidR="00DB117A">
              <w:t>A</w:t>
            </w:r>
            <w:r>
              <w:t xml:space="preserve">nd </w:t>
            </w:r>
            <w:r w:rsidR="00DB117A">
              <w:t>C</w:t>
            </w:r>
            <w:r>
              <w:t xml:space="preserve">hronic </w:t>
            </w:r>
            <w:r w:rsidR="00DB117A">
              <w:t>H</w:t>
            </w:r>
            <w:r>
              <w:t xml:space="preserve">ealth </w:t>
            </w:r>
            <w:r w:rsidR="00DB117A">
              <w:t>E</w:t>
            </w:r>
            <w:r w:rsidRPr="00822E5E">
              <w:t>valuation</w:t>
            </w:r>
          </w:p>
        </w:tc>
      </w:tr>
      <w:tr w:rsidR="00C760BA" w:rsidRPr="00FD119B" w14:paraId="40628E1C" w14:textId="77777777" w:rsidTr="00FD119B">
        <w:tc>
          <w:tcPr>
            <w:tcW w:w="1809" w:type="dxa"/>
          </w:tcPr>
          <w:p w14:paraId="701276FF" w14:textId="77777777" w:rsidR="00C760BA" w:rsidRDefault="00C760BA" w:rsidP="00822E5E">
            <w:pPr>
              <w:ind w:left="0"/>
            </w:pPr>
            <w:r>
              <w:t>ASPEN</w:t>
            </w:r>
          </w:p>
        </w:tc>
        <w:tc>
          <w:tcPr>
            <w:tcW w:w="6911" w:type="dxa"/>
          </w:tcPr>
          <w:p w14:paraId="0F6C14B1" w14:textId="77777777" w:rsidR="00C760BA" w:rsidRPr="00822E5E" w:rsidRDefault="00C760BA" w:rsidP="00B53F45">
            <w:pPr>
              <w:ind w:left="0"/>
            </w:pPr>
            <w:r w:rsidRPr="00B53F45">
              <w:t>American Society for Parenteral and Enteral Nutrition</w:t>
            </w:r>
          </w:p>
        </w:tc>
      </w:tr>
      <w:tr w:rsidR="00C760BA" w:rsidRPr="00FD119B" w14:paraId="585E74B0" w14:textId="77777777" w:rsidTr="00FD119B">
        <w:tc>
          <w:tcPr>
            <w:tcW w:w="1809" w:type="dxa"/>
          </w:tcPr>
          <w:p w14:paraId="1FF2B0C6" w14:textId="77777777" w:rsidR="00C760BA" w:rsidRDefault="00C760BA" w:rsidP="00822E5E">
            <w:pPr>
              <w:ind w:left="0"/>
            </w:pPr>
            <w:r>
              <w:t>AusPAR</w:t>
            </w:r>
          </w:p>
        </w:tc>
        <w:tc>
          <w:tcPr>
            <w:tcW w:w="6911" w:type="dxa"/>
          </w:tcPr>
          <w:p w14:paraId="3C746549" w14:textId="04B0A43A" w:rsidR="00C760BA" w:rsidRPr="00822E5E" w:rsidRDefault="00C760BA" w:rsidP="00B53F45">
            <w:pPr>
              <w:ind w:left="0"/>
            </w:pPr>
            <w:r>
              <w:t>Australian Public Assessment Report</w:t>
            </w:r>
          </w:p>
        </w:tc>
      </w:tr>
      <w:tr w:rsidR="00C760BA" w:rsidRPr="00FD119B" w14:paraId="37B1A25A" w14:textId="77777777" w:rsidTr="00FD119B">
        <w:tc>
          <w:tcPr>
            <w:tcW w:w="1809" w:type="dxa"/>
          </w:tcPr>
          <w:p w14:paraId="3AAF759B" w14:textId="77777777" w:rsidR="00C760BA" w:rsidRDefault="00C760BA" w:rsidP="00822E5E">
            <w:pPr>
              <w:ind w:left="0"/>
            </w:pPr>
            <w:r>
              <w:t>BCM</w:t>
            </w:r>
          </w:p>
        </w:tc>
        <w:tc>
          <w:tcPr>
            <w:tcW w:w="6911" w:type="dxa"/>
          </w:tcPr>
          <w:p w14:paraId="783F83D6" w14:textId="77777777" w:rsidR="00C760BA" w:rsidRPr="00822E5E" w:rsidRDefault="00C760BA" w:rsidP="00822E5E">
            <w:pPr>
              <w:ind w:left="0"/>
            </w:pPr>
            <w:r>
              <w:t>Body cell mass</w:t>
            </w:r>
          </w:p>
        </w:tc>
      </w:tr>
      <w:tr w:rsidR="00B35372" w:rsidRPr="00FD119B" w14:paraId="3786181B" w14:textId="77777777" w:rsidTr="00FD119B">
        <w:tc>
          <w:tcPr>
            <w:tcW w:w="1809" w:type="dxa"/>
          </w:tcPr>
          <w:p w14:paraId="0BB4B89C" w14:textId="57A1EBA4" w:rsidR="00B35372" w:rsidRDefault="00B35372" w:rsidP="00B35372">
            <w:pPr>
              <w:ind w:left="0"/>
            </w:pPr>
            <w:r>
              <w:t>BMI</w:t>
            </w:r>
          </w:p>
        </w:tc>
        <w:tc>
          <w:tcPr>
            <w:tcW w:w="6911" w:type="dxa"/>
          </w:tcPr>
          <w:p w14:paraId="2F1AF06B" w14:textId="70697B9A" w:rsidR="00B35372" w:rsidRPr="00B35372" w:rsidRDefault="00B35372" w:rsidP="00B35372">
            <w:pPr>
              <w:ind w:left="0"/>
              <w:rPr>
                <w:b/>
              </w:rPr>
            </w:pPr>
            <w:r>
              <w:t>Body mass index</w:t>
            </w:r>
          </w:p>
        </w:tc>
      </w:tr>
      <w:tr w:rsidR="00C760BA" w:rsidRPr="00FD119B" w14:paraId="1C237060" w14:textId="77777777" w:rsidTr="00FD119B">
        <w:tc>
          <w:tcPr>
            <w:tcW w:w="1809" w:type="dxa"/>
          </w:tcPr>
          <w:p w14:paraId="34AE290B" w14:textId="77777777" w:rsidR="00C760BA" w:rsidRDefault="00C760BA" w:rsidP="00822E5E">
            <w:pPr>
              <w:ind w:left="0"/>
            </w:pPr>
            <w:r>
              <w:t>C</w:t>
            </w:r>
            <w:r w:rsidRPr="00822E5E">
              <w:rPr>
                <w:vertAlign w:val="subscript"/>
              </w:rPr>
              <w:t>max</w:t>
            </w:r>
          </w:p>
        </w:tc>
        <w:tc>
          <w:tcPr>
            <w:tcW w:w="6911" w:type="dxa"/>
          </w:tcPr>
          <w:p w14:paraId="18695660" w14:textId="542812C1" w:rsidR="00C760BA" w:rsidRPr="00822E5E" w:rsidRDefault="00C760BA" w:rsidP="00822E5E">
            <w:pPr>
              <w:ind w:left="0"/>
            </w:pPr>
            <w:r w:rsidRPr="00822E5E">
              <w:t>Maximum plasma concentration</w:t>
            </w:r>
          </w:p>
        </w:tc>
      </w:tr>
      <w:tr w:rsidR="00C760BA" w:rsidRPr="00FD119B" w14:paraId="0C6F5D32" w14:textId="77777777" w:rsidTr="00FD119B">
        <w:tc>
          <w:tcPr>
            <w:tcW w:w="1809" w:type="dxa"/>
          </w:tcPr>
          <w:p w14:paraId="169AE201" w14:textId="77777777" w:rsidR="00C760BA" w:rsidRDefault="00C760BA" w:rsidP="00822E5E">
            <w:pPr>
              <w:ind w:left="0"/>
            </w:pPr>
            <w:r>
              <w:t>Cys-LT</w:t>
            </w:r>
          </w:p>
        </w:tc>
        <w:tc>
          <w:tcPr>
            <w:tcW w:w="6911" w:type="dxa"/>
          </w:tcPr>
          <w:p w14:paraId="4EDCECA5" w14:textId="77777777" w:rsidR="00C760BA" w:rsidRPr="00822E5E" w:rsidRDefault="00C760BA" w:rsidP="00822E5E">
            <w:pPr>
              <w:ind w:left="0"/>
            </w:pPr>
            <w:r>
              <w:t>C</w:t>
            </w:r>
            <w:r w:rsidRPr="00822E5E">
              <w:t>ysteinyl-leukotrienes</w:t>
            </w:r>
          </w:p>
        </w:tc>
      </w:tr>
      <w:tr w:rsidR="00C760BA" w:rsidRPr="00FD119B" w14:paraId="7AE21ECC" w14:textId="77777777" w:rsidTr="00FD119B">
        <w:tc>
          <w:tcPr>
            <w:tcW w:w="1809" w:type="dxa"/>
          </w:tcPr>
          <w:p w14:paraId="2757062E" w14:textId="77777777" w:rsidR="00C760BA" w:rsidRDefault="00C760BA" w:rsidP="00822E5E">
            <w:pPr>
              <w:ind w:left="0"/>
            </w:pPr>
            <w:r>
              <w:t>ECM</w:t>
            </w:r>
          </w:p>
        </w:tc>
        <w:tc>
          <w:tcPr>
            <w:tcW w:w="6911" w:type="dxa"/>
          </w:tcPr>
          <w:p w14:paraId="5094E355" w14:textId="77777777" w:rsidR="00C760BA" w:rsidRPr="00822E5E" w:rsidRDefault="00C760BA" w:rsidP="00822E5E">
            <w:pPr>
              <w:ind w:left="0"/>
            </w:pPr>
            <w:r>
              <w:t>Extracellular mass</w:t>
            </w:r>
          </w:p>
        </w:tc>
      </w:tr>
      <w:tr w:rsidR="00C760BA" w:rsidRPr="00FD119B" w14:paraId="35F46E2B" w14:textId="77777777" w:rsidTr="00FD119B">
        <w:tc>
          <w:tcPr>
            <w:tcW w:w="1809" w:type="dxa"/>
          </w:tcPr>
          <w:p w14:paraId="4FC48007" w14:textId="77777777" w:rsidR="00C760BA" w:rsidRDefault="00C760BA" w:rsidP="00B53F45">
            <w:pPr>
              <w:ind w:left="0"/>
            </w:pPr>
            <w:r>
              <w:t>ESPEN</w:t>
            </w:r>
          </w:p>
        </w:tc>
        <w:tc>
          <w:tcPr>
            <w:tcW w:w="6911" w:type="dxa"/>
          </w:tcPr>
          <w:p w14:paraId="40707990" w14:textId="77777777" w:rsidR="00C760BA" w:rsidRPr="00822E5E" w:rsidRDefault="00C760BA" w:rsidP="00B53F45">
            <w:pPr>
              <w:ind w:left="0"/>
            </w:pPr>
            <w:r w:rsidRPr="00B53F45">
              <w:t>European Society for Clinical Nutrition and Metabolism</w:t>
            </w:r>
          </w:p>
        </w:tc>
      </w:tr>
      <w:tr w:rsidR="002E537E" w:rsidRPr="00FD119B" w14:paraId="476A3C4B" w14:textId="77777777" w:rsidTr="00FD119B">
        <w:tc>
          <w:tcPr>
            <w:tcW w:w="1809" w:type="dxa"/>
          </w:tcPr>
          <w:p w14:paraId="0C3858A1" w14:textId="2D713DA8" w:rsidR="002E537E" w:rsidRDefault="002E537E" w:rsidP="002E537E">
            <w:pPr>
              <w:ind w:left="0"/>
            </w:pPr>
            <w:r>
              <w:t>EU</w:t>
            </w:r>
          </w:p>
        </w:tc>
        <w:tc>
          <w:tcPr>
            <w:tcW w:w="6911" w:type="dxa"/>
          </w:tcPr>
          <w:p w14:paraId="68ACC764" w14:textId="3778C1DA" w:rsidR="002E537E" w:rsidRPr="00B53F45" w:rsidRDefault="002E537E" w:rsidP="002E537E">
            <w:pPr>
              <w:ind w:left="0"/>
            </w:pPr>
            <w:r>
              <w:t>European Union</w:t>
            </w:r>
          </w:p>
        </w:tc>
      </w:tr>
      <w:tr w:rsidR="002E537E" w:rsidRPr="00FD119B" w14:paraId="34C04F18" w14:textId="77777777" w:rsidTr="00FD119B">
        <w:tc>
          <w:tcPr>
            <w:tcW w:w="1809" w:type="dxa"/>
          </w:tcPr>
          <w:p w14:paraId="4B9C28EF" w14:textId="3AF57625" w:rsidR="002E537E" w:rsidRDefault="002E537E" w:rsidP="002E537E">
            <w:pPr>
              <w:ind w:left="0"/>
            </w:pPr>
            <w:r>
              <w:t>UK</w:t>
            </w:r>
          </w:p>
        </w:tc>
        <w:tc>
          <w:tcPr>
            <w:tcW w:w="6911" w:type="dxa"/>
          </w:tcPr>
          <w:p w14:paraId="40DB3656" w14:textId="294F59C5" w:rsidR="002E537E" w:rsidRDefault="002E537E" w:rsidP="002E537E">
            <w:pPr>
              <w:ind w:left="0"/>
            </w:pPr>
            <w:r>
              <w:t>United Kingdom</w:t>
            </w:r>
          </w:p>
        </w:tc>
      </w:tr>
      <w:tr w:rsidR="002E537E" w:rsidRPr="00FD119B" w14:paraId="661C5030" w14:textId="77777777" w:rsidTr="00FD119B">
        <w:tc>
          <w:tcPr>
            <w:tcW w:w="1809" w:type="dxa"/>
          </w:tcPr>
          <w:p w14:paraId="378A0DAB" w14:textId="2D82922C" w:rsidR="002E537E" w:rsidRDefault="002E537E" w:rsidP="002E537E">
            <w:pPr>
              <w:ind w:left="0"/>
            </w:pPr>
            <w:r>
              <w:t>USA</w:t>
            </w:r>
          </w:p>
        </w:tc>
        <w:tc>
          <w:tcPr>
            <w:tcW w:w="6911" w:type="dxa"/>
          </w:tcPr>
          <w:p w14:paraId="463B258C" w14:textId="4238D70A" w:rsidR="002E537E" w:rsidRDefault="002E537E" w:rsidP="002E537E">
            <w:pPr>
              <w:ind w:left="0"/>
            </w:pPr>
            <w:r>
              <w:t>United States of America</w:t>
            </w:r>
          </w:p>
        </w:tc>
      </w:tr>
      <w:tr w:rsidR="00C760BA" w:rsidRPr="00FD119B" w14:paraId="4360B12B" w14:textId="77777777" w:rsidTr="00FD119B">
        <w:tc>
          <w:tcPr>
            <w:tcW w:w="1809" w:type="dxa"/>
          </w:tcPr>
          <w:p w14:paraId="7D332DD3" w14:textId="77777777" w:rsidR="00C760BA" w:rsidRDefault="00C760BA" w:rsidP="00822E5E">
            <w:pPr>
              <w:ind w:left="0"/>
            </w:pPr>
            <w:r>
              <w:t>GI</w:t>
            </w:r>
          </w:p>
        </w:tc>
        <w:tc>
          <w:tcPr>
            <w:tcW w:w="6911" w:type="dxa"/>
          </w:tcPr>
          <w:p w14:paraId="2F71FF6C" w14:textId="77777777" w:rsidR="00C760BA" w:rsidRPr="00822E5E" w:rsidRDefault="00C760BA" w:rsidP="00822E5E">
            <w:pPr>
              <w:ind w:left="0"/>
            </w:pPr>
            <w:r>
              <w:t>Gastrointestinal</w:t>
            </w:r>
          </w:p>
        </w:tc>
      </w:tr>
      <w:tr w:rsidR="00C760BA" w:rsidRPr="00FD119B" w14:paraId="456DBDD6" w14:textId="77777777" w:rsidTr="00FD119B">
        <w:tc>
          <w:tcPr>
            <w:tcW w:w="1809" w:type="dxa"/>
          </w:tcPr>
          <w:p w14:paraId="6F799DC7" w14:textId="77777777" w:rsidR="00C760BA" w:rsidRDefault="00C760BA" w:rsidP="00822E5E">
            <w:pPr>
              <w:ind w:left="0"/>
            </w:pPr>
            <w:r>
              <w:t>GLN</w:t>
            </w:r>
          </w:p>
        </w:tc>
        <w:tc>
          <w:tcPr>
            <w:tcW w:w="6911" w:type="dxa"/>
          </w:tcPr>
          <w:p w14:paraId="27A6CF5C" w14:textId="77777777" w:rsidR="00C760BA" w:rsidRPr="00822E5E" w:rsidRDefault="00C760BA" w:rsidP="00822E5E">
            <w:pPr>
              <w:ind w:left="0"/>
            </w:pPr>
            <w:r>
              <w:t>Glutamine</w:t>
            </w:r>
          </w:p>
        </w:tc>
      </w:tr>
      <w:tr w:rsidR="00C760BA" w:rsidRPr="00FD119B" w14:paraId="0AC1A0CF" w14:textId="77777777" w:rsidTr="00FD119B">
        <w:tc>
          <w:tcPr>
            <w:tcW w:w="1809" w:type="dxa"/>
          </w:tcPr>
          <w:p w14:paraId="1E18842D" w14:textId="77777777" w:rsidR="00C760BA" w:rsidRDefault="00C760BA" w:rsidP="00822E5E">
            <w:pPr>
              <w:ind w:left="0"/>
            </w:pPr>
            <w:r>
              <w:t>ICU</w:t>
            </w:r>
          </w:p>
        </w:tc>
        <w:tc>
          <w:tcPr>
            <w:tcW w:w="6911" w:type="dxa"/>
          </w:tcPr>
          <w:p w14:paraId="2D936620" w14:textId="77777777" w:rsidR="00C760BA" w:rsidRPr="00822E5E" w:rsidRDefault="00C760BA" w:rsidP="00822E5E">
            <w:pPr>
              <w:ind w:left="0"/>
            </w:pPr>
            <w:r>
              <w:t>I</w:t>
            </w:r>
            <w:r w:rsidRPr="00822E5E">
              <w:t>ntensive care unit</w:t>
            </w:r>
          </w:p>
        </w:tc>
      </w:tr>
      <w:tr w:rsidR="00C760BA" w:rsidRPr="00FD119B" w14:paraId="2A05B270" w14:textId="77777777" w:rsidTr="00FD119B">
        <w:tc>
          <w:tcPr>
            <w:tcW w:w="1809" w:type="dxa"/>
          </w:tcPr>
          <w:p w14:paraId="4142EE1B" w14:textId="77777777" w:rsidR="00C760BA" w:rsidRDefault="00C760BA" w:rsidP="00822E5E">
            <w:pPr>
              <w:ind w:left="0"/>
            </w:pPr>
            <w:r>
              <w:t>ISS</w:t>
            </w:r>
          </w:p>
        </w:tc>
        <w:tc>
          <w:tcPr>
            <w:tcW w:w="6911" w:type="dxa"/>
          </w:tcPr>
          <w:p w14:paraId="3FB55188" w14:textId="703CCACF" w:rsidR="00C760BA" w:rsidRPr="00822E5E" w:rsidRDefault="00C760BA" w:rsidP="00822E5E">
            <w:pPr>
              <w:ind w:left="0"/>
            </w:pPr>
            <w:r>
              <w:t>Injury severity s</w:t>
            </w:r>
            <w:r w:rsidRPr="00822E5E">
              <w:t>core</w:t>
            </w:r>
          </w:p>
        </w:tc>
      </w:tr>
      <w:tr w:rsidR="00C760BA" w:rsidRPr="00FD119B" w14:paraId="74325867" w14:textId="77777777" w:rsidTr="00FD119B">
        <w:tc>
          <w:tcPr>
            <w:tcW w:w="1809" w:type="dxa"/>
          </w:tcPr>
          <w:p w14:paraId="379B38F9" w14:textId="77777777" w:rsidR="00C760BA" w:rsidRDefault="00C760BA" w:rsidP="00822E5E">
            <w:pPr>
              <w:ind w:left="0"/>
            </w:pPr>
            <w:r>
              <w:t>ITT</w:t>
            </w:r>
          </w:p>
        </w:tc>
        <w:tc>
          <w:tcPr>
            <w:tcW w:w="6911" w:type="dxa"/>
          </w:tcPr>
          <w:p w14:paraId="58E56A78" w14:textId="77777777" w:rsidR="00C760BA" w:rsidRPr="00822E5E" w:rsidRDefault="00C760BA" w:rsidP="00822E5E">
            <w:pPr>
              <w:ind w:left="0"/>
            </w:pPr>
            <w:r>
              <w:t>Intent to treat</w:t>
            </w:r>
          </w:p>
        </w:tc>
      </w:tr>
      <w:tr w:rsidR="00C760BA" w:rsidRPr="00FD119B" w14:paraId="5ED79B46" w14:textId="77777777" w:rsidTr="00FD119B">
        <w:tc>
          <w:tcPr>
            <w:tcW w:w="1809" w:type="dxa"/>
          </w:tcPr>
          <w:p w14:paraId="4A766D51" w14:textId="77777777" w:rsidR="00C760BA" w:rsidRDefault="00C760BA" w:rsidP="00822E5E">
            <w:pPr>
              <w:ind w:left="0"/>
            </w:pPr>
            <w:r>
              <w:t>IV</w:t>
            </w:r>
          </w:p>
        </w:tc>
        <w:tc>
          <w:tcPr>
            <w:tcW w:w="6911" w:type="dxa"/>
          </w:tcPr>
          <w:p w14:paraId="3C4C86AE" w14:textId="77777777" w:rsidR="00C760BA" w:rsidRPr="00822E5E" w:rsidRDefault="00C760BA" w:rsidP="00B53F45">
            <w:pPr>
              <w:ind w:left="0"/>
            </w:pPr>
            <w:r>
              <w:t>Intravenous</w:t>
            </w:r>
          </w:p>
        </w:tc>
      </w:tr>
      <w:tr w:rsidR="00C760BA" w:rsidRPr="00FD119B" w14:paraId="13215B77" w14:textId="77777777" w:rsidTr="00FD119B">
        <w:tc>
          <w:tcPr>
            <w:tcW w:w="1809" w:type="dxa"/>
          </w:tcPr>
          <w:p w14:paraId="106CB302" w14:textId="77777777" w:rsidR="00C760BA" w:rsidRDefault="00C760BA" w:rsidP="00822E5E">
            <w:pPr>
              <w:ind w:left="0"/>
            </w:pPr>
            <w:r>
              <w:t>LLOQ</w:t>
            </w:r>
          </w:p>
        </w:tc>
        <w:tc>
          <w:tcPr>
            <w:tcW w:w="6911" w:type="dxa"/>
          </w:tcPr>
          <w:p w14:paraId="351C20C1" w14:textId="77777777" w:rsidR="00C760BA" w:rsidRPr="00822E5E" w:rsidRDefault="00C760BA" w:rsidP="00822E5E">
            <w:pPr>
              <w:ind w:left="0"/>
            </w:pPr>
            <w:r>
              <w:t>Lower limit of quantitation</w:t>
            </w:r>
          </w:p>
        </w:tc>
      </w:tr>
      <w:tr w:rsidR="00C760BA" w:rsidRPr="00FD119B" w14:paraId="77DAFCFA" w14:textId="77777777" w:rsidTr="00FD119B">
        <w:tc>
          <w:tcPr>
            <w:tcW w:w="1809" w:type="dxa"/>
          </w:tcPr>
          <w:p w14:paraId="01BEA56C" w14:textId="77777777" w:rsidR="00C760BA" w:rsidRDefault="00C760BA" w:rsidP="00822E5E">
            <w:pPr>
              <w:ind w:left="0"/>
            </w:pPr>
            <w:r>
              <w:t>LOS</w:t>
            </w:r>
          </w:p>
        </w:tc>
        <w:tc>
          <w:tcPr>
            <w:tcW w:w="6911" w:type="dxa"/>
          </w:tcPr>
          <w:p w14:paraId="09DCD4C3" w14:textId="77777777" w:rsidR="00C760BA" w:rsidRPr="00822E5E" w:rsidRDefault="00C760BA" w:rsidP="00822E5E">
            <w:pPr>
              <w:ind w:left="0"/>
            </w:pPr>
            <w:r>
              <w:t>Length of stay</w:t>
            </w:r>
          </w:p>
        </w:tc>
      </w:tr>
      <w:tr w:rsidR="00C760BA" w:rsidRPr="00FD119B" w14:paraId="7604026F" w14:textId="77777777" w:rsidTr="00FD119B">
        <w:tc>
          <w:tcPr>
            <w:tcW w:w="1809" w:type="dxa"/>
          </w:tcPr>
          <w:p w14:paraId="2728063D" w14:textId="77777777" w:rsidR="00C760BA" w:rsidRDefault="00C760BA" w:rsidP="00822E5E">
            <w:pPr>
              <w:ind w:left="0"/>
            </w:pPr>
            <w:r>
              <w:t>MOF</w:t>
            </w:r>
          </w:p>
        </w:tc>
        <w:tc>
          <w:tcPr>
            <w:tcW w:w="6911" w:type="dxa"/>
          </w:tcPr>
          <w:p w14:paraId="45840D6E" w14:textId="77777777" w:rsidR="00C760BA" w:rsidRPr="00822E5E" w:rsidRDefault="00C760BA" w:rsidP="00822E5E">
            <w:pPr>
              <w:ind w:left="0"/>
            </w:pPr>
            <w:r>
              <w:t>Multi organ failure</w:t>
            </w:r>
          </w:p>
        </w:tc>
      </w:tr>
      <w:tr w:rsidR="00C760BA" w:rsidRPr="00FD119B" w14:paraId="7E9BDC04" w14:textId="77777777" w:rsidTr="00FD119B">
        <w:tc>
          <w:tcPr>
            <w:tcW w:w="1809" w:type="dxa"/>
          </w:tcPr>
          <w:p w14:paraId="12DE557D" w14:textId="77777777" w:rsidR="00C760BA" w:rsidRDefault="00C760BA" w:rsidP="00822E5E">
            <w:pPr>
              <w:ind w:left="0"/>
            </w:pPr>
            <w:r>
              <w:t>PD</w:t>
            </w:r>
          </w:p>
        </w:tc>
        <w:tc>
          <w:tcPr>
            <w:tcW w:w="6911" w:type="dxa"/>
          </w:tcPr>
          <w:p w14:paraId="768244F2" w14:textId="77777777" w:rsidR="00C760BA" w:rsidRPr="00822E5E" w:rsidRDefault="00C760BA" w:rsidP="00822E5E">
            <w:pPr>
              <w:ind w:left="0"/>
            </w:pPr>
            <w:r>
              <w:t>Pharmacodynamic(s)</w:t>
            </w:r>
          </w:p>
        </w:tc>
      </w:tr>
      <w:tr w:rsidR="00C760BA" w:rsidRPr="00FD119B" w14:paraId="3D03E805" w14:textId="77777777" w:rsidTr="00FD119B">
        <w:tc>
          <w:tcPr>
            <w:tcW w:w="1809" w:type="dxa"/>
          </w:tcPr>
          <w:p w14:paraId="3C547911" w14:textId="77777777" w:rsidR="00C760BA" w:rsidRDefault="00C760BA" w:rsidP="00822E5E">
            <w:pPr>
              <w:ind w:left="0"/>
            </w:pPr>
            <w:r>
              <w:t>PK</w:t>
            </w:r>
          </w:p>
        </w:tc>
        <w:tc>
          <w:tcPr>
            <w:tcW w:w="6911" w:type="dxa"/>
          </w:tcPr>
          <w:p w14:paraId="0FB56582" w14:textId="77777777" w:rsidR="00C760BA" w:rsidRPr="00822E5E" w:rsidRDefault="00C760BA" w:rsidP="00822E5E">
            <w:pPr>
              <w:ind w:left="0"/>
            </w:pPr>
            <w:r>
              <w:t>Pharmacokinetic(s)</w:t>
            </w:r>
          </w:p>
        </w:tc>
      </w:tr>
      <w:tr w:rsidR="00C760BA" w:rsidRPr="00FD119B" w14:paraId="4D78009F" w14:textId="77777777" w:rsidTr="00FD119B">
        <w:tc>
          <w:tcPr>
            <w:tcW w:w="1809" w:type="dxa"/>
          </w:tcPr>
          <w:p w14:paraId="59E8DFB5" w14:textId="77777777" w:rsidR="00C760BA" w:rsidRDefault="00C760BA" w:rsidP="00822E5E">
            <w:pPr>
              <w:ind w:left="0"/>
            </w:pPr>
            <w:r>
              <w:lastRenderedPageBreak/>
              <w:t>PN</w:t>
            </w:r>
          </w:p>
        </w:tc>
        <w:tc>
          <w:tcPr>
            <w:tcW w:w="6911" w:type="dxa"/>
          </w:tcPr>
          <w:p w14:paraId="55DAFF11" w14:textId="77777777" w:rsidR="00C760BA" w:rsidRPr="00822E5E" w:rsidRDefault="00C760BA" w:rsidP="00822E5E">
            <w:pPr>
              <w:ind w:left="0"/>
            </w:pPr>
            <w:r>
              <w:t>P</w:t>
            </w:r>
            <w:r w:rsidRPr="00822E5E">
              <w:t>arenteral nutrition</w:t>
            </w:r>
          </w:p>
        </w:tc>
      </w:tr>
      <w:tr w:rsidR="00C760BA" w:rsidRPr="00FD119B" w14:paraId="4D7971F8" w14:textId="77777777" w:rsidTr="00FD119B">
        <w:tc>
          <w:tcPr>
            <w:tcW w:w="1809" w:type="dxa"/>
          </w:tcPr>
          <w:p w14:paraId="0FBCBE9D" w14:textId="77777777" w:rsidR="00C760BA" w:rsidRDefault="00C760BA" w:rsidP="00822E5E">
            <w:pPr>
              <w:ind w:left="0"/>
            </w:pPr>
            <w:r>
              <w:t>PP</w:t>
            </w:r>
          </w:p>
        </w:tc>
        <w:tc>
          <w:tcPr>
            <w:tcW w:w="6911" w:type="dxa"/>
          </w:tcPr>
          <w:p w14:paraId="56E94142" w14:textId="77777777" w:rsidR="00C760BA" w:rsidRPr="00822E5E" w:rsidRDefault="00C760BA" w:rsidP="00822E5E">
            <w:pPr>
              <w:ind w:left="0"/>
            </w:pPr>
            <w:r>
              <w:t>Per protocol</w:t>
            </w:r>
          </w:p>
        </w:tc>
      </w:tr>
      <w:tr w:rsidR="00C760BA" w:rsidRPr="00FD119B" w14:paraId="49DF1856" w14:textId="77777777" w:rsidTr="00FD119B">
        <w:tc>
          <w:tcPr>
            <w:tcW w:w="1809" w:type="dxa"/>
          </w:tcPr>
          <w:p w14:paraId="47160DA3" w14:textId="6EBC614E" w:rsidR="00C760BA" w:rsidRDefault="00C760BA" w:rsidP="00822E5E">
            <w:pPr>
              <w:ind w:left="0"/>
            </w:pPr>
            <w:r>
              <w:t>SAP</w:t>
            </w:r>
            <w:r w:rsidR="00DB117A">
              <w:t>S</w:t>
            </w:r>
          </w:p>
        </w:tc>
        <w:tc>
          <w:tcPr>
            <w:tcW w:w="6911" w:type="dxa"/>
          </w:tcPr>
          <w:p w14:paraId="3415F830" w14:textId="77777777" w:rsidR="00C760BA" w:rsidRPr="00822E5E" w:rsidRDefault="00C760BA" w:rsidP="00822E5E">
            <w:pPr>
              <w:ind w:left="0"/>
            </w:pPr>
            <w:r>
              <w:t>Simplified acute physiology s</w:t>
            </w:r>
            <w:r w:rsidRPr="00822E5E">
              <w:t>core</w:t>
            </w:r>
          </w:p>
        </w:tc>
      </w:tr>
      <w:tr w:rsidR="00C760BA" w:rsidRPr="00FD119B" w14:paraId="2117A663" w14:textId="77777777" w:rsidTr="00FD119B">
        <w:tc>
          <w:tcPr>
            <w:tcW w:w="1809" w:type="dxa"/>
          </w:tcPr>
          <w:p w14:paraId="0EB57F5A" w14:textId="77777777" w:rsidR="00C760BA" w:rsidRDefault="00C760BA" w:rsidP="00822E5E">
            <w:pPr>
              <w:ind w:left="0"/>
            </w:pPr>
            <w:r>
              <w:t>SOFA</w:t>
            </w:r>
          </w:p>
        </w:tc>
        <w:tc>
          <w:tcPr>
            <w:tcW w:w="6911" w:type="dxa"/>
          </w:tcPr>
          <w:p w14:paraId="63E34695" w14:textId="77777777" w:rsidR="00C760BA" w:rsidRPr="00822E5E" w:rsidRDefault="00C760BA" w:rsidP="00822E5E">
            <w:pPr>
              <w:ind w:left="0"/>
            </w:pPr>
            <w:r>
              <w:t>Sequential organ failure a</w:t>
            </w:r>
            <w:r w:rsidRPr="00822E5E">
              <w:t>ssessment</w:t>
            </w:r>
          </w:p>
        </w:tc>
      </w:tr>
      <w:tr w:rsidR="00C760BA" w:rsidRPr="00FD119B" w14:paraId="655493A0" w14:textId="77777777" w:rsidTr="00FD119B">
        <w:tc>
          <w:tcPr>
            <w:tcW w:w="1809" w:type="dxa"/>
          </w:tcPr>
          <w:p w14:paraId="2356D8CB" w14:textId="77777777" w:rsidR="00C760BA" w:rsidRPr="00FD119B" w:rsidRDefault="00C760BA" w:rsidP="00CF5DAD">
            <w:pPr>
              <w:ind w:left="0" w:right="0"/>
            </w:pPr>
            <w:r>
              <w:t>TGA</w:t>
            </w:r>
          </w:p>
        </w:tc>
        <w:tc>
          <w:tcPr>
            <w:tcW w:w="6911" w:type="dxa"/>
          </w:tcPr>
          <w:p w14:paraId="55C79965" w14:textId="77777777" w:rsidR="00C760BA" w:rsidRPr="00FD119B" w:rsidRDefault="00C760BA" w:rsidP="00CF5DAD">
            <w:pPr>
              <w:ind w:left="0" w:right="0"/>
            </w:pPr>
            <w:r w:rsidRPr="00822E5E">
              <w:t>Therapeutic Goods Administration</w:t>
            </w:r>
          </w:p>
        </w:tc>
      </w:tr>
      <w:tr w:rsidR="00C760BA" w:rsidRPr="00FD119B" w14:paraId="11F71903" w14:textId="77777777" w:rsidTr="00FD119B">
        <w:tc>
          <w:tcPr>
            <w:tcW w:w="1809" w:type="dxa"/>
          </w:tcPr>
          <w:p w14:paraId="78B05C74" w14:textId="77777777" w:rsidR="00C760BA" w:rsidRDefault="00C760BA" w:rsidP="00822E5E">
            <w:pPr>
              <w:ind w:left="0"/>
            </w:pPr>
            <w:r>
              <w:t>TISS</w:t>
            </w:r>
          </w:p>
        </w:tc>
        <w:tc>
          <w:tcPr>
            <w:tcW w:w="6911" w:type="dxa"/>
          </w:tcPr>
          <w:p w14:paraId="20D7CD99" w14:textId="77777777" w:rsidR="00C760BA" w:rsidRPr="00822E5E" w:rsidRDefault="00C760BA" w:rsidP="00822E5E">
            <w:pPr>
              <w:ind w:left="0"/>
            </w:pPr>
            <w:r>
              <w:t>Therapeutic intervention scoring s</w:t>
            </w:r>
            <w:r w:rsidRPr="00822E5E">
              <w:t>ystem</w:t>
            </w:r>
          </w:p>
        </w:tc>
      </w:tr>
      <w:tr w:rsidR="00C760BA" w:rsidRPr="00FD119B" w14:paraId="3C8D130E" w14:textId="77777777" w:rsidTr="00FD119B">
        <w:tc>
          <w:tcPr>
            <w:tcW w:w="1809" w:type="dxa"/>
          </w:tcPr>
          <w:p w14:paraId="4F8744EE" w14:textId="77777777" w:rsidR="00C760BA" w:rsidRDefault="00C760BA" w:rsidP="00822E5E">
            <w:pPr>
              <w:ind w:left="0"/>
            </w:pPr>
            <w:r>
              <w:t>TPN</w:t>
            </w:r>
          </w:p>
        </w:tc>
        <w:tc>
          <w:tcPr>
            <w:tcW w:w="6911" w:type="dxa"/>
          </w:tcPr>
          <w:p w14:paraId="136C4B2F" w14:textId="77777777" w:rsidR="00C760BA" w:rsidRPr="00822E5E" w:rsidRDefault="00C760BA" w:rsidP="00822E5E">
            <w:pPr>
              <w:ind w:left="0"/>
            </w:pPr>
            <w:r w:rsidRPr="00822E5E">
              <w:t>Total parenteral nutrition</w:t>
            </w:r>
          </w:p>
        </w:tc>
      </w:tr>
    </w:tbl>
    <w:p w14:paraId="58B9A02E" w14:textId="77777777" w:rsidR="008E7846" w:rsidRDefault="00F53C07" w:rsidP="001E0D61">
      <w:pPr>
        <w:pStyle w:val="Heading2"/>
        <w:pageBreakBefore/>
        <w:spacing w:before="0"/>
      </w:pPr>
      <w:bookmarkStart w:id="9" w:name="_Toc54965532"/>
      <w:r>
        <w:lastRenderedPageBreak/>
        <w:t>I.</w:t>
      </w:r>
      <w:r w:rsidR="008E7846">
        <w:t xml:space="preserve"> Introduction to product submission</w:t>
      </w:r>
      <w:bookmarkEnd w:id="9"/>
      <w:bookmarkEnd w:id="1"/>
      <w:bookmarkEnd w:id="3"/>
    </w:p>
    <w:p w14:paraId="6442FC5F" w14:textId="77777777" w:rsidR="008E7846" w:rsidRDefault="008E7846" w:rsidP="008E7846">
      <w:pPr>
        <w:pStyle w:val="Heading3"/>
        <w:rPr>
          <w:lang w:eastAsia="en-AU"/>
        </w:rPr>
      </w:pPr>
      <w:bookmarkStart w:id="10" w:name="_Toc247691502"/>
      <w:bookmarkStart w:id="11" w:name="_Toc314842483"/>
      <w:bookmarkStart w:id="12" w:name="_Toc5496553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4356D22" w14:textId="77777777" w:rsidTr="003735BC">
        <w:tc>
          <w:tcPr>
            <w:tcW w:w="2907" w:type="dxa"/>
          </w:tcPr>
          <w:p w14:paraId="78D8A56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A4F0311" w14:textId="77777777" w:rsidR="008E7846" w:rsidRPr="003D1E62" w:rsidRDefault="008E7846" w:rsidP="00136D28">
            <w:r w:rsidRPr="003D1E62">
              <w:t xml:space="preserve">New </w:t>
            </w:r>
            <w:r w:rsidR="001B5C90">
              <w:t>c</w:t>
            </w:r>
            <w:r w:rsidRPr="003D1E62">
              <w:t xml:space="preserve">hemical </w:t>
            </w:r>
            <w:r w:rsidR="001B5C90">
              <w:t>e</w:t>
            </w:r>
            <w:r w:rsidR="00136D28">
              <w:t>ntity</w:t>
            </w:r>
          </w:p>
        </w:tc>
      </w:tr>
      <w:tr w:rsidR="00460036" w:rsidRPr="003D1E62" w14:paraId="23FD61B2" w14:textId="77777777" w:rsidTr="003735BC">
        <w:tc>
          <w:tcPr>
            <w:tcW w:w="2907" w:type="dxa"/>
          </w:tcPr>
          <w:p w14:paraId="00A86F8C" w14:textId="77777777" w:rsidR="00460036" w:rsidRPr="003D1E62" w:rsidRDefault="00136D28" w:rsidP="003D1E62">
            <w:pPr>
              <w:rPr>
                <w:i/>
              </w:rPr>
            </w:pPr>
            <w:r>
              <w:rPr>
                <w:i/>
              </w:rPr>
              <w:t>Product name</w:t>
            </w:r>
            <w:r w:rsidR="00460036" w:rsidRPr="00460036">
              <w:rPr>
                <w:i/>
              </w:rPr>
              <w:t>:</w:t>
            </w:r>
          </w:p>
        </w:tc>
        <w:tc>
          <w:tcPr>
            <w:tcW w:w="6307" w:type="dxa"/>
          </w:tcPr>
          <w:p w14:paraId="58CBF831" w14:textId="77777777" w:rsidR="00460036" w:rsidRPr="003D1E62" w:rsidRDefault="00136D28" w:rsidP="001B5C90">
            <w:r>
              <w:t>Dipeptiven</w:t>
            </w:r>
          </w:p>
        </w:tc>
      </w:tr>
      <w:tr w:rsidR="00460036" w:rsidRPr="003D1E62" w14:paraId="5899A629" w14:textId="77777777" w:rsidTr="003735BC">
        <w:tc>
          <w:tcPr>
            <w:tcW w:w="2907" w:type="dxa"/>
          </w:tcPr>
          <w:p w14:paraId="4A99AC33" w14:textId="77777777" w:rsidR="00460036" w:rsidRPr="003D1E62" w:rsidRDefault="00136D28" w:rsidP="003D1E62">
            <w:pPr>
              <w:rPr>
                <w:i/>
              </w:rPr>
            </w:pPr>
            <w:r>
              <w:rPr>
                <w:i/>
              </w:rPr>
              <w:t>Active ingredient</w:t>
            </w:r>
            <w:r w:rsidR="00460036" w:rsidRPr="00460036">
              <w:rPr>
                <w:i/>
              </w:rPr>
              <w:t>:</w:t>
            </w:r>
          </w:p>
        </w:tc>
        <w:tc>
          <w:tcPr>
            <w:tcW w:w="6307" w:type="dxa"/>
          </w:tcPr>
          <w:p w14:paraId="047005C2" w14:textId="77777777" w:rsidR="00460036" w:rsidRPr="003D1E62" w:rsidRDefault="00136D28" w:rsidP="00136D28">
            <w:r>
              <w:t>Alanylglutamine</w:t>
            </w:r>
          </w:p>
        </w:tc>
      </w:tr>
      <w:tr w:rsidR="008E7846" w:rsidRPr="003D1E62" w14:paraId="07BB6788" w14:textId="77777777" w:rsidTr="003735BC">
        <w:tc>
          <w:tcPr>
            <w:tcW w:w="2907" w:type="dxa"/>
          </w:tcPr>
          <w:p w14:paraId="19886610" w14:textId="77777777" w:rsidR="008E7846" w:rsidRPr="003D1E62" w:rsidRDefault="008E7846" w:rsidP="003D1E62">
            <w:r w:rsidRPr="003D1E62">
              <w:rPr>
                <w:i/>
              </w:rPr>
              <w:t>Decision</w:t>
            </w:r>
            <w:r w:rsidRPr="003D1E62">
              <w:t>:</w:t>
            </w:r>
          </w:p>
        </w:tc>
        <w:tc>
          <w:tcPr>
            <w:tcW w:w="6307" w:type="dxa"/>
          </w:tcPr>
          <w:p w14:paraId="20C02E42" w14:textId="77777777" w:rsidR="008E7846" w:rsidRPr="003D1E62" w:rsidRDefault="00460036" w:rsidP="001B5C90">
            <w:r w:rsidRPr="00460036">
              <w:t>Withdrawn</w:t>
            </w:r>
          </w:p>
        </w:tc>
      </w:tr>
      <w:tr w:rsidR="008E7846" w:rsidRPr="003D1E62" w14:paraId="13B1656E" w14:textId="77777777" w:rsidTr="003735BC">
        <w:tc>
          <w:tcPr>
            <w:tcW w:w="2907" w:type="dxa"/>
          </w:tcPr>
          <w:p w14:paraId="3B7F7FCF" w14:textId="6EBC8F8F" w:rsidR="008E7846" w:rsidRPr="003D1E62" w:rsidRDefault="008E7846" w:rsidP="0017006B">
            <w:pPr>
              <w:rPr>
                <w:i/>
              </w:rPr>
            </w:pPr>
            <w:r w:rsidRPr="003D1E62">
              <w:rPr>
                <w:i/>
              </w:rPr>
              <w:t xml:space="preserve">Date of </w:t>
            </w:r>
            <w:r w:rsidR="0017006B">
              <w:rPr>
                <w:i/>
              </w:rPr>
              <w:t>withdrawal</w:t>
            </w:r>
            <w:r w:rsidRPr="003D1E62">
              <w:rPr>
                <w:i/>
              </w:rPr>
              <w:t>:</w:t>
            </w:r>
          </w:p>
        </w:tc>
        <w:tc>
          <w:tcPr>
            <w:tcW w:w="6307" w:type="dxa"/>
          </w:tcPr>
          <w:p w14:paraId="2556F2E8" w14:textId="567FC577" w:rsidR="008E7846" w:rsidRPr="003D1E62" w:rsidRDefault="0017006B" w:rsidP="00136D28">
            <w:r>
              <w:t>16 January 2020</w:t>
            </w:r>
          </w:p>
        </w:tc>
      </w:tr>
      <w:tr w:rsidR="00ED2922" w:rsidRPr="003D1E62" w14:paraId="19850E54" w14:textId="77777777" w:rsidTr="003735BC">
        <w:tc>
          <w:tcPr>
            <w:tcW w:w="2907" w:type="dxa"/>
          </w:tcPr>
          <w:p w14:paraId="178CFAD0" w14:textId="77777777" w:rsidR="00ED2922" w:rsidRPr="00441C3F" w:rsidRDefault="00ED2922" w:rsidP="001B5C90">
            <w:pPr>
              <w:rPr>
                <w:i/>
              </w:rPr>
            </w:pPr>
            <w:r w:rsidRPr="00441C3F">
              <w:rPr>
                <w:i/>
              </w:rPr>
              <w:t>Date of entry onto ARTG</w:t>
            </w:r>
            <w:r w:rsidR="00500337">
              <w:rPr>
                <w:i/>
              </w:rPr>
              <w:t>:</w:t>
            </w:r>
          </w:p>
        </w:tc>
        <w:tc>
          <w:tcPr>
            <w:tcW w:w="6307" w:type="dxa"/>
          </w:tcPr>
          <w:p w14:paraId="167ECCD7" w14:textId="77777777" w:rsidR="00ED2922" w:rsidRPr="00441C3F" w:rsidRDefault="00136D28" w:rsidP="00136D28">
            <w:pPr>
              <w:rPr>
                <w:i/>
              </w:rPr>
            </w:pPr>
            <w:r>
              <w:t>Not applicable</w:t>
            </w:r>
          </w:p>
        </w:tc>
      </w:tr>
      <w:tr w:rsidR="00500337" w:rsidRPr="003D1E62" w14:paraId="2855FBC3" w14:textId="77777777" w:rsidTr="003735BC">
        <w:tc>
          <w:tcPr>
            <w:tcW w:w="2907" w:type="dxa"/>
          </w:tcPr>
          <w:p w14:paraId="2083652A" w14:textId="77777777" w:rsidR="00500337" w:rsidRPr="00441C3F" w:rsidRDefault="00136D28" w:rsidP="001B5C90">
            <w:pPr>
              <w:rPr>
                <w:i/>
              </w:rPr>
            </w:pPr>
            <w:r>
              <w:rPr>
                <w:i/>
              </w:rPr>
              <w:t>ARTG number</w:t>
            </w:r>
            <w:r w:rsidR="00500337">
              <w:rPr>
                <w:i/>
              </w:rPr>
              <w:t>:</w:t>
            </w:r>
          </w:p>
        </w:tc>
        <w:tc>
          <w:tcPr>
            <w:tcW w:w="6307" w:type="dxa"/>
          </w:tcPr>
          <w:p w14:paraId="6BCCBC05" w14:textId="77777777" w:rsidR="00500337" w:rsidRPr="00441C3F" w:rsidRDefault="00136D28" w:rsidP="00EC463D">
            <w:r>
              <w:t>Not applicable</w:t>
            </w:r>
          </w:p>
        </w:tc>
      </w:tr>
      <w:tr w:rsidR="003735BC" w:rsidRPr="003D1E62" w14:paraId="0E3B377B" w14:textId="77777777" w:rsidTr="003735BC">
        <w:tc>
          <w:tcPr>
            <w:tcW w:w="2907" w:type="dxa"/>
          </w:tcPr>
          <w:p w14:paraId="05A829B5"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1F54AB45" w14:textId="77777777" w:rsidR="003735BC" w:rsidRPr="00487162" w:rsidRDefault="00136D28" w:rsidP="003735BC">
            <w:r>
              <w:t>Not applicable</w:t>
            </w:r>
          </w:p>
        </w:tc>
      </w:tr>
    </w:tbl>
    <w:p w14:paraId="10CC331E"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5C14A0CF" w14:textId="77777777" w:rsidTr="00BF1190">
        <w:tc>
          <w:tcPr>
            <w:tcW w:w="2907" w:type="dxa"/>
          </w:tcPr>
          <w:p w14:paraId="04D1B9A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DB1C7EE" w14:textId="77777777" w:rsidR="008E7846" w:rsidRDefault="000C37DA" w:rsidP="00E45619">
            <w:r>
              <w:t>Fresenius Kabi Australia Pty Ltd</w:t>
            </w:r>
          </w:p>
          <w:p w14:paraId="60DDD217" w14:textId="77777777" w:rsidR="00DB117A" w:rsidRDefault="00FA56D0" w:rsidP="00E45619">
            <w:r>
              <w:t>Level 2, 2 Woodland Way,</w:t>
            </w:r>
          </w:p>
          <w:p w14:paraId="7CCCE907" w14:textId="780CC2A6" w:rsidR="00FA56D0" w:rsidRPr="00487162" w:rsidRDefault="00FA56D0" w:rsidP="00E45619">
            <w:r>
              <w:t>Mount Kuring-gai, NSW 2080</w:t>
            </w:r>
          </w:p>
        </w:tc>
      </w:tr>
      <w:tr w:rsidR="008E7846" w:rsidRPr="00487162" w14:paraId="46C68865" w14:textId="77777777" w:rsidTr="00BF1190">
        <w:tc>
          <w:tcPr>
            <w:tcW w:w="2907" w:type="dxa"/>
          </w:tcPr>
          <w:p w14:paraId="1E6A1B5D" w14:textId="77777777" w:rsidR="008E7846" w:rsidRPr="00487162" w:rsidRDefault="000C37DA" w:rsidP="00E45619">
            <w:pPr>
              <w:rPr>
                <w:i/>
              </w:rPr>
            </w:pPr>
            <w:r>
              <w:rPr>
                <w:i/>
              </w:rPr>
              <w:t>Dose form</w:t>
            </w:r>
            <w:r w:rsidR="001B5C90">
              <w:rPr>
                <w:i/>
              </w:rPr>
              <w:t>:</w:t>
            </w:r>
          </w:p>
        </w:tc>
        <w:tc>
          <w:tcPr>
            <w:tcW w:w="6307" w:type="dxa"/>
          </w:tcPr>
          <w:p w14:paraId="67A8836B" w14:textId="77777777" w:rsidR="008E7846" w:rsidRPr="00487162" w:rsidRDefault="000C37DA" w:rsidP="00F64369">
            <w:r>
              <w:t>Concentrat</w:t>
            </w:r>
            <w:r w:rsidR="00F64369">
              <w:t>ed solution</w:t>
            </w:r>
          </w:p>
        </w:tc>
      </w:tr>
      <w:tr w:rsidR="008E7846" w:rsidRPr="00487162" w14:paraId="269333E6" w14:textId="77777777" w:rsidTr="00BF1190">
        <w:tc>
          <w:tcPr>
            <w:tcW w:w="2907" w:type="dxa"/>
          </w:tcPr>
          <w:p w14:paraId="496B7371" w14:textId="118CF220" w:rsidR="008E7846" w:rsidRPr="00487162" w:rsidRDefault="000C37DA" w:rsidP="00E45619">
            <w:pPr>
              <w:rPr>
                <w:i/>
              </w:rPr>
            </w:pPr>
            <w:r>
              <w:rPr>
                <w:i/>
              </w:rPr>
              <w:t>Strength</w:t>
            </w:r>
            <w:r w:rsidR="0017006B">
              <w:rPr>
                <w:i/>
              </w:rPr>
              <w:t>s</w:t>
            </w:r>
            <w:r w:rsidR="008E7846" w:rsidRPr="00487162">
              <w:rPr>
                <w:i/>
              </w:rPr>
              <w:t>:</w:t>
            </w:r>
          </w:p>
        </w:tc>
        <w:tc>
          <w:tcPr>
            <w:tcW w:w="6307" w:type="dxa"/>
          </w:tcPr>
          <w:p w14:paraId="3A388D58" w14:textId="1E7248CC" w:rsidR="008E7846" w:rsidRPr="00487162" w:rsidRDefault="000C37DA" w:rsidP="00E45619">
            <w:r>
              <w:t>200</w:t>
            </w:r>
            <w:r w:rsidR="0017006B">
              <w:t xml:space="preserve"> </w:t>
            </w:r>
            <w:r>
              <w:t>mg/mL</w:t>
            </w:r>
            <w:r w:rsidR="00C5518B">
              <w:t xml:space="preserve"> at 50</w:t>
            </w:r>
            <w:r w:rsidR="0017006B">
              <w:t xml:space="preserve"> </w:t>
            </w:r>
            <w:r w:rsidR="00C5518B">
              <w:t>mL and 100</w:t>
            </w:r>
            <w:r w:rsidR="0017006B">
              <w:t xml:space="preserve"> </w:t>
            </w:r>
            <w:r w:rsidR="00C5518B">
              <w:t>mL</w:t>
            </w:r>
          </w:p>
        </w:tc>
      </w:tr>
      <w:tr w:rsidR="008E7846" w:rsidRPr="00487162" w14:paraId="5789E971" w14:textId="77777777" w:rsidTr="00BF1190">
        <w:tc>
          <w:tcPr>
            <w:tcW w:w="2907" w:type="dxa"/>
          </w:tcPr>
          <w:p w14:paraId="783ACA9B" w14:textId="77777777" w:rsidR="008E7846" w:rsidRPr="00487162" w:rsidRDefault="000C37DA" w:rsidP="00E45619">
            <w:pPr>
              <w:rPr>
                <w:i/>
              </w:rPr>
            </w:pPr>
            <w:r>
              <w:rPr>
                <w:i/>
              </w:rPr>
              <w:t>Container</w:t>
            </w:r>
            <w:r w:rsidR="008E7846" w:rsidRPr="00487162">
              <w:rPr>
                <w:i/>
              </w:rPr>
              <w:t>:</w:t>
            </w:r>
          </w:p>
        </w:tc>
        <w:tc>
          <w:tcPr>
            <w:tcW w:w="6307" w:type="dxa"/>
          </w:tcPr>
          <w:p w14:paraId="027B842A" w14:textId="77777777" w:rsidR="008E7846" w:rsidRPr="00487162" w:rsidRDefault="000C37DA" w:rsidP="00E45619">
            <w:r>
              <w:t>Vial</w:t>
            </w:r>
          </w:p>
        </w:tc>
      </w:tr>
      <w:tr w:rsidR="008E7846" w:rsidRPr="00487162" w14:paraId="1CF1786E" w14:textId="77777777" w:rsidTr="00BF1190">
        <w:tc>
          <w:tcPr>
            <w:tcW w:w="2907" w:type="dxa"/>
          </w:tcPr>
          <w:p w14:paraId="60CD7801" w14:textId="693ABA9B" w:rsidR="008E7846" w:rsidRPr="00487162" w:rsidRDefault="000C37DA" w:rsidP="00E45619">
            <w:pPr>
              <w:rPr>
                <w:i/>
              </w:rPr>
            </w:pPr>
            <w:r>
              <w:rPr>
                <w:i/>
              </w:rPr>
              <w:t>Pack size</w:t>
            </w:r>
            <w:r w:rsidR="008E7846" w:rsidRPr="00487162">
              <w:rPr>
                <w:i/>
              </w:rPr>
              <w:t>:</w:t>
            </w:r>
          </w:p>
        </w:tc>
        <w:tc>
          <w:tcPr>
            <w:tcW w:w="6307" w:type="dxa"/>
          </w:tcPr>
          <w:p w14:paraId="4581BB0B" w14:textId="02454D72" w:rsidR="008E7846" w:rsidRPr="00487162" w:rsidRDefault="00602E5A" w:rsidP="00E45619">
            <w:r>
              <w:t>10 bottle</w:t>
            </w:r>
            <w:r w:rsidR="00C5518B">
              <w:t>s</w:t>
            </w:r>
            <w:r>
              <w:t xml:space="preserve"> per strength</w:t>
            </w:r>
          </w:p>
        </w:tc>
      </w:tr>
      <w:tr w:rsidR="008E7846" w:rsidRPr="00487162" w14:paraId="0E05AFD0" w14:textId="77777777" w:rsidTr="00BF1190">
        <w:tc>
          <w:tcPr>
            <w:tcW w:w="2907" w:type="dxa"/>
          </w:tcPr>
          <w:p w14:paraId="76A5C8DB"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11782E7" w14:textId="77777777" w:rsidR="008E7846" w:rsidRPr="00487162" w:rsidRDefault="000C37DA" w:rsidP="00E45619">
            <w:pPr>
              <w:rPr>
                <w:rFonts w:eastAsia="MS Mincho"/>
                <w:lang w:eastAsia="ja-JP"/>
              </w:rPr>
            </w:pPr>
            <w:r>
              <w:t>Not applicable</w:t>
            </w:r>
          </w:p>
        </w:tc>
      </w:tr>
      <w:tr w:rsidR="008E7846" w:rsidRPr="00487162" w14:paraId="544F1F1E" w14:textId="77777777" w:rsidTr="00BF1190">
        <w:tc>
          <w:tcPr>
            <w:tcW w:w="2907" w:type="dxa"/>
          </w:tcPr>
          <w:p w14:paraId="0B367484" w14:textId="77777777" w:rsidR="008E7846" w:rsidRPr="00487162" w:rsidRDefault="000C37DA" w:rsidP="00E45619">
            <w:pPr>
              <w:rPr>
                <w:i/>
              </w:rPr>
            </w:pPr>
            <w:r>
              <w:rPr>
                <w:i/>
              </w:rPr>
              <w:t>Route</w:t>
            </w:r>
            <w:r w:rsidR="008E7846" w:rsidRPr="00487162">
              <w:rPr>
                <w:i/>
              </w:rPr>
              <w:t xml:space="preserve"> of administration:</w:t>
            </w:r>
          </w:p>
        </w:tc>
        <w:tc>
          <w:tcPr>
            <w:tcW w:w="6307" w:type="dxa"/>
          </w:tcPr>
          <w:p w14:paraId="43209709" w14:textId="77777777" w:rsidR="008E7846" w:rsidRPr="00487162" w:rsidRDefault="000C37DA" w:rsidP="00E45619">
            <w:r>
              <w:t>Intravenous</w:t>
            </w:r>
            <w:r w:rsidR="00F64369">
              <w:t xml:space="preserve"> infusion</w:t>
            </w:r>
          </w:p>
        </w:tc>
      </w:tr>
      <w:tr w:rsidR="008E7846" w:rsidRPr="00487162" w14:paraId="15AB1052" w14:textId="77777777" w:rsidTr="00BF1190">
        <w:tc>
          <w:tcPr>
            <w:tcW w:w="2907" w:type="dxa"/>
          </w:tcPr>
          <w:p w14:paraId="7A699C7C" w14:textId="1EF51333" w:rsidR="008E7846" w:rsidRPr="00487162" w:rsidRDefault="0017006B" w:rsidP="00E45619">
            <w:pPr>
              <w:rPr>
                <w:i/>
              </w:rPr>
            </w:pPr>
            <w:r>
              <w:rPr>
                <w:i/>
              </w:rPr>
              <w:t>Proposed d</w:t>
            </w:r>
            <w:r w:rsidR="008E7846" w:rsidRPr="00487162">
              <w:rPr>
                <w:i/>
              </w:rPr>
              <w:t>osage:</w:t>
            </w:r>
          </w:p>
        </w:tc>
        <w:tc>
          <w:tcPr>
            <w:tcW w:w="6307" w:type="dxa"/>
          </w:tcPr>
          <w:p w14:paraId="1C7D802D" w14:textId="338C83F4" w:rsidR="00460036" w:rsidRPr="00487162" w:rsidRDefault="00F64369" w:rsidP="00E45619">
            <w:r>
              <w:t>0.3 to 0.5 g alanylglutamine/kg body weight</w:t>
            </w:r>
          </w:p>
        </w:tc>
      </w:tr>
      <w:tr w:rsidR="00460036" w:rsidRPr="00487162" w14:paraId="0DC60838" w14:textId="77777777" w:rsidTr="00BF1190">
        <w:tc>
          <w:tcPr>
            <w:tcW w:w="2907" w:type="dxa"/>
          </w:tcPr>
          <w:p w14:paraId="5E9DE8B0" w14:textId="77777777" w:rsidR="00460036" w:rsidRPr="00487162" w:rsidRDefault="00460036" w:rsidP="00E45619">
            <w:pPr>
              <w:rPr>
                <w:i/>
              </w:rPr>
            </w:pPr>
            <w:r w:rsidRPr="00460036">
              <w:rPr>
                <w:i/>
              </w:rPr>
              <w:t>Pregnancy category</w:t>
            </w:r>
            <w:r>
              <w:rPr>
                <w:i/>
              </w:rPr>
              <w:t>:</w:t>
            </w:r>
          </w:p>
        </w:tc>
        <w:tc>
          <w:tcPr>
            <w:tcW w:w="6307" w:type="dxa"/>
          </w:tcPr>
          <w:p w14:paraId="42AD4F3F" w14:textId="24F860EF" w:rsidR="00460036" w:rsidRPr="00487162" w:rsidRDefault="0017006B" w:rsidP="00460036">
            <w:r>
              <w:t>Not applicable</w:t>
            </w:r>
          </w:p>
        </w:tc>
      </w:tr>
    </w:tbl>
    <w:p w14:paraId="01360824" w14:textId="77777777" w:rsidR="008E7846" w:rsidRDefault="008E7846" w:rsidP="008E7846">
      <w:pPr>
        <w:pStyle w:val="Heading3"/>
      </w:pPr>
      <w:bookmarkStart w:id="13" w:name="_Toc247691503"/>
      <w:bookmarkStart w:id="14" w:name="_Toc314842484"/>
      <w:bookmarkStart w:id="15" w:name="_Toc54965534"/>
      <w:r>
        <w:lastRenderedPageBreak/>
        <w:t>Product background</w:t>
      </w:r>
      <w:bookmarkEnd w:id="13"/>
      <w:bookmarkEnd w:id="14"/>
      <w:bookmarkEnd w:id="15"/>
    </w:p>
    <w:p w14:paraId="10E2FE9C" w14:textId="6C30D0C1" w:rsidR="008E7846" w:rsidRDefault="00250271" w:rsidP="001E0D61">
      <w:pPr>
        <w:keepNext/>
      </w:pPr>
      <w:r w:rsidRPr="00250271">
        <w:t>This AusPA</w:t>
      </w:r>
      <w:r w:rsidR="00F64369">
        <w:t>R describes the application by Fresenius Kabi Australia Pty Ltd</w:t>
      </w:r>
      <w:r w:rsidRPr="00250271">
        <w:t xml:space="preserve"> (the sponsor) to register </w:t>
      </w:r>
      <w:r w:rsidR="00F64369">
        <w:t>Dipeptiven (alanylglutamine</w:t>
      </w:r>
      <w:r w:rsidRPr="00250271">
        <w:t xml:space="preserve">) </w:t>
      </w:r>
      <w:r w:rsidR="00F64369">
        <w:t>200</w:t>
      </w:r>
      <w:r w:rsidR="002E537E">
        <w:t xml:space="preserve"> </w:t>
      </w:r>
      <w:r w:rsidR="00F64369">
        <w:t>mg/mL concentrated solution</w:t>
      </w:r>
      <w:r w:rsidR="002D5339">
        <w:t xml:space="preserve"> for intravenous (IV) infusion</w:t>
      </w:r>
      <w:r w:rsidRPr="00250271">
        <w:t xml:space="preserve"> for the following proposed indication</w:t>
      </w:r>
      <w:r w:rsidR="00CF5DAD">
        <w:t>:</w:t>
      </w:r>
    </w:p>
    <w:p w14:paraId="6F4E5C9E" w14:textId="77777777" w:rsidR="00F64369" w:rsidRPr="00F64369" w:rsidRDefault="00F64369" w:rsidP="00F64369">
      <w:pPr>
        <w:ind w:left="720"/>
        <w:rPr>
          <w:i/>
        </w:rPr>
      </w:pPr>
      <w:r w:rsidRPr="00F64369">
        <w:rPr>
          <w:i/>
        </w:rPr>
        <w:t>Dipeptiven is indicated as part of a clinical nutrition regimen in patients in hypercatabolic and/or hypermetabolic states. It should be given together with parenteral nutrition.</w:t>
      </w:r>
    </w:p>
    <w:p w14:paraId="2C441CB6" w14:textId="3D40282F" w:rsidR="00F2433F" w:rsidRDefault="00F2433F" w:rsidP="00F2433F">
      <w:r>
        <w:t>Glutamine (GLN) is the most abundant nonessential free amino acid and is necessary to modulate the inflammatory and oxidative stress</w:t>
      </w:r>
      <w:r w:rsidR="00C5518B">
        <w:t xml:space="preserve"> responses in patients</w:t>
      </w:r>
      <w:r w:rsidR="002D5339">
        <w:t>;</w:t>
      </w:r>
      <w:r w:rsidR="00C5518B">
        <w:t xml:space="preserve"> </w:t>
      </w:r>
      <w:r w:rsidR="002D5339">
        <w:t>h</w:t>
      </w:r>
      <w:r w:rsidR="00C5518B">
        <w:t>ence, g</w:t>
      </w:r>
      <w:r>
        <w:t>lutamine is now commonly described as a conditionally essential amino acid, particularly in catabolic and stress states.</w:t>
      </w:r>
    </w:p>
    <w:p w14:paraId="4C0E455D" w14:textId="2DD55955" w:rsidR="00250271" w:rsidRDefault="00F2433F" w:rsidP="00F2433F">
      <w:r>
        <w:t>Systemic glutamine availability is determined by the balance of e</w:t>
      </w:r>
      <w:r w:rsidR="00C5518B">
        <w:t>ndogenous glutamine production, mainly in muscular tissue</w:t>
      </w:r>
      <w:r>
        <w:t xml:space="preserve"> and its use by glutamine consuming organs (gut, kidney, liver and the immune system). Several studies show that in catabolic intensive care unit (ICU) patients, the endogenous production of muscular glutamine is increased to compensate for the reduction in the plasma levels of glutamine, indicating elevated glutamine needs. In addition, in catabolic states, large amounts of </w:t>
      </w:r>
      <w:r w:rsidR="00A21B68">
        <w:t>glutamine</w:t>
      </w:r>
      <w:r>
        <w:t xml:space="preserve"> are released from muscle tissue as part of the body’s conserved evolutionary response to stress. Recent data has revealed that following illness and injury, </w:t>
      </w:r>
      <w:r w:rsidR="00A21B68">
        <w:t>glutamine</w:t>
      </w:r>
      <w:r>
        <w:t xml:space="preserve"> plays a vital role in inducing cellular protection pathways, modulation of the inflammatory response, and prevention of organ injury. These findings are the rationale for the use of glutamine supplementation in the ICU population in order to replenish the muscle pool of glutamine, attenuate the efflux of this amino acid, and provide exogenous glutamine required to meet the elevated organ needs for improvement in protein synthesis, modulation of the immune system, reduction of oxidative stress, and preservation of the gut barrier.</w:t>
      </w:r>
    </w:p>
    <w:p w14:paraId="5A87D30E" w14:textId="77777777" w:rsidR="008E7846" w:rsidRPr="003F31A2" w:rsidRDefault="00386150" w:rsidP="008E7846">
      <w:pPr>
        <w:pStyle w:val="Heading3"/>
      </w:pPr>
      <w:bookmarkStart w:id="16" w:name="_Toc314842485"/>
      <w:bookmarkStart w:id="17" w:name="_Toc247691504"/>
      <w:bookmarkStart w:id="18" w:name="_Toc54965535"/>
      <w:r>
        <w:t>Regulatory s</w:t>
      </w:r>
      <w:r w:rsidR="008E7846">
        <w:t>tatus</w:t>
      </w:r>
      <w:bookmarkEnd w:id="16"/>
      <w:bookmarkEnd w:id="17"/>
      <w:bookmarkEnd w:id="18"/>
    </w:p>
    <w:p w14:paraId="27B8AADC" w14:textId="7C30F037" w:rsidR="00940A89" w:rsidRDefault="00006FAB" w:rsidP="00940A89">
      <w:bookmarkStart w:id="19" w:name="_Toc247691505"/>
      <w:bookmarkStart w:id="20" w:name="_Toc314842486"/>
      <w:r w:rsidRPr="00006FAB">
        <w:t>This product is considered</w:t>
      </w:r>
      <w:r w:rsidR="00F2433F">
        <w:t xml:space="preserve"> </w:t>
      </w:r>
      <w:r w:rsidR="00A21B68">
        <w:t xml:space="preserve">to be </w:t>
      </w:r>
      <w:r w:rsidR="00F2433F">
        <w:t>a new chemical</w:t>
      </w:r>
      <w:r w:rsidRPr="00006FAB">
        <w:t xml:space="preserve"> entity for Australian regulatory purposes.</w:t>
      </w:r>
    </w:p>
    <w:p w14:paraId="5103BE2A" w14:textId="77777777" w:rsidR="00A21B68" w:rsidRDefault="000D4C74" w:rsidP="000D4C74">
      <w:r w:rsidRPr="000D4C74">
        <w:t xml:space="preserve">Dipeptiven </w:t>
      </w:r>
      <w:r w:rsidR="002E537E">
        <w:t xml:space="preserve">was first approved in 1995 in </w:t>
      </w:r>
      <w:r w:rsidR="00D35DE6">
        <w:t xml:space="preserve">the </w:t>
      </w:r>
      <w:r w:rsidR="002E537E">
        <w:t>European Union (EU)</w:t>
      </w:r>
      <w:r w:rsidRPr="000D4C74">
        <w:t xml:space="preserve"> through the mutual recognition pathway. </w:t>
      </w:r>
      <w:r>
        <w:t>At the time the submission was under consideration,</w:t>
      </w:r>
      <w:r w:rsidR="00B258AB">
        <w:t xml:space="preserve"> D</w:t>
      </w:r>
      <w:r w:rsidRPr="000D4C74">
        <w:t>ipeptiven is approved in 74</w:t>
      </w:r>
      <w:r w:rsidR="002E537E">
        <w:t xml:space="preserve"> countries, 29 of which are in EU</w:t>
      </w:r>
      <w:r w:rsidRPr="000D4C74">
        <w:t>, and the rest in Asia. The product was registered in the U</w:t>
      </w:r>
      <w:r>
        <w:t xml:space="preserve">nited </w:t>
      </w:r>
      <w:r w:rsidRPr="000D4C74">
        <w:t>K</w:t>
      </w:r>
      <w:r>
        <w:t>ingdom (UK)</w:t>
      </w:r>
      <w:r w:rsidRPr="000D4C74">
        <w:t xml:space="preserve"> in 2003 and the New Zealand in 2007.</w:t>
      </w:r>
    </w:p>
    <w:p w14:paraId="727F8D8A" w14:textId="1474353A" w:rsidR="00940A89" w:rsidRDefault="000D4C74" w:rsidP="000D4C74">
      <w:r w:rsidRPr="000D4C74">
        <w:t xml:space="preserve">This product </w:t>
      </w:r>
      <w:r w:rsidR="00A21B68">
        <w:t>has</w:t>
      </w:r>
      <w:r w:rsidR="00A21B68" w:rsidRPr="000D4C74">
        <w:t xml:space="preserve"> </w:t>
      </w:r>
      <w:r w:rsidRPr="000D4C74">
        <w:t>not</w:t>
      </w:r>
      <w:r w:rsidR="00A21B68">
        <w:t xml:space="preserve"> been</w:t>
      </w:r>
      <w:r w:rsidRPr="000D4C74">
        <w:t xml:space="preserve"> registered in </w:t>
      </w:r>
      <w:r w:rsidR="002E537E">
        <w:t>United States of America (</w:t>
      </w:r>
      <w:r w:rsidRPr="000D4C74">
        <w:t>US</w:t>
      </w:r>
      <w:r w:rsidR="002E537E">
        <w:t>A)</w:t>
      </w:r>
      <w:r w:rsidRPr="000D4C74">
        <w:t xml:space="preserve"> and Canada.</w:t>
      </w:r>
    </w:p>
    <w:p w14:paraId="2265DC3F" w14:textId="77777777" w:rsidR="00500337" w:rsidRDefault="00500337" w:rsidP="001E0D61">
      <w:pPr>
        <w:pStyle w:val="Heading2"/>
      </w:pPr>
      <w:bookmarkStart w:id="21" w:name="_Toc504480011"/>
      <w:bookmarkStart w:id="22" w:name="_Toc54965536"/>
      <w:bookmarkStart w:id="23" w:name="_Toc247691506"/>
      <w:bookmarkStart w:id="24" w:name="_Toc314842487"/>
      <w:bookmarkEnd w:id="19"/>
      <w:bookmarkEnd w:id="20"/>
      <w:r>
        <w:lastRenderedPageBreak/>
        <w:t>II. Registration timeline</w:t>
      </w:r>
      <w:bookmarkEnd w:id="21"/>
      <w:bookmarkEnd w:id="22"/>
    </w:p>
    <w:p w14:paraId="38BF3321" w14:textId="77777777" w:rsidR="00500337" w:rsidRDefault="00500337" w:rsidP="001E0D61">
      <w:pPr>
        <w:keepNext/>
        <w:keepLines/>
      </w:pPr>
      <w:r>
        <w:t>The following table captures the key steps and dates for this application and which are detailed and discussed in this AusPAR.</w:t>
      </w:r>
    </w:p>
    <w:p w14:paraId="1A195574" w14:textId="7F32BFB6" w:rsidR="006A58A8" w:rsidRPr="006A58A8" w:rsidRDefault="00147224" w:rsidP="001E0D61">
      <w:pPr>
        <w:pStyle w:val="TableTitle"/>
        <w:keepLines/>
      </w:pPr>
      <w:r w:rsidRPr="00147224">
        <w:t xml:space="preserve">Table </w:t>
      </w:r>
      <w:fldSimple w:instr=" SEQ Table \* ARABIC ">
        <w:r w:rsidR="00405CEF">
          <w:rPr>
            <w:noProof/>
          </w:rPr>
          <w:t>1</w:t>
        </w:r>
      </w:fldSimple>
      <w:r w:rsidR="00006FAB">
        <w:t>:</w:t>
      </w:r>
      <w:r w:rsidR="006A58A8" w:rsidRPr="006A58A8">
        <w:t xml:space="preserve"> Timeline for Submission PM-201</w:t>
      </w:r>
      <w:r>
        <w:t>8-04790-1-1</w:t>
      </w:r>
    </w:p>
    <w:tbl>
      <w:tblPr>
        <w:tblStyle w:val="TableTGAblue"/>
        <w:tblW w:w="0" w:type="auto"/>
        <w:tblLook w:val="04A0" w:firstRow="1" w:lastRow="0" w:firstColumn="1" w:lastColumn="0" w:noHBand="0" w:noVBand="1"/>
      </w:tblPr>
      <w:tblGrid>
        <w:gridCol w:w="4360"/>
        <w:gridCol w:w="4360"/>
      </w:tblGrid>
      <w:tr w:rsidR="00500337" w14:paraId="498C70D6"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58EFFC29" w14:textId="77777777" w:rsidR="00500337" w:rsidRDefault="00500337" w:rsidP="001E0D61">
            <w:pPr>
              <w:keepLines/>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09A99381" w14:textId="77777777" w:rsidR="00500337" w:rsidRDefault="00500337" w:rsidP="001E0D61">
            <w:pPr>
              <w:keepLines/>
              <w:ind w:left="0" w:right="0"/>
            </w:pPr>
            <w:r>
              <w:t>Date</w:t>
            </w:r>
          </w:p>
        </w:tc>
      </w:tr>
      <w:tr w:rsidR="00500337" w14:paraId="1792A45C" w14:textId="77777777" w:rsidTr="00CF5DAD">
        <w:tc>
          <w:tcPr>
            <w:tcW w:w="4360" w:type="dxa"/>
            <w:tcBorders>
              <w:top w:val="single" w:sz="4" w:space="0" w:color="auto"/>
            </w:tcBorders>
          </w:tcPr>
          <w:p w14:paraId="2BD1ABB1" w14:textId="77777777" w:rsidR="00500337" w:rsidRDefault="00500337" w:rsidP="001E0D61">
            <w:pPr>
              <w:keepNext/>
              <w:keepLines/>
              <w:ind w:left="0" w:right="0"/>
            </w:pPr>
            <w:r>
              <w:t>Submission dossier accepted and first round evaluation commenced</w:t>
            </w:r>
          </w:p>
        </w:tc>
        <w:tc>
          <w:tcPr>
            <w:tcW w:w="4360" w:type="dxa"/>
            <w:tcBorders>
              <w:top w:val="single" w:sz="4" w:space="0" w:color="auto"/>
            </w:tcBorders>
          </w:tcPr>
          <w:p w14:paraId="25B478FF" w14:textId="77777777" w:rsidR="00500337" w:rsidRDefault="000D4C74" w:rsidP="001E0D61">
            <w:pPr>
              <w:keepNext/>
              <w:keepLines/>
              <w:ind w:left="0" w:right="0"/>
            </w:pPr>
            <w:r>
              <w:t>31 January 2019</w:t>
            </w:r>
          </w:p>
        </w:tc>
      </w:tr>
      <w:tr w:rsidR="00500337" w14:paraId="3ED29AFB" w14:textId="77777777" w:rsidTr="00500337">
        <w:tc>
          <w:tcPr>
            <w:tcW w:w="4360" w:type="dxa"/>
          </w:tcPr>
          <w:p w14:paraId="6FB8091A" w14:textId="77777777" w:rsidR="00500337" w:rsidRDefault="00500337" w:rsidP="001E0D61">
            <w:pPr>
              <w:keepNext/>
              <w:keepLines/>
              <w:ind w:left="0" w:right="0"/>
            </w:pPr>
            <w:r>
              <w:t>First round evaluation completed</w:t>
            </w:r>
          </w:p>
        </w:tc>
        <w:tc>
          <w:tcPr>
            <w:tcW w:w="4360" w:type="dxa"/>
          </w:tcPr>
          <w:p w14:paraId="024226AE" w14:textId="77777777" w:rsidR="00500337" w:rsidRDefault="000D4C74" w:rsidP="001E0D61">
            <w:pPr>
              <w:keepNext/>
              <w:keepLines/>
              <w:ind w:left="0" w:right="0"/>
            </w:pPr>
            <w:r>
              <w:t>8 August 2019</w:t>
            </w:r>
          </w:p>
        </w:tc>
      </w:tr>
      <w:tr w:rsidR="00500337" w14:paraId="7A006C5D" w14:textId="77777777" w:rsidTr="00500337">
        <w:tc>
          <w:tcPr>
            <w:tcW w:w="4360" w:type="dxa"/>
          </w:tcPr>
          <w:p w14:paraId="30906AC0" w14:textId="77777777" w:rsidR="00500337" w:rsidRDefault="00500337" w:rsidP="001E0D61">
            <w:pPr>
              <w:keepNext/>
              <w:keepLines/>
              <w:ind w:left="0" w:right="0"/>
            </w:pPr>
            <w:r>
              <w:t>Sponsor provides responses on questions raised in first round evaluation</w:t>
            </w:r>
          </w:p>
        </w:tc>
        <w:tc>
          <w:tcPr>
            <w:tcW w:w="4360" w:type="dxa"/>
          </w:tcPr>
          <w:p w14:paraId="2F5C10E2" w14:textId="77777777" w:rsidR="00500337" w:rsidRDefault="000D4C74" w:rsidP="001E0D61">
            <w:pPr>
              <w:keepNext/>
              <w:keepLines/>
              <w:ind w:left="0" w:right="0"/>
            </w:pPr>
            <w:r>
              <w:t>15 November 2019</w:t>
            </w:r>
          </w:p>
        </w:tc>
      </w:tr>
      <w:tr w:rsidR="00500337" w14:paraId="3C59A082" w14:textId="77777777" w:rsidTr="00500337">
        <w:tc>
          <w:tcPr>
            <w:tcW w:w="4360" w:type="dxa"/>
          </w:tcPr>
          <w:p w14:paraId="7D4A29D0" w14:textId="77777777" w:rsidR="00500337" w:rsidRDefault="00500337" w:rsidP="00500337">
            <w:pPr>
              <w:ind w:left="0" w:right="0"/>
            </w:pPr>
            <w:r>
              <w:t>Second round evaluation completed</w:t>
            </w:r>
          </w:p>
        </w:tc>
        <w:tc>
          <w:tcPr>
            <w:tcW w:w="4360" w:type="dxa"/>
          </w:tcPr>
          <w:p w14:paraId="2132FE7C" w14:textId="77777777" w:rsidR="00500337" w:rsidRDefault="000D4C74" w:rsidP="00500337">
            <w:pPr>
              <w:ind w:left="0" w:right="0"/>
            </w:pPr>
            <w:r>
              <w:t>15 November 2019</w:t>
            </w:r>
          </w:p>
        </w:tc>
      </w:tr>
      <w:tr w:rsidR="00500337" w14:paraId="5342E4E1" w14:textId="77777777" w:rsidTr="00500337">
        <w:tc>
          <w:tcPr>
            <w:tcW w:w="4360" w:type="dxa"/>
          </w:tcPr>
          <w:p w14:paraId="556F5D50" w14:textId="77777777" w:rsidR="00500337" w:rsidRDefault="00500337" w:rsidP="00500337">
            <w:pPr>
              <w:ind w:left="0" w:right="0"/>
            </w:pPr>
            <w:r>
              <w:t>Delegate’s Overall benefit-risk assessment and request for Advisory Committee advice</w:t>
            </w:r>
          </w:p>
        </w:tc>
        <w:tc>
          <w:tcPr>
            <w:tcW w:w="4360" w:type="dxa"/>
          </w:tcPr>
          <w:p w14:paraId="2C5BA7D8" w14:textId="77777777" w:rsidR="00500337" w:rsidRDefault="000D4C74" w:rsidP="00500337">
            <w:pPr>
              <w:ind w:left="0" w:right="0"/>
            </w:pPr>
            <w:r>
              <w:t>7 November 2019</w:t>
            </w:r>
          </w:p>
        </w:tc>
      </w:tr>
      <w:tr w:rsidR="00500337" w14:paraId="0B70F868" w14:textId="77777777" w:rsidTr="00500337">
        <w:tc>
          <w:tcPr>
            <w:tcW w:w="4360" w:type="dxa"/>
          </w:tcPr>
          <w:p w14:paraId="48537CA8" w14:textId="77777777" w:rsidR="00500337" w:rsidRDefault="00500337" w:rsidP="00500337">
            <w:pPr>
              <w:ind w:left="0" w:right="0"/>
            </w:pPr>
            <w:r>
              <w:t>Sponsor’s pre-Advisory Committee response</w:t>
            </w:r>
          </w:p>
        </w:tc>
        <w:tc>
          <w:tcPr>
            <w:tcW w:w="4360" w:type="dxa"/>
          </w:tcPr>
          <w:p w14:paraId="45E2089B" w14:textId="4AC1AC21" w:rsidR="00500337" w:rsidRDefault="007E7626" w:rsidP="007E7626">
            <w:pPr>
              <w:ind w:left="0"/>
            </w:pPr>
            <w:r>
              <w:t>21 November 2019</w:t>
            </w:r>
          </w:p>
        </w:tc>
      </w:tr>
      <w:tr w:rsidR="00500337" w14:paraId="4ACA2E34" w14:textId="77777777" w:rsidTr="00500337">
        <w:tc>
          <w:tcPr>
            <w:tcW w:w="4360" w:type="dxa"/>
          </w:tcPr>
          <w:p w14:paraId="07F655F2" w14:textId="77777777" w:rsidR="00500337" w:rsidRDefault="00500337" w:rsidP="00500337">
            <w:pPr>
              <w:ind w:left="0" w:right="0"/>
            </w:pPr>
            <w:r>
              <w:t>Advisory Committee meeting</w:t>
            </w:r>
          </w:p>
        </w:tc>
        <w:tc>
          <w:tcPr>
            <w:tcW w:w="4360" w:type="dxa"/>
          </w:tcPr>
          <w:p w14:paraId="104BE62E" w14:textId="77777777" w:rsidR="00500337" w:rsidRDefault="000D4C74" w:rsidP="00500337">
            <w:pPr>
              <w:ind w:left="0" w:right="0"/>
            </w:pPr>
            <w:r>
              <w:t>6 December 2019</w:t>
            </w:r>
          </w:p>
        </w:tc>
      </w:tr>
      <w:tr w:rsidR="00500337" w14:paraId="546B003C" w14:textId="77777777" w:rsidTr="00500337">
        <w:tc>
          <w:tcPr>
            <w:tcW w:w="4360" w:type="dxa"/>
          </w:tcPr>
          <w:p w14:paraId="495B6345" w14:textId="021CD7E4" w:rsidR="00500337" w:rsidRDefault="000D4C74" w:rsidP="0017006B">
            <w:pPr>
              <w:ind w:left="0" w:right="0"/>
            </w:pPr>
            <w:r>
              <w:t>Withdraw</w:t>
            </w:r>
            <w:r w:rsidR="0017006B">
              <w:t>al</w:t>
            </w:r>
          </w:p>
        </w:tc>
        <w:tc>
          <w:tcPr>
            <w:tcW w:w="4360" w:type="dxa"/>
          </w:tcPr>
          <w:p w14:paraId="51FC3ADD" w14:textId="7F364DEA" w:rsidR="00500337" w:rsidRDefault="005D3B08" w:rsidP="00500337">
            <w:pPr>
              <w:ind w:left="0" w:right="0"/>
            </w:pPr>
            <w:r>
              <w:t>16</w:t>
            </w:r>
            <w:r w:rsidR="000D4C74">
              <w:t xml:space="preserve"> January 2020</w:t>
            </w:r>
          </w:p>
        </w:tc>
      </w:tr>
      <w:tr w:rsidR="00500337" w14:paraId="41341376" w14:textId="77777777" w:rsidTr="00500337">
        <w:tc>
          <w:tcPr>
            <w:tcW w:w="4360" w:type="dxa"/>
          </w:tcPr>
          <w:p w14:paraId="27F4D05F"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75EA866E" w14:textId="77777777" w:rsidR="00500337" w:rsidRDefault="000D4C74" w:rsidP="00500337">
            <w:pPr>
              <w:ind w:left="0" w:right="0"/>
            </w:pPr>
            <w:r>
              <w:t>Not applicable</w:t>
            </w:r>
          </w:p>
        </w:tc>
      </w:tr>
      <w:tr w:rsidR="00500337" w14:paraId="2E6DF0FC" w14:textId="77777777" w:rsidTr="00500337">
        <w:tc>
          <w:tcPr>
            <w:tcW w:w="4360" w:type="dxa"/>
          </w:tcPr>
          <w:p w14:paraId="05DB661F" w14:textId="77777777" w:rsidR="00500337" w:rsidRDefault="00500337" w:rsidP="00500337">
            <w:pPr>
              <w:ind w:left="0" w:right="0"/>
            </w:pPr>
            <w:r>
              <w:t>Number of working days from submission dossier acceptance to registration decision*</w:t>
            </w:r>
          </w:p>
        </w:tc>
        <w:tc>
          <w:tcPr>
            <w:tcW w:w="4360" w:type="dxa"/>
          </w:tcPr>
          <w:p w14:paraId="4CE954FB" w14:textId="67F752A9" w:rsidR="00500337" w:rsidRDefault="0017006B" w:rsidP="00500337">
            <w:pPr>
              <w:ind w:left="0" w:right="0"/>
            </w:pPr>
            <w:r>
              <w:t>Not applicable</w:t>
            </w:r>
          </w:p>
        </w:tc>
      </w:tr>
    </w:tbl>
    <w:p w14:paraId="4AC2B82E" w14:textId="77777777" w:rsidR="00500337" w:rsidRDefault="00500337" w:rsidP="00147224">
      <w:pPr>
        <w:pStyle w:val="TableDescription"/>
      </w:pPr>
      <w:r>
        <w:t>*</w:t>
      </w:r>
      <w:r w:rsidR="00BF3774" w:rsidRPr="00BF3774">
        <w:t xml:space="preserve">Statutory </w:t>
      </w:r>
      <w:r>
        <w:t>timeframe for standard applications is 2</w:t>
      </w:r>
      <w:r w:rsidR="00BF3774">
        <w:t>55</w:t>
      </w:r>
      <w:r>
        <w:t xml:space="preserve"> working days</w:t>
      </w:r>
    </w:p>
    <w:p w14:paraId="2B20A53D" w14:textId="77777777" w:rsidR="008E7846" w:rsidRPr="00792A32" w:rsidRDefault="00456765" w:rsidP="00A03D11">
      <w:pPr>
        <w:pStyle w:val="Heading2"/>
      </w:pPr>
      <w:bookmarkStart w:id="25" w:name="_Toc196046504"/>
      <w:bookmarkStart w:id="26" w:name="_Toc247691527"/>
      <w:bookmarkStart w:id="27" w:name="_Toc314842510"/>
      <w:bookmarkStart w:id="28" w:name="_Toc54965537"/>
      <w:bookmarkStart w:id="29" w:name="_Toc163441390"/>
      <w:bookmarkEnd w:id="23"/>
      <w:bookmarkEnd w:id="24"/>
      <w:bookmarkEnd w:id="2"/>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5"/>
      <w:bookmarkEnd w:id="26"/>
      <w:bookmarkEnd w:id="27"/>
      <w:bookmarkEnd w:id="28"/>
    </w:p>
    <w:p w14:paraId="1E6FD78D" w14:textId="77777777" w:rsidR="00006FAB" w:rsidRDefault="00006FAB" w:rsidP="00A03D11">
      <w:pPr>
        <w:keepNext/>
      </w:pPr>
      <w:bookmarkStart w:id="30" w:name="_Toc247691528"/>
      <w:r>
        <w:t>The submission was summarised in the following Delegate’s overview and recommendations.</w:t>
      </w:r>
    </w:p>
    <w:p w14:paraId="43ACED27" w14:textId="77777777" w:rsidR="008E7846" w:rsidRDefault="008E7846" w:rsidP="001E0D61">
      <w:pPr>
        <w:pStyle w:val="Heading3"/>
      </w:pPr>
      <w:bookmarkStart w:id="31" w:name="_Toc314842511"/>
      <w:bookmarkStart w:id="32" w:name="_Toc54965538"/>
      <w:r>
        <w:t>Quality</w:t>
      </w:r>
      <w:bookmarkEnd w:id="30"/>
      <w:bookmarkEnd w:id="31"/>
      <w:bookmarkEnd w:id="32"/>
    </w:p>
    <w:p w14:paraId="0759F399" w14:textId="0999FA30" w:rsidR="002E537E" w:rsidRDefault="007D1808" w:rsidP="001E0D61">
      <w:pPr>
        <w:keepNext/>
      </w:pPr>
      <w:bookmarkStart w:id="33" w:name="_Toc314842512"/>
      <w:r w:rsidRPr="007D1808">
        <w:t>Analylglutamine is a dipeptide of the amino acids alanine and glutamine.</w:t>
      </w:r>
      <w:r w:rsidR="002E537E">
        <w:t xml:space="preserve"> The chemical structure of </w:t>
      </w:r>
      <w:r w:rsidR="002E0A93">
        <w:t>alanylglutamine</w:t>
      </w:r>
      <w:r w:rsidR="002E537E">
        <w:t xml:space="preserve"> is shown in </w:t>
      </w:r>
      <w:r w:rsidR="002E537E">
        <w:fldChar w:fldCharType="begin"/>
      </w:r>
      <w:r w:rsidR="002E537E">
        <w:instrText xml:space="preserve"> REF _Ref54767856 \h </w:instrText>
      </w:r>
      <w:r w:rsidR="002E537E">
        <w:fldChar w:fldCharType="separate"/>
      </w:r>
      <w:r w:rsidR="003C7CA7">
        <w:t xml:space="preserve">Figure </w:t>
      </w:r>
      <w:r w:rsidR="003C7CA7">
        <w:rPr>
          <w:noProof/>
        </w:rPr>
        <w:t>1</w:t>
      </w:r>
      <w:r w:rsidR="002E537E">
        <w:fldChar w:fldCharType="end"/>
      </w:r>
      <w:r w:rsidR="002E537E">
        <w:t>.</w:t>
      </w:r>
    </w:p>
    <w:p w14:paraId="32483DAB" w14:textId="589FBBCC" w:rsidR="007D1808" w:rsidRDefault="007D1808" w:rsidP="007D1808">
      <w:pPr>
        <w:pStyle w:val="FigureTitle"/>
      </w:pPr>
      <w:bookmarkStart w:id="34" w:name="_Ref54767856"/>
      <w:r>
        <w:t xml:space="preserve">Figure </w:t>
      </w:r>
      <w:fldSimple w:instr=" SEQ Figure \* ARABIC ">
        <w:r w:rsidR="003C7CA7">
          <w:rPr>
            <w:noProof/>
          </w:rPr>
          <w:t>1</w:t>
        </w:r>
      </w:fldSimple>
      <w:bookmarkEnd w:id="34"/>
      <w:r>
        <w:t xml:space="preserve">: Chemical structure of </w:t>
      </w:r>
      <w:r w:rsidR="002E0A93">
        <w:t>alanylglutamine</w:t>
      </w:r>
    </w:p>
    <w:p w14:paraId="4543AFB2" w14:textId="17305703" w:rsidR="007D1808" w:rsidRDefault="007D1808" w:rsidP="001E0D61">
      <w:r w:rsidRPr="00DF65BB">
        <w:rPr>
          <w:noProof/>
          <w:lang w:eastAsia="en-AU"/>
        </w:rPr>
        <w:drawing>
          <wp:inline distT="0" distB="0" distL="0" distR="0" wp14:anchorId="3486BEA6" wp14:editId="751AEC92">
            <wp:extent cx="1512593" cy="1295400"/>
            <wp:effectExtent l="0" t="0" r="0" b="0"/>
            <wp:docPr id="28" name="Picture 28" descr="Chemical structure of Dipep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018" cy="1301759"/>
                    </a:xfrm>
                    <a:prstGeom prst="rect">
                      <a:avLst/>
                    </a:prstGeom>
                    <a:noFill/>
                    <a:ln>
                      <a:noFill/>
                    </a:ln>
                  </pic:spPr>
                </pic:pic>
              </a:graphicData>
            </a:graphic>
          </wp:inline>
        </w:drawing>
      </w:r>
    </w:p>
    <w:p w14:paraId="48381B34" w14:textId="5D0406F7" w:rsidR="00602E5A" w:rsidRPr="00602E5A" w:rsidRDefault="00602E5A" w:rsidP="00602E5A">
      <w:r w:rsidRPr="00602E5A">
        <w:t xml:space="preserve">The proposed product </w:t>
      </w:r>
      <w:r w:rsidR="00531385">
        <w:t xml:space="preserve">(Dipeptiven) </w:t>
      </w:r>
      <w:r w:rsidRPr="00602E5A">
        <w:t xml:space="preserve">is formulated as a sterile, clear and colourless concentrated solution for injection containing </w:t>
      </w:r>
      <w:r>
        <w:t>alanylglutamine in water for i</w:t>
      </w:r>
      <w:r w:rsidRPr="00602E5A">
        <w:t>njec</w:t>
      </w:r>
      <w:r w:rsidR="00E16066">
        <w:t>tion 200</w:t>
      </w:r>
      <w:r w:rsidR="00531385">
        <w:t> </w:t>
      </w:r>
      <w:r w:rsidR="00E16066">
        <w:t>mg/mL in two strengths, 50 mL and 100 mL</w:t>
      </w:r>
      <w:r w:rsidRPr="00602E5A">
        <w:t>.</w:t>
      </w:r>
    </w:p>
    <w:p w14:paraId="38A806FC" w14:textId="0AA8993A" w:rsidR="00EE0DDB" w:rsidRDefault="00602E5A" w:rsidP="00EE0DDB">
      <w:r w:rsidRPr="00602E5A">
        <w:t>The proposed products are supplied in pack sizes of 10 bottles for each strength. Bo</w:t>
      </w:r>
      <w:r w:rsidR="00CB2B04">
        <w:t xml:space="preserve">th presentations are for single </w:t>
      </w:r>
      <w:r w:rsidRPr="00602E5A">
        <w:t>use only.</w:t>
      </w:r>
    </w:p>
    <w:p w14:paraId="2B786A4A" w14:textId="4EA5FDD4" w:rsidR="00602E5A" w:rsidRDefault="00EE0DDB" w:rsidP="00602E5A">
      <w:r>
        <w:t>All outstanding quality issues have been addressed. There are no objection</w:t>
      </w:r>
      <w:r w:rsidR="002E0A93">
        <w:t>s</w:t>
      </w:r>
      <w:r>
        <w:t xml:space="preserve"> to the registration of the proposed product from a pharmaceutical chemistry perspective.</w:t>
      </w:r>
    </w:p>
    <w:p w14:paraId="45926EE7" w14:textId="77777777" w:rsidR="008E7846" w:rsidRDefault="008E7846" w:rsidP="00602E5A">
      <w:pPr>
        <w:pStyle w:val="Heading3"/>
      </w:pPr>
      <w:bookmarkStart w:id="35" w:name="_Toc54965539"/>
      <w:r>
        <w:t>Nonclinical</w:t>
      </w:r>
      <w:bookmarkEnd w:id="33"/>
      <w:bookmarkEnd w:id="35"/>
    </w:p>
    <w:p w14:paraId="1DB55B7A" w14:textId="77777777" w:rsidR="00602E5A" w:rsidRDefault="00602E5A" w:rsidP="00602E5A">
      <w:r>
        <w:t>The non-clinical evaluator has recommended approval.</w:t>
      </w:r>
    </w:p>
    <w:p w14:paraId="51831CB4" w14:textId="577129C2" w:rsidR="00602E5A" w:rsidRDefault="00602E5A" w:rsidP="00602E5A">
      <w:r>
        <w:t>The evaluat</w:t>
      </w:r>
      <w:r w:rsidR="00364BE6">
        <w:t>or summarised findings as below:</w:t>
      </w:r>
    </w:p>
    <w:p w14:paraId="2DF106E0" w14:textId="209413E1" w:rsidR="00602E5A" w:rsidRDefault="00364BE6" w:rsidP="00602E5A">
      <w:pPr>
        <w:pStyle w:val="ListBullet"/>
      </w:pPr>
      <w:r>
        <w:t>f</w:t>
      </w:r>
      <w:r w:rsidR="00602E5A">
        <w:t xml:space="preserve">indings from nonclinical pharmacology and toxicology studies with Dipeptiven show that </w:t>
      </w:r>
      <w:r w:rsidR="00531385">
        <w:t>it is</w:t>
      </w:r>
      <w:r w:rsidR="00602E5A">
        <w:t xml:space="preserve"> well tolerated, nutritive, and that both </w:t>
      </w:r>
      <w:r w:rsidR="0020651C">
        <w:t>alanylglutamine</w:t>
      </w:r>
      <w:r w:rsidR="00602E5A">
        <w:t xml:space="preserve"> and glycyl</w:t>
      </w:r>
      <w:r w:rsidR="00531385">
        <w:noBreakHyphen/>
      </w:r>
      <w:r w:rsidR="00602E5A">
        <w:t xml:space="preserve">tyrosine were highly bioavailable, </w:t>
      </w:r>
      <w:r>
        <w:t>with greater than 99% retention</w:t>
      </w:r>
    </w:p>
    <w:p w14:paraId="12A17EEB" w14:textId="084DF779" w:rsidR="00602E5A" w:rsidRDefault="00364BE6" w:rsidP="00602E5A">
      <w:pPr>
        <w:pStyle w:val="ListBullet"/>
      </w:pPr>
      <w:r>
        <w:t>n</w:t>
      </w:r>
      <w:r w:rsidR="00602E5A">
        <w:t>o major safety concerns based on findings from safety pharmacology st</w:t>
      </w:r>
      <w:r>
        <w:t>udies</w:t>
      </w:r>
    </w:p>
    <w:p w14:paraId="588EB20B" w14:textId="11972933" w:rsidR="00602E5A" w:rsidRDefault="00364BE6" w:rsidP="00602E5A">
      <w:pPr>
        <w:pStyle w:val="ListBullet"/>
      </w:pPr>
      <w:r>
        <w:t>n</w:t>
      </w:r>
      <w:r w:rsidR="00602E5A">
        <w:t xml:space="preserve">o secondary </w:t>
      </w:r>
      <w:r w:rsidR="00E16066">
        <w:t>pharmacodynamics (PD)</w:t>
      </w:r>
      <w:r w:rsidR="00602E5A">
        <w:t xml:space="preserve"> studies w</w:t>
      </w:r>
      <w:r>
        <w:t>ere included in this submission</w:t>
      </w:r>
    </w:p>
    <w:p w14:paraId="7551446F" w14:textId="0529A3A3" w:rsidR="00602E5A" w:rsidRPr="00602E5A" w:rsidRDefault="00602E5A" w:rsidP="00602E5A">
      <w:pPr>
        <w:pStyle w:val="ListBullet"/>
      </w:pPr>
      <w:r>
        <w:t>Dipeptiven was rapidly hydrolysed</w:t>
      </w:r>
      <w:r w:rsidR="00364BE6">
        <w:t xml:space="preserve"> to free amino acids in plasma, n</w:t>
      </w:r>
      <w:r>
        <w:t>o pharmacokinetics (PK) interactions with a</w:t>
      </w:r>
      <w:r w:rsidR="00364BE6">
        <w:t>lanylglutamine were anticipated</w:t>
      </w:r>
      <w:r w:rsidR="00531385">
        <w:t>.</w:t>
      </w:r>
    </w:p>
    <w:p w14:paraId="49BB3A81" w14:textId="77777777" w:rsidR="008E7846" w:rsidRDefault="008E7846" w:rsidP="008E7846">
      <w:pPr>
        <w:pStyle w:val="Heading3"/>
      </w:pPr>
      <w:bookmarkStart w:id="36" w:name="_Toc247691530"/>
      <w:bookmarkStart w:id="37" w:name="_Toc314842513"/>
      <w:bookmarkStart w:id="38" w:name="_Toc54965540"/>
      <w:r>
        <w:t>Clinical</w:t>
      </w:r>
      <w:bookmarkEnd w:id="36"/>
      <w:bookmarkEnd w:id="37"/>
      <w:bookmarkEnd w:id="38"/>
    </w:p>
    <w:p w14:paraId="08C9DDD6" w14:textId="67C0CFD8" w:rsidR="00B50FB4" w:rsidRDefault="00531385" w:rsidP="00332A70">
      <w:pPr>
        <w:rPr>
          <w:lang w:eastAsia="ja-JP"/>
        </w:rPr>
      </w:pPr>
      <w:r>
        <w:rPr>
          <w:lang w:eastAsia="ja-JP"/>
        </w:rPr>
        <w:t>The c</w:t>
      </w:r>
      <w:r w:rsidR="00B50FB4">
        <w:rPr>
          <w:lang w:eastAsia="ja-JP"/>
        </w:rPr>
        <w:t xml:space="preserve">linical dossier contains five clinical pharmacology studies and eleven studies of efficacy and/or safety, categorised as follows (see </w:t>
      </w:r>
      <w:r w:rsidR="00B50FB4">
        <w:rPr>
          <w:lang w:eastAsia="ja-JP"/>
        </w:rPr>
        <w:fldChar w:fldCharType="begin"/>
      </w:r>
      <w:r w:rsidR="00B50FB4">
        <w:rPr>
          <w:lang w:eastAsia="ja-JP"/>
        </w:rPr>
        <w:instrText xml:space="preserve"> REF _Ref54267056 \h </w:instrText>
      </w:r>
      <w:r w:rsidR="00D35DE6">
        <w:rPr>
          <w:lang w:eastAsia="ja-JP"/>
        </w:rPr>
        <w:instrText xml:space="preserve"> \* MERGEFORMAT </w:instrText>
      </w:r>
      <w:r w:rsidR="00B50FB4">
        <w:rPr>
          <w:lang w:eastAsia="ja-JP"/>
        </w:rPr>
      </w:r>
      <w:r w:rsidR="00B50FB4">
        <w:rPr>
          <w:lang w:eastAsia="ja-JP"/>
        </w:rPr>
        <w:fldChar w:fldCharType="separate"/>
      </w:r>
      <w:r w:rsidR="003C7CA7" w:rsidRPr="00B50FB4">
        <w:t xml:space="preserve">Table </w:t>
      </w:r>
      <w:r w:rsidR="003C7CA7">
        <w:rPr>
          <w:noProof/>
        </w:rPr>
        <w:t>2</w:t>
      </w:r>
      <w:r w:rsidR="00B50FB4">
        <w:rPr>
          <w:lang w:eastAsia="ja-JP"/>
        </w:rPr>
        <w:fldChar w:fldCharType="end"/>
      </w:r>
      <w:r w:rsidR="00B50FB4">
        <w:rPr>
          <w:lang w:eastAsia="ja-JP"/>
        </w:rPr>
        <w:t>). These studies wer</w:t>
      </w:r>
      <w:r w:rsidR="00E16066">
        <w:rPr>
          <w:lang w:eastAsia="ja-JP"/>
        </w:rPr>
        <w:t>e all sponsor initiated studies.</w:t>
      </w:r>
    </w:p>
    <w:p w14:paraId="56DB1128" w14:textId="16CBC6CB" w:rsidR="00B50FB4" w:rsidRDefault="00B50FB4" w:rsidP="00B50FB4">
      <w:pPr>
        <w:pStyle w:val="TableTitle"/>
      </w:pPr>
      <w:bookmarkStart w:id="39" w:name="_Ref54267056"/>
      <w:r w:rsidRPr="00B50FB4">
        <w:lastRenderedPageBreak/>
        <w:t xml:space="preserve">Table </w:t>
      </w:r>
      <w:fldSimple w:instr=" SEQ Table \* ARABIC ">
        <w:r w:rsidR="00405CEF">
          <w:rPr>
            <w:noProof/>
          </w:rPr>
          <w:t>2</w:t>
        </w:r>
      </w:fldSimple>
      <w:bookmarkEnd w:id="39"/>
      <w:r w:rsidR="00F2754C">
        <w:t>: Summary of clinical studies for Dipeptiven</w:t>
      </w:r>
    </w:p>
    <w:p w14:paraId="444EAC37" w14:textId="5240363C" w:rsidR="00B50FB4" w:rsidRDefault="00B50FB4" w:rsidP="00B50FB4">
      <w:r w:rsidRPr="00F86A86">
        <w:rPr>
          <w:noProof/>
          <w:lang w:eastAsia="en-AU"/>
        </w:rPr>
        <w:drawing>
          <wp:inline distT="0" distB="0" distL="0" distR="0" wp14:anchorId="50396E32" wp14:editId="76E10D5E">
            <wp:extent cx="5208608" cy="4975228"/>
            <wp:effectExtent l="0" t="0" r="0" b="0"/>
            <wp:docPr id="4" name="Picture 4" descr="Summary of clinical studies for Dipep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785" cy="5065185"/>
                    </a:xfrm>
                    <a:prstGeom prst="rect">
                      <a:avLst/>
                    </a:prstGeom>
                    <a:noFill/>
                    <a:ln>
                      <a:noFill/>
                    </a:ln>
                  </pic:spPr>
                </pic:pic>
              </a:graphicData>
            </a:graphic>
          </wp:inline>
        </w:drawing>
      </w:r>
    </w:p>
    <w:p w14:paraId="647DA24A" w14:textId="77777777" w:rsidR="005253D8" w:rsidRPr="005253D8" w:rsidRDefault="00602E5A" w:rsidP="00B35372">
      <w:pPr>
        <w:pStyle w:val="Heading4"/>
        <w:rPr>
          <w:rStyle w:val="Heading5Char"/>
          <w:rFonts w:eastAsia="Cambria"/>
          <w:b/>
          <w:bCs/>
        </w:rPr>
      </w:pPr>
      <w:r w:rsidRPr="005253D8">
        <w:rPr>
          <w:rStyle w:val="Heading5Char"/>
          <w:rFonts w:eastAsia="Cambria"/>
          <w:b/>
        </w:rPr>
        <w:t>Pharmacokinetics</w:t>
      </w:r>
    </w:p>
    <w:p w14:paraId="42C7F01C" w14:textId="2A5555A6" w:rsidR="00602E5A" w:rsidRDefault="00CD7C0A" w:rsidP="005253D8">
      <w:r>
        <w:t>The following is a s</w:t>
      </w:r>
      <w:r w:rsidR="005253D8">
        <w:t xml:space="preserve">ummary </w:t>
      </w:r>
      <w:r>
        <w:t xml:space="preserve">taken from </w:t>
      </w:r>
      <w:r w:rsidR="005253D8">
        <w:t>the clinical evaluator report</w:t>
      </w:r>
      <w:r>
        <w:t>:</w:t>
      </w:r>
    </w:p>
    <w:p w14:paraId="0B534C59" w14:textId="1200447E" w:rsidR="00602E5A" w:rsidRDefault="00602E5A" w:rsidP="005253D8">
      <w:pPr>
        <w:pStyle w:val="ListBullet"/>
      </w:pPr>
      <w:r>
        <w:t>Alanylglutamine is rapidly hydrolysed into alanine and glutamine after infusion.</w:t>
      </w:r>
    </w:p>
    <w:p w14:paraId="15A4B492" w14:textId="0E471335" w:rsidR="00602E5A" w:rsidRDefault="00602E5A" w:rsidP="005253D8">
      <w:pPr>
        <w:pStyle w:val="ListBullet"/>
      </w:pPr>
      <w:r>
        <w:t>The plasma alanine and glutamine concentrations reach steady state at 1 to 3 hours after start of infusion at a rate of 0.3 mg/kg/day.</w:t>
      </w:r>
    </w:p>
    <w:p w14:paraId="6AB00E64" w14:textId="53D5E773" w:rsidR="00602E5A" w:rsidRDefault="00602E5A" w:rsidP="005253D8">
      <w:pPr>
        <w:pStyle w:val="ListBullet"/>
      </w:pPr>
      <w:r>
        <w:t xml:space="preserve">The concentration of alanine and glutamine at steady state ranged from 545 </w:t>
      </w:r>
      <w:r w:rsidR="00CD7C0A">
        <w:t>µ</w:t>
      </w:r>
      <w:r>
        <w:t xml:space="preserve">mol/L to 873 </w:t>
      </w:r>
      <w:r w:rsidR="00CD7C0A">
        <w:t>µ</w:t>
      </w:r>
      <w:r>
        <w:t xml:space="preserve">mol/L for alanine and 897 </w:t>
      </w:r>
      <w:r w:rsidR="00CD7C0A">
        <w:t>µ</w:t>
      </w:r>
      <w:r>
        <w:t xml:space="preserve">mol/L to 1324 </w:t>
      </w:r>
      <w:r w:rsidR="00CD7C0A">
        <w:t>µ</w:t>
      </w:r>
      <w:r>
        <w:t>mol/L for glutamine. A wide interval for</w:t>
      </w:r>
      <w:r w:rsidR="005253D8">
        <w:t xml:space="preserve"> steady state concentration of a</w:t>
      </w:r>
      <w:r>
        <w:t xml:space="preserve">lanylglutamine was noted, that ranged from 33 </w:t>
      </w:r>
      <w:r w:rsidR="00CD7C0A">
        <w:t>µ</w:t>
      </w:r>
      <w:r>
        <w:t xml:space="preserve">mol/L up to 772 </w:t>
      </w:r>
      <w:r w:rsidR="00CD7C0A">
        <w:t>µ</w:t>
      </w:r>
      <w:r>
        <w:t>mol/L.</w:t>
      </w:r>
    </w:p>
    <w:p w14:paraId="7F250BDC" w14:textId="202E3A3B" w:rsidR="00602E5A" w:rsidRDefault="00602E5A" w:rsidP="005253D8">
      <w:pPr>
        <w:pStyle w:val="ListBullet"/>
      </w:pPr>
      <w:r>
        <w:t>The elimination half-life was between 2.4 and 3.8 min</w:t>
      </w:r>
      <w:r w:rsidR="005253D8">
        <w:t>ute</w:t>
      </w:r>
      <w:r>
        <w:t>s in healthy subjects, compared to 4.2 min</w:t>
      </w:r>
      <w:r w:rsidR="005253D8">
        <w:t>ute</w:t>
      </w:r>
      <w:r>
        <w:t>s in patients with terminal renal insufficiency.</w:t>
      </w:r>
    </w:p>
    <w:p w14:paraId="4B44E896" w14:textId="7F20B4CF" w:rsidR="00602E5A" w:rsidRDefault="00602E5A" w:rsidP="005253D8">
      <w:pPr>
        <w:pStyle w:val="ListBullet"/>
      </w:pPr>
      <w:r>
        <w:t>Dose proportionality with various infusion rates was demonstrated in a single study.</w:t>
      </w:r>
    </w:p>
    <w:p w14:paraId="2D9BB176" w14:textId="0E5587BB" w:rsidR="00602E5A" w:rsidRDefault="00602E5A" w:rsidP="005253D8">
      <w:pPr>
        <w:pStyle w:val="ListBullet"/>
      </w:pPr>
      <w:r>
        <w:t>Following glutamine infusion, there were rises in systemic levels of glutamic acid and serine.</w:t>
      </w:r>
    </w:p>
    <w:p w14:paraId="48F3D615" w14:textId="5F13D26E" w:rsidR="00602E5A" w:rsidRDefault="00602E5A" w:rsidP="00E16066">
      <w:pPr>
        <w:pStyle w:val="ListBullet"/>
      </w:pPr>
      <w:r>
        <w:t xml:space="preserve">When patients admitted in ICU were treated with a 4 hour peripheral vein infusion of alanylglutamine 20% 2.5 mL/kg body weight (0.5 g/kg body weight), steady state was achieved soon after commencement of infusion. Median </w:t>
      </w:r>
      <w:r w:rsidR="00E16066">
        <w:t>m</w:t>
      </w:r>
      <w:r w:rsidR="00E16066" w:rsidRPr="00E16066">
        <w:t xml:space="preserve">aximum plasma </w:t>
      </w:r>
      <w:r w:rsidR="00E16066" w:rsidRPr="00E16066">
        <w:lastRenderedPageBreak/>
        <w:t xml:space="preserve">concentration observed </w:t>
      </w:r>
      <w:r w:rsidR="00E16066">
        <w:t>(</w:t>
      </w:r>
      <w:r>
        <w:t>C</w:t>
      </w:r>
      <w:r w:rsidRPr="005253D8">
        <w:rPr>
          <w:vertAlign w:val="subscript"/>
        </w:rPr>
        <w:t>max</w:t>
      </w:r>
      <w:r w:rsidR="00E16066" w:rsidRPr="00E16066">
        <w:t>)</w:t>
      </w:r>
      <w:r>
        <w:t xml:space="preserve"> was 652 </w:t>
      </w:r>
      <w:r w:rsidR="00CD7C0A">
        <w:t>µ</w:t>
      </w:r>
      <w:r>
        <w:t>mol/L.</w:t>
      </w:r>
      <w:r w:rsidR="005253D8">
        <w:t xml:space="preserve"> Median half-life was 0.26</w:t>
      </w:r>
      <w:r w:rsidR="00CD7C0A">
        <w:t> </w:t>
      </w:r>
      <w:r w:rsidR="005253D8">
        <w:t>hours,</w:t>
      </w:r>
      <w:r>
        <w:t xml:space="preserve"> rapid elimination followed cessation of infusion.</w:t>
      </w:r>
    </w:p>
    <w:p w14:paraId="4D68B1C7" w14:textId="62444339" w:rsidR="00602E5A" w:rsidRDefault="005253D8" w:rsidP="005253D8">
      <w:pPr>
        <w:pStyle w:val="ListBullet"/>
      </w:pPr>
      <w:r>
        <w:t>Data from S</w:t>
      </w:r>
      <w:r w:rsidR="00602E5A">
        <w:t>tudy 94-0742</w:t>
      </w:r>
      <w:r>
        <w:t xml:space="preserve">-001 suggests that </w:t>
      </w:r>
      <w:r w:rsidR="00CD7C0A">
        <w:t xml:space="preserve">the </w:t>
      </w:r>
      <w:r>
        <w:t>infusion of D</w:t>
      </w:r>
      <w:r w:rsidR="00602E5A">
        <w:t>ipeptiven at a dose of 0.7</w:t>
      </w:r>
      <w:r w:rsidR="00364BE6">
        <w:t> </w:t>
      </w:r>
      <w:r w:rsidR="00602E5A">
        <w:t>mg/kg/day may exceed the capacity for metabolising and to maintain the steady state. This m</w:t>
      </w:r>
      <w:r>
        <w:t>ight result in accumulation of D</w:t>
      </w:r>
      <w:r w:rsidR="00695AFB">
        <w:t>ipeptiven</w:t>
      </w:r>
      <w:r w:rsidR="00602E5A">
        <w:t>.</w:t>
      </w:r>
    </w:p>
    <w:p w14:paraId="44790A71" w14:textId="77777777" w:rsidR="00602E5A" w:rsidRDefault="005253D8" w:rsidP="00B35372">
      <w:pPr>
        <w:pStyle w:val="Heading4"/>
      </w:pPr>
      <w:r>
        <w:t>Pharmacodynamics</w:t>
      </w:r>
    </w:p>
    <w:p w14:paraId="501815AE" w14:textId="67AB0F13" w:rsidR="00CF326D" w:rsidRDefault="00CF326D" w:rsidP="00CF326D">
      <w:r>
        <w:t>The Delegate comment</w:t>
      </w:r>
      <w:r w:rsidR="00CD7C0A">
        <w:t>ed</w:t>
      </w:r>
      <w:r>
        <w:t xml:space="preserve"> that the lack of dose finding studies could be attributed to the time of initial registration in 1995. Due to the long history of use of this product, this issue was not considered as critical.</w:t>
      </w:r>
    </w:p>
    <w:p w14:paraId="72926125" w14:textId="6E94734C" w:rsidR="00602E5A" w:rsidRDefault="00E16066" w:rsidP="00D17C28">
      <w:pPr>
        <w:pStyle w:val="ListBullet"/>
      </w:pPr>
      <w:r>
        <w:t xml:space="preserve">Primary </w:t>
      </w:r>
      <w:r w:rsidR="005253D8">
        <w:t>P</w:t>
      </w:r>
      <w:r w:rsidR="00602E5A">
        <w:t>D</w:t>
      </w:r>
      <w:r w:rsidR="005253D8">
        <w:t xml:space="preserve"> effect of a</w:t>
      </w:r>
      <w:r w:rsidR="00602E5A">
        <w:t>lanylglutamine was to maintain systemic level of glutamine.</w:t>
      </w:r>
    </w:p>
    <w:p w14:paraId="74A5CF4F" w14:textId="7EC7FBF7" w:rsidR="00602E5A" w:rsidRDefault="00602E5A" w:rsidP="00D17C28">
      <w:pPr>
        <w:pStyle w:val="ListBullet"/>
      </w:pPr>
      <w:r>
        <w:t>No major differences were noted with studies that examined pituitary and neurological functions as secondary PD outcome measures.</w:t>
      </w:r>
    </w:p>
    <w:p w14:paraId="524829DB" w14:textId="7DD30C92" w:rsidR="00F87600" w:rsidRDefault="00F87600" w:rsidP="00D17C28">
      <w:pPr>
        <w:pStyle w:val="ListBullet"/>
      </w:pPr>
      <w:r>
        <w:t>Dosage selection for pivotal studies</w:t>
      </w:r>
      <w:r w:rsidR="00CD7C0A">
        <w:t>:</w:t>
      </w:r>
    </w:p>
    <w:p w14:paraId="357A9771" w14:textId="5EB6D271" w:rsidR="00F87600" w:rsidRDefault="00CD7C0A" w:rsidP="00D17C28">
      <w:pPr>
        <w:pStyle w:val="ListBullet2"/>
      </w:pPr>
      <w:r>
        <w:t xml:space="preserve">no </w:t>
      </w:r>
      <w:r w:rsidR="00F87600">
        <w:t>formal dose finding studies were included in this submission.</w:t>
      </w:r>
    </w:p>
    <w:p w14:paraId="07A01CB0" w14:textId="0F562096" w:rsidR="00F87600" w:rsidRDefault="00F87600" w:rsidP="00D17C28">
      <w:pPr>
        <w:pStyle w:val="ListBullet2"/>
      </w:pPr>
      <w:r>
        <w:t>The efficacy stud</w:t>
      </w:r>
      <w:r w:rsidR="00CF326D">
        <w:t>ies used doses ranging from 0.3 to 0.5 </w:t>
      </w:r>
      <w:r>
        <w:t>g/kg/day.</w:t>
      </w:r>
    </w:p>
    <w:p w14:paraId="6AC5DD60" w14:textId="7164E9E8" w:rsidR="00F87600" w:rsidRDefault="00F87600" w:rsidP="00B35372">
      <w:pPr>
        <w:pStyle w:val="Heading4"/>
      </w:pPr>
      <w:r>
        <w:t>Efficacy</w:t>
      </w:r>
    </w:p>
    <w:p w14:paraId="43CAA077" w14:textId="77777777" w:rsidR="00F87600" w:rsidRDefault="00F87600" w:rsidP="00B35372">
      <w:pPr>
        <w:pStyle w:val="Heading5"/>
      </w:pPr>
      <w:r>
        <w:t>Study AS-DP-01-DE</w:t>
      </w:r>
    </w:p>
    <w:p w14:paraId="4F7AC0FB" w14:textId="50806F01" w:rsidR="00F87600" w:rsidRDefault="00F87600" w:rsidP="00F87600">
      <w:r w:rsidRPr="00B35372">
        <w:rPr>
          <w:i/>
        </w:rPr>
        <w:t>Study design</w:t>
      </w:r>
      <w:r>
        <w:t xml:space="preserve">: </w:t>
      </w:r>
      <w:r w:rsidR="00CD7C0A">
        <w:t xml:space="preserve">A </w:t>
      </w:r>
      <w:r>
        <w:t xml:space="preserve">Phase III </w:t>
      </w:r>
      <w:r w:rsidR="00CD7C0A">
        <w:t>r</w:t>
      </w:r>
      <w:r>
        <w:t>andomised control trial (RCT), single centre, open</w:t>
      </w:r>
      <w:r w:rsidR="00F2754C">
        <w:t xml:space="preserve"> </w:t>
      </w:r>
      <w:r>
        <w:t>label study.</w:t>
      </w:r>
    </w:p>
    <w:p w14:paraId="0567525A" w14:textId="77777777" w:rsidR="00F87600" w:rsidRDefault="00F87600" w:rsidP="00F87600">
      <w:r w:rsidRPr="00B35372">
        <w:rPr>
          <w:i/>
        </w:rPr>
        <w:t>Study period</w:t>
      </w:r>
      <w:r>
        <w:t>: July 1989 to December 1990.</w:t>
      </w:r>
    </w:p>
    <w:p w14:paraId="44D9A890" w14:textId="41A4A1F3" w:rsidR="00F87600" w:rsidRDefault="00274889" w:rsidP="00F87600">
      <w:r w:rsidRPr="00B35372">
        <w:rPr>
          <w:i/>
        </w:rPr>
        <w:t>Study location</w:t>
      </w:r>
      <w:r>
        <w:t xml:space="preserve">: </w:t>
      </w:r>
      <w:r w:rsidR="00F87600">
        <w:t>Study centre was located in Germany.</w:t>
      </w:r>
    </w:p>
    <w:p w14:paraId="6D2470D4" w14:textId="74E6CDE8" w:rsidR="00F87600" w:rsidRDefault="00F87600" w:rsidP="00F87600">
      <w:r>
        <w:t xml:space="preserve">No specific inclusion criteria were stated other than all adult patients undergoing elective gastrointestinal (GI) surgery and requiring parenteral nutrition (PN) for at least 5 days were entered into the study. 15 patients </w:t>
      </w:r>
      <w:r w:rsidR="008175B8">
        <w:t xml:space="preserve">each </w:t>
      </w:r>
      <w:r>
        <w:t xml:space="preserve">were included </w:t>
      </w:r>
      <w:r w:rsidR="008175B8">
        <w:t xml:space="preserve">in the </w:t>
      </w:r>
      <w:r>
        <w:t>test and control groups.</w:t>
      </w:r>
    </w:p>
    <w:p w14:paraId="2A097106" w14:textId="473B1CDE" w:rsidR="00F87600" w:rsidRDefault="00F87600" w:rsidP="00F87600">
      <w:r>
        <w:t xml:space="preserve">Parenteral feeding regimen was as follows, only electrolyte solutions were given on the day of surgery. From 1 to 5 post-operative days, patients received </w:t>
      </w:r>
      <w:r w:rsidR="00D17C28">
        <w:t>t</w:t>
      </w:r>
      <w:r w:rsidRPr="00F87600">
        <w:t>otal parenteral nutrition</w:t>
      </w:r>
      <w:r w:rsidR="00CF326D">
        <w:t xml:space="preserve"> (TPN). Amino acid dose was 1.5 </w:t>
      </w:r>
      <w:r>
        <w:t>g/kg/da</w:t>
      </w:r>
      <w:r w:rsidR="00CF326D">
        <w:t>y. Treatment group received 10%</w:t>
      </w:r>
      <w:r w:rsidR="002F2847">
        <w:t xml:space="preserve"> </w:t>
      </w:r>
      <w:r w:rsidR="00695AFB">
        <w:t>dipeptide alanylglutamine</w:t>
      </w:r>
      <w:r w:rsidR="002F2847" w:rsidRPr="00005F8A">
        <w:t xml:space="preserve"> </w:t>
      </w:r>
      <w:r w:rsidR="002F2847">
        <w:t>solution.</w:t>
      </w:r>
      <w:r>
        <w:t xml:space="preserve"> Infusions were administered at a constant rate over 24 hours via a central venous catheter.</w:t>
      </w:r>
    </w:p>
    <w:p w14:paraId="4741BE55" w14:textId="77777777" w:rsidR="00F87600" w:rsidRDefault="00F87600" w:rsidP="00F87600">
      <w:r w:rsidRPr="00B35372">
        <w:rPr>
          <w:i/>
        </w:rPr>
        <w:t>Efficacy variables</w:t>
      </w:r>
      <w:r>
        <w:t>: urea production rate, nitrogen balance and measurement of amino acids in plasma, including alanylglutamine. No clinical outcomes were specified as efficacy variables.</w:t>
      </w:r>
    </w:p>
    <w:p w14:paraId="402FA3D6" w14:textId="2A69A89F" w:rsidR="00F87600" w:rsidRDefault="00F87600" w:rsidP="00F87600">
      <w:r w:rsidRPr="00B35372">
        <w:rPr>
          <w:i/>
        </w:rPr>
        <w:t>Trial duration</w:t>
      </w:r>
      <w:r>
        <w:t>: 5 days</w:t>
      </w:r>
      <w:r w:rsidR="00274889">
        <w:t>.</w:t>
      </w:r>
    </w:p>
    <w:p w14:paraId="7EAD243A" w14:textId="437844FA" w:rsidR="00F87600" w:rsidRDefault="00F87600" w:rsidP="00F87600">
      <w:r>
        <w:t>Mean age of patients were around 59 and 66 years in treatment and control groups respectively. The nature and severity of surgeries were comparable across treatment groups. Serum glutam</w:t>
      </w:r>
      <w:r w:rsidR="00D17C28">
        <w:t>ine level was not estimated at B</w:t>
      </w:r>
      <w:r>
        <w:t>aseline.</w:t>
      </w:r>
    </w:p>
    <w:p w14:paraId="7B9BB873" w14:textId="77777777" w:rsidR="00695AFB" w:rsidRPr="00274889" w:rsidRDefault="00695AFB" w:rsidP="00B35372">
      <w:pPr>
        <w:pStyle w:val="Heading6"/>
      </w:pPr>
      <w:r>
        <w:t>Results</w:t>
      </w:r>
    </w:p>
    <w:p w14:paraId="1E6B7D53" w14:textId="7E56A76E" w:rsidR="00F87600" w:rsidRDefault="00F87600" w:rsidP="00F87600">
      <w:r>
        <w:t>No meaningful difference in urea production rate between treatment arms. The urea pro</w:t>
      </w:r>
      <w:r w:rsidR="00D17C28">
        <w:t xml:space="preserve">duction rate varied between 450 to </w:t>
      </w:r>
      <w:r>
        <w:t xml:space="preserve">550 mg urea/kg bodyweight/24 hours over the five days of the study. A relatively positive nitrogen balance was reported for the </w:t>
      </w:r>
      <w:r w:rsidR="00695AFB">
        <w:t>dipeptide alanylglutamine</w:t>
      </w:r>
      <w:r>
        <w:t xml:space="preserve"> group. However, there was no significant difference between groups.</w:t>
      </w:r>
    </w:p>
    <w:p w14:paraId="31344BC7" w14:textId="3DC3482C" w:rsidR="007575C6" w:rsidRDefault="007575C6" w:rsidP="007575C6">
      <w:pPr>
        <w:pStyle w:val="TableTitle"/>
      </w:pPr>
      <w:r w:rsidRPr="007575C6">
        <w:lastRenderedPageBreak/>
        <w:t xml:space="preserve">Table </w:t>
      </w:r>
      <w:fldSimple w:instr=" SEQ Table \* ARABIC ">
        <w:r w:rsidR="00405CEF">
          <w:rPr>
            <w:noProof/>
          </w:rPr>
          <w:t>3</w:t>
        </w:r>
      </w:fldSimple>
      <w:r>
        <w:t xml:space="preserve">: </w:t>
      </w:r>
      <w:r w:rsidR="00274889">
        <w:t>Study AS-DP</w:t>
      </w:r>
      <w:r w:rsidR="0067586B">
        <w:t>-</w:t>
      </w:r>
      <w:r w:rsidR="00274889">
        <w:t xml:space="preserve">01-DE </w:t>
      </w:r>
      <w:r>
        <w:t>Comparison of urea production rate</w:t>
      </w:r>
    </w:p>
    <w:tbl>
      <w:tblPr>
        <w:tblStyle w:val="TableTGAblue"/>
        <w:tblW w:w="0" w:type="auto"/>
        <w:tblLook w:val="04A0" w:firstRow="1" w:lastRow="0" w:firstColumn="1" w:lastColumn="0" w:noHBand="0" w:noVBand="1"/>
      </w:tblPr>
      <w:tblGrid>
        <w:gridCol w:w="1453"/>
        <w:gridCol w:w="1453"/>
        <w:gridCol w:w="1453"/>
        <w:gridCol w:w="1453"/>
        <w:gridCol w:w="1454"/>
        <w:gridCol w:w="1454"/>
      </w:tblGrid>
      <w:tr w:rsidR="001A0DCF" w14:paraId="537F63E6" w14:textId="77777777" w:rsidTr="001A0DCF">
        <w:trPr>
          <w:cnfStyle w:val="100000000000" w:firstRow="1" w:lastRow="0" w:firstColumn="0" w:lastColumn="0" w:oddVBand="0" w:evenVBand="0" w:oddHBand="0" w:evenHBand="0" w:firstRowFirstColumn="0" w:firstRowLastColumn="0" w:lastRowFirstColumn="0" w:lastRowLastColumn="0"/>
        </w:trPr>
        <w:tc>
          <w:tcPr>
            <w:tcW w:w="1453" w:type="dxa"/>
          </w:tcPr>
          <w:p w14:paraId="5ACF24C9" w14:textId="77777777" w:rsidR="001A0DCF" w:rsidRDefault="001A0DCF" w:rsidP="00F87600"/>
        </w:tc>
        <w:tc>
          <w:tcPr>
            <w:tcW w:w="1453" w:type="dxa"/>
          </w:tcPr>
          <w:p w14:paraId="57C30E48" w14:textId="50CB4797" w:rsidR="001A0DCF" w:rsidRDefault="001A0DCF" w:rsidP="00F14AA0">
            <w:pPr>
              <w:ind w:left="0"/>
              <w:jc w:val="center"/>
            </w:pPr>
            <w:r>
              <w:t>T1</w:t>
            </w:r>
          </w:p>
        </w:tc>
        <w:tc>
          <w:tcPr>
            <w:tcW w:w="1453" w:type="dxa"/>
          </w:tcPr>
          <w:p w14:paraId="7107C322" w14:textId="4939FF0A" w:rsidR="001A0DCF" w:rsidRDefault="001A0DCF" w:rsidP="00F14AA0">
            <w:pPr>
              <w:ind w:left="0"/>
              <w:jc w:val="center"/>
            </w:pPr>
            <w:r>
              <w:t>T2</w:t>
            </w:r>
          </w:p>
        </w:tc>
        <w:tc>
          <w:tcPr>
            <w:tcW w:w="1453" w:type="dxa"/>
          </w:tcPr>
          <w:p w14:paraId="51D5ED88" w14:textId="2C9F6EFB" w:rsidR="001A0DCF" w:rsidRDefault="001A0DCF" w:rsidP="00F14AA0">
            <w:pPr>
              <w:ind w:left="0"/>
              <w:jc w:val="center"/>
            </w:pPr>
            <w:r>
              <w:t>T3</w:t>
            </w:r>
          </w:p>
        </w:tc>
        <w:tc>
          <w:tcPr>
            <w:tcW w:w="1454" w:type="dxa"/>
          </w:tcPr>
          <w:p w14:paraId="17064FC1" w14:textId="347E96E4" w:rsidR="001A0DCF" w:rsidRDefault="001A0DCF" w:rsidP="00F14AA0">
            <w:pPr>
              <w:ind w:left="0"/>
              <w:jc w:val="center"/>
            </w:pPr>
            <w:r>
              <w:t>T4</w:t>
            </w:r>
          </w:p>
        </w:tc>
        <w:tc>
          <w:tcPr>
            <w:tcW w:w="1454" w:type="dxa"/>
          </w:tcPr>
          <w:p w14:paraId="682E4E51" w14:textId="4A5D293F" w:rsidR="001A0DCF" w:rsidRDefault="001A0DCF" w:rsidP="00F14AA0">
            <w:pPr>
              <w:ind w:left="0"/>
              <w:jc w:val="center"/>
            </w:pPr>
            <w:r>
              <w:t>T5</w:t>
            </w:r>
          </w:p>
        </w:tc>
      </w:tr>
      <w:tr w:rsidR="001A0DCF" w14:paraId="22449352" w14:textId="77777777" w:rsidTr="001A0DCF">
        <w:tc>
          <w:tcPr>
            <w:tcW w:w="1453" w:type="dxa"/>
          </w:tcPr>
          <w:p w14:paraId="59284CAA" w14:textId="4ACD2A15" w:rsidR="001A0DCF" w:rsidRPr="007575C6" w:rsidRDefault="001A0DCF" w:rsidP="00F87600">
            <w:pPr>
              <w:rPr>
                <w:b/>
              </w:rPr>
            </w:pPr>
            <w:r w:rsidRPr="007575C6">
              <w:rPr>
                <w:b/>
              </w:rPr>
              <w:t>Test group</w:t>
            </w:r>
          </w:p>
        </w:tc>
        <w:tc>
          <w:tcPr>
            <w:tcW w:w="1453" w:type="dxa"/>
          </w:tcPr>
          <w:p w14:paraId="7A11F4FD" w14:textId="1B70EE58" w:rsidR="001A0DCF" w:rsidRDefault="001A0DCF" w:rsidP="00F87600">
            <w:r>
              <w:t>435 ± 103</w:t>
            </w:r>
          </w:p>
        </w:tc>
        <w:tc>
          <w:tcPr>
            <w:tcW w:w="1453" w:type="dxa"/>
          </w:tcPr>
          <w:p w14:paraId="1DF088F2" w14:textId="0CCE5167" w:rsidR="001A0DCF" w:rsidRDefault="001A0DCF" w:rsidP="00F87600">
            <w:r>
              <w:t>486 ± 194</w:t>
            </w:r>
          </w:p>
        </w:tc>
        <w:tc>
          <w:tcPr>
            <w:tcW w:w="1453" w:type="dxa"/>
          </w:tcPr>
          <w:p w14:paraId="2FC26948" w14:textId="245FD6C0" w:rsidR="001A0DCF" w:rsidRDefault="001A0DCF" w:rsidP="00F87600">
            <w:r>
              <w:t>445 ± 86</w:t>
            </w:r>
          </w:p>
        </w:tc>
        <w:tc>
          <w:tcPr>
            <w:tcW w:w="1454" w:type="dxa"/>
          </w:tcPr>
          <w:p w14:paraId="504DBFEE" w14:textId="40B45282" w:rsidR="001A0DCF" w:rsidRDefault="001A0DCF" w:rsidP="00F87600">
            <w:r>
              <w:t>514 ± 190</w:t>
            </w:r>
          </w:p>
        </w:tc>
        <w:tc>
          <w:tcPr>
            <w:tcW w:w="1454" w:type="dxa"/>
          </w:tcPr>
          <w:p w14:paraId="51C8DFF5" w14:textId="2F718879" w:rsidR="001A0DCF" w:rsidRDefault="001A0DCF" w:rsidP="00F87600">
            <w:r>
              <w:t>500 ± 126</w:t>
            </w:r>
          </w:p>
        </w:tc>
      </w:tr>
      <w:tr w:rsidR="001A0DCF" w14:paraId="49C23BAA" w14:textId="77777777" w:rsidTr="001A0DCF">
        <w:tc>
          <w:tcPr>
            <w:tcW w:w="1453" w:type="dxa"/>
          </w:tcPr>
          <w:p w14:paraId="3BD4780C" w14:textId="7589C1B1" w:rsidR="001A0DCF" w:rsidRPr="007575C6" w:rsidRDefault="001A0DCF" w:rsidP="00F87600">
            <w:pPr>
              <w:rPr>
                <w:b/>
              </w:rPr>
            </w:pPr>
            <w:r w:rsidRPr="007575C6">
              <w:rPr>
                <w:b/>
              </w:rPr>
              <w:t>Control group</w:t>
            </w:r>
          </w:p>
        </w:tc>
        <w:tc>
          <w:tcPr>
            <w:tcW w:w="1453" w:type="dxa"/>
          </w:tcPr>
          <w:p w14:paraId="610E343B" w14:textId="747ED507" w:rsidR="001A0DCF" w:rsidRDefault="001A0DCF" w:rsidP="00F87600">
            <w:r>
              <w:t>456 ± 121</w:t>
            </w:r>
          </w:p>
        </w:tc>
        <w:tc>
          <w:tcPr>
            <w:tcW w:w="1453" w:type="dxa"/>
          </w:tcPr>
          <w:p w14:paraId="78F6AD65" w14:textId="5FAB7AD8" w:rsidR="001A0DCF" w:rsidRDefault="001A0DCF" w:rsidP="00F87600">
            <w:r>
              <w:t>506 ± 130</w:t>
            </w:r>
          </w:p>
        </w:tc>
        <w:tc>
          <w:tcPr>
            <w:tcW w:w="1453" w:type="dxa"/>
          </w:tcPr>
          <w:p w14:paraId="2A670676" w14:textId="7FF058B5" w:rsidR="001A0DCF" w:rsidRDefault="001A0DCF" w:rsidP="00F87600">
            <w:r>
              <w:t>544 ± 118</w:t>
            </w:r>
          </w:p>
        </w:tc>
        <w:tc>
          <w:tcPr>
            <w:tcW w:w="1454" w:type="dxa"/>
          </w:tcPr>
          <w:p w14:paraId="4D6F9FA1" w14:textId="12B824B1" w:rsidR="001A0DCF" w:rsidRDefault="007575C6" w:rsidP="00F87600">
            <w:r>
              <w:t>549 ± 131</w:t>
            </w:r>
          </w:p>
        </w:tc>
        <w:tc>
          <w:tcPr>
            <w:tcW w:w="1454" w:type="dxa"/>
          </w:tcPr>
          <w:p w14:paraId="4E4BB742" w14:textId="33D82685" w:rsidR="001A0DCF" w:rsidRDefault="007575C6" w:rsidP="00F87600">
            <w:r>
              <w:t>510 ±140</w:t>
            </w:r>
          </w:p>
        </w:tc>
      </w:tr>
    </w:tbl>
    <w:p w14:paraId="6729EA10" w14:textId="44C9679E" w:rsidR="00274889" w:rsidRDefault="00274889" w:rsidP="00B35372">
      <w:pPr>
        <w:pStyle w:val="TableDescription"/>
      </w:pPr>
      <w:r>
        <w:t>T1 to T5 = Days 1 to 5 of the study; urea production rate given in mg/</w:t>
      </w:r>
      <w:r w:rsidR="007629BE">
        <w:t>kg bodyweight/24 hours.</w:t>
      </w:r>
    </w:p>
    <w:p w14:paraId="4E7C2C66" w14:textId="07E8C4CA" w:rsidR="001A0DCF" w:rsidRDefault="007575C6" w:rsidP="007575C6">
      <w:pPr>
        <w:pStyle w:val="TableTitle"/>
      </w:pPr>
      <w:r w:rsidRPr="007575C6">
        <w:t xml:space="preserve">Table </w:t>
      </w:r>
      <w:fldSimple w:instr=" SEQ Table \* ARABIC ">
        <w:r w:rsidR="00405CEF">
          <w:rPr>
            <w:noProof/>
          </w:rPr>
          <w:t>4</w:t>
        </w:r>
      </w:fldSimple>
      <w:r>
        <w:t xml:space="preserve">: </w:t>
      </w:r>
      <w:r w:rsidR="00274889">
        <w:t>Study AS-DP</w:t>
      </w:r>
      <w:r w:rsidR="0067586B">
        <w:t>-</w:t>
      </w:r>
      <w:r w:rsidR="00274889">
        <w:t xml:space="preserve">01-DE </w:t>
      </w:r>
      <w:r>
        <w:t>Comparison of nitrogen balance</w:t>
      </w:r>
    </w:p>
    <w:tbl>
      <w:tblPr>
        <w:tblStyle w:val="TableTGAblue"/>
        <w:tblW w:w="0" w:type="auto"/>
        <w:tblLook w:val="04A0" w:firstRow="1" w:lastRow="0" w:firstColumn="1" w:lastColumn="0" w:noHBand="0" w:noVBand="1"/>
      </w:tblPr>
      <w:tblGrid>
        <w:gridCol w:w="1453"/>
        <w:gridCol w:w="1453"/>
        <w:gridCol w:w="1453"/>
        <w:gridCol w:w="1453"/>
        <w:gridCol w:w="1454"/>
        <w:gridCol w:w="1454"/>
      </w:tblGrid>
      <w:tr w:rsidR="007575C6" w14:paraId="04EAA235" w14:textId="77777777" w:rsidTr="007575C6">
        <w:trPr>
          <w:cnfStyle w:val="100000000000" w:firstRow="1" w:lastRow="0" w:firstColumn="0" w:lastColumn="0" w:oddVBand="0" w:evenVBand="0" w:oddHBand="0" w:evenHBand="0" w:firstRowFirstColumn="0" w:firstRowLastColumn="0" w:lastRowFirstColumn="0" w:lastRowLastColumn="0"/>
        </w:trPr>
        <w:tc>
          <w:tcPr>
            <w:tcW w:w="1453" w:type="dxa"/>
          </w:tcPr>
          <w:p w14:paraId="4705F0A4" w14:textId="77777777" w:rsidR="007575C6" w:rsidRDefault="007575C6" w:rsidP="007575C6">
            <w:pPr>
              <w:pStyle w:val="TableTitle"/>
            </w:pPr>
          </w:p>
        </w:tc>
        <w:tc>
          <w:tcPr>
            <w:tcW w:w="1453" w:type="dxa"/>
          </w:tcPr>
          <w:p w14:paraId="49ED9866" w14:textId="2E45C3FD" w:rsidR="007575C6" w:rsidRPr="007575C6" w:rsidRDefault="007575C6" w:rsidP="00F14AA0">
            <w:pPr>
              <w:pStyle w:val="TableTitle"/>
              <w:ind w:left="0"/>
              <w:jc w:val="center"/>
              <w:rPr>
                <w:b/>
              </w:rPr>
            </w:pPr>
            <w:r w:rsidRPr="007575C6">
              <w:rPr>
                <w:b/>
              </w:rPr>
              <w:t>T1</w:t>
            </w:r>
          </w:p>
        </w:tc>
        <w:tc>
          <w:tcPr>
            <w:tcW w:w="1453" w:type="dxa"/>
          </w:tcPr>
          <w:p w14:paraId="3AFC4C35" w14:textId="5FF53B4E" w:rsidR="007575C6" w:rsidRPr="007575C6" w:rsidRDefault="007575C6" w:rsidP="00F14AA0">
            <w:pPr>
              <w:pStyle w:val="TableTitle"/>
              <w:ind w:left="0"/>
              <w:jc w:val="center"/>
              <w:rPr>
                <w:b/>
              </w:rPr>
            </w:pPr>
            <w:r w:rsidRPr="007575C6">
              <w:rPr>
                <w:b/>
              </w:rPr>
              <w:t>T2</w:t>
            </w:r>
          </w:p>
        </w:tc>
        <w:tc>
          <w:tcPr>
            <w:tcW w:w="1453" w:type="dxa"/>
          </w:tcPr>
          <w:p w14:paraId="7C046E35" w14:textId="647A1219" w:rsidR="007575C6" w:rsidRPr="007575C6" w:rsidRDefault="007575C6" w:rsidP="00F14AA0">
            <w:pPr>
              <w:pStyle w:val="TableTitle"/>
              <w:ind w:left="0"/>
              <w:jc w:val="center"/>
              <w:rPr>
                <w:b/>
              </w:rPr>
            </w:pPr>
            <w:r w:rsidRPr="007575C6">
              <w:rPr>
                <w:b/>
              </w:rPr>
              <w:t>T3</w:t>
            </w:r>
          </w:p>
        </w:tc>
        <w:tc>
          <w:tcPr>
            <w:tcW w:w="1454" w:type="dxa"/>
          </w:tcPr>
          <w:p w14:paraId="5104E91B" w14:textId="1880851D" w:rsidR="007575C6" w:rsidRPr="007575C6" w:rsidRDefault="007575C6" w:rsidP="00F14AA0">
            <w:pPr>
              <w:pStyle w:val="TableTitle"/>
              <w:ind w:left="0"/>
              <w:jc w:val="center"/>
              <w:rPr>
                <w:b/>
              </w:rPr>
            </w:pPr>
            <w:r w:rsidRPr="007575C6">
              <w:rPr>
                <w:b/>
              </w:rPr>
              <w:t>T4</w:t>
            </w:r>
          </w:p>
        </w:tc>
        <w:tc>
          <w:tcPr>
            <w:tcW w:w="1454" w:type="dxa"/>
          </w:tcPr>
          <w:p w14:paraId="446F8268" w14:textId="6DA4F036" w:rsidR="007575C6" w:rsidRPr="007575C6" w:rsidRDefault="007575C6" w:rsidP="00F14AA0">
            <w:pPr>
              <w:pStyle w:val="TableTitle"/>
              <w:ind w:left="0"/>
              <w:jc w:val="center"/>
              <w:rPr>
                <w:b/>
              </w:rPr>
            </w:pPr>
            <w:r w:rsidRPr="007575C6">
              <w:rPr>
                <w:b/>
              </w:rPr>
              <w:t>T5</w:t>
            </w:r>
          </w:p>
        </w:tc>
      </w:tr>
      <w:tr w:rsidR="007575C6" w14:paraId="6E449943" w14:textId="77777777" w:rsidTr="007575C6">
        <w:tc>
          <w:tcPr>
            <w:tcW w:w="1453" w:type="dxa"/>
          </w:tcPr>
          <w:p w14:paraId="385D773D" w14:textId="1D557A04" w:rsidR="007575C6" w:rsidRDefault="007575C6" w:rsidP="007575C6">
            <w:pPr>
              <w:pStyle w:val="TableTitle"/>
            </w:pPr>
            <w:r>
              <w:t>Test group</w:t>
            </w:r>
          </w:p>
        </w:tc>
        <w:tc>
          <w:tcPr>
            <w:tcW w:w="1453" w:type="dxa"/>
          </w:tcPr>
          <w:p w14:paraId="74B42A89" w14:textId="44F7DEEB" w:rsidR="007575C6" w:rsidRPr="007575C6" w:rsidRDefault="007575C6" w:rsidP="007575C6">
            <w:pPr>
              <w:pStyle w:val="TableTitle"/>
              <w:rPr>
                <w:b w:val="0"/>
              </w:rPr>
            </w:pPr>
            <w:r w:rsidRPr="007575C6">
              <w:rPr>
                <w:b w:val="0"/>
              </w:rPr>
              <w:t xml:space="preserve">18 ± </w:t>
            </w:r>
            <w:r>
              <w:rPr>
                <w:b w:val="0"/>
              </w:rPr>
              <w:t>45</w:t>
            </w:r>
          </w:p>
        </w:tc>
        <w:tc>
          <w:tcPr>
            <w:tcW w:w="1453" w:type="dxa"/>
          </w:tcPr>
          <w:p w14:paraId="3ED0BFA2" w14:textId="41E951ED" w:rsidR="007575C6" w:rsidRPr="007575C6" w:rsidRDefault="007575C6" w:rsidP="007575C6">
            <w:pPr>
              <w:pStyle w:val="TableTitle"/>
              <w:rPr>
                <w:b w:val="0"/>
              </w:rPr>
            </w:pPr>
            <w:r>
              <w:rPr>
                <w:b w:val="0"/>
              </w:rPr>
              <w:t>10 ± 47</w:t>
            </w:r>
          </w:p>
        </w:tc>
        <w:tc>
          <w:tcPr>
            <w:tcW w:w="1453" w:type="dxa"/>
          </w:tcPr>
          <w:p w14:paraId="6954790C" w14:textId="1704C6AE" w:rsidR="007575C6" w:rsidRPr="007575C6" w:rsidRDefault="007575C6" w:rsidP="007575C6">
            <w:pPr>
              <w:pStyle w:val="TableTitle"/>
              <w:rPr>
                <w:b w:val="0"/>
              </w:rPr>
            </w:pPr>
            <w:r>
              <w:rPr>
                <w:b w:val="0"/>
              </w:rPr>
              <w:t>7 ± 46</w:t>
            </w:r>
          </w:p>
        </w:tc>
        <w:tc>
          <w:tcPr>
            <w:tcW w:w="1454" w:type="dxa"/>
          </w:tcPr>
          <w:p w14:paraId="68B4C156" w14:textId="0F19C7B8" w:rsidR="007575C6" w:rsidRPr="007575C6" w:rsidRDefault="007575C6" w:rsidP="007575C6">
            <w:pPr>
              <w:pStyle w:val="TableTitle"/>
              <w:rPr>
                <w:b w:val="0"/>
              </w:rPr>
            </w:pPr>
            <w:r>
              <w:rPr>
                <w:b w:val="0"/>
              </w:rPr>
              <w:t>-1 ± 57</w:t>
            </w:r>
          </w:p>
        </w:tc>
        <w:tc>
          <w:tcPr>
            <w:tcW w:w="1454" w:type="dxa"/>
          </w:tcPr>
          <w:p w14:paraId="7969E35E" w14:textId="3E83D9C1" w:rsidR="007575C6" w:rsidRPr="007575C6" w:rsidRDefault="007575C6" w:rsidP="007575C6">
            <w:pPr>
              <w:pStyle w:val="TableTitle"/>
              <w:rPr>
                <w:b w:val="0"/>
              </w:rPr>
            </w:pPr>
            <w:r>
              <w:rPr>
                <w:b w:val="0"/>
              </w:rPr>
              <w:t>-16 ± 58</w:t>
            </w:r>
          </w:p>
        </w:tc>
      </w:tr>
      <w:tr w:rsidR="007575C6" w14:paraId="017AB5C8" w14:textId="77777777" w:rsidTr="007575C6">
        <w:tc>
          <w:tcPr>
            <w:tcW w:w="1453" w:type="dxa"/>
          </w:tcPr>
          <w:p w14:paraId="58B892F4" w14:textId="4DB6980F" w:rsidR="007575C6" w:rsidRDefault="007575C6" w:rsidP="007575C6">
            <w:pPr>
              <w:pStyle w:val="TableTitle"/>
            </w:pPr>
            <w:r>
              <w:t>Control group</w:t>
            </w:r>
          </w:p>
        </w:tc>
        <w:tc>
          <w:tcPr>
            <w:tcW w:w="1453" w:type="dxa"/>
          </w:tcPr>
          <w:p w14:paraId="3BEA7EF8" w14:textId="07066911" w:rsidR="007575C6" w:rsidRPr="007575C6" w:rsidRDefault="007575C6" w:rsidP="007575C6">
            <w:pPr>
              <w:pStyle w:val="TableTitle"/>
              <w:rPr>
                <w:b w:val="0"/>
              </w:rPr>
            </w:pPr>
            <w:r>
              <w:rPr>
                <w:b w:val="0"/>
              </w:rPr>
              <w:t>16 ± 52</w:t>
            </w:r>
          </w:p>
        </w:tc>
        <w:tc>
          <w:tcPr>
            <w:tcW w:w="1453" w:type="dxa"/>
          </w:tcPr>
          <w:p w14:paraId="2E15D240" w14:textId="4F8AC19B" w:rsidR="007575C6" w:rsidRPr="007575C6" w:rsidRDefault="007575C6" w:rsidP="007575C6">
            <w:pPr>
              <w:pStyle w:val="TableTitle"/>
              <w:rPr>
                <w:b w:val="0"/>
              </w:rPr>
            </w:pPr>
            <w:r>
              <w:rPr>
                <w:b w:val="0"/>
              </w:rPr>
              <w:t>-4 ± 53</w:t>
            </w:r>
          </w:p>
        </w:tc>
        <w:tc>
          <w:tcPr>
            <w:tcW w:w="1453" w:type="dxa"/>
          </w:tcPr>
          <w:p w14:paraId="162FB925" w14:textId="0F020052" w:rsidR="007575C6" w:rsidRPr="007575C6" w:rsidRDefault="007575C6" w:rsidP="007575C6">
            <w:pPr>
              <w:pStyle w:val="TableTitle"/>
              <w:rPr>
                <w:b w:val="0"/>
              </w:rPr>
            </w:pPr>
            <w:r>
              <w:rPr>
                <w:b w:val="0"/>
              </w:rPr>
              <w:t>-13 ±46</w:t>
            </w:r>
          </w:p>
        </w:tc>
        <w:tc>
          <w:tcPr>
            <w:tcW w:w="1454" w:type="dxa"/>
          </w:tcPr>
          <w:p w14:paraId="3FDE7664" w14:textId="59B2C054" w:rsidR="007575C6" w:rsidRPr="007575C6" w:rsidRDefault="007575C6" w:rsidP="007575C6">
            <w:pPr>
              <w:pStyle w:val="TableTitle"/>
              <w:rPr>
                <w:b w:val="0"/>
              </w:rPr>
            </w:pPr>
            <w:r>
              <w:rPr>
                <w:b w:val="0"/>
              </w:rPr>
              <w:t>-32 ± 54</w:t>
            </w:r>
          </w:p>
        </w:tc>
        <w:tc>
          <w:tcPr>
            <w:tcW w:w="1454" w:type="dxa"/>
          </w:tcPr>
          <w:p w14:paraId="5470ABC6" w14:textId="0418F6D2" w:rsidR="007575C6" w:rsidRPr="007575C6" w:rsidRDefault="007575C6" w:rsidP="007575C6">
            <w:pPr>
              <w:pStyle w:val="TableTitle"/>
              <w:rPr>
                <w:b w:val="0"/>
              </w:rPr>
            </w:pPr>
            <w:r>
              <w:rPr>
                <w:b w:val="0"/>
              </w:rPr>
              <w:t>-23 ± 53</w:t>
            </w:r>
          </w:p>
        </w:tc>
      </w:tr>
    </w:tbl>
    <w:p w14:paraId="1F5A3907" w14:textId="52076154" w:rsidR="007629BE" w:rsidRDefault="007629BE" w:rsidP="00B35372">
      <w:pPr>
        <w:pStyle w:val="TableDescription"/>
      </w:pPr>
      <w:r>
        <w:t>T1 to T5 = Days 1 to 5 of the study; nitrogen balance given</w:t>
      </w:r>
      <w:r w:rsidR="0067586B">
        <w:t xml:space="preserve"> for individual days (24 hour periods)</w:t>
      </w:r>
      <w:r>
        <w:t xml:space="preserve"> in </w:t>
      </w:r>
      <w:r w:rsidRPr="008F012A">
        <w:t>mg</w:t>
      </w:r>
      <w:r>
        <w:t>/kg bodyweight/24 hours.</w:t>
      </w:r>
    </w:p>
    <w:p w14:paraId="46088AC3" w14:textId="595EA7DA" w:rsidR="007575C6" w:rsidRDefault="007575C6" w:rsidP="007575C6">
      <w:r>
        <w:t xml:space="preserve">In spite of administration of </w:t>
      </w:r>
      <w:r w:rsidR="00695AFB">
        <w:t>dipeptide alanylglutamine</w:t>
      </w:r>
      <w:r>
        <w:t xml:space="preserve"> infusion to treatment group, there was a rise in plasma glutamine levels for patients in both treatment groups. Also, there was no significant difference between treatment and control groups in the level of glutamine eliminated in urine.</w:t>
      </w:r>
    </w:p>
    <w:p w14:paraId="40960026" w14:textId="195384E2" w:rsidR="007575C6" w:rsidRDefault="007575C6" w:rsidP="007575C6">
      <w:r>
        <w:t>No significant difference in other biochemical parameters were reported. Post-operative recovery was also comparable across groups.</w:t>
      </w:r>
    </w:p>
    <w:p w14:paraId="5BF13511" w14:textId="735453A0" w:rsidR="007575C6" w:rsidRDefault="007575C6" w:rsidP="00B35372">
      <w:pPr>
        <w:pStyle w:val="Heading5"/>
      </w:pPr>
      <w:r w:rsidRPr="007575C6">
        <w:t>Study AS-DP-02-DE</w:t>
      </w:r>
    </w:p>
    <w:p w14:paraId="33B4E2D7" w14:textId="5CF4EC13" w:rsidR="007575C6" w:rsidRDefault="00F2754C" w:rsidP="007575C6">
      <w:r w:rsidRPr="00B35372">
        <w:rPr>
          <w:i/>
        </w:rPr>
        <w:t>Study design</w:t>
      </w:r>
      <w:r>
        <w:t xml:space="preserve">: </w:t>
      </w:r>
      <w:r w:rsidR="007629BE">
        <w:t xml:space="preserve">A </w:t>
      </w:r>
      <w:r>
        <w:t xml:space="preserve">prospective, open </w:t>
      </w:r>
      <w:r w:rsidR="007575C6">
        <w:t>label, single centre RCT. The evaluator highlights that no clear method of randomisation was evident from the study report.</w:t>
      </w:r>
    </w:p>
    <w:p w14:paraId="3D6F105F" w14:textId="77777777" w:rsidR="007575C6" w:rsidRDefault="007575C6" w:rsidP="007575C6">
      <w:r>
        <w:t>Single inclusion criteria was to be a patient in ICU and indicated for TPN for at least 9 days.</w:t>
      </w:r>
    </w:p>
    <w:p w14:paraId="68D3E42D" w14:textId="77777777" w:rsidR="007575C6" w:rsidRDefault="007575C6" w:rsidP="007575C6">
      <w:r>
        <w:t>The study cohort was heterogeneous, the more common diagnoses including situations following acute cardiological or cerebral events, chest infections with additional complications, other infections and poisoning.</w:t>
      </w:r>
    </w:p>
    <w:p w14:paraId="23E5801F" w14:textId="77777777" w:rsidR="007575C6" w:rsidRDefault="007575C6" w:rsidP="007575C6">
      <w:r w:rsidRPr="00B35372">
        <w:rPr>
          <w:i/>
        </w:rPr>
        <w:t>Trial duration</w:t>
      </w:r>
      <w:r>
        <w:t>: 9 days.</w:t>
      </w:r>
    </w:p>
    <w:p w14:paraId="3670DCB6" w14:textId="6F68A4A9" w:rsidR="007575C6" w:rsidRDefault="007575C6" w:rsidP="007575C6">
      <w:r>
        <w:t xml:space="preserve">10% </w:t>
      </w:r>
      <w:r w:rsidR="00695AFB">
        <w:t>dipeptide alanylglutamine</w:t>
      </w:r>
      <w:r>
        <w:t xml:space="preserve"> solution was given to the treatment group. Daily dosage of amino acid was the same as pervious study (1.5 g/kg/day).</w:t>
      </w:r>
    </w:p>
    <w:p w14:paraId="22CFF57B" w14:textId="2D54AC5E" w:rsidR="007575C6" w:rsidRDefault="007575C6" w:rsidP="007575C6">
      <w:r>
        <w:t>Efficacy outcome measures were the same as previous study</w:t>
      </w:r>
      <w:r w:rsidR="007629BE">
        <w:t xml:space="preserve"> (Study AS-DP-01-DE)</w:t>
      </w:r>
      <w:r>
        <w:t>, with no clinical outcomes specified. In addition, effect of glutamine supplementation on absorptive capacity of sma</w:t>
      </w:r>
      <w:r w:rsidR="00F27309">
        <w:t>ll intestine was assessed by a D</w:t>
      </w:r>
      <w:r>
        <w:t>-xylose absorption</w:t>
      </w:r>
      <w:r w:rsidR="00F2754C">
        <w:t xml:space="preserve"> test;</w:t>
      </w:r>
      <w:r w:rsidR="00F27309">
        <w:rPr>
          <w:rStyle w:val="FootnoteReference"/>
        </w:rPr>
        <w:footnoteReference w:id="2"/>
      </w:r>
      <w:r w:rsidR="00000150">
        <w:t xml:space="preserve"> that was done on Day 0 and D</w:t>
      </w:r>
      <w:r>
        <w:t>ay 8 on a subgroup of 6 patie</w:t>
      </w:r>
      <w:r w:rsidR="00F27309">
        <w:t>nts in each of the study groups.</w:t>
      </w:r>
    </w:p>
    <w:p w14:paraId="1F092E7A" w14:textId="57E4013F" w:rsidR="007575C6" w:rsidRDefault="00695AFB" w:rsidP="00B35372">
      <w:pPr>
        <w:pStyle w:val="Heading6"/>
      </w:pPr>
      <w:r>
        <w:t>Results</w:t>
      </w:r>
    </w:p>
    <w:p w14:paraId="05191C9C" w14:textId="0C7FA7B7" w:rsidR="007575C6" w:rsidRDefault="007575C6" w:rsidP="007575C6">
      <w:r>
        <w:t>Urea production rate, which was measured from the total amount of urea excreted in 24</w:t>
      </w:r>
      <w:r w:rsidR="00FE30E1">
        <w:t> </w:t>
      </w:r>
      <w:r>
        <w:t xml:space="preserve">hour </w:t>
      </w:r>
      <w:r w:rsidRPr="007575C6">
        <w:t>urine was not significantly different between groups.</w:t>
      </w:r>
    </w:p>
    <w:p w14:paraId="585050B5" w14:textId="1E656E40" w:rsidR="007575C6" w:rsidRDefault="007575C6" w:rsidP="007575C6">
      <w:r>
        <w:lastRenderedPageBreak/>
        <w:t>Nitrogen balance was calculated from total nitrogen in urine and the nitrogen intake via infused amino acids. It was also corrected by the nitrogen retained as serum urea. No significant difference was observed in cumulative nitrogen balance</w:t>
      </w:r>
      <w:r w:rsidR="00000150">
        <w:t xml:space="preserve"> between groups at D</w:t>
      </w:r>
      <w:r>
        <w:t>ay</w:t>
      </w:r>
      <w:r w:rsidR="00FE30E1">
        <w:t> </w:t>
      </w:r>
      <w:r>
        <w:t>9 of study.</w:t>
      </w:r>
    </w:p>
    <w:p w14:paraId="1C3519EE" w14:textId="77777777" w:rsidR="007575C6" w:rsidRDefault="007575C6" w:rsidP="007575C6">
      <w:r>
        <w:t>Plasma level of glutamine was significantly high in treatment group. Plasma amino acid levels were comparable between groups.</w:t>
      </w:r>
    </w:p>
    <w:p w14:paraId="3C3081B3" w14:textId="77777777" w:rsidR="007575C6" w:rsidRDefault="007575C6" w:rsidP="00B35372">
      <w:pPr>
        <w:pStyle w:val="Heading5"/>
      </w:pPr>
      <w:r>
        <w:t>Study AS-DP-04-DE</w:t>
      </w:r>
    </w:p>
    <w:p w14:paraId="2BEC7962" w14:textId="7F0AB2A3" w:rsidR="007575C6" w:rsidRDefault="007575C6" w:rsidP="007575C6">
      <w:r w:rsidRPr="00B35372">
        <w:rPr>
          <w:i/>
        </w:rPr>
        <w:t>Study desi</w:t>
      </w:r>
      <w:r w:rsidR="00F2754C" w:rsidRPr="00B35372">
        <w:rPr>
          <w:i/>
        </w:rPr>
        <w:t>gn</w:t>
      </w:r>
      <w:r w:rsidR="00F2754C">
        <w:t xml:space="preserve">: </w:t>
      </w:r>
      <w:r w:rsidR="00FE30E1">
        <w:t>A s</w:t>
      </w:r>
      <w:r w:rsidR="00F2754C">
        <w:t>ingle centre, open label, Phase III</w:t>
      </w:r>
      <w:r>
        <w:t>, prospective RCT.</w:t>
      </w:r>
    </w:p>
    <w:p w14:paraId="29F977C6" w14:textId="77777777" w:rsidR="007575C6" w:rsidRDefault="007575C6" w:rsidP="007575C6">
      <w:r w:rsidRPr="00B35372">
        <w:rPr>
          <w:i/>
        </w:rPr>
        <w:t>Inclusion criteria</w:t>
      </w:r>
      <w:r>
        <w:t>: Patients with multiple trauma and indicated for TPN for at least 7 days.</w:t>
      </w:r>
    </w:p>
    <w:p w14:paraId="6274B23B" w14:textId="69EB5E40" w:rsidR="007575C6" w:rsidRDefault="007575C6" w:rsidP="007575C6">
      <w:r>
        <w:t xml:space="preserve">The treatment group received 10% </w:t>
      </w:r>
      <w:r w:rsidR="00695AFB">
        <w:t>dipeptide alanylglutamine</w:t>
      </w:r>
      <w:r>
        <w:t xml:space="preserve"> solution via central venous catheter. The amino acid dose was 1.5 g/kg/day.</w:t>
      </w:r>
    </w:p>
    <w:p w14:paraId="552DFD28" w14:textId="40076D53" w:rsidR="00695AFB" w:rsidRDefault="00695AFB" w:rsidP="00B35372">
      <w:pPr>
        <w:pStyle w:val="Heading6"/>
      </w:pPr>
      <w:r>
        <w:t>Result</w:t>
      </w:r>
      <w:r w:rsidR="00D35DE6">
        <w:t>s</w:t>
      </w:r>
    </w:p>
    <w:p w14:paraId="31E67054" w14:textId="560D3EC5" w:rsidR="007575C6" w:rsidRDefault="007575C6" w:rsidP="007575C6">
      <w:r>
        <w:t>No significant differences were reported for efficacy outcomes such as urea production and nitrogen balance between treatment groups.</w:t>
      </w:r>
    </w:p>
    <w:p w14:paraId="707019C2" w14:textId="42BDDC52" w:rsidR="007575C6" w:rsidRDefault="007575C6" w:rsidP="007575C6">
      <w:r>
        <w:t>The evaluator has highlighted the fact that the heterogeneity in the critical conditions that were treated in these studies and the various interventions that might have an effect on the efficacy outcomes made it difficult to make any conclusions regarding the e</w:t>
      </w:r>
      <w:r w:rsidR="00000150">
        <w:t>fficacy of the dipeptide alanyl</w:t>
      </w:r>
      <w:r>
        <w:t>glutamine.</w:t>
      </w:r>
    </w:p>
    <w:p w14:paraId="25AA942C" w14:textId="04EA6870" w:rsidR="007575C6" w:rsidRDefault="00000150" w:rsidP="007575C6">
      <w:r>
        <w:t>The Delegate</w:t>
      </w:r>
      <w:r w:rsidR="007575C6">
        <w:t xml:space="preserve"> comment</w:t>
      </w:r>
      <w:r>
        <w:t>s that t</w:t>
      </w:r>
      <w:r w:rsidR="007575C6">
        <w:t xml:space="preserve">hese studies used 10% </w:t>
      </w:r>
      <w:r w:rsidR="00695AFB">
        <w:t>dipeptide alanylglutamine</w:t>
      </w:r>
      <w:r w:rsidR="007575C6">
        <w:t xml:space="preserve"> solution, which is different from the proposed product for marketing, which is 20% </w:t>
      </w:r>
      <w:r w:rsidR="00695AFB">
        <w:t>dipeptide alanylglutamine</w:t>
      </w:r>
      <w:r w:rsidR="007575C6">
        <w:t>.</w:t>
      </w:r>
    </w:p>
    <w:p w14:paraId="3B71518B" w14:textId="705ECD6F" w:rsidR="007575C6" w:rsidRDefault="007575C6" w:rsidP="00B35372">
      <w:pPr>
        <w:pStyle w:val="Heading5"/>
      </w:pPr>
      <w:r>
        <w:t>Study AS-AG-01-NL</w:t>
      </w:r>
    </w:p>
    <w:p w14:paraId="05522514" w14:textId="523B9A07" w:rsidR="007575C6" w:rsidRDefault="007575C6" w:rsidP="007575C6">
      <w:r w:rsidRPr="00B35372">
        <w:rPr>
          <w:i/>
        </w:rPr>
        <w:t>Study design</w:t>
      </w:r>
      <w:r>
        <w:t xml:space="preserve">: </w:t>
      </w:r>
      <w:r w:rsidR="00FE30E1">
        <w:t xml:space="preserve">A </w:t>
      </w:r>
      <w:r>
        <w:t>double blind, single centre, RCT</w:t>
      </w:r>
      <w:r w:rsidR="00FE30E1">
        <w:t>.</w:t>
      </w:r>
    </w:p>
    <w:p w14:paraId="3B65331A" w14:textId="6E42D39A" w:rsidR="007575C6" w:rsidRDefault="007575C6" w:rsidP="007575C6">
      <w:r w:rsidRPr="00B35372">
        <w:rPr>
          <w:i/>
        </w:rPr>
        <w:t>Study duration</w:t>
      </w:r>
      <w:r>
        <w:t>: 10 days</w:t>
      </w:r>
      <w:r w:rsidR="00FE30E1">
        <w:t>.</w:t>
      </w:r>
    </w:p>
    <w:p w14:paraId="3466472F" w14:textId="767D1D1D" w:rsidR="007575C6" w:rsidRDefault="00000150" w:rsidP="007575C6">
      <w:r w:rsidRPr="00B35372">
        <w:rPr>
          <w:i/>
        </w:rPr>
        <w:t>Study period</w:t>
      </w:r>
      <w:r>
        <w:t xml:space="preserve">: 1990 to </w:t>
      </w:r>
      <w:r w:rsidR="007575C6">
        <w:t>1992</w:t>
      </w:r>
      <w:r w:rsidR="00FE30E1">
        <w:t>.</w:t>
      </w:r>
    </w:p>
    <w:p w14:paraId="52C5AEA3" w14:textId="77777777" w:rsidR="007575C6" w:rsidRDefault="007575C6" w:rsidP="007575C6">
      <w:r w:rsidRPr="00B35372">
        <w:rPr>
          <w:i/>
        </w:rPr>
        <w:t>Inclusion criteria</w:t>
      </w:r>
      <w:r>
        <w:t>: Patients with various haematological malignancies indicated for TPN in an intensive care unit for at least 10 days.</w:t>
      </w:r>
    </w:p>
    <w:p w14:paraId="0DADA940" w14:textId="00D54BD0" w:rsidR="007575C6" w:rsidRDefault="007575C6" w:rsidP="007575C6">
      <w:r>
        <w:t>15 patients were included in each arm of study. In total, twenty treatment cycles were studied across treatment groups.</w:t>
      </w:r>
    </w:p>
    <w:p w14:paraId="11CA1F2A" w14:textId="7EFEE07F" w:rsidR="00695AFB" w:rsidRPr="00FE30E1" w:rsidRDefault="00695AFB" w:rsidP="00B35372">
      <w:pPr>
        <w:pStyle w:val="Heading6"/>
      </w:pPr>
      <w:r>
        <w:t>Results</w:t>
      </w:r>
    </w:p>
    <w:p w14:paraId="34B8BEBA" w14:textId="690F4DFF" w:rsidR="007575C6" w:rsidRDefault="007575C6" w:rsidP="007575C6">
      <w:r>
        <w:t xml:space="preserve">The evaluator has highlighted the difference in amino acid dosing in this study. </w:t>
      </w:r>
      <w:r w:rsidR="00FE30E1">
        <w:t>The experimental (alanylglutamine) s</w:t>
      </w:r>
      <w:r>
        <w:t>tudy group received 40 g of alanylglutam</w:t>
      </w:r>
      <w:r w:rsidR="00000150">
        <w:t xml:space="preserve">ine in each 24 </w:t>
      </w:r>
      <w:r>
        <w:t>hour solution pack. The total amino acid dose was still kept the same at 1.5</w:t>
      </w:r>
      <w:r w:rsidR="00000150">
        <w:t xml:space="preserve"> </w:t>
      </w:r>
      <w:r>
        <w:t>g/kg/24</w:t>
      </w:r>
      <w:r w:rsidR="00695AFB">
        <w:t xml:space="preserve"> </w:t>
      </w:r>
      <w:r>
        <w:t>h</w:t>
      </w:r>
      <w:r w:rsidR="00695AFB">
        <w:t>our</w:t>
      </w:r>
      <w:r>
        <w:t xml:space="preserve"> as in other studies. Overall, </w:t>
      </w:r>
      <w:r w:rsidR="00FE30E1">
        <w:t xml:space="preserve">the </w:t>
      </w:r>
      <w:r>
        <w:t>majority of patients still would have received t</w:t>
      </w:r>
      <w:r w:rsidR="00000150">
        <w:t xml:space="preserve">he alanylglutamine dose of 0.3 to </w:t>
      </w:r>
      <w:r>
        <w:t>0.5</w:t>
      </w:r>
      <w:r w:rsidR="00000150">
        <w:t xml:space="preserve"> </w:t>
      </w:r>
      <w:r>
        <w:t>g/kg/day. The control group received alanylglutamine-free amino acid solution (Vamin).</w:t>
      </w:r>
    </w:p>
    <w:p w14:paraId="2E79AE8D" w14:textId="68252F9E" w:rsidR="007575C6" w:rsidRDefault="007575C6" w:rsidP="007575C6">
      <w:r>
        <w:t>Hospital length of stay was the primary efficacy variab</w:t>
      </w:r>
      <w:r w:rsidR="00000150">
        <w:t>le. It was longer in the alanyl</w:t>
      </w:r>
      <w:r>
        <w:t>glutamine group. It was attributed to two patients in that group who developed treatment related complications, which were not related to alanylglutamine.</w:t>
      </w:r>
    </w:p>
    <w:p w14:paraId="0D2A2DEB" w14:textId="77777777" w:rsidR="007575C6" w:rsidRDefault="007575C6" w:rsidP="007575C6">
      <w:r>
        <w:t>No major differences across treatment groups were reported regarding other efficacy endpoints such as mortality, haematology results, infection rate and toxicity scores.</w:t>
      </w:r>
    </w:p>
    <w:p w14:paraId="263049EB" w14:textId="77777777" w:rsidR="007575C6" w:rsidRDefault="007575C6" w:rsidP="00B35372">
      <w:pPr>
        <w:pStyle w:val="Heading5"/>
      </w:pPr>
      <w:r>
        <w:t>Study AS-AG-02-DE</w:t>
      </w:r>
    </w:p>
    <w:p w14:paraId="25908308" w14:textId="2F5AC261" w:rsidR="007575C6" w:rsidRDefault="007575C6" w:rsidP="007575C6">
      <w:r w:rsidRPr="00B35372">
        <w:rPr>
          <w:i/>
        </w:rPr>
        <w:t>Study design</w:t>
      </w:r>
      <w:r>
        <w:t>:</w:t>
      </w:r>
      <w:r w:rsidR="00FE30E1">
        <w:t xml:space="preserve"> A</w:t>
      </w:r>
      <w:r>
        <w:t xml:space="preserve"> single centre RCT.</w:t>
      </w:r>
    </w:p>
    <w:p w14:paraId="33FF8866" w14:textId="02757D7F" w:rsidR="007575C6" w:rsidRDefault="007575C6" w:rsidP="007575C6">
      <w:r w:rsidRPr="00B35372">
        <w:rPr>
          <w:i/>
        </w:rPr>
        <w:t>Stu</w:t>
      </w:r>
      <w:r w:rsidR="00000150" w:rsidRPr="00B35372">
        <w:rPr>
          <w:i/>
        </w:rPr>
        <w:t>dy period</w:t>
      </w:r>
      <w:r w:rsidR="00000150">
        <w:t xml:space="preserve">: 1993 to </w:t>
      </w:r>
      <w:r>
        <w:t>1995</w:t>
      </w:r>
      <w:r w:rsidR="00FE30E1">
        <w:t>.</w:t>
      </w:r>
    </w:p>
    <w:p w14:paraId="6D207743" w14:textId="77777777" w:rsidR="007575C6" w:rsidRDefault="007575C6" w:rsidP="007575C6">
      <w:r w:rsidRPr="00B35372">
        <w:rPr>
          <w:i/>
        </w:rPr>
        <w:lastRenderedPageBreak/>
        <w:t>Treatment duration</w:t>
      </w:r>
      <w:r>
        <w:t>: 5 days.</w:t>
      </w:r>
    </w:p>
    <w:p w14:paraId="118C26C0" w14:textId="77777777" w:rsidR="007575C6" w:rsidRDefault="007575C6" w:rsidP="007575C6">
      <w:r w:rsidRPr="00B35372">
        <w:rPr>
          <w:i/>
        </w:rPr>
        <w:t>Study duration</w:t>
      </w:r>
      <w:r>
        <w:t>: 8 days.</w:t>
      </w:r>
    </w:p>
    <w:p w14:paraId="48B74C52" w14:textId="77777777" w:rsidR="007575C6" w:rsidRDefault="007575C6" w:rsidP="007575C6">
      <w:r>
        <w:t xml:space="preserve">This study was aimed to demonstrate the role of glutamine in regaining immune competence in post-operative cases. This was measured by estimating the levels of </w:t>
      </w:r>
      <w:r w:rsidRPr="00705F0C">
        <w:t>cysteinyl-leukotrienes (Cys-LT) that</w:t>
      </w:r>
      <w:r>
        <w:t xml:space="preserve"> reflected leukocyte function.</w:t>
      </w:r>
    </w:p>
    <w:p w14:paraId="3297B020" w14:textId="77777777" w:rsidR="007575C6" w:rsidRDefault="007575C6" w:rsidP="007575C6">
      <w:r>
        <w:t>The single inclusion criterion was to be an adult patient with a diagnosis of rectal or colonic carcinoma planned for surgery and for TPN for 5 days post-operatively.</w:t>
      </w:r>
    </w:p>
    <w:p w14:paraId="004C8895" w14:textId="22AC14C3" w:rsidR="007575C6" w:rsidRDefault="00FE30E1" w:rsidP="007575C6">
      <w:r>
        <w:t>The t</w:t>
      </w:r>
      <w:r w:rsidR="007575C6">
        <w:t>reatment group received alanylglutamine at a dose of 0.3 mg/kg/24</w:t>
      </w:r>
      <w:r w:rsidR="00695AFB">
        <w:t xml:space="preserve"> hours</w:t>
      </w:r>
      <w:r w:rsidR="003E7CCD">
        <w:t xml:space="preserve"> and control group received </w:t>
      </w:r>
      <w:r w:rsidR="00082BEE">
        <w:t>A</w:t>
      </w:r>
      <w:r w:rsidR="007575C6">
        <w:t>minosteril 10% solution (without alanylglutamine).</w:t>
      </w:r>
    </w:p>
    <w:p w14:paraId="13205E26" w14:textId="46200D17" w:rsidR="007575C6" w:rsidRDefault="007575C6" w:rsidP="007575C6">
      <w:r>
        <w:t xml:space="preserve">5 patients were enrolled into each treatment groups. Blood samples for analysis were taken </w:t>
      </w:r>
      <w:r w:rsidR="00FE30E1">
        <w:t xml:space="preserve">on </w:t>
      </w:r>
      <w:r>
        <w:t>the day before surgery, first day of TPN and the day after the TPN finished.</w:t>
      </w:r>
    </w:p>
    <w:p w14:paraId="779F8341" w14:textId="77777777" w:rsidR="00695AFB" w:rsidRDefault="007575C6" w:rsidP="00B35372">
      <w:pPr>
        <w:pStyle w:val="Heading6"/>
      </w:pPr>
      <w:r>
        <w:t>Re</w:t>
      </w:r>
      <w:r w:rsidR="00695AFB">
        <w:t>sults</w:t>
      </w:r>
    </w:p>
    <w:p w14:paraId="5BC89D1D" w14:textId="15C9BE8A" w:rsidR="007575C6" w:rsidRDefault="007575C6" w:rsidP="007575C6">
      <w:r w:rsidRPr="00B35372">
        <w:rPr>
          <w:i/>
        </w:rPr>
        <w:t>Leukocyte function</w:t>
      </w:r>
      <w:r>
        <w:t>: There was a reduction in</w:t>
      </w:r>
      <w:r w:rsidR="003E7CCD">
        <w:t xml:space="preserve"> Cys-LT level post-surgery. On D</w:t>
      </w:r>
      <w:r>
        <w:t>ay 5 of treatment, there was a significant difference in Cys-LT level between treatment groups. The Cys-LT level remained low in control group, meanwhile it normalised in treatment group.</w:t>
      </w:r>
    </w:p>
    <w:p w14:paraId="3A404A6B" w14:textId="714CE55A" w:rsidR="007575C6" w:rsidRPr="003E7CCD" w:rsidRDefault="007575C6" w:rsidP="007575C6">
      <w:r>
        <w:t xml:space="preserve">No significant difference was found in measures of nitrogen balance and amino acid levels between treatment groups. Plasma level of alanylglutamine </w:t>
      </w:r>
      <w:r w:rsidRPr="003E7CCD">
        <w:t xml:space="preserve">was below </w:t>
      </w:r>
      <w:r w:rsidR="003E7CCD" w:rsidRPr="003E7CCD">
        <w:t>lower limit of quantitation (</w:t>
      </w:r>
      <w:r w:rsidRPr="003E7CCD">
        <w:t>LLOQ</w:t>
      </w:r>
      <w:r w:rsidR="003E7CCD" w:rsidRPr="003E7CCD">
        <w:t>)</w:t>
      </w:r>
      <w:r w:rsidRPr="003E7CCD">
        <w:t xml:space="preserve"> of 3</w:t>
      </w:r>
      <w:r w:rsidR="003E7CCD">
        <w:t xml:space="preserve"> </w:t>
      </w:r>
      <w:r w:rsidRPr="003E7CCD">
        <w:t>nmol/L.</w:t>
      </w:r>
    </w:p>
    <w:p w14:paraId="17532DC6" w14:textId="27B2BD87" w:rsidR="007575C6" w:rsidRDefault="003E7CCD" w:rsidP="007575C6">
      <w:r>
        <w:t>The Delegate</w:t>
      </w:r>
      <w:r w:rsidR="007575C6">
        <w:t xml:space="preserve"> comment</w:t>
      </w:r>
      <w:r>
        <w:t>ed that t</w:t>
      </w:r>
      <w:r w:rsidR="007575C6">
        <w:t>he l</w:t>
      </w:r>
      <w:r>
        <w:t>ow number of participants in this</w:t>
      </w:r>
      <w:r w:rsidR="007575C6">
        <w:t xml:space="preserve"> study limits the ability to make any conclusions.</w:t>
      </w:r>
    </w:p>
    <w:p w14:paraId="279C49CD" w14:textId="77777777" w:rsidR="007575C6" w:rsidRDefault="007575C6" w:rsidP="00B35372">
      <w:pPr>
        <w:pStyle w:val="Heading5"/>
      </w:pPr>
      <w:r>
        <w:t>Study AS-AG-03-DE</w:t>
      </w:r>
    </w:p>
    <w:p w14:paraId="31C809D3" w14:textId="42C39492" w:rsidR="007575C6" w:rsidRDefault="007575C6" w:rsidP="007575C6">
      <w:r w:rsidRPr="00B35372">
        <w:rPr>
          <w:rStyle w:val="Heading6Char"/>
          <w:rFonts w:eastAsia="Cambria"/>
        </w:rPr>
        <w:t>Study design</w:t>
      </w:r>
      <w:r>
        <w:t xml:space="preserve">: </w:t>
      </w:r>
      <w:r w:rsidR="00FE30E1">
        <w:t>A s</w:t>
      </w:r>
      <w:r>
        <w:t>ingle centre, RCT.</w:t>
      </w:r>
    </w:p>
    <w:p w14:paraId="622DC103" w14:textId="4C905FAF" w:rsidR="007575C6" w:rsidRDefault="003E7CCD" w:rsidP="007575C6">
      <w:r w:rsidRPr="00B35372">
        <w:rPr>
          <w:i/>
        </w:rPr>
        <w:t>Study period</w:t>
      </w:r>
      <w:r>
        <w:t xml:space="preserve">: 1993 to </w:t>
      </w:r>
      <w:r w:rsidR="007575C6">
        <w:t>1995.</w:t>
      </w:r>
    </w:p>
    <w:p w14:paraId="1052765F" w14:textId="328A5014" w:rsidR="007575C6" w:rsidRDefault="00FE30E1" w:rsidP="007575C6">
      <w:r>
        <w:t>The s</w:t>
      </w:r>
      <w:r w:rsidR="007575C6">
        <w:t xml:space="preserve">tudy design was similar to Study AS-AG-02-DE. </w:t>
      </w:r>
      <w:r>
        <w:t>The t</w:t>
      </w:r>
      <w:r w:rsidR="007575C6">
        <w:t xml:space="preserve">reatment group received standard amino acid solution with </w:t>
      </w:r>
      <w:r w:rsidR="00695AFB">
        <w:t>added 20% alanylglutamine</w:t>
      </w:r>
      <w:r w:rsidR="007575C6">
        <w:t xml:space="preserve">, while </w:t>
      </w:r>
      <w:r>
        <w:t xml:space="preserve">the </w:t>
      </w:r>
      <w:r w:rsidR="007575C6">
        <w:t>control group received the standard amino acid solution.</w:t>
      </w:r>
    </w:p>
    <w:p w14:paraId="4693CBAA" w14:textId="77777777" w:rsidR="007575C6" w:rsidRDefault="007575C6" w:rsidP="007575C6">
      <w:r>
        <w:t>The primary efficacy variable was peripheral venous endotoxin levels. The aim was to assess the possible systemic effect of glutamine on intestinal bacterial translocation.</w:t>
      </w:r>
    </w:p>
    <w:p w14:paraId="2EF91898" w14:textId="318C97DE" w:rsidR="007575C6" w:rsidRDefault="007575C6" w:rsidP="007575C6">
      <w:r>
        <w:t>27 patients were each randomised to treatment and control group.</w:t>
      </w:r>
    </w:p>
    <w:p w14:paraId="79AAE22E" w14:textId="0DF1394E" w:rsidR="00E540D7" w:rsidRDefault="00E540D7" w:rsidP="00B35372">
      <w:pPr>
        <w:pStyle w:val="Heading6"/>
      </w:pPr>
      <w:r>
        <w:t>Results</w:t>
      </w:r>
    </w:p>
    <w:p w14:paraId="25313EE9" w14:textId="77777777" w:rsidR="007575C6" w:rsidRDefault="007575C6" w:rsidP="007575C6">
      <w:r>
        <w:t>No significant difference was reported for peripheral venous endotoxin levels across treatment groups.</w:t>
      </w:r>
    </w:p>
    <w:p w14:paraId="34967E0A" w14:textId="283E0E83" w:rsidR="007575C6" w:rsidRDefault="007575C6" w:rsidP="007575C6">
      <w:r>
        <w:t>Body compositional analysis was performed using bio-electrical impedance. No significant differences between the treatment groups was seen for the variables total body fat, total body water, extracellular mass (ECM), body cell mass (BCM), nor for ECM/BCM. However, during the</w:t>
      </w:r>
      <w:r w:rsidR="008B7831">
        <w:t xml:space="preserve"> </w:t>
      </w:r>
      <w:r w:rsidR="008B7831" w:rsidRPr="008B7831">
        <w:t>treatment period, the BCM was maintained in the treatment group but declined in the control group.</w:t>
      </w:r>
    </w:p>
    <w:p w14:paraId="6FBF88CF" w14:textId="15A91F31" w:rsidR="00F14AA0" w:rsidRDefault="00F14AA0" w:rsidP="00A03D11">
      <w:pPr>
        <w:pStyle w:val="TableTitle"/>
      </w:pPr>
      <w:r w:rsidRPr="00F14AA0">
        <w:lastRenderedPageBreak/>
        <w:t xml:space="preserve">Table </w:t>
      </w:r>
      <w:fldSimple w:instr=" SEQ Table \* ARABIC ">
        <w:r w:rsidR="00405CEF">
          <w:rPr>
            <w:noProof/>
          </w:rPr>
          <w:t>5</w:t>
        </w:r>
      </w:fldSimple>
      <w:r>
        <w:t xml:space="preserve">: </w:t>
      </w:r>
      <w:r w:rsidR="00E540D7">
        <w:t xml:space="preserve">Study AS-AG-03-DE </w:t>
      </w:r>
      <w:r>
        <w:t xml:space="preserve">Body cell mass change across treatment </w:t>
      </w:r>
      <w:r w:rsidR="00551CD6">
        <w:t>and control group</w:t>
      </w:r>
    </w:p>
    <w:tbl>
      <w:tblPr>
        <w:tblStyle w:val="TableTGAblue"/>
        <w:tblW w:w="0" w:type="auto"/>
        <w:tblLook w:val="04A0" w:firstRow="1" w:lastRow="0" w:firstColumn="1" w:lastColumn="0" w:noHBand="0" w:noVBand="1"/>
      </w:tblPr>
      <w:tblGrid>
        <w:gridCol w:w="1201"/>
        <w:gridCol w:w="1078"/>
        <w:gridCol w:w="1450"/>
        <w:gridCol w:w="1242"/>
        <w:gridCol w:w="1448"/>
        <w:gridCol w:w="1476"/>
        <w:gridCol w:w="825"/>
      </w:tblGrid>
      <w:tr w:rsidR="00F14AA0" w:rsidRPr="00F14AA0" w14:paraId="1385A157" w14:textId="77777777" w:rsidTr="00F14AA0">
        <w:trPr>
          <w:cnfStyle w:val="100000000000" w:firstRow="1" w:lastRow="0" w:firstColumn="0" w:lastColumn="0" w:oddVBand="0" w:evenVBand="0" w:oddHBand="0" w:evenHBand="0" w:firstRowFirstColumn="0" w:firstRowLastColumn="0" w:lastRowFirstColumn="0" w:lastRowLastColumn="0"/>
        </w:trPr>
        <w:tc>
          <w:tcPr>
            <w:tcW w:w="1201" w:type="dxa"/>
          </w:tcPr>
          <w:p w14:paraId="78E3F8F1" w14:textId="77777777" w:rsidR="00F14AA0" w:rsidRPr="00F14AA0" w:rsidRDefault="00F14AA0" w:rsidP="00A03D11">
            <w:pPr>
              <w:pStyle w:val="TableTitle"/>
              <w:rPr>
                <w:sz w:val="20"/>
                <w:szCs w:val="20"/>
              </w:rPr>
            </w:pPr>
          </w:p>
        </w:tc>
        <w:tc>
          <w:tcPr>
            <w:tcW w:w="1078" w:type="dxa"/>
          </w:tcPr>
          <w:p w14:paraId="5CD21B27" w14:textId="24A05AF3" w:rsidR="00F14AA0" w:rsidRPr="00B35372" w:rsidRDefault="00F14AA0" w:rsidP="00A03D11">
            <w:pPr>
              <w:pStyle w:val="TableTitle"/>
              <w:ind w:left="0"/>
              <w:rPr>
                <w:b/>
                <w:sz w:val="20"/>
                <w:szCs w:val="20"/>
                <w:vertAlign w:val="superscript"/>
              </w:rPr>
            </w:pPr>
            <w:r w:rsidRPr="00F14AA0">
              <w:rPr>
                <w:b/>
                <w:sz w:val="20"/>
                <w:szCs w:val="20"/>
              </w:rPr>
              <w:t>Mean</w:t>
            </w:r>
          </w:p>
        </w:tc>
        <w:tc>
          <w:tcPr>
            <w:tcW w:w="1450" w:type="dxa"/>
          </w:tcPr>
          <w:p w14:paraId="03688CB3" w14:textId="08A4F4D2" w:rsidR="00F14AA0" w:rsidRPr="00F14AA0" w:rsidRDefault="00F14AA0" w:rsidP="00A03D11">
            <w:pPr>
              <w:pStyle w:val="TableTitle"/>
              <w:ind w:left="0"/>
              <w:rPr>
                <w:b/>
                <w:sz w:val="20"/>
                <w:szCs w:val="20"/>
              </w:rPr>
            </w:pPr>
            <w:r w:rsidRPr="00F14AA0">
              <w:rPr>
                <w:b/>
                <w:sz w:val="20"/>
                <w:szCs w:val="20"/>
              </w:rPr>
              <w:t xml:space="preserve">Standard </w:t>
            </w:r>
            <w:r w:rsidR="00E540D7">
              <w:rPr>
                <w:b/>
                <w:sz w:val="20"/>
                <w:szCs w:val="20"/>
              </w:rPr>
              <w:t>d</w:t>
            </w:r>
            <w:r w:rsidRPr="00F14AA0">
              <w:rPr>
                <w:b/>
                <w:sz w:val="20"/>
                <w:szCs w:val="20"/>
              </w:rPr>
              <w:t>eviation</w:t>
            </w:r>
          </w:p>
        </w:tc>
        <w:tc>
          <w:tcPr>
            <w:tcW w:w="1242" w:type="dxa"/>
          </w:tcPr>
          <w:p w14:paraId="5CEA6739" w14:textId="5AC99571" w:rsidR="00F14AA0" w:rsidRPr="00B35372" w:rsidRDefault="00F14AA0" w:rsidP="00A03D11">
            <w:pPr>
              <w:pStyle w:val="TableTitle"/>
              <w:ind w:left="0"/>
              <w:rPr>
                <w:b/>
                <w:sz w:val="20"/>
                <w:szCs w:val="20"/>
                <w:vertAlign w:val="superscript"/>
              </w:rPr>
            </w:pPr>
            <w:r w:rsidRPr="00F14AA0">
              <w:rPr>
                <w:b/>
                <w:sz w:val="20"/>
                <w:szCs w:val="20"/>
              </w:rPr>
              <w:t>Median</w:t>
            </w:r>
          </w:p>
        </w:tc>
        <w:tc>
          <w:tcPr>
            <w:tcW w:w="1448" w:type="dxa"/>
          </w:tcPr>
          <w:p w14:paraId="2786D864" w14:textId="0CE8CD7B" w:rsidR="00F14AA0" w:rsidRPr="00B35372" w:rsidRDefault="00F14AA0" w:rsidP="00A03D11">
            <w:pPr>
              <w:pStyle w:val="TableTitle"/>
              <w:ind w:left="0"/>
              <w:rPr>
                <w:b/>
                <w:sz w:val="20"/>
                <w:szCs w:val="20"/>
                <w:vertAlign w:val="superscript"/>
              </w:rPr>
            </w:pPr>
            <w:r w:rsidRPr="00F14AA0">
              <w:rPr>
                <w:b/>
                <w:sz w:val="20"/>
                <w:szCs w:val="20"/>
              </w:rPr>
              <w:t>Minimum</w:t>
            </w:r>
          </w:p>
        </w:tc>
        <w:tc>
          <w:tcPr>
            <w:tcW w:w="1476" w:type="dxa"/>
          </w:tcPr>
          <w:p w14:paraId="7B283044" w14:textId="5C5E8CA0" w:rsidR="00F14AA0" w:rsidRPr="00B35372" w:rsidRDefault="00F14AA0" w:rsidP="00A03D11">
            <w:pPr>
              <w:pStyle w:val="TableTitle"/>
              <w:ind w:left="0"/>
              <w:rPr>
                <w:b/>
                <w:sz w:val="20"/>
                <w:szCs w:val="20"/>
                <w:vertAlign w:val="superscript"/>
              </w:rPr>
            </w:pPr>
            <w:r w:rsidRPr="00F14AA0">
              <w:rPr>
                <w:b/>
                <w:sz w:val="20"/>
                <w:szCs w:val="20"/>
              </w:rPr>
              <w:t>Maximum</w:t>
            </w:r>
          </w:p>
        </w:tc>
        <w:tc>
          <w:tcPr>
            <w:tcW w:w="825" w:type="dxa"/>
          </w:tcPr>
          <w:p w14:paraId="4FD0ACE5" w14:textId="438AF64E" w:rsidR="00F14AA0" w:rsidRPr="00F14AA0" w:rsidRDefault="00F14AA0" w:rsidP="00A03D11">
            <w:pPr>
              <w:pStyle w:val="TableTitle"/>
              <w:ind w:left="0"/>
              <w:rPr>
                <w:b/>
                <w:sz w:val="20"/>
                <w:szCs w:val="20"/>
              </w:rPr>
            </w:pPr>
            <w:r w:rsidRPr="00F14AA0">
              <w:rPr>
                <w:b/>
                <w:sz w:val="20"/>
                <w:szCs w:val="20"/>
              </w:rPr>
              <w:t>N</w:t>
            </w:r>
          </w:p>
        </w:tc>
      </w:tr>
      <w:tr w:rsidR="00F14AA0" w:rsidRPr="00F14AA0" w14:paraId="483B57D2" w14:textId="77777777" w:rsidTr="00A03D11">
        <w:tc>
          <w:tcPr>
            <w:tcW w:w="8720" w:type="dxa"/>
            <w:gridSpan w:val="7"/>
            <w:shd w:val="clear" w:color="auto" w:fill="C6D4E9"/>
          </w:tcPr>
          <w:p w14:paraId="35CB02E8" w14:textId="333EC46A" w:rsidR="00F14AA0" w:rsidRPr="00405CEF" w:rsidRDefault="00F14AA0" w:rsidP="00A03D11">
            <w:pPr>
              <w:keepNext/>
            </w:pPr>
            <w:r w:rsidRPr="00B35372">
              <w:rPr>
                <w:b/>
                <w:sz w:val="20"/>
              </w:rPr>
              <w:t>Standard amino acid solution plus Ala-G</w:t>
            </w:r>
            <w:r w:rsidR="00E540D7" w:rsidRPr="00B35372">
              <w:rPr>
                <w:b/>
                <w:sz w:val="20"/>
              </w:rPr>
              <w:t>l</w:t>
            </w:r>
            <w:r w:rsidRPr="00B35372">
              <w:rPr>
                <w:b/>
                <w:sz w:val="20"/>
              </w:rPr>
              <w:t>n 20%</w:t>
            </w:r>
          </w:p>
        </w:tc>
      </w:tr>
      <w:tr w:rsidR="00F14AA0" w:rsidRPr="00F14AA0" w14:paraId="700DA099" w14:textId="77777777" w:rsidTr="00F14AA0">
        <w:tc>
          <w:tcPr>
            <w:tcW w:w="1201" w:type="dxa"/>
          </w:tcPr>
          <w:p w14:paraId="27A4EF74" w14:textId="7E1A0221" w:rsidR="00F14AA0" w:rsidRPr="00F14AA0" w:rsidRDefault="00F14AA0" w:rsidP="00F14AA0">
            <w:pPr>
              <w:pStyle w:val="TableTitle"/>
              <w:rPr>
                <w:b w:val="0"/>
                <w:sz w:val="20"/>
                <w:szCs w:val="20"/>
              </w:rPr>
            </w:pPr>
            <w:r w:rsidRPr="00F14AA0">
              <w:rPr>
                <w:b w:val="0"/>
                <w:sz w:val="20"/>
                <w:szCs w:val="20"/>
              </w:rPr>
              <w:t>T</w:t>
            </w:r>
            <w:r w:rsidR="00D07056">
              <w:rPr>
                <w:b w:val="0"/>
                <w:sz w:val="20"/>
                <w:szCs w:val="20"/>
              </w:rPr>
              <w:t>-</w:t>
            </w:r>
            <w:r w:rsidRPr="00F14AA0">
              <w:rPr>
                <w:b w:val="0"/>
                <w:sz w:val="20"/>
                <w:szCs w:val="20"/>
              </w:rPr>
              <w:t>1</w:t>
            </w:r>
          </w:p>
        </w:tc>
        <w:tc>
          <w:tcPr>
            <w:tcW w:w="1078" w:type="dxa"/>
          </w:tcPr>
          <w:p w14:paraId="7D82F8A6" w14:textId="5D3E0392" w:rsidR="00F14AA0" w:rsidRPr="00F14AA0" w:rsidRDefault="00F14AA0" w:rsidP="00F14AA0">
            <w:pPr>
              <w:pStyle w:val="TableTitle"/>
              <w:rPr>
                <w:b w:val="0"/>
                <w:sz w:val="20"/>
                <w:szCs w:val="20"/>
              </w:rPr>
            </w:pPr>
            <w:r w:rsidRPr="00F14AA0">
              <w:rPr>
                <w:b w:val="0"/>
                <w:sz w:val="20"/>
                <w:szCs w:val="20"/>
              </w:rPr>
              <w:t>25.77</w:t>
            </w:r>
          </w:p>
        </w:tc>
        <w:tc>
          <w:tcPr>
            <w:tcW w:w="1450" w:type="dxa"/>
          </w:tcPr>
          <w:p w14:paraId="2489EB66" w14:textId="13694D39" w:rsidR="00F14AA0" w:rsidRPr="00F14AA0" w:rsidRDefault="00F14AA0" w:rsidP="00F14AA0">
            <w:pPr>
              <w:pStyle w:val="TableTitle"/>
              <w:rPr>
                <w:b w:val="0"/>
                <w:sz w:val="20"/>
                <w:szCs w:val="20"/>
              </w:rPr>
            </w:pPr>
            <w:r w:rsidRPr="00F14AA0">
              <w:rPr>
                <w:b w:val="0"/>
                <w:sz w:val="20"/>
                <w:szCs w:val="20"/>
              </w:rPr>
              <w:t>7.14</w:t>
            </w:r>
          </w:p>
        </w:tc>
        <w:tc>
          <w:tcPr>
            <w:tcW w:w="1242" w:type="dxa"/>
          </w:tcPr>
          <w:p w14:paraId="5A185B87" w14:textId="61805EC2" w:rsidR="00F14AA0" w:rsidRPr="00F14AA0" w:rsidRDefault="00F14AA0" w:rsidP="00F14AA0">
            <w:pPr>
              <w:pStyle w:val="TableTitle"/>
              <w:rPr>
                <w:b w:val="0"/>
                <w:sz w:val="20"/>
                <w:szCs w:val="20"/>
              </w:rPr>
            </w:pPr>
            <w:r w:rsidRPr="00F14AA0">
              <w:rPr>
                <w:b w:val="0"/>
                <w:sz w:val="20"/>
                <w:szCs w:val="20"/>
              </w:rPr>
              <w:t>28</w:t>
            </w:r>
          </w:p>
        </w:tc>
        <w:tc>
          <w:tcPr>
            <w:tcW w:w="1448" w:type="dxa"/>
          </w:tcPr>
          <w:p w14:paraId="737C4213" w14:textId="7ED93B03" w:rsidR="00F14AA0" w:rsidRPr="00F14AA0" w:rsidRDefault="00F14AA0" w:rsidP="00F14AA0">
            <w:pPr>
              <w:pStyle w:val="TableTitle"/>
              <w:rPr>
                <w:b w:val="0"/>
                <w:sz w:val="20"/>
                <w:szCs w:val="20"/>
              </w:rPr>
            </w:pPr>
            <w:r w:rsidRPr="00F14AA0">
              <w:rPr>
                <w:b w:val="0"/>
                <w:sz w:val="20"/>
                <w:szCs w:val="20"/>
              </w:rPr>
              <w:t>12.40</w:t>
            </w:r>
          </w:p>
        </w:tc>
        <w:tc>
          <w:tcPr>
            <w:tcW w:w="1476" w:type="dxa"/>
          </w:tcPr>
          <w:p w14:paraId="00FFD2A9" w14:textId="09D1E61D" w:rsidR="00F14AA0" w:rsidRPr="00F14AA0" w:rsidRDefault="00F14AA0" w:rsidP="00F14AA0">
            <w:pPr>
              <w:pStyle w:val="TableTitle"/>
              <w:rPr>
                <w:b w:val="0"/>
                <w:sz w:val="20"/>
                <w:szCs w:val="20"/>
              </w:rPr>
            </w:pPr>
            <w:r w:rsidRPr="00F14AA0">
              <w:rPr>
                <w:b w:val="0"/>
                <w:sz w:val="20"/>
                <w:szCs w:val="20"/>
              </w:rPr>
              <w:t>38.20</w:t>
            </w:r>
          </w:p>
        </w:tc>
        <w:tc>
          <w:tcPr>
            <w:tcW w:w="825" w:type="dxa"/>
          </w:tcPr>
          <w:p w14:paraId="71414554" w14:textId="1CBD9336" w:rsidR="00F14AA0" w:rsidRPr="00F14AA0" w:rsidRDefault="00F14AA0" w:rsidP="00F14AA0">
            <w:pPr>
              <w:pStyle w:val="TableTitle"/>
              <w:rPr>
                <w:b w:val="0"/>
                <w:sz w:val="20"/>
                <w:szCs w:val="20"/>
              </w:rPr>
            </w:pPr>
            <w:r w:rsidRPr="00F14AA0">
              <w:rPr>
                <w:b w:val="0"/>
                <w:sz w:val="20"/>
                <w:szCs w:val="20"/>
              </w:rPr>
              <w:t>20</w:t>
            </w:r>
          </w:p>
        </w:tc>
      </w:tr>
      <w:tr w:rsidR="00F14AA0" w:rsidRPr="00F14AA0" w14:paraId="1B28DE89" w14:textId="77777777" w:rsidTr="00F14AA0">
        <w:tc>
          <w:tcPr>
            <w:tcW w:w="1201" w:type="dxa"/>
          </w:tcPr>
          <w:p w14:paraId="55D70757" w14:textId="4180897F" w:rsidR="00F14AA0" w:rsidRPr="00F14AA0" w:rsidRDefault="00F14AA0" w:rsidP="00F14AA0">
            <w:pPr>
              <w:pStyle w:val="TableTitle"/>
              <w:rPr>
                <w:b w:val="0"/>
                <w:sz w:val="20"/>
                <w:szCs w:val="20"/>
              </w:rPr>
            </w:pPr>
            <w:r w:rsidRPr="00F14AA0">
              <w:rPr>
                <w:b w:val="0"/>
                <w:sz w:val="20"/>
                <w:szCs w:val="20"/>
              </w:rPr>
              <w:t>T4</w:t>
            </w:r>
          </w:p>
        </w:tc>
        <w:tc>
          <w:tcPr>
            <w:tcW w:w="1078" w:type="dxa"/>
          </w:tcPr>
          <w:p w14:paraId="354174E4" w14:textId="0052E0F7" w:rsidR="00F14AA0" w:rsidRPr="00F14AA0" w:rsidRDefault="00F14AA0" w:rsidP="00F14AA0">
            <w:pPr>
              <w:pStyle w:val="TableTitle"/>
              <w:rPr>
                <w:b w:val="0"/>
                <w:sz w:val="20"/>
                <w:szCs w:val="20"/>
              </w:rPr>
            </w:pPr>
            <w:r w:rsidRPr="00F14AA0">
              <w:rPr>
                <w:b w:val="0"/>
                <w:sz w:val="20"/>
                <w:szCs w:val="20"/>
              </w:rPr>
              <w:t>25.47</w:t>
            </w:r>
          </w:p>
        </w:tc>
        <w:tc>
          <w:tcPr>
            <w:tcW w:w="1450" w:type="dxa"/>
          </w:tcPr>
          <w:p w14:paraId="2B2E11F7" w14:textId="1E568930" w:rsidR="00F14AA0" w:rsidRPr="00F14AA0" w:rsidRDefault="00F14AA0" w:rsidP="00F14AA0">
            <w:pPr>
              <w:pStyle w:val="TableTitle"/>
              <w:rPr>
                <w:b w:val="0"/>
                <w:sz w:val="20"/>
                <w:szCs w:val="20"/>
              </w:rPr>
            </w:pPr>
            <w:r w:rsidRPr="00F14AA0">
              <w:rPr>
                <w:b w:val="0"/>
                <w:sz w:val="20"/>
                <w:szCs w:val="20"/>
              </w:rPr>
              <w:t>6.84</w:t>
            </w:r>
          </w:p>
        </w:tc>
        <w:tc>
          <w:tcPr>
            <w:tcW w:w="1242" w:type="dxa"/>
          </w:tcPr>
          <w:p w14:paraId="217400FB" w14:textId="75C16BB9" w:rsidR="00F14AA0" w:rsidRPr="00F14AA0" w:rsidRDefault="00F14AA0" w:rsidP="00F14AA0">
            <w:pPr>
              <w:pStyle w:val="TableTitle"/>
              <w:rPr>
                <w:b w:val="0"/>
                <w:sz w:val="20"/>
                <w:szCs w:val="20"/>
              </w:rPr>
            </w:pPr>
            <w:r w:rsidRPr="00F14AA0">
              <w:rPr>
                <w:b w:val="0"/>
                <w:sz w:val="20"/>
                <w:szCs w:val="20"/>
              </w:rPr>
              <w:t>27.15</w:t>
            </w:r>
          </w:p>
        </w:tc>
        <w:tc>
          <w:tcPr>
            <w:tcW w:w="1448" w:type="dxa"/>
          </w:tcPr>
          <w:p w14:paraId="7A566543" w14:textId="001EEE74" w:rsidR="00F14AA0" w:rsidRPr="00F14AA0" w:rsidRDefault="00F14AA0" w:rsidP="00F14AA0">
            <w:pPr>
              <w:pStyle w:val="TableTitle"/>
              <w:rPr>
                <w:b w:val="0"/>
                <w:sz w:val="20"/>
                <w:szCs w:val="20"/>
              </w:rPr>
            </w:pPr>
            <w:r w:rsidRPr="00F14AA0">
              <w:rPr>
                <w:b w:val="0"/>
                <w:sz w:val="20"/>
                <w:szCs w:val="20"/>
              </w:rPr>
              <w:t>11.20</w:t>
            </w:r>
          </w:p>
        </w:tc>
        <w:tc>
          <w:tcPr>
            <w:tcW w:w="1476" w:type="dxa"/>
          </w:tcPr>
          <w:p w14:paraId="5F77B180" w14:textId="0917D5A0" w:rsidR="00F14AA0" w:rsidRPr="00F14AA0" w:rsidRDefault="00F14AA0" w:rsidP="00F14AA0">
            <w:pPr>
              <w:pStyle w:val="TableTitle"/>
              <w:rPr>
                <w:b w:val="0"/>
                <w:sz w:val="20"/>
                <w:szCs w:val="20"/>
              </w:rPr>
            </w:pPr>
            <w:r w:rsidRPr="00F14AA0">
              <w:rPr>
                <w:b w:val="0"/>
                <w:sz w:val="20"/>
                <w:szCs w:val="20"/>
              </w:rPr>
              <w:t>35.40</w:t>
            </w:r>
          </w:p>
        </w:tc>
        <w:tc>
          <w:tcPr>
            <w:tcW w:w="825" w:type="dxa"/>
          </w:tcPr>
          <w:p w14:paraId="0DE16693" w14:textId="2A7745DC" w:rsidR="00F14AA0" w:rsidRPr="00F14AA0" w:rsidRDefault="00F14AA0" w:rsidP="00F14AA0">
            <w:pPr>
              <w:pStyle w:val="TableTitle"/>
              <w:rPr>
                <w:b w:val="0"/>
                <w:sz w:val="20"/>
                <w:szCs w:val="20"/>
              </w:rPr>
            </w:pPr>
            <w:r w:rsidRPr="00F14AA0">
              <w:rPr>
                <w:b w:val="0"/>
                <w:sz w:val="20"/>
                <w:szCs w:val="20"/>
              </w:rPr>
              <w:t>20</w:t>
            </w:r>
          </w:p>
        </w:tc>
      </w:tr>
      <w:tr w:rsidR="00F14AA0" w:rsidRPr="00F14AA0" w14:paraId="02475D81" w14:textId="77777777" w:rsidTr="00A03D11">
        <w:tc>
          <w:tcPr>
            <w:tcW w:w="8720" w:type="dxa"/>
            <w:gridSpan w:val="7"/>
            <w:shd w:val="clear" w:color="auto" w:fill="C6D4E9"/>
          </w:tcPr>
          <w:p w14:paraId="60784DA3" w14:textId="20EB785E" w:rsidR="00F14AA0" w:rsidRPr="00405CEF" w:rsidRDefault="00F14AA0" w:rsidP="00B35372">
            <w:r w:rsidRPr="00B35372">
              <w:rPr>
                <w:b/>
                <w:sz w:val="20"/>
              </w:rPr>
              <w:t>Standard amino acid solution</w:t>
            </w:r>
          </w:p>
        </w:tc>
      </w:tr>
      <w:tr w:rsidR="00F14AA0" w:rsidRPr="00F14AA0" w14:paraId="62C8C2AC" w14:textId="77777777" w:rsidTr="00F14AA0">
        <w:tc>
          <w:tcPr>
            <w:tcW w:w="1201" w:type="dxa"/>
          </w:tcPr>
          <w:p w14:paraId="06DAD7F0" w14:textId="09EBF026" w:rsidR="00F14AA0" w:rsidRPr="00F14AA0" w:rsidRDefault="00F14AA0" w:rsidP="00F14AA0">
            <w:pPr>
              <w:pStyle w:val="TableTitle"/>
              <w:rPr>
                <w:b w:val="0"/>
                <w:sz w:val="20"/>
                <w:szCs w:val="20"/>
              </w:rPr>
            </w:pPr>
            <w:r w:rsidRPr="00F14AA0">
              <w:rPr>
                <w:b w:val="0"/>
                <w:sz w:val="20"/>
                <w:szCs w:val="20"/>
              </w:rPr>
              <w:t>T</w:t>
            </w:r>
            <w:r w:rsidR="00D07056">
              <w:rPr>
                <w:b w:val="0"/>
                <w:sz w:val="20"/>
                <w:szCs w:val="20"/>
              </w:rPr>
              <w:t>-</w:t>
            </w:r>
            <w:r w:rsidRPr="00F14AA0">
              <w:rPr>
                <w:b w:val="0"/>
                <w:sz w:val="20"/>
                <w:szCs w:val="20"/>
              </w:rPr>
              <w:t>1</w:t>
            </w:r>
          </w:p>
        </w:tc>
        <w:tc>
          <w:tcPr>
            <w:tcW w:w="1078" w:type="dxa"/>
          </w:tcPr>
          <w:p w14:paraId="149ABCE7" w14:textId="58571F4A" w:rsidR="00F14AA0" w:rsidRPr="00F14AA0" w:rsidRDefault="00F14AA0" w:rsidP="00F14AA0">
            <w:pPr>
              <w:pStyle w:val="TableTitle"/>
              <w:rPr>
                <w:b w:val="0"/>
                <w:sz w:val="20"/>
                <w:szCs w:val="20"/>
              </w:rPr>
            </w:pPr>
            <w:r w:rsidRPr="00F14AA0">
              <w:rPr>
                <w:b w:val="0"/>
                <w:sz w:val="20"/>
                <w:szCs w:val="20"/>
              </w:rPr>
              <w:t>28.06</w:t>
            </w:r>
          </w:p>
        </w:tc>
        <w:tc>
          <w:tcPr>
            <w:tcW w:w="1450" w:type="dxa"/>
          </w:tcPr>
          <w:p w14:paraId="0F4DA28F" w14:textId="24F0643D" w:rsidR="00F14AA0" w:rsidRPr="00F14AA0" w:rsidRDefault="00F14AA0" w:rsidP="00F14AA0">
            <w:pPr>
              <w:pStyle w:val="TableTitle"/>
              <w:rPr>
                <w:b w:val="0"/>
                <w:sz w:val="20"/>
                <w:szCs w:val="20"/>
              </w:rPr>
            </w:pPr>
            <w:r w:rsidRPr="00F14AA0">
              <w:rPr>
                <w:b w:val="0"/>
                <w:sz w:val="20"/>
                <w:szCs w:val="20"/>
              </w:rPr>
              <w:t>7.98</w:t>
            </w:r>
          </w:p>
        </w:tc>
        <w:tc>
          <w:tcPr>
            <w:tcW w:w="1242" w:type="dxa"/>
          </w:tcPr>
          <w:p w14:paraId="3061F877" w14:textId="668B3CDF" w:rsidR="00F14AA0" w:rsidRPr="00F14AA0" w:rsidRDefault="00F14AA0" w:rsidP="00F14AA0">
            <w:pPr>
              <w:pStyle w:val="TableTitle"/>
              <w:rPr>
                <w:b w:val="0"/>
                <w:sz w:val="20"/>
                <w:szCs w:val="20"/>
              </w:rPr>
            </w:pPr>
            <w:r w:rsidRPr="00F14AA0">
              <w:rPr>
                <w:b w:val="0"/>
                <w:sz w:val="20"/>
                <w:szCs w:val="20"/>
              </w:rPr>
              <w:t>25.90</w:t>
            </w:r>
          </w:p>
        </w:tc>
        <w:tc>
          <w:tcPr>
            <w:tcW w:w="1448" w:type="dxa"/>
          </w:tcPr>
          <w:p w14:paraId="3985CB61" w14:textId="7A585502" w:rsidR="00F14AA0" w:rsidRPr="00F14AA0" w:rsidRDefault="00F14AA0" w:rsidP="00F14AA0">
            <w:pPr>
              <w:pStyle w:val="TableTitle"/>
              <w:rPr>
                <w:b w:val="0"/>
                <w:sz w:val="20"/>
                <w:szCs w:val="20"/>
              </w:rPr>
            </w:pPr>
            <w:r w:rsidRPr="00F14AA0">
              <w:rPr>
                <w:b w:val="0"/>
                <w:sz w:val="20"/>
                <w:szCs w:val="20"/>
              </w:rPr>
              <w:t>18.60</w:t>
            </w:r>
          </w:p>
        </w:tc>
        <w:tc>
          <w:tcPr>
            <w:tcW w:w="1476" w:type="dxa"/>
          </w:tcPr>
          <w:p w14:paraId="5CD817C6" w14:textId="7C7FB51A" w:rsidR="00F14AA0" w:rsidRPr="00F14AA0" w:rsidRDefault="00F14AA0" w:rsidP="00F14AA0">
            <w:pPr>
              <w:pStyle w:val="TableTitle"/>
              <w:rPr>
                <w:b w:val="0"/>
                <w:sz w:val="20"/>
                <w:szCs w:val="20"/>
              </w:rPr>
            </w:pPr>
            <w:r w:rsidRPr="00F14AA0">
              <w:rPr>
                <w:b w:val="0"/>
                <w:sz w:val="20"/>
                <w:szCs w:val="20"/>
              </w:rPr>
              <w:t>45.60</w:t>
            </w:r>
          </w:p>
        </w:tc>
        <w:tc>
          <w:tcPr>
            <w:tcW w:w="825" w:type="dxa"/>
          </w:tcPr>
          <w:p w14:paraId="6914ECAE" w14:textId="275498AC" w:rsidR="00F14AA0" w:rsidRPr="00F14AA0" w:rsidRDefault="00F14AA0" w:rsidP="00F14AA0">
            <w:pPr>
              <w:pStyle w:val="TableTitle"/>
              <w:rPr>
                <w:b w:val="0"/>
                <w:sz w:val="20"/>
                <w:szCs w:val="20"/>
              </w:rPr>
            </w:pPr>
            <w:r w:rsidRPr="00F14AA0">
              <w:rPr>
                <w:b w:val="0"/>
                <w:sz w:val="20"/>
                <w:szCs w:val="20"/>
              </w:rPr>
              <w:t>21</w:t>
            </w:r>
          </w:p>
        </w:tc>
      </w:tr>
      <w:tr w:rsidR="00F14AA0" w:rsidRPr="00F14AA0" w14:paraId="41800C9C" w14:textId="77777777" w:rsidTr="00F14AA0">
        <w:tc>
          <w:tcPr>
            <w:tcW w:w="1201" w:type="dxa"/>
          </w:tcPr>
          <w:p w14:paraId="4AE13D2A" w14:textId="65B3E795" w:rsidR="00F14AA0" w:rsidRPr="00F14AA0" w:rsidRDefault="00F14AA0" w:rsidP="00F14AA0">
            <w:pPr>
              <w:pStyle w:val="TableTitle"/>
              <w:rPr>
                <w:b w:val="0"/>
                <w:sz w:val="20"/>
                <w:szCs w:val="20"/>
              </w:rPr>
            </w:pPr>
            <w:r w:rsidRPr="00F14AA0">
              <w:rPr>
                <w:b w:val="0"/>
                <w:sz w:val="20"/>
                <w:szCs w:val="20"/>
              </w:rPr>
              <w:t>T4</w:t>
            </w:r>
          </w:p>
        </w:tc>
        <w:tc>
          <w:tcPr>
            <w:tcW w:w="1078" w:type="dxa"/>
          </w:tcPr>
          <w:p w14:paraId="3DF457B0" w14:textId="37E4B51A" w:rsidR="00F14AA0" w:rsidRPr="00F14AA0" w:rsidRDefault="00F14AA0" w:rsidP="00F14AA0">
            <w:pPr>
              <w:pStyle w:val="TableTitle"/>
              <w:rPr>
                <w:b w:val="0"/>
                <w:sz w:val="20"/>
                <w:szCs w:val="20"/>
              </w:rPr>
            </w:pPr>
            <w:r w:rsidRPr="00F14AA0">
              <w:rPr>
                <w:b w:val="0"/>
                <w:sz w:val="20"/>
                <w:szCs w:val="20"/>
              </w:rPr>
              <w:t>26.74</w:t>
            </w:r>
          </w:p>
        </w:tc>
        <w:tc>
          <w:tcPr>
            <w:tcW w:w="1450" w:type="dxa"/>
          </w:tcPr>
          <w:p w14:paraId="61D4D633" w14:textId="31E9834F" w:rsidR="00F14AA0" w:rsidRPr="00F14AA0" w:rsidRDefault="00F14AA0" w:rsidP="00F14AA0">
            <w:pPr>
              <w:pStyle w:val="TableTitle"/>
              <w:rPr>
                <w:b w:val="0"/>
                <w:sz w:val="20"/>
                <w:szCs w:val="20"/>
              </w:rPr>
            </w:pPr>
            <w:r w:rsidRPr="00F14AA0">
              <w:rPr>
                <w:b w:val="0"/>
                <w:sz w:val="20"/>
                <w:szCs w:val="20"/>
              </w:rPr>
              <w:t>7.90</w:t>
            </w:r>
          </w:p>
        </w:tc>
        <w:tc>
          <w:tcPr>
            <w:tcW w:w="1242" w:type="dxa"/>
          </w:tcPr>
          <w:p w14:paraId="3D2A4582" w14:textId="17958004" w:rsidR="00F14AA0" w:rsidRPr="00F14AA0" w:rsidRDefault="00F14AA0" w:rsidP="00F14AA0">
            <w:pPr>
              <w:pStyle w:val="TableTitle"/>
              <w:rPr>
                <w:b w:val="0"/>
                <w:sz w:val="20"/>
                <w:szCs w:val="20"/>
              </w:rPr>
            </w:pPr>
            <w:r w:rsidRPr="00F14AA0">
              <w:rPr>
                <w:b w:val="0"/>
                <w:sz w:val="20"/>
                <w:szCs w:val="20"/>
              </w:rPr>
              <w:t>24.80</w:t>
            </w:r>
          </w:p>
        </w:tc>
        <w:tc>
          <w:tcPr>
            <w:tcW w:w="1448" w:type="dxa"/>
          </w:tcPr>
          <w:p w14:paraId="19B9640C" w14:textId="0642733C" w:rsidR="00F14AA0" w:rsidRPr="00F14AA0" w:rsidRDefault="00F14AA0" w:rsidP="00F14AA0">
            <w:pPr>
              <w:pStyle w:val="TableTitle"/>
              <w:rPr>
                <w:b w:val="0"/>
                <w:sz w:val="20"/>
                <w:szCs w:val="20"/>
              </w:rPr>
            </w:pPr>
            <w:r w:rsidRPr="00F14AA0">
              <w:rPr>
                <w:b w:val="0"/>
                <w:sz w:val="20"/>
                <w:szCs w:val="20"/>
              </w:rPr>
              <w:t>14.40</w:t>
            </w:r>
          </w:p>
        </w:tc>
        <w:tc>
          <w:tcPr>
            <w:tcW w:w="1476" w:type="dxa"/>
          </w:tcPr>
          <w:p w14:paraId="783FCF56" w14:textId="6E775BB6" w:rsidR="00F14AA0" w:rsidRPr="00F14AA0" w:rsidRDefault="00F14AA0" w:rsidP="00F14AA0">
            <w:pPr>
              <w:pStyle w:val="TableTitle"/>
              <w:rPr>
                <w:b w:val="0"/>
                <w:sz w:val="20"/>
                <w:szCs w:val="20"/>
              </w:rPr>
            </w:pPr>
            <w:r w:rsidRPr="00F14AA0">
              <w:rPr>
                <w:b w:val="0"/>
                <w:sz w:val="20"/>
                <w:szCs w:val="20"/>
              </w:rPr>
              <w:t>42.70</w:t>
            </w:r>
          </w:p>
        </w:tc>
        <w:tc>
          <w:tcPr>
            <w:tcW w:w="825" w:type="dxa"/>
          </w:tcPr>
          <w:p w14:paraId="4302122C" w14:textId="0012E8FC" w:rsidR="00F14AA0" w:rsidRPr="00F14AA0" w:rsidRDefault="00F14AA0" w:rsidP="00F14AA0">
            <w:pPr>
              <w:pStyle w:val="TableTitle"/>
              <w:rPr>
                <w:b w:val="0"/>
                <w:sz w:val="20"/>
                <w:szCs w:val="20"/>
              </w:rPr>
            </w:pPr>
            <w:r w:rsidRPr="00F14AA0">
              <w:rPr>
                <w:b w:val="0"/>
                <w:sz w:val="20"/>
                <w:szCs w:val="20"/>
              </w:rPr>
              <w:t>21</w:t>
            </w:r>
          </w:p>
        </w:tc>
      </w:tr>
    </w:tbl>
    <w:p w14:paraId="45FB7AEF" w14:textId="2BB533FD" w:rsidR="00E540D7" w:rsidRDefault="00D07056" w:rsidP="00B35372">
      <w:pPr>
        <w:pStyle w:val="TableDescription"/>
      </w:pPr>
      <w:r>
        <w:t>B</w:t>
      </w:r>
      <w:r w:rsidR="00E540D7">
        <w:t xml:space="preserve">ody cell mass </w:t>
      </w:r>
      <w:r>
        <w:t xml:space="preserve">(BCM) </w:t>
      </w:r>
      <w:r w:rsidR="00E540D7">
        <w:t>g</w:t>
      </w:r>
      <w:r>
        <w:t>iven in kg</w:t>
      </w:r>
      <w:r w:rsidR="00E540D7">
        <w:t xml:space="preserve">; n = number of subjects; </w:t>
      </w:r>
      <w:r>
        <w:t>T-1 = 1 day pre-surgery; T4 = Day 4 of PN.</w:t>
      </w:r>
    </w:p>
    <w:p w14:paraId="7BEE57B0" w14:textId="56B70303" w:rsidR="00F14AA0" w:rsidRDefault="00F14AA0" w:rsidP="00F14AA0">
      <w:r w:rsidRPr="00F14AA0">
        <w:t>During the treatment period, plasma glutamine level remained in reference range in treatment group, while it declined in the control group. However, a rise in the plasma glutamine level was noted towards the end of treatment period. Study duration was not long enough to assess the long term effect.</w:t>
      </w:r>
    </w:p>
    <w:p w14:paraId="3D00F7EE" w14:textId="5B669A03" w:rsidR="00F14AA0" w:rsidRDefault="00F14AA0" w:rsidP="00F14AA0">
      <w:pPr>
        <w:pStyle w:val="FigureTitle"/>
      </w:pPr>
      <w:r w:rsidRPr="00F14AA0">
        <w:t xml:space="preserve">Figure </w:t>
      </w:r>
      <w:fldSimple w:instr=" SEQ Figure \* ARABIC ">
        <w:r w:rsidR="003C7CA7">
          <w:rPr>
            <w:noProof/>
          </w:rPr>
          <w:t>2</w:t>
        </w:r>
      </w:fldSimple>
      <w:r>
        <w:t xml:space="preserve">: </w:t>
      </w:r>
      <w:r w:rsidR="00E540D7">
        <w:t xml:space="preserve">Study AS-AG-03-DE </w:t>
      </w:r>
      <w:r>
        <w:t>Plasma glutamine levels across treatment</w:t>
      </w:r>
      <w:r w:rsidR="00551CD6">
        <w:t xml:space="preserve"> and control</w:t>
      </w:r>
      <w:r>
        <w:t xml:space="preserve"> group</w:t>
      </w:r>
    </w:p>
    <w:p w14:paraId="0FAFBCD5" w14:textId="1AFF9AF1" w:rsidR="00F14AA0" w:rsidRDefault="00F14AA0" w:rsidP="00F14AA0">
      <w:r w:rsidRPr="00F14AA0">
        <w:rPr>
          <w:noProof/>
          <w:lang w:eastAsia="en-AU"/>
        </w:rPr>
        <w:drawing>
          <wp:inline distT="0" distB="0" distL="0" distR="0" wp14:anchorId="06322447" wp14:editId="7A80233F">
            <wp:extent cx="5961512" cy="3943847"/>
            <wp:effectExtent l="0" t="0" r="1270" b="0"/>
            <wp:docPr id="1" name="Picture 1" descr="Plasma glutamine levels across treatment and contr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039" cy="3948827"/>
                    </a:xfrm>
                    <a:prstGeom prst="rect">
                      <a:avLst/>
                    </a:prstGeom>
                    <a:noFill/>
                    <a:ln>
                      <a:noFill/>
                    </a:ln>
                  </pic:spPr>
                </pic:pic>
              </a:graphicData>
            </a:graphic>
          </wp:inline>
        </w:drawing>
      </w:r>
    </w:p>
    <w:p w14:paraId="5AE7C07A" w14:textId="6CFBD65A" w:rsidR="00405CEF" w:rsidRPr="00405CEF" w:rsidRDefault="00405CEF" w:rsidP="00B35372">
      <w:pPr>
        <w:pStyle w:val="FigureDescription"/>
      </w:pPr>
      <w:r>
        <w:rPr>
          <w:sz w:val="20"/>
        </w:rPr>
        <w:t xml:space="preserve">Dashed line represents </w:t>
      </w:r>
      <w:r w:rsidRPr="00405CEF">
        <w:rPr>
          <w:sz w:val="20"/>
        </w:rPr>
        <w:t>s</w:t>
      </w:r>
      <w:r w:rsidRPr="00B35372">
        <w:rPr>
          <w:sz w:val="20"/>
        </w:rPr>
        <w:t>tandard amino acid solution plus Ala-Gln 20%</w:t>
      </w:r>
      <w:r>
        <w:rPr>
          <w:sz w:val="20"/>
        </w:rPr>
        <w:t xml:space="preserve"> treated group; solid line represents s</w:t>
      </w:r>
      <w:r w:rsidRPr="00405CEF">
        <w:rPr>
          <w:sz w:val="20"/>
        </w:rPr>
        <w:t xml:space="preserve">tandard amino acid solution </w:t>
      </w:r>
      <w:r>
        <w:rPr>
          <w:sz w:val="20"/>
        </w:rPr>
        <w:t>(control) group.</w:t>
      </w:r>
    </w:p>
    <w:p w14:paraId="0D1A58E9" w14:textId="77777777" w:rsidR="00F14AA0" w:rsidRDefault="00F14AA0" w:rsidP="00B35372">
      <w:pPr>
        <w:pStyle w:val="Heading5"/>
      </w:pPr>
      <w:r>
        <w:lastRenderedPageBreak/>
        <w:t>Study AS-AG-04-DE</w:t>
      </w:r>
    </w:p>
    <w:p w14:paraId="46D1AAF3" w14:textId="6F202DB0" w:rsidR="00F14AA0" w:rsidRDefault="00F14AA0" w:rsidP="00F14AA0">
      <w:r w:rsidRPr="00B35372">
        <w:rPr>
          <w:i/>
        </w:rPr>
        <w:t>Study design</w:t>
      </w:r>
      <w:r>
        <w:t xml:space="preserve">: </w:t>
      </w:r>
      <w:r w:rsidR="00405CEF">
        <w:t>A m</w:t>
      </w:r>
      <w:r>
        <w:t>ulticentre, double blind, parallel group, controlled RCT.</w:t>
      </w:r>
    </w:p>
    <w:p w14:paraId="749810FA" w14:textId="36CB6A28" w:rsidR="00F14AA0" w:rsidRDefault="00F14AA0" w:rsidP="00F14AA0">
      <w:r w:rsidRPr="00B35372">
        <w:rPr>
          <w:i/>
        </w:rPr>
        <w:t>Study period</w:t>
      </w:r>
      <w:r>
        <w:t>: 1996 to 1997</w:t>
      </w:r>
      <w:r w:rsidR="00405CEF">
        <w:t>.</w:t>
      </w:r>
    </w:p>
    <w:p w14:paraId="08D04BD2" w14:textId="77777777" w:rsidR="00F14AA0" w:rsidRDefault="00F14AA0" w:rsidP="00F14AA0">
      <w:r w:rsidRPr="00B35372">
        <w:rPr>
          <w:i/>
        </w:rPr>
        <w:t>Treatment duration</w:t>
      </w:r>
      <w:r>
        <w:t>: 5 days.</w:t>
      </w:r>
    </w:p>
    <w:p w14:paraId="39F97AA6" w14:textId="77777777" w:rsidR="00F14AA0" w:rsidRDefault="00F14AA0" w:rsidP="00F14AA0">
      <w:r w:rsidRPr="00B35372">
        <w:rPr>
          <w:i/>
        </w:rPr>
        <w:t>Inclusion criteria</w:t>
      </w:r>
      <w:r>
        <w:t>: Patients having major abdominal or thoracic surgery and indicated for TPN post-operatively for at least 5 days.</w:t>
      </w:r>
    </w:p>
    <w:p w14:paraId="32E31776" w14:textId="7CDA74B4" w:rsidR="00F14AA0" w:rsidRDefault="00405CEF" w:rsidP="00F14AA0">
      <w:r>
        <w:t>The t</w:t>
      </w:r>
      <w:r w:rsidR="00F14AA0">
        <w:t>reatment group was administered with 0.5</w:t>
      </w:r>
      <w:r w:rsidR="003E7CCD">
        <w:t xml:space="preserve"> </w:t>
      </w:r>
      <w:r w:rsidR="00F14AA0">
        <w:t xml:space="preserve">g/kg of alanylglutamine. </w:t>
      </w:r>
      <w:r>
        <w:t>The c</w:t>
      </w:r>
      <w:r w:rsidR="00F14AA0">
        <w:t>ontrol group had TPN with amino acids other than alanylglutamine.</w:t>
      </w:r>
    </w:p>
    <w:p w14:paraId="4D07C596" w14:textId="1823F1C5" w:rsidR="00F14AA0" w:rsidRDefault="00F14AA0" w:rsidP="00F14AA0">
      <w:r>
        <w:t xml:space="preserve">202 patients were screened, 162 randomised and eventually, 126 patients formed the </w:t>
      </w:r>
      <w:r w:rsidR="003E7CCD">
        <w:t>per protocol (</w:t>
      </w:r>
      <w:r>
        <w:t>PP</w:t>
      </w:r>
      <w:r w:rsidR="003E7CCD">
        <w:t>)</w:t>
      </w:r>
      <w:r>
        <w:t xml:space="preserve"> population. </w:t>
      </w:r>
      <w:r w:rsidR="00405CEF">
        <w:t>The m</w:t>
      </w:r>
      <w:r w:rsidR="005E058A">
        <w:t xml:space="preserve">ean age at </w:t>
      </w:r>
      <w:r w:rsidR="0020651C">
        <w:t>Baseline</w:t>
      </w:r>
      <w:r w:rsidR="005E058A">
        <w:t xml:space="preserve"> was 63 to </w:t>
      </w:r>
      <w:r>
        <w:t xml:space="preserve">63.5 years. 60% of patients were males. Average </w:t>
      </w:r>
      <w:r w:rsidR="00405CEF">
        <w:t>body mass index (</w:t>
      </w:r>
      <w:r>
        <w:t>BMI</w:t>
      </w:r>
      <w:r w:rsidR="00405CEF">
        <w:t>)</w:t>
      </w:r>
      <w:r>
        <w:t xml:space="preserve"> was 24</w:t>
      </w:r>
      <w:r w:rsidR="00405CEF">
        <w:t xml:space="preserve"> </w:t>
      </w:r>
      <w:r w:rsidR="00405CEF" w:rsidRPr="00405CEF">
        <w:t>kg/m</w:t>
      </w:r>
      <w:r w:rsidR="00405CEF" w:rsidRPr="00B35372">
        <w:rPr>
          <w:vertAlign w:val="superscript"/>
        </w:rPr>
        <w:t>2</w:t>
      </w:r>
      <w:r>
        <w:t>.</w:t>
      </w:r>
    </w:p>
    <w:p w14:paraId="3E33DC6A" w14:textId="77777777" w:rsidR="00F14AA0" w:rsidRDefault="00F14AA0" w:rsidP="00B35372">
      <w:pPr>
        <w:pStyle w:val="Heading6"/>
      </w:pPr>
      <w:r>
        <w:t>Results</w:t>
      </w:r>
    </w:p>
    <w:p w14:paraId="1F5AFCF6" w14:textId="307A3F06" w:rsidR="00F14AA0" w:rsidRDefault="00F14AA0" w:rsidP="00F14AA0">
      <w:r w:rsidRPr="00B35372">
        <w:rPr>
          <w:i/>
        </w:rPr>
        <w:t>Primary outcome</w:t>
      </w:r>
      <w:r>
        <w:t>: There was no significant difference in nitrogen balance between tr</w:t>
      </w:r>
      <w:r w:rsidR="003E7CCD">
        <w:t>eatment and control groups. On D</w:t>
      </w:r>
      <w:r>
        <w:t>ay 6, the cumulative nit</w:t>
      </w:r>
      <w:r w:rsidR="003E7CCD">
        <w:t xml:space="preserve">rogen balance was less negative, </w:t>
      </w:r>
      <w:r>
        <w:t>17.9% less negative for the treatment group, compared to control group.</w:t>
      </w:r>
    </w:p>
    <w:p w14:paraId="10AA0637" w14:textId="4F58A819" w:rsidR="00405CEF" w:rsidRDefault="00405CEF" w:rsidP="00B35372">
      <w:pPr>
        <w:pStyle w:val="TableTitle"/>
      </w:pPr>
      <w:r>
        <w:t xml:space="preserve">Table </w:t>
      </w:r>
      <w:fldSimple w:instr=" SEQ Table \* ARABIC ">
        <w:r>
          <w:rPr>
            <w:noProof/>
          </w:rPr>
          <w:t>6</w:t>
        </w:r>
      </w:fldSimple>
      <w:r>
        <w:t xml:space="preserve">: Study AS-AG-04-DE </w:t>
      </w:r>
      <w:r w:rsidR="00E17AB5">
        <w:t>Cu</w:t>
      </w:r>
      <w:r>
        <w:t>mulative nitrogen balance in treatment and control groups</w:t>
      </w:r>
    </w:p>
    <w:tbl>
      <w:tblPr>
        <w:tblStyle w:val="TableTGAblue"/>
        <w:tblW w:w="0" w:type="auto"/>
        <w:tblLook w:val="04A0" w:firstRow="1" w:lastRow="0" w:firstColumn="1" w:lastColumn="0" w:noHBand="0" w:noVBand="1"/>
      </w:tblPr>
      <w:tblGrid>
        <w:gridCol w:w="1564"/>
        <w:gridCol w:w="1019"/>
        <w:gridCol w:w="1346"/>
        <w:gridCol w:w="1367"/>
        <w:gridCol w:w="1142"/>
        <w:gridCol w:w="1398"/>
        <w:gridCol w:w="884"/>
      </w:tblGrid>
      <w:tr w:rsidR="00F14AA0" w14:paraId="15FE37C4" w14:textId="77777777" w:rsidTr="00B35372">
        <w:trPr>
          <w:cnfStyle w:val="100000000000" w:firstRow="1" w:lastRow="0" w:firstColumn="0" w:lastColumn="0" w:oddVBand="0" w:evenVBand="0" w:oddHBand="0" w:evenHBand="0" w:firstRowFirstColumn="0" w:firstRowLastColumn="0" w:lastRowFirstColumn="0" w:lastRowLastColumn="0"/>
          <w:cantSplit/>
        </w:trPr>
        <w:tc>
          <w:tcPr>
            <w:tcW w:w="1619" w:type="dxa"/>
          </w:tcPr>
          <w:p w14:paraId="152DE9B4" w14:textId="7D18BCB2" w:rsidR="00F14AA0" w:rsidRPr="00E17AB5" w:rsidRDefault="00F14AA0" w:rsidP="00F14AA0">
            <w:pPr>
              <w:ind w:left="0"/>
            </w:pPr>
            <w:r w:rsidRPr="00E17AB5">
              <w:t>Per protocol population</w:t>
            </w:r>
          </w:p>
        </w:tc>
        <w:tc>
          <w:tcPr>
            <w:tcW w:w="1087" w:type="dxa"/>
          </w:tcPr>
          <w:p w14:paraId="1D6B5A09" w14:textId="47120F79" w:rsidR="00F14AA0" w:rsidRPr="00A52C9B" w:rsidRDefault="00F14AA0" w:rsidP="00F14AA0">
            <w:pPr>
              <w:ind w:left="0"/>
            </w:pPr>
            <w:r w:rsidRPr="00A52C9B">
              <w:t>Mean</w:t>
            </w:r>
          </w:p>
        </w:tc>
        <w:tc>
          <w:tcPr>
            <w:tcW w:w="1270" w:type="dxa"/>
          </w:tcPr>
          <w:p w14:paraId="3A69D539" w14:textId="5B44F2B0" w:rsidR="00F14AA0" w:rsidRPr="00A52C9B" w:rsidRDefault="00F14AA0" w:rsidP="00F14AA0">
            <w:pPr>
              <w:ind w:left="0"/>
            </w:pPr>
            <w:r w:rsidRPr="00A52C9B">
              <w:t>Standard deviation</w:t>
            </w:r>
          </w:p>
        </w:tc>
        <w:tc>
          <w:tcPr>
            <w:tcW w:w="1299" w:type="dxa"/>
          </w:tcPr>
          <w:p w14:paraId="0925D044" w14:textId="6E2C9BC0" w:rsidR="00F14AA0" w:rsidRPr="00574DE4" w:rsidRDefault="00F14AA0" w:rsidP="00F14AA0">
            <w:pPr>
              <w:ind w:left="0"/>
            </w:pPr>
            <w:r w:rsidRPr="00574DE4">
              <w:t>Minimum</w:t>
            </w:r>
          </w:p>
        </w:tc>
        <w:tc>
          <w:tcPr>
            <w:tcW w:w="1143" w:type="dxa"/>
          </w:tcPr>
          <w:p w14:paraId="0AB36B0B" w14:textId="794078EE" w:rsidR="00F14AA0" w:rsidRPr="00336464" w:rsidRDefault="00F14AA0" w:rsidP="00F14AA0">
            <w:pPr>
              <w:ind w:left="0"/>
            </w:pPr>
            <w:r w:rsidRPr="00336464">
              <w:t>Median</w:t>
            </w:r>
          </w:p>
        </w:tc>
        <w:tc>
          <w:tcPr>
            <w:tcW w:w="1328" w:type="dxa"/>
          </w:tcPr>
          <w:p w14:paraId="201E2A2A" w14:textId="46DC99F4" w:rsidR="00F14AA0" w:rsidRPr="0065503E" w:rsidRDefault="00F14AA0" w:rsidP="00F14AA0">
            <w:pPr>
              <w:ind w:left="0"/>
            </w:pPr>
            <w:r w:rsidRPr="0065503E">
              <w:t>Maximum</w:t>
            </w:r>
          </w:p>
        </w:tc>
        <w:tc>
          <w:tcPr>
            <w:tcW w:w="974" w:type="dxa"/>
          </w:tcPr>
          <w:p w14:paraId="40444455" w14:textId="4F7CE97A" w:rsidR="00F14AA0" w:rsidRPr="001908F9" w:rsidRDefault="00F14AA0" w:rsidP="00F14AA0">
            <w:pPr>
              <w:ind w:left="0"/>
            </w:pPr>
            <w:r w:rsidRPr="001908F9">
              <w:t>N</w:t>
            </w:r>
          </w:p>
        </w:tc>
      </w:tr>
      <w:tr w:rsidR="00D91F5C" w14:paraId="002BE74C" w14:textId="77777777" w:rsidTr="00A03D11">
        <w:tc>
          <w:tcPr>
            <w:tcW w:w="8720" w:type="dxa"/>
            <w:gridSpan w:val="7"/>
            <w:shd w:val="clear" w:color="auto" w:fill="C6D4E9"/>
          </w:tcPr>
          <w:p w14:paraId="465D30F4" w14:textId="12C450C2" w:rsidR="00D91F5C" w:rsidRPr="00B35372" w:rsidRDefault="00D91F5C" w:rsidP="00B35372">
            <w:pPr>
              <w:rPr>
                <w:b/>
              </w:rPr>
            </w:pPr>
            <w:r w:rsidRPr="00B35372">
              <w:rPr>
                <w:b/>
              </w:rPr>
              <w:t>Ala-G</w:t>
            </w:r>
            <w:r w:rsidR="00E17AB5">
              <w:rPr>
                <w:b/>
              </w:rPr>
              <w:t>l</w:t>
            </w:r>
            <w:r w:rsidRPr="00B35372">
              <w:rPr>
                <w:b/>
              </w:rPr>
              <w:t>n group</w:t>
            </w:r>
          </w:p>
        </w:tc>
      </w:tr>
      <w:tr w:rsidR="00F14AA0" w14:paraId="64C00B22" w14:textId="77777777" w:rsidTr="00B35372">
        <w:tc>
          <w:tcPr>
            <w:tcW w:w="1619" w:type="dxa"/>
          </w:tcPr>
          <w:p w14:paraId="2F54FC3E" w14:textId="1BCF79C5" w:rsidR="00F14AA0" w:rsidRPr="00B35372" w:rsidRDefault="00D91F5C" w:rsidP="00F14AA0">
            <w:pPr>
              <w:rPr>
                <w:sz w:val="20"/>
              </w:rPr>
            </w:pPr>
            <w:r w:rsidRPr="00B35372">
              <w:rPr>
                <w:sz w:val="20"/>
              </w:rPr>
              <w:t>Day 3</w:t>
            </w:r>
          </w:p>
        </w:tc>
        <w:tc>
          <w:tcPr>
            <w:tcW w:w="1087" w:type="dxa"/>
          </w:tcPr>
          <w:p w14:paraId="6A5DA1C0" w14:textId="580DB57E" w:rsidR="00F14AA0" w:rsidRPr="00B35372" w:rsidRDefault="00D91F5C" w:rsidP="00F14AA0">
            <w:pPr>
              <w:rPr>
                <w:sz w:val="20"/>
              </w:rPr>
            </w:pPr>
            <w:r w:rsidRPr="00B35372">
              <w:rPr>
                <w:sz w:val="20"/>
              </w:rPr>
              <w:t>-3.5</w:t>
            </w:r>
          </w:p>
        </w:tc>
        <w:tc>
          <w:tcPr>
            <w:tcW w:w="1270" w:type="dxa"/>
          </w:tcPr>
          <w:p w14:paraId="25133910" w14:textId="0C030875" w:rsidR="00F14AA0" w:rsidRPr="00B35372" w:rsidRDefault="000703F2" w:rsidP="00F14AA0">
            <w:pPr>
              <w:rPr>
                <w:sz w:val="20"/>
              </w:rPr>
            </w:pPr>
            <w:r w:rsidRPr="00B35372">
              <w:rPr>
                <w:sz w:val="20"/>
              </w:rPr>
              <w:t>3.5</w:t>
            </w:r>
          </w:p>
        </w:tc>
        <w:tc>
          <w:tcPr>
            <w:tcW w:w="1299" w:type="dxa"/>
          </w:tcPr>
          <w:p w14:paraId="6D80ED62" w14:textId="7BF6F392" w:rsidR="00F14AA0" w:rsidRPr="00B35372" w:rsidRDefault="000703F2" w:rsidP="00F14AA0">
            <w:pPr>
              <w:rPr>
                <w:sz w:val="20"/>
              </w:rPr>
            </w:pPr>
            <w:r w:rsidRPr="00B35372">
              <w:rPr>
                <w:sz w:val="20"/>
              </w:rPr>
              <w:t>-10</w:t>
            </w:r>
          </w:p>
        </w:tc>
        <w:tc>
          <w:tcPr>
            <w:tcW w:w="1143" w:type="dxa"/>
          </w:tcPr>
          <w:p w14:paraId="061FA8E3" w14:textId="2A0607BF" w:rsidR="00F14AA0" w:rsidRPr="00B35372" w:rsidRDefault="000703F2" w:rsidP="00F14AA0">
            <w:pPr>
              <w:rPr>
                <w:sz w:val="20"/>
              </w:rPr>
            </w:pPr>
            <w:r w:rsidRPr="00B35372">
              <w:rPr>
                <w:sz w:val="20"/>
              </w:rPr>
              <w:t>-3.1</w:t>
            </w:r>
          </w:p>
        </w:tc>
        <w:tc>
          <w:tcPr>
            <w:tcW w:w="1328" w:type="dxa"/>
          </w:tcPr>
          <w:p w14:paraId="079ECFAE" w14:textId="560D851F" w:rsidR="00F14AA0" w:rsidRPr="00B35372" w:rsidRDefault="000703F2" w:rsidP="00F14AA0">
            <w:pPr>
              <w:rPr>
                <w:sz w:val="20"/>
              </w:rPr>
            </w:pPr>
            <w:r w:rsidRPr="00B35372">
              <w:rPr>
                <w:sz w:val="20"/>
              </w:rPr>
              <w:t>4.3</w:t>
            </w:r>
          </w:p>
        </w:tc>
        <w:tc>
          <w:tcPr>
            <w:tcW w:w="974" w:type="dxa"/>
          </w:tcPr>
          <w:p w14:paraId="7291F710" w14:textId="3900561B" w:rsidR="00F14AA0" w:rsidRPr="00B35372" w:rsidRDefault="000703F2" w:rsidP="00F14AA0">
            <w:pPr>
              <w:rPr>
                <w:sz w:val="20"/>
              </w:rPr>
            </w:pPr>
            <w:r w:rsidRPr="00B35372">
              <w:rPr>
                <w:sz w:val="20"/>
              </w:rPr>
              <w:t>44</w:t>
            </w:r>
          </w:p>
        </w:tc>
      </w:tr>
      <w:tr w:rsidR="00F14AA0" w14:paraId="5E3877E5" w14:textId="77777777" w:rsidTr="00B35372">
        <w:tc>
          <w:tcPr>
            <w:tcW w:w="1619" w:type="dxa"/>
          </w:tcPr>
          <w:p w14:paraId="36780DF7" w14:textId="273A12FF" w:rsidR="00F14AA0" w:rsidRPr="00B35372" w:rsidRDefault="00D91F5C" w:rsidP="00F14AA0">
            <w:pPr>
              <w:rPr>
                <w:sz w:val="20"/>
              </w:rPr>
            </w:pPr>
            <w:r w:rsidRPr="00B35372">
              <w:rPr>
                <w:sz w:val="20"/>
              </w:rPr>
              <w:t>Day 4</w:t>
            </w:r>
          </w:p>
        </w:tc>
        <w:tc>
          <w:tcPr>
            <w:tcW w:w="1087" w:type="dxa"/>
          </w:tcPr>
          <w:p w14:paraId="36BC84D0" w14:textId="1A07352C" w:rsidR="00F14AA0" w:rsidRPr="00B35372" w:rsidRDefault="000703F2" w:rsidP="00F14AA0">
            <w:pPr>
              <w:rPr>
                <w:sz w:val="20"/>
              </w:rPr>
            </w:pPr>
            <w:r w:rsidRPr="00B35372">
              <w:rPr>
                <w:sz w:val="20"/>
              </w:rPr>
              <w:t>-5.1</w:t>
            </w:r>
          </w:p>
        </w:tc>
        <w:tc>
          <w:tcPr>
            <w:tcW w:w="1270" w:type="dxa"/>
          </w:tcPr>
          <w:p w14:paraId="793FEF5C" w14:textId="0F497CCF" w:rsidR="00F14AA0" w:rsidRPr="00B35372" w:rsidRDefault="000703F2" w:rsidP="00F14AA0">
            <w:pPr>
              <w:rPr>
                <w:sz w:val="20"/>
              </w:rPr>
            </w:pPr>
            <w:r w:rsidRPr="00B35372">
              <w:rPr>
                <w:sz w:val="20"/>
              </w:rPr>
              <w:t>5.3</w:t>
            </w:r>
          </w:p>
        </w:tc>
        <w:tc>
          <w:tcPr>
            <w:tcW w:w="1299" w:type="dxa"/>
          </w:tcPr>
          <w:p w14:paraId="24CE876C" w14:textId="753883AD" w:rsidR="00F14AA0" w:rsidRPr="00B35372" w:rsidRDefault="000703F2" w:rsidP="00F14AA0">
            <w:pPr>
              <w:rPr>
                <w:sz w:val="20"/>
              </w:rPr>
            </w:pPr>
            <w:r w:rsidRPr="00B35372">
              <w:rPr>
                <w:sz w:val="20"/>
              </w:rPr>
              <w:t>-17.2</w:t>
            </w:r>
          </w:p>
        </w:tc>
        <w:tc>
          <w:tcPr>
            <w:tcW w:w="1143" w:type="dxa"/>
          </w:tcPr>
          <w:p w14:paraId="222DFC66" w14:textId="6EBD97E7" w:rsidR="00F14AA0" w:rsidRPr="00B35372" w:rsidRDefault="000703F2" w:rsidP="00F14AA0">
            <w:pPr>
              <w:rPr>
                <w:sz w:val="20"/>
              </w:rPr>
            </w:pPr>
            <w:r w:rsidRPr="00B35372">
              <w:rPr>
                <w:sz w:val="20"/>
              </w:rPr>
              <w:t>-6.2</w:t>
            </w:r>
          </w:p>
        </w:tc>
        <w:tc>
          <w:tcPr>
            <w:tcW w:w="1328" w:type="dxa"/>
          </w:tcPr>
          <w:p w14:paraId="59389771" w14:textId="3F516730" w:rsidR="00F14AA0" w:rsidRPr="00B35372" w:rsidRDefault="000703F2" w:rsidP="00F14AA0">
            <w:pPr>
              <w:rPr>
                <w:sz w:val="20"/>
              </w:rPr>
            </w:pPr>
            <w:r w:rsidRPr="00B35372">
              <w:rPr>
                <w:sz w:val="20"/>
              </w:rPr>
              <w:t>6.8</w:t>
            </w:r>
          </w:p>
        </w:tc>
        <w:tc>
          <w:tcPr>
            <w:tcW w:w="974" w:type="dxa"/>
          </w:tcPr>
          <w:p w14:paraId="6B16A157" w14:textId="17BB43D4" w:rsidR="00F14AA0" w:rsidRPr="00B35372" w:rsidRDefault="000703F2" w:rsidP="00F14AA0">
            <w:pPr>
              <w:rPr>
                <w:sz w:val="20"/>
              </w:rPr>
            </w:pPr>
            <w:r w:rsidRPr="00B35372">
              <w:rPr>
                <w:sz w:val="20"/>
              </w:rPr>
              <w:t>44</w:t>
            </w:r>
          </w:p>
        </w:tc>
      </w:tr>
      <w:tr w:rsidR="00F14AA0" w14:paraId="66B78133" w14:textId="77777777" w:rsidTr="00B35372">
        <w:tc>
          <w:tcPr>
            <w:tcW w:w="1619" w:type="dxa"/>
          </w:tcPr>
          <w:p w14:paraId="375C7E9C" w14:textId="4211C418" w:rsidR="00D91F5C" w:rsidRPr="00B35372" w:rsidRDefault="00D91F5C" w:rsidP="00D91F5C">
            <w:pPr>
              <w:rPr>
                <w:sz w:val="20"/>
              </w:rPr>
            </w:pPr>
            <w:r w:rsidRPr="00B35372">
              <w:rPr>
                <w:sz w:val="20"/>
              </w:rPr>
              <w:t>Day 5</w:t>
            </w:r>
          </w:p>
        </w:tc>
        <w:tc>
          <w:tcPr>
            <w:tcW w:w="1087" w:type="dxa"/>
          </w:tcPr>
          <w:p w14:paraId="7271E828" w14:textId="25526E5D" w:rsidR="00F14AA0" w:rsidRPr="00B35372" w:rsidRDefault="000703F2" w:rsidP="00F14AA0">
            <w:pPr>
              <w:rPr>
                <w:sz w:val="20"/>
              </w:rPr>
            </w:pPr>
            <w:r w:rsidRPr="00B35372">
              <w:rPr>
                <w:sz w:val="20"/>
              </w:rPr>
              <w:t>-10.6</w:t>
            </w:r>
          </w:p>
        </w:tc>
        <w:tc>
          <w:tcPr>
            <w:tcW w:w="1270" w:type="dxa"/>
          </w:tcPr>
          <w:p w14:paraId="16E43D4C" w14:textId="4F897A0E" w:rsidR="00F14AA0" w:rsidRPr="00B35372" w:rsidRDefault="000703F2" w:rsidP="00F14AA0">
            <w:pPr>
              <w:rPr>
                <w:sz w:val="20"/>
              </w:rPr>
            </w:pPr>
            <w:r w:rsidRPr="00B35372">
              <w:rPr>
                <w:sz w:val="20"/>
              </w:rPr>
              <w:t>7</w:t>
            </w:r>
          </w:p>
        </w:tc>
        <w:tc>
          <w:tcPr>
            <w:tcW w:w="1299" w:type="dxa"/>
          </w:tcPr>
          <w:p w14:paraId="4D103C57" w14:textId="38B52B5C" w:rsidR="00F14AA0" w:rsidRPr="00B35372" w:rsidRDefault="000703F2" w:rsidP="00F14AA0">
            <w:pPr>
              <w:rPr>
                <w:sz w:val="20"/>
              </w:rPr>
            </w:pPr>
            <w:r w:rsidRPr="00B35372">
              <w:rPr>
                <w:sz w:val="20"/>
              </w:rPr>
              <w:t>-28.3</w:t>
            </w:r>
          </w:p>
        </w:tc>
        <w:tc>
          <w:tcPr>
            <w:tcW w:w="1143" w:type="dxa"/>
          </w:tcPr>
          <w:p w14:paraId="02E7A422" w14:textId="78D63964" w:rsidR="00F14AA0" w:rsidRPr="00B35372" w:rsidRDefault="000703F2" w:rsidP="00F14AA0">
            <w:pPr>
              <w:rPr>
                <w:sz w:val="20"/>
              </w:rPr>
            </w:pPr>
            <w:r w:rsidRPr="00B35372">
              <w:rPr>
                <w:sz w:val="20"/>
              </w:rPr>
              <w:t>-11.6</w:t>
            </w:r>
          </w:p>
        </w:tc>
        <w:tc>
          <w:tcPr>
            <w:tcW w:w="1328" w:type="dxa"/>
          </w:tcPr>
          <w:p w14:paraId="0B906D9E" w14:textId="70CC123D" w:rsidR="00F14AA0" w:rsidRPr="00B35372" w:rsidRDefault="000703F2" w:rsidP="00F14AA0">
            <w:pPr>
              <w:rPr>
                <w:sz w:val="20"/>
              </w:rPr>
            </w:pPr>
            <w:r w:rsidRPr="00B35372">
              <w:rPr>
                <w:sz w:val="20"/>
              </w:rPr>
              <w:t>4.5</w:t>
            </w:r>
          </w:p>
        </w:tc>
        <w:tc>
          <w:tcPr>
            <w:tcW w:w="974" w:type="dxa"/>
          </w:tcPr>
          <w:p w14:paraId="3ECA01E5" w14:textId="48C52E70" w:rsidR="00F14AA0" w:rsidRPr="00B35372" w:rsidRDefault="000703F2" w:rsidP="00F14AA0">
            <w:pPr>
              <w:rPr>
                <w:sz w:val="20"/>
              </w:rPr>
            </w:pPr>
            <w:r w:rsidRPr="00B35372">
              <w:rPr>
                <w:sz w:val="20"/>
              </w:rPr>
              <w:t>44</w:t>
            </w:r>
          </w:p>
        </w:tc>
      </w:tr>
      <w:tr w:rsidR="00F14AA0" w14:paraId="5B154E2C" w14:textId="77777777" w:rsidTr="00B35372">
        <w:tc>
          <w:tcPr>
            <w:tcW w:w="1619" w:type="dxa"/>
          </w:tcPr>
          <w:p w14:paraId="28E47C56" w14:textId="71747C90" w:rsidR="00F14AA0" w:rsidRPr="00B35372" w:rsidRDefault="00D91F5C" w:rsidP="00F14AA0">
            <w:pPr>
              <w:rPr>
                <w:sz w:val="20"/>
              </w:rPr>
            </w:pPr>
            <w:r w:rsidRPr="00B35372">
              <w:rPr>
                <w:sz w:val="20"/>
              </w:rPr>
              <w:t>Day 6</w:t>
            </w:r>
          </w:p>
        </w:tc>
        <w:tc>
          <w:tcPr>
            <w:tcW w:w="1087" w:type="dxa"/>
          </w:tcPr>
          <w:p w14:paraId="6082BDEA" w14:textId="26690D21" w:rsidR="00F14AA0" w:rsidRPr="00B35372" w:rsidRDefault="000703F2" w:rsidP="00F14AA0">
            <w:pPr>
              <w:rPr>
                <w:sz w:val="20"/>
              </w:rPr>
            </w:pPr>
            <w:r w:rsidRPr="00B35372">
              <w:rPr>
                <w:sz w:val="20"/>
              </w:rPr>
              <w:t>-14.5</w:t>
            </w:r>
          </w:p>
        </w:tc>
        <w:tc>
          <w:tcPr>
            <w:tcW w:w="1270" w:type="dxa"/>
          </w:tcPr>
          <w:p w14:paraId="12BCAF93" w14:textId="0C7C28CD" w:rsidR="00F14AA0" w:rsidRPr="00B35372" w:rsidRDefault="000703F2" w:rsidP="00F14AA0">
            <w:pPr>
              <w:rPr>
                <w:sz w:val="20"/>
              </w:rPr>
            </w:pPr>
            <w:r w:rsidRPr="00B35372">
              <w:rPr>
                <w:sz w:val="20"/>
              </w:rPr>
              <w:t>9.5</w:t>
            </w:r>
          </w:p>
        </w:tc>
        <w:tc>
          <w:tcPr>
            <w:tcW w:w="1299" w:type="dxa"/>
          </w:tcPr>
          <w:p w14:paraId="6BA84DA7" w14:textId="7D1B600D" w:rsidR="00F14AA0" w:rsidRPr="00B35372" w:rsidRDefault="000703F2" w:rsidP="00F14AA0">
            <w:pPr>
              <w:rPr>
                <w:sz w:val="20"/>
              </w:rPr>
            </w:pPr>
            <w:r w:rsidRPr="00B35372">
              <w:rPr>
                <w:sz w:val="20"/>
              </w:rPr>
              <w:t>-33.7</w:t>
            </w:r>
          </w:p>
        </w:tc>
        <w:tc>
          <w:tcPr>
            <w:tcW w:w="1143" w:type="dxa"/>
          </w:tcPr>
          <w:p w14:paraId="32B7E2CD" w14:textId="5B2A808C" w:rsidR="00F14AA0" w:rsidRPr="00B35372" w:rsidRDefault="000703F2" w:rsidP="00F14AA0">
            <w:pPr>
              <w:rPr>
                <w:sz w:val="20"/>
              </w:rPr>
            </w:pPr>
            <w:r w:rsidRPr="00B35372">
              <w:rPr>
                <w:sz w:val="20"/>
              </w:rPr>
              <w:t>-13</w:t>
            </w:r>
          </w:p>
        </w:tc>
        <w:tc>
          <w:tcPr>
            <w:tcW w:w="1328" w:type="dxa"/>
          </w:tcPr>
          <w:p w14:paraId="538491F0" w14:textId="75A0DD34" w:rsidR="00F14AA0" w:rsidRPr="00B35372" w:rsidRDefault="000703F2" w:rsidP="00F14AA0">
            <w:pPr>
              <w:rPr>
                <w:sz w:val="20"/>
              </w:rPr>
            </w:pPr>
            <w:r w:rsidRPr="00B35372">
              <w:rPr>
                <w:sz w:val="20"/>
              </w:rPr>
              <w:t>4.6</w:t>
            </w:r>
          </w:p>
        </w:tc>
        <w:tc>
          <w:tcPr>
            <w:tcW w:w="974" w:type="dxa"/>
          </w:tcPr>
          <w:p w14:paraId="1FDF7842" w14:textId="6774ACE4" w:rsidR="00F14AA0" w:rsidRPr="00B35372" w:rsidRDefault="000703F2" w:rsidP="00F14AA0">
            <w:pPr>
              <w:rPr>
                <w:sz w:val="20"/>
              </w:rPr>
            </w:pPr>
            <w:r w:rsidRPr="00B35372">
              <w:rPr>
                <w:sz w:val="20"/>
              </w:rPr>
              <w:t>44</w:t>
            </w:r>
          </w:p>
        </w:tc>
      </w:tr>
      <w:tr w:rsidR="00D91F5C" w14:paraId="29CFD5C4" w14:textId="77777777" w:rsidTr="00A03D11">
        <w:tc>
          <w:tcPr>
            <w:tcW w:w="8720" w:type="dxa"/>
            <w:gridSpan w:val="7"/>
            <w:shd w:val="clear" w:color="auto" w:fill="C6D4E9"/>
          </w:tcPr>
          <w:p w14:paraId="4FB33A49" w14:textId="3C0EBF8A" w:rsidR="00D91F5C" w:rsidRPr="00B35372" w:rsidRDefault="00D91F5C" w:rsidP="00B35372">
            <w:pPr>
              <w:rPr>
                <w:b/>
              </w:rPr>
            </w:pPr>
            <w:r w:rsidRPr="00B35372">
              <w:rPr>
                <w:b/>
              </w:rPr>
              <w:t>Control group</w:t>
            </w:r>
          </w:p>
        </w:tc>
      </w:tr>
      <w:tr w:rsidR="00F14AA0" w14:paraId="3619B916" w14:textId="77777777" w:rsidTr="00B35372">
        <w:tc>
          <w:tcPr>
            <w:tcW w:w="1619" w:type="dxa"/>
          </w:tcPr>
          <w:p w14:paraId="78A18C8B" w14:textId="0CA8147E" w:rsidR="00D91F5C" w:rsidRPr="00B35372" w:rsidRDefault="00D91F5C" w:rsidP="00D91F5C">
            <w:pPr>
              <w:rPr>
                <w:sz w:val="20"/>
              </w:rPr>
            </w:pPr>
            <w:r w:rsidRPr="00B35372">
              <w:rPr>
                <w:sz w:val="20"/>
              </w:rPr>
              <w:t>Day 3</w:t>
            </w:r>
          </w:p>
        </w:tc>
        <w:tc>
          <w:tcPr>
            <w:tcW w:w="1087" w:type="dxa"/>
          </w:tcPr>
          <w:p w14:paraId="6899993E" w14:textId="7506F660" w:rsidR="00F14AA0" w:rsidRPr="00B35372" w:rsidRDefault="000703F2" w:rsidP="00F14AA0">
            <w:pPr>
              <w:rPr>
                <w:sz w:val="20"/>
              </w:rPr>
            </w:pPr>
            <w:r w:rsidRPr="00B35372">
              <w:rPr>
                <w:sz w:val="20"/>
              </w:rPr>
              <w:t>-4.5</w:t>
            </w:r>
          </w:p>
        </w:tc>
        <w:tc>
          <w:tcPr>
            <w:tcW w:w="1270" w:type="dxa"/>
          </w:tcPr>
          <w:p w14:paraId="6798DD53" w14:textId="73237B91" w:rsidR="00F14AA0" w:rsidRPr="00B35372" w:rsidRDefault="000703F2" w:rsidP="00F14AA0">
            <w:pPr>
              <w:rPr>
                <w:sz w:val="20"/>
              </w:rPr>
            </w:pPr>
            <w:r w:rsidRPr="00B35372">
              <w:rPr>
                <w:sz w:val="20"/>
              </w:rPr>
              <w:t>3.9</w:t>
            </w:r>
          </w:p>
        </w:tc>
        <w:tc>
          <w:tcPr>
            <w:tcW w:w="1299" w:type="dxa"/>
          </w:tcPr>
          <w:p w14:paraId="6E6FB861" w14:textId="14C2F1E9" w:rsidR="00F14AA0" w:rsidRPr="00B35372" w:rsidRDefault="000703F2" w:rsidP="00F14AA0">
            <w:pPr>
              <w:rPr>
                <w:sz w:val="20"/>
              </w:rPr>
            </w:pPr>
            <w:r w:rsidRPr="00B35372">
              <w:rPr>
                <w:sz w:val="20"/>
              </w:rPr>
              <w:t>-13.5</w:t>
            </w:r>
          </w:p>
        </w:tc>
        <w:tc>
          <w:tcPr>
            <w:tcW w:w="1143" w:type="dxa"/>
          </w:tcPr>
          <w:p w14:paraId="4F014B69" w14:textId="492A66EE" w:rsidR="00F14AA0" w:rsidRPr="00B35372" w:rsidRDefault="000703F2" w:rsidP="00F14AA0">
            <w:pPr>
              <w:rPr>
                <w:sz w:val="20"/>
              </w:rPr>
            </w:pPr>
            <w:r w:rsidRPr="00B35372">
              <w:rPr>
                <w:sz w:val="20"/>
              </w:rPr>
              <w:t>-3.8</w:t>
            </w:r>
          </w:p>
        </w:tc>
        <w:tc>
          <w:tcPr>
            <w:tcW w:w="1328" w:type="dxa"/>
          </w:tcPr>
          <w:p w14:paraId="7FB6E3D1" w14:textId="1A639CD2" w:rsidR="00F14AA0" w:rsidRPr="00B35372" w:rsidRDefault="000703F2" w:rsidP="00F14AA0">
            <w:pPr>
              <w:rPr>
                <w:sz w:val="20"/>
              </w:rPr>
            </w:pPr>
            <w:r w:rsidRPr="00B35372">
              <w:rPr>
                <w:sz w:val="20"/>
              </w:rPr>
              <w:t>2.3</w:t>
            </w:r>
          </w:p>
        </w:tc>
        <w:tc>
          <w:tcPr>
            <w:tcW w:w="974" w:type="dxa"/>
          </w:tcPr>
          <w:p w14:paraId="264EBF9D" w14:textId="7EF05BD8" w:rsidR="00F14AA0" w:rsidRPr="00B35372" w:rsidRDefault="000703F2" w:rsidP="00F14AA0">
            <w:pPr>
              <w:rPr>
                <w:sz w:val="20"/>
              </w:rPr>
            </w:pPr>
            <w:r w:rsidRPr="00B35372">
              <w:rPr>
                <w:sz w:val="20"/>
              </w:rPr>
              <w:t>45</w:t>
            </w:r>
          </w:p>
        </w:tc>
      </w:tr>
      <w:tr w:rsidR="00F14AA0" w14:paraId="3622B16A" w14:textId="77777777" w:rsidTr="00B35372">
        <w:tc>
          <w:tcPr>
            <w:tcW w:w="1619" w:type="dxa"/>
          </w:tcPr>
          <w:p w14:paraId="13DE4CAC" w14:textId="4476DEE3" w:rsidR="00F14AA0" w:rsidRPr="00B35372" w:rsidRDefault="00D91F5C" w:rsidP="00F14AA0">
            <w:pPr>
              <w:rPr>
                <w:sz w:val="20"/>
              </w:rPr>
            </w:pPr>
            <w:r w:rsidRPr="00B35372">
              <w:rPr>
                <w:sz w:val="20"/>
              </w:rPr>
              <w:t>Day 4</w:t>
            </w:r>
          </w:p>
        </w:tc>
        <w:tc>
          <w:tcPr>
            <w:tcW w:w="1087" w:type="dxa"/>
          </w:tcPr>
          <w:p w14:paraId="5230277E" w14:textId="691F75A6" w:rsidR="00F14AA0" w:rsidRPr="00B35372" w:rsidRDefault="000703F2" w:rsidP="00F14AA0">
            <w:pPr>
              <w:rPr>
                <w:sz w:val="20"/>
              </w:rPr>
            </w:pPr>
            <w:r w:rsidRPr="00B35372">
              <w:rPr>
                <w:sz w:val="20"/>
              </w:rPr>
              <w:t>-9.1</w:t>
            </w:r>
          </w:p>
        </w:tc>
        <w:tc>
          <w:tcPr>
            <w:tcW w:w="1270" w:type="dxa"/>
          </w:tcPr>
          <w:p w14:paraId="1C67F1C7" w14:textId="2FC5B8BE" w:rsidR="00F14AA0" w:rsidRPr="00B35372" w:rsidRDefault="000703F2" w:rsidP="00F14AA0">
            <w:pPr>
              <w:rPr>
                <w:sz w:val="20"/>
              </w:rPr>
            </w:pPr>
            <w:r w:rsidRPr="00B35372">
              <w:rPr>
                <w:sz w:val="20"/>
              </w:rPr>
              <w:t>7.5</w:t>
            </w:r>
          </w:p>
        </w:tc>
        <w:tc>
          <w:tcPr>
            <w:tcW w:w="1299" w:type="dxa"/>
          </w:tcPr>
          <w:p w14:paraId="5AB33370" w14:textId="025546FE" w:rsidR="00F14AA0" w:rsidRPr="00B35372" w:rsidRDefault="000703F2" w:rsidP="00F14AA0">
            <w:pPr>
              <w:rPr>
                <w:sz w:val="20"/>
              </w:rPr>
            </w:pPr>
            <w:r w:rsidRPr="00B35372">
              <w:rPr>
                <w:sz w:val="20"/>
              </w:rPr>
              <w:t>-35.1</w:t>
            </w:r>
          </w:p>
        </w:tc>
        <w:tc>
          <w:tcPr>
            <w:tcW w:w="1143" w:type="dxa"/>
          </w:tcPr>
          <w:p w14:paraId="27C928DB" w14:textId="2408CB94" w:rsidR="00F14AA0" w:rsidRPr="00B35372" w:rsidRDefault="000703F2" w:rsidP="00F14AA0">
            <w:pPr>
              <w:rPr>
                <w:sz w:val="20"/>
              </w:rPr>
            </w:pPr>
            <w:r w:rsidRPr="00B35372">
              <w:rPr>
                <w:sz w:val="20"/>
              </w:rPr>
              <w:t>-7.2</w:t>
            </w:r>
          </w:p>
        </w:tc>
        <w:tc>
          <w:tcPr>
            <w:tcW w:w="1328" w:type="dxa"/>
          </w:tcPr>
          <w:p w14:paraId="6B3112E0" w14:textId="290B5324" w:rsidR="00F14AA0" w:rsidRPr="00B35372" w:rsidRDefault="000703F2" w:rsidP="00F14AA0">
            <w:pPr>
              <w:rPr>
                <w:sz w:val="20"/>
              </w:rPr>
            </w:pPr>
            <w:r w:rsidRPr="00B35372">
              <w:rPr>
                <w:sz w:val="20"/>
              </w:rPr>
              <w:t>3.9</w:t>
            </w:r>
          </w:p>
        </w:tc>
        <w:tc>
          <w:tcPr>
            <w:tcW w:w="974" w:type="dxa"/>
          </w:tcPr>
          <w:p w14:paraId="54AE19DA" w14:textId="2DFCBA31" w:rsidR="00F14AA0" w:rsidRPr="00B35372" w:rsidRDefault="000703F2" w:rsidP="00F14AA0">
            <w:pPr>
              <w:rPr>
                <w:sz w:val="20"/>
              </w:rPr>
            </w:pPr>
            <w:r w:rsidRPr="00B35372">
              <w:rPr>
                <w:sz w:val="20"/>
              </w:rPr>
              <w:t>45</w:t>
            </w:r>
          </w:p>
        </w:tc>
      </w:tr>
      <w:tr w:rsidR="00F14AA0" w14:paraId="37CAF9CE" w14:textId="77777777" w:rsidTr="00B35372">
        <w:tc>
          <w:tcPr>
            <w:tcW w:w="1619" w:type="dxa"/>
          </w:tcPr>
          <w:p w14:paraId="6BFCF497" w14:textId="2073FBF7" w:rsidR="00F14AA0" w:rsidRPr="00B35372" w:rsidRDefault="00D91F5C" w:rsidP="00F14AA0">
            <w:pPr>
              <w:rPr>
                <w:sz w:val="20"/>
              </w:rPr>
            </w:pPr>
            <w:r w:rsidRPr="00B35372">
              <w:rPr>
                <w:sz w:val="20"/>
              </w:rPr>
              <w:t>Day 5</w:t>
            </w:r>
          </w:p>
        </w:tc>
        <w:tc>
          <w:tcPr>
            <w:tcW w:w="1087" w:type="dxa"/>
          </w:tcPr>
          <w:p w14:paraId="624030D3" w14:textId="7FF827D3" w:rsidR="00F14AA0" w:rsidRPr="00B35372" w:rsidRDefault="000703F2" w:rsidP="00F14AA0">
            <w:pPr>
              <w:rPr>
                <w:sz w:val="20"/>
              </w:rPr>
            </w:pPr>
            <w:r w:rsidRPr="00B35372">
              <w:rPr>
                <w:sz w:val="20"/>
              </w:rPr>
              <w:t>-12.6</w:t>
            </w:r>
          </w:p>
        </w:tc>
        <w:tc>
          <w:tcPr>
            <w:tcW w:w="1270" w:type="dxa"/>
          </w:tcPr>
          <w:p w14:paraId="539E051D" w14:textId="037C2A85" w:rsidR="00F14AA0" w:rsidRPr="00B35372" w:rsidRDefault="000703F2" w:rsidP="00F14AA0">
            <w:pPr>
              <w:rPr>
                <w:sz w:val="20"/>
              </w:rPr>
            </w:pPr>
            <w:r w:rsidRPr="00B35372">
              <w:rPr>
                <w:sz w:val="20"/>
              </w:rPr>
              <w:t>9.5</w:t>
            </w:r>
          </w:p>
        </w:tc>
        <w:tc>
          <w:tcPr>
            <w:tcW w:w="1299" w:type="dxa"/>
          </w:tcPr>
          <w:p w14:paraId="70370A0A" w14:textId="31AE7E76" w:rsidR="00F14AA0" w:rsidRPr="00B35372" w:rsidRDefault="000703F2" w:rsidP="00F14AA0">
            <w:pPr>
              <w:rPr>
                <w:sz w:val="20"/>
              </w:rPr>
            </w:pPr>
            <w:r w:rsidRPr="00B35372">
              <w:rPr>
                <w:sz w:val="20"/>
              </w:rPr>
              <w:t>-44.9</w:t>
            </w:r>
          </w:p>
        </w:tc>
        <w:tc>
          <w:tcPr>
            <w:tcW w:w="1143" w:type="dxa"/>
          </w:tcPr>
          <w:p w14:paraId="0A89200A" w14:textId="70A792F8" w:rsidR="00F14AA0" w:rsidRPr="00B35372" w:rsidRDefault="000703F2" w:rsidP="00F14AA0">
            <w:pPr>
              <w:rPr>
                <w:sz w:val="20"/>
              </w:rPr>
            </w:pPr>
            <w:r w:rsidRPr="00B35372">
              <w:rPr>
                <w:sz w:val="20"/>
              </w:rPr>
              <w:t>-12</w:t>
            </w:r>
          </w:p>
        </w:tc>
        <w:tc>
          <w:tcPr>
            <w:tcW w:w="1328" w:type="dxa"/>
          </w:tcPr>
          <w:p w14:paraId="499EE398" w14:textId="4110BBB2" w:rsidR="00F14AA0" w:rsidRPr="00B35372" w:rsidRDefault="000703F2" w:rsidP="00F14AA0">
            <w:pPr>
              <w:rPr>
                <w:sz w:val="20"/>
              </w:rPr>
            </w:pPr>
            <w:r w:rsidRPr="00B35372">
              <w:rPr>
                <w:sz w:val="20"/>
              </w:rPr>
              <w:t>6.2</w:t>
            </w:r>
          </w:p>
        </w:tc>
        <w:tc>
          <w:tcPr>
            <w:tcW w:w="974" w:type="dxa"/>
          </w:tcPr>
          <w:p w14:paraId="6F8E0E64" w14:textId="43670C6F" w:rsidR="00F14AA0" w:rsidRPr="00B35372" w:rsidRDefault="000703F2" w:rsidP="00F14AA0">
            <w:pPr>
              <w:rPr>
                <w:sz w:val="20"/>
              </w:rPr>
            </w:pPr>
            <w:r w:rsidRPr="00B35372">
              <w:rPr>
                <w:sz w:val="20"/>
              </w:rPr>
              <w:t>45</w:t>
            </w:r>
          </w:p>
        </w:tc>
      </w:tr>
      <w:tr w:rsidR="00F14AA0" w14:paraId="1F1F36ED" w14:textId="77777777" w:rsidTr="00B35372">
        <w:tc>
          <w:tcPr>
            <w:tcW w:w="1619" w:type="dxa"/>
          </w:tcPr>
          <w:p w14:paraId="00DE27D6" w14:textId="09C44D95" w:rsidR="00F14AA0" w:rsidRPr="00B35372" w:rsidRDefault="00D91F5C" w:rsidP="00F14AA0">
            <w:pPr>
              <w:rPr>
                <w:sz w:val="20"/>
              </w:rPr>
            </w:pPr>
            <w:r w:rsidRPr="00B35372">
              <w:rPr>
                <w:sz w:val="20"/>
              </w:rPr>
              <w:t>Day 6</w:t>
            </w:r>
          </w:p>
        </w:tc>
        <w:tc>
          <w:tcPr>
            <w:tcW w:w="1087" w:type="dxa"/>
          </w:tcPr>
          <w:p w14:paraId="65AAE19B" w14:textId="7B61D4A4" w:rsidR="00F14AA0" w:rsidRPr="00B35372" w:rsidRDefault="000703F2" w:rsidP="00F14AA0">
            <w:pPr>
              <w:rPr>
                <w:sz w:val="20"/>
              </w:rPr>
            </w:pPr>
            <w:r w:rsidRPr="00B35372">
              <w:rPr>
                <w:sz w:val="20"/>
              </w:rPr>
              <w:t>-17.1</w:t>
            </w:r>
          </w:p>
        </w:tc>
        <w:tc>
          <w:tcPr>
            <w:tcW w:w="1270" w:type="dxa"/>
          </w:tcPr>
          <w:p w14:paraId="679DDF3C" w14:textId="573B2FEF" w:rsidR="00F14AA0" w:rsidRPr="00B35372" w:rsidRDefault="000703F2" w:rsidP="00F14AA0">
            <w:pPr>
              <w:rPr>
                <w:sz w:val="20"/>
              </w:rPr>
            </w:pPr>
            <w:r w:rsidRPr="00B35372">
              <w:rPr>
                <w:sz w:val="20"/>
              </w:rPr>
              <w:t>11</w:t>
            </w:r>
          </w:p>
        </w:tc>
        <w:tc>
          <w:tcPr>
            <w:tcW w:w="1299" w:type="dxa"/>
          </w:tcPr>
          <w:p w14:paraId="2E89E3A1" w14:textId="22A6E251" w:rsidR="00F14AA0" w:rsidRPr="00B35372" w:rsidRDefault="000703F2" w:rsidP="00F14AA0">
            <w:pPr>
              <w:rPr>
                <w:sz w:val="20"/>
              </w:rPr>
            </w:pPr>
            <w:r w:rsidRPr="00B35372">
              <w:rPr>
                <w:sz w:val="20"/>
              </w:rPr>
              <w:t>-52.4</w:t>
            </w:r>
          </w:p>
        </w:tc>
        <w:tc>
          <w:tcPr>
            <w:tcW w:w="1143" w:type="dxa"/>
          </w:tcPr>
          <w:p w14:paraId="7AEE615D" w14:textId="3126A43F" w:rsidR="00F14AA0" w:rsidRPr="00B35372" w:rsidRDefault="000703F2" w:rsidP="00F14AA0">
            <w:pPr>
              <w:rPr>
                <w:sz w:val="20"/>
              </w:rPr>
            </w:pPr>
            <w:r w:rsidRPr="00B35372">
              <w:rPr>
                <w:sz w:val="20"/>
              </w:rPr>
              <w:t>-15.4</w:t>
            </w:r>
          </w:p>
        </w:tc>
        <w:tc>
          <w:tcPr>
            <w:tcW w:w="1328" w:type="dxa"/>
          </w:tcPr>
          <w:p w14:paraId="261A30BC" w14:textId="41871E98" w:rsidR="00F14AA0" w:rsidRPr="00B35372" w:rsidRDefault="000703F2" w:rsidP="00F14AA0">
            <w:pPr>
              <w:rPr>
                <w:sz w:val="20"/>
              </w:rPr>
            </w:pPr>
            <w:r w:rsidRPr="00B35372">
              <w:rPr>
                <w:sz w:val="20"/>
              </w:rPr>
              <w:t>3.6</w:t>
            </w:r>
          </w:p>
        </w:tc>
        <w:tc>
          <w:tcPr>
            <w:tcW w:w="974" w:type="dxa"/>
          </w:tcPr>
          <w:p w14:paraId="55CC7131" w14:textId="38A4AD42" w:rsidR="00F14AA0" w:rsidRPr="00B35372" w:rsidRDefault="000703F2" w:rsidP="00F14AA0">
            <w:pPr>
              <w:rPr>
                <w:sz w:val="20"/>
              </w:rPr>
            </w:pPr>
            <w:r w:rsidRPr="00B35372">
              <w:rPr>
                <w:sz w:val="20"/>
              </w:rPr>
              <w:t>45</w:t>
            </w:r>
          </w:p>
        </w:tc>
      </w:tr>
    </w:tbl>
    <w:p w14:paraId="5A55833E" w14:textId="1052ACC6" w:rsidR="00E17AB5" w:rsidRDefault="00D07056" w:rsidP="00B35372">
      <w:pPr>
        <w:pStyle w:val="TableDescription"/>
      </w:pPr>
      <w:r>
        <w:t>Cumulative n</w:t>
      </w:r>
      <w:r w:rsidR="00A52C9B">
        <w:t>itrogen balance given in grams; N = number of subjects.</w:t>
      </w:r>
    </w:p>
    <w:p w14:paraId="6A2C1521" w14:textId="10B27639" w:rsidR="005E058A" w:rsidRDefault="005E058A" w:rsidP="005E058A">
      <w:r w:rsidRPr="00B35372">
        <w:rPr>
          <w:i/>
        </w:rPr>
        <w:t>Other efficacy outcomes</w:t>
      </w:r>
      <w:r>
        <w:t xml:space="preserve">: </w:t>
      </w:r>
      <w:r w:rsidR="00A52C9B">
        <w:t>T</w:t>
      </w:r>
      <w:r w:rsidR="00551CD6">
        <w:t xml:space="preserve">herapeutic </w:t>
      </w:r>
      <w:r w:rsidR="00A52C9B">
        <w:t>I</w:t>
      </w:r>
      <w:r w:rsidR="00551CD6">
        <w:t xml:space="preserve">ntervention </w:t>
      </w:r>
      <w:r w:rsidR="00A52C9B">
        <w:t>S</w:t>
      </w:r>
      <w:r w:rsidR="00551CD6">
        <w:t xml:space="preserve">coring </w:t>
      </w:r>
      <w:r w:rsidR="00A52C9B">
        <w:t>S</w:t>
      </w:r>
      <w:r w:rsidR="00551CD6" w:rsidRPr="00822E5E">
        <w:t>ystem</w:t>
      </w:r>
      <w:r w:rsidR="00551CD6">
        <w:t xml:space="preserve"> (</w:t>
      </w:r>
      <w:r>
        <w:t>TISS</w:t>
      </w:r>
      <w:r w:rsidR="00551CD6">
        <w:t>)</w:t>
      </w:r>
      <w:r w:rsidR="00A52C9B">
        <w:t xml:space="preserve"> scores declined to a similar extent across treatment groups.</w:t>
      </w:r>
      <w:r w:rsidR="00551CD6">
        <w:rPr>
          <w:rStyle w:val="FootnoteReference"/>
        </w:rPr>
        <w:footnoteReference w:id="3"/>
      </w:r>
      <w:r>
        <w:t xml:space="preserve"> .</w:t>
      </w:r>
    </w:p>
    <w:p w14:paraId="383377FE" w14:textId="07F532BE" w:rsidR="005E058A" w:rsidRDefault="00D84CAA" w:rsidP="005E058A">
      <w:r>
        <w:lastRenderedPageBreak/>
        <w:t xml:space="preserve">Acute </w:t>
      </w:r>
      <w:r w:rsidR="00A52C9B">
        <w:t>P</w:t>
      </w:r>
      <w:r w:rsidRPr="00D84CAA">
        <w:t xml:space="preserve">hysiology </w:t>
      </w:r>
      <w:r w:rsidR="00A52C9B">
        <w:t>A</w:t>
      </w:r>
      <w:r>
        <w:t xml:space="preserve">nd </w:t>
      </w:r>
      <w:r w:rsidR="00A52C9B">
        <w:t>C</w:t>
      </w:r>
      <w:r>
        <w:t xml:space="preserve">hronic </w:t>
      </w:r>
      <w:r w:rsidR="00A52C9B">
        <w:t>H</w:t>
      </w:r>
      <w:r>
        <w:t xml:space="preserve">ealth </w:t>
      </w:r>
      <w:r w:rsidR="00A52C9B">
        <w:t>E</w:t>
      </w:r>
      <w:r>
        <w:t>valuation</w:t>
      </w:r>
      <w:r w:rsidR="00A52C9B">
        <w:t xml:space="preserve"> II</w:t>
      </w:r>
      <w:r>
        <w:t xml:space="preserve"> (APACHE</w:t>
      </w:r>
      <w:r w:rsidR="00A52C9B">
        <w:t xml:space="preserve"> II</w:t>
      </w:r>
      <w:r>
        <w:t xml:space="preserve">) </w:t>
      </w:r>
      <w:r w:rsidR="005E058A">
        <w:t>score</w:t>
      </w:r>
      <w:r w:rsidR="00A52C9B">
        <w:t>s</w:t>
      </w:r>
      <w:r>
        <w:t>;</w:t>
      </w:r>
      <w:r>
        <w:rPr>
          <w:rStyle w:val="FootnoteReference"/>
        </w:rPr>
        <w:footnoteReference w:id="4"/>
      </w:r>
      <w:r w:rsidR="005E058A">
        <w:t xml:space="preserve"> declined to a greater degree in </w:t>
      </w:r>
      <w:r w:rsidR="00695AFB">
        <w:t>dipeptide alanylglutamine</w:t>
      </w:r>
      <w:r w:rsidR="005E058A">
        <w:t xml:space="preserve"> group, compared to control group. The treatment difference was statistically significant (p = 0.04).</w:t>
      </w:r>
    </w:p>
    <w:p w14:paraId="298F1F6B" w14:textId="724B8E46" w:rsidR="005E058A" w:rsidRDefault="005E058A" w:rsidP="005E058A">
      <w:r>
        <w:t xml:space="preserve">Multi </w:t>
      </w:r>
      <w:r w:rsidR="00A52C9B">
        <w:t>o</w:t>
      </w:r>
      <w:r>
        <w:t xml:space="preserve">rgan </w:t>
      </w:r>
      <w:r w:rsidR="00A52C9B">
        <w:t>f</w:t>
      </w:r>
      <w:r>
        <w:t>ailure</w:t>
      </w:r>
      <w:r w:rsidR="00D84CAA">
        <w:t xml:space="preserve"> (MOF</w:t>
      </w:r>
      <w:r>
        <w:t>) scores and infection rates were comparable between treatment groups.</w:t>
      </w:r>
    </w:p>
    <w:p w14:paraId="72B52508" w14:textId="133AA506" w:rsidR="005E058A" w:rsidRDefault="005E058A" w:rsidP="005E058A">
      <w:r>
        <w:t xml:space="preserve">The length of stay (LOS) for </w:t>
      </w:r>
      <w:r w:rsidR="00A52C9B">
        <w:t xml:space="preserve">the </w:t>
      </w:r>
      <w:r>
        <w:t>PP population, but not for</w:t>
      </w:r>
      <w:r w:rsidR="00A52C9B">
        <w:t xml:space="preserve"> the</w:t>
      </w:r>
      <w:r>
        <w:t xml:space="preserve"> intent to treat (ITT) population was 14 days for treatment group and 17 days for control group. The difference was statistically significant (p = 0.013).</w:t>
      </w:r>
    </w:p>
    <w:p w14:paraId="619E1450" w14:textId="7E19CD14" w:rsidR="00F14AA0" w:rsidRDefault="005E058A" w:rsidP="005E058A">
      <w:r>
        <w:t xml:space="preserve">Plasma glutamine level was higher (572.4 </w:t>
      </w:r>
      <w:r w:rsidR="00A52C9B">
        <w:t>µ</w:t>
      </w:r>
      <w:r>
        <w:t>mol/L for treatment group and 494.1</w:t>
      </w:r>
      <w:r w:rsidR="00A52C9B">
        <w:t> µ</w:t>
      </w:r>
      <w:r>
        <w:t>mol/L for control group. The difference was statistically significant (p = 0.0033).</w:t>
      </w:r>
    </w:p>
    <w:p w14:paraId="43FBEA86" w14:textId="77777777" w:rsidR="005E058A" w:rsidRDefault="005E058A" w:rsidP="00B35372">
      <w:pPr>
        <w:pStyle w:val="Heading5"/>
      </w:pPr>
      <w:r>
        <w:t>Study 95-TPN-GLN-01</w:t>
      </w:r>
    </w:p>
    <w:p w14:paraId="3260E4C2" w14:textId="2D508C15" w:rsidR="005E058A" w:rsidRDefault="005E058A" w:rsidP="005E058A">
      <w:r w:rsidRPr="00B35372">
        <w:rPr>
          <w:i/>
        </w:rPr>
        <w:t>Study design</w:t>
      </w:r>
      <w:r>
        <w:t xml:space="preserve">: </w:t>
      </w:r>
      <w:r w:rsidR="00A52C9B">
        <w:t>A m</w:t>
      </w:r>
      <w:r>
        <w:t>ulti centre, double blind, controlled RCT.</w:t>
      </w:r>
    </w:p>
    <w:p w14:paraId="4A34A44B" w14:textId="7A906CA4" w:rsidR="005E058A" w:rsidRDefault="005E058A" w:rsidP="005E058A">
      <w:r w:rsidRPr="00B35372">
        <w:rPr>
          <w:i/>
        </w:rPr>
        <w:t>Study period</w:t>
      </w:r>
      <w:r>
        <w:t>: 1996 to 2000.</w:t>
      </w:r>
    </w:p>
    <w:p w14:paraId="608FA577" w14:textId="2EE770F3" w:rsidR="005E058A" w:rsidRDefault="005E058A" w:rsidP="005E058A">
      <w:r w:rsidRPr="00B35372">
        <w:rPr>
          <w:i/>
        </w:rPr>
        <w:t>Treatment duration</w:t>
      </w:r>
      <w:r>
        <w:t>: 5 to 10 days.</w:t>
      </w:r>
    </w:p>
    <w:p w14:paraId="01CBA65E" w14:textId="637D72E7" w:rsidR="005E058A" w:rsidRDefault="005E058A" w:rsidP="005E058A">
      <w:r w:rsidRPr="00B35372">
        <w:rPr>
          <w:i/>
        </w:rPr>
        <w:t>Inclusion criteria</w:t>
      </w:r>
      <w:r>
        <w:t xml:space="preserve">: Adult ICU patients requiring TPN for 5 to 10 days. </w:t>
      </w:r>
      <w:r w:rsidR="00D84CAA">
        <w:t xml:space="preserve">Simplified </w:t>
      </w:r>
      <w:r w:rsidR="00A52C9B">
        <w:t>A</w:t>
      </w:r>
      <w:r w:rsidR="00D84CAA">
        <w:t xml:space="preserve">cute </w:t>
      </w:r>
      <w:r w:rsidR="00A52C9B">
        <w:t>P</w:t>
      </w:r>
      <w:r w:rsidR="00D84CAA">
        <w:t xml:space="preserve">hysiology </w:t>
      </w:r>
      <w:r w:rsidR="00A52C9B">
        <w:t>II S</w:t>
      </w:r>
      <w:r>
        <w:t>core</w:t>
      </w:r>
      <w:r w:rsidR="00D84CAA">
        <w:t xml:space="preserve"> (SAP</w:t>
      </w:r>
      <w:r w:rsidR="00A52C9B">
        <w:t>S II</w:t>
      </w:r>
      <w:r>
        <w:t>)</w:t>
      </w:r>
      <w:r w:rsidR="00D84CAA">
        <w:t xml:space="preserve"> II;</w:t>
      </w:r>
      <w:r w:rsidR="00D84CAA">
        <w:rPr>
          <w:rStyle w:val="FootnoteReference"/>
        </w:rPr>
        <w:footnoteReference w:id="5"/>
      </w:r>
      <w:r w:rsidR="00D84CAA">
        <w:t xml:space="preserve"> </w:t>
      </w:r>
      <w:r w:rsidR="00551CD6">
        <w:t xml:space="preserve">of &gt; 22 accompanied by a TISS </w:t>
      </w:r>
      <w:r>
        <w:t xml:space="preserve">score of &gt; 16 was used to define critically ill patients. In patients with multiple trauma, SAPS II score was replaced with </w:t>
      </w:r>
      <w:r w:rsidR="00D84CAA">
        <w:t>injury severity score (</w:t>
      </w:r>
      <w:r>
        <w:t>ISS</w:t>
      </w:r>
      <w:r w:rsidR="00D84CAA">
        <w:t>)</w:t>
      </w:r>
      <w:r>
        <w:t xml:space="preserve"> score</w:t>
      </w:r>
      <w:r w:rsidR="00D84CAA">
        <w:t>;</w:t>
      </w:r>
      <w:r w:rsidR="00D84CAA">
        <w:rPr>
          <w:rStyle w:val="FootnoteReference"/>
        </w:rPr>
        <w:footnoteReference w:id="6"/>
      </w:r>
      <w:r>
        <w:t xml:space="preserve"> of &gt;</w:t>
      </w:r>
      <w:r w:rsidR="003E7CCD">
        <w:t xml:space="preserve"> </w:t>
      </w:r>
      <w:r>
        <w:t>10.</w:t>
      </w:r>
    </w:p>
    <w:p w14:paraId="7CBA1958" w14:textId="23ACC1EF" w:rsidR="005E058A" w:rsidRDefault="00A52C9B" w:rsidP="005E058A">
      <w:r>
        <w:t>The t</w:t>
      </w:r>
      <w:r w:rsidR="005E058A">
        <w:t xml:space="preserve">reatment group received </w:t>
      </w:r>
      <w:r w:rsidR="0020651C">
        <w:t>Dipeptiven</w:t>
      </w:r>
      <w:r w:rsidR="005E058A">
        <w:t xml:space="preserve"> 0.5</w:t>
      </w:r>
      <w:r w:rsidR="003E7CCD">
        <w:t xml:space="preserve"> </w:t>
      </w:r>
      <w:r w:rsidR="005E058A">
        <w:t>g/kg/day as</w:t>
      </w:r>
      <w:r>
        <w:t xml:space="preserve"> a</w:t>
      </w:r>
      <w:r w:rsidR="005E058A">
        <w:t xml:space="preserve"> supplement to TPN. </w:t>
      </w:r>
      <w:r>
        <w:t>The t</w:t>
      </w:r>
      <w:r w:rsidR="005E058A">
        <w:t>otal amino acid dose was 1.5</w:t>
      </w:r>
      <w:r w:rsidR="00D84CAA">
        <w:t> g/</w:t>
      </w:r>
      <w:r w:rsidR="005E058A">
        <w:t>kg/day.</w:t>
      </w:r>
    </w:p>
    <w:p w14:paraId="0A6B43D4" w14:textId="4C08A473" w:rsidR="005E058A" w:rsidRDefault="005E058A" w:rsidP="005E058A">
      <w:r>
        <w:t>Control treatment was comparable except for a mixture of alanine and proline 0.7</w:t>
      </w:r>
      <w:r w:rsidR="00D84CAA">
        <w:t> </w:t>
      </w:r>
      <w:r>
        <w:t>g/kg/day, instead of Dipeptiven.</w:t>
      </w:r>
    </w:p>
    <w:p w14:paraId="5015D3FD" w14:textId="08E46206" w:rsidR="005E058A" w:rsidRDefault="005E058A" w:rsidP="005E058A">
      <w:r>
        <w:t>Study population was categorised into those having multiple trauma, complicated post</w:t>
      </w:r>
      <w:r w:rsidR="00A52C9B">
        <w:noBreakHyphen/>
      </w:r>
      <w:r>
        <w:t>surgery recovery and acute pancreatitis. However, statistical analysis for primary and secondary endpoints were performed with the whole population.</w:t>
      </w:r>
    </w:p>
    <w:p w14:paraId="1C3B8EFA" w14:textId="175F2AC0" w:rsidR="005E058A" w:rsidRDefault="005E058A" w:rsidP="005E058A">
      <w:r w:rsidRPr="00B35372">
        <w:rPr>
          <w:i/>
        </w:rPr>
        <w:t>Baseline characteristics</w:t>
      </w:r>
      <w:r>
        <w:t xml:space="preserve">: </w:t>
      </w:r>
      <w:r w:rsidR="00FC7333">
        <w:t xml:space="preserve">The </w:t>
      </w:r>
      <w:r>
        <w:t xml:space="preserve">ITT population had 114 patients. </w:t>
      </w:r>
      <w:r w:rsidR="00FC7333">
        <w:t>The a</w:t>
      </w:r>
      <w:r>
        <w:t>verage age was around 51</w:t>
      </w:r>
      <w:r w:rsidR="00A52C9B">
        <w:t> </w:t>
      </w:r>
      <w:r>
        <w:t>years. Indications for admission to ICU and TPN were comparable across treatment groups.</w:t>
      </w:r>
    </w:p>
    <w:p w14:paraId="1737B689" w14:textId="698D3469" w:rsidR="005E058A" w:rsidRDefault="005E058A" w:rsidP="005E058A">
      <w:pPr>
        <w:pStyle w:val="TableTitle"/>
      </w:pPr>
      <w:r w:rsidRPr="005E058A">
        <w:lastRenderedPageBreak/>
        <w:t xml:space="preserve">Table </w:t>
      </w:r>
      <w:fldSimple w:instr=" SEQ Table \* ARABIC ">
        <w:r w:rsidR="00405CEF">
          <w:rPr>
            <w:noProof/>
          </w:rPr>
          <w:t>7</w:t>
        </w:r>
      </w:fldSimple>
      <w:r>
        <w:t xml:space="preserve">: </w:t>
      </w:r>
      <w:r w:rsidR="00A52C9B">
        <w:t xml:space="preserve">Study 95-TPN-GLN-01 </w:t>
      </w:r>
      <w:r>
        <w:t xml:space="preserve">Indication for admission to </w:t>
      </w:r>
      <w:r w:rsidR="00574DE4">
        <w:t>an intensive care unit and requiring total parenteral nutrition</w:t>
      </w:r>
    </w:p>
    <w:p w14:paraId="237094C5" w14:textId="4DD2DBC3" w:rsidR="005E058A" w:rsidRDefault="005E058A" w:rsidP="005E058A">
      <w:r w:rsidRPr="005E058A">
        <w:rPr>
          <w:noProof/>
          <w:lang w:eastAsia="en-AU"/>
        </w:rPr>
        <w:drawing>
          <wp:inline distT="0" distB="0" distL="0" distR="0" wp14:anchorId="497FE211" wp14:editId="071BD8B9">
            <wp:extent cx="5400040" cy="1562100"/>
            <wp:effectExtent l="0" t="0" r="0" b="0"/>
            <wp:docPr id="2" name="Picture 2" descr="Indication for admission to ICU and T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562100"/>
                    </a:xfrm>
                    <a:prstGeom prst="rect">
                      <a:avLst/>
                    </a:prstGeom>
                  </pic:spPr>
                </pic:pic>
              </a:graphicData>
            </a:graphic>
          </wp:inline>
        </w:drawing>
      </w:r>
    </w:p>
    <w:p w14:paraId="2AD6A787" w14:textId="77777777" w:rsidR="005E058A" w:rsidRDefault="005E058A" w:rsidP="00B35372">
      <w:pPr>
        <w:pStyle w:val="Heading6"/>
      </w:pPr>
      <w:r>
        <w:t>Results</w:t>
      </w:r>
    </w:p>
    <w:p w14:paraId="07E5B2D9" w14:textId="32E06164" w:rsidR="005E058A" w:rsidRDefault="005E058A" w:rsidP="005E058A">
      <w:r>
        <w:t>A lower propo</w:t>
      </w:r>
      <w:r w:rsidR="003A7E36">
        <w:t>rtion of patients treated with D</w:t>
      </w:r>
      <w:r>
        <w:t>ipeptiven experienced nosocomial infect</w:t>
      </w:r>
      <w:r w:rsidR="003A7E36">
        <w:t>ions, compared to control group</w:t>
      </w:r>
      <w:r>
        <w:t xml:space="preserve"> (39.7% versus 57.8%). The difference was statistically significant (p ≤ 0.05). The types of infections included surgical wound infections, septic shock, urinary tract infections and intravenous</w:t>
      </w:r>
      <w:r w:rsidR="003A7E36">
        <w:t xml:space="preserve"> (IV)</w:t>
      </w:r>
      <w:r>
        <w:t xml:space="preserve"> catheter infections.</w:t>
      </w:r>
    </w:p>
    <w:p w14:paraId="2D45A893" w14:textId="71756DE2" w:rsidR="005E058A" w:rsidRDefault="005E058A" w:rsidP="005E058A">
      <w:r>
        <w:t>The TISS score decreased in both groups, with no major between-group difference.</w:t>
      </w:r>
    </w:p>
    <w:p w14:paraId="410559A2" w14:textId="2509916A" w:rsidR="005E058A" w:rsidRDefault="005E058A" w:rsidP="003E7CCD">
      <w:pPr>
        <w:pStyle w:val="TableTitle"/>
      </w:pPr>
      <w:r w:rsidRPr="003E7CCD">
        <w:t xml:space="preserve">Table </w:t>
      </w:r>
      <w:fldSimple w:instr=" SEQ Table \* ARABIC ">
        <w:r w:rsidR="00405CEF">
          <w:rPr>
            <w:noProof/>
          </w:rPr>
          <w:t>8</w:t>
        </w:r>
      </w:fldSimple>
      <w:r>
        <w:t xml:space="preserve">: </w:t>
      </w:r>
      <w:r w:rsidR="00574DE4">
        <w:t xml:space="preserve">Study 95-TPN-GLN-01 </w:t>
      </w:r>
      <w:r>
        <w:t>Primary outcome</w:t>
      </w:r>
    </w:p>
    <w:p w14:paraId="19E37EA2" w14:textId="2E6C9B39" w:rsidR="005E058A" w:rsidRDefault="005E058A" w:rsidP="005E058A">
      <w:r w:rsidRPr="005E058A">
        <w:rPr>
          <w:noProof/>
          <w:lang w:eastAsia="en-AU"/>
        </w:rPr>
        <w:drawing>
          <wp:inline distT="0" distB="0" distL="0" distR="0" wp14:anchorId="6641C355" wp14:editId="68A80557">
            <wp:extent cx="5400040" cy="2486025"/>
            <wp:effectExtent l="0" t="0" r="0" b="9525"/>
            <wp:docPr id="3" name="Picture 3" descr="Primary outcome of Study 95-TPN-GL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486025"/>
                    </a:xfrm>
                    <a:prstGeom prst="rect">
                      <a:avLst/>
                    </a:prstGeom>
                  </pic:spPr>
                </pic:pic>
              </a:graphicData>
            </a:graphic>
          </wp:inline>
        </w:drawing>
      </w:r>
    </w:p>
    <w:p w14:paraId="178B9787" w14:textId="1FDDAA91" w:rsidR="005E058A" w:rsidRDefault="005E058A" w:rsidP="005E058A">
      <w:pPr>
        <w:pStyle w:val="TableDescription"/>
      </w:pPr>
      <w:r>
        <w:t xml:space="preserve">* </w:t>
      </w:r>
      <w:r w:rsidR="00574DE4">
        <w:t xml:space="preserve">= </w:t>
      </w:r>
      <w:r>
        <w:t>Chi-square test</w:t>
      </w:r>
      <w:r w:rsidR="00574DE4">
        <w:t>;</w:t>
      </w:r>
      <w:r>
        <w:t xml:space="preserve"> t</w:t>
      </w:r>
      <w:r w:rsidR="00574DE4">
        <w:t xml:space="preserve"> =</w:t>
      </w:r>
      <w:r>
        <w:t xml:space="preserve"> Mann-Whitney test</w:t>
      </w:r>
    </w:p>
    <w:p w14:paraId="6B0BEBA5" w14:textId="6E163D05" w:rsidR="005E058A" w:rsidRDefault="005E058A" w:rsidP="005E058A">
      <w:r w:rsidRPr="00B35372">
        <w:rPr>
          <w:i/>
        </w:rPr>
        <w:t>Other efficacy outcomes</w:t>
      </w:r>
      <w:r w:rsidR="00574DE4">
        <w:t xml:space="preserve">: </w:t>
      </w:r>
      <w:r>
        <w:t xml:space="preserve">No major difference in length of hospital or ICU stay was observed between </w:t>
      </w:r>
      <w:r w:rsidR="00695AFB">
        <w:t>dipeptide alanylglutamine</w:t>
      </w:r>
      <w:r>
        <w:t xml:space="preserve"> and control group. Median LOS was 12.5 days in ICU and 30 days in hospital for the test group and 11.5 days in ICU and 26 days in hospital for the control group. There was </w:t>
      </w:r>
      <w:r w:rsidR="00AF586F">
        <w:t xml:space="preserve">also no major difference in six </w:t>
      </w:r>
      <w:r>
        <w:t xml:space="preserve">month survival across treatment groups (72% for </w:t>
      </w:r>
      <w:r w:rsidR="00695AFB">
        <w:t>dipeptide alanylglutamine</w:t>
      </w:r>
      <w:r>
        <w:t xml:space="preserve"> group v</w:t>
      </w:r>
      <w:r w:rsidR="00AF586F">
        <w:t>er</w:t>
      </w:r>
      <w:r>
        <w:t>s</w:t>
      </w:r>
      <w:r w:rsidR="00AF586F">
        <w:t>us</w:t>
      </w:r>
      <w:r>
        <w:t xml:space="preserve"> 83% for control group, p = 0.14). Nitrogen balance was on average more positive in the </w:t>
      </w:r>
      <w:r w:rsidR="00695AFB">
        <w:t>dipeptide alanylglutamine</w:t>
      </w:r>
      <w:r>
        <w:t xml:space="preserve"> group, but no significant difference with control group (p = 0.63).</w:t>
      </w:r>
    </w:p>
    <w:p w14:paraId="435C19E5" w14:textId="77777777" w:rsidR="005E058A" w:rsidRDefault="005E058A" w:rsidP="00B35372">
      <w:pPr>
        <w:pStyle w:val="Heading5"/>
      </w:pPr>
      <w:r>
        <w:t>Study 04-TPN-GLN-01-SP</w:t>
      </w:r>
    </w:p>
    <w:p w14:paraId="3F5A30E5" w14:textId="6BA10A8C" w:rsidR="005E058A" w:rsidRDefault="005E058A" w:rsidP="005E058A">
      <w:r w:rsidRPr="00B35372">
        <w:rPr>
          <w:i/>
        </w:rPr>
        <w:t>Study design</w:t>
      </w:r>
      <w:r>
        <w:t xml:space="preserve">: </w:t>
      </w:r>
      <w:r w:rsidR="00336464">
        <w:t>A m</w:t>
      </w:r>
      <w:r>
        <w:t>ulticentre, controlled, double blind RCT.</w:t>
      </w:r>
    </w:p>
    <w:p w14:paraId="02129EB5" w14:textId="312DF539" w:rsidR="005E058A" w:rsidRDefault="00AF586F" w:rsidP="005E058A">
      <w:r w:rsidRPr="00B35372">
        <w:rPr>
          <w:i/>
        </w:rPr>
        <w:t>Study period</w:t>
      </w:r>
      <w:r>
        <w:t xml:space="preserve">: 2005 to </w:t>
      </w:r>
      <w:r w:rsidR="005E058A">
        <w:t>2007</w:t>
      </w:r>
      <w:r w:rsidR="00336464">
        <w:t>.</w:t>
      </w:r>
    </w:p>
    <w:p w14:paraId="1F5F2D3E" w14:textId="6CE6E428" w:rsidR="005E058A" w:rsidRDefault="005E058A" w:rsidP="005E058A">
      <w:r w:rsidRPr="00B35372">
        <w:rPr>
          <w:i/>
        </w:rPr>
        <w:t>Treatment period</w:t>
      </w:r>
      <w:r>
        <w:t>: 5 to 9 days.</w:t>
      </w:r>
    </w:p>
    <w:p w14:paraId="215772CD" w14:textId="0ED09338" w:rsidR="005E058A" w:rsidRDefault="00336464" w:rsidP="005E058A">
      <w:r>
        <w:t xml:space="preserve">The primary </w:t>
      </w:r>
      <w:r w:rsidR="005E058A">
        <w:t>efficacy variable was the incidence of nosocomial infections. Seconda</w:t>
      </w:r>
      <w:r w:rsidR="003A7E36">
        <w:t>ry efficacy variables included sequential organ failure a</w:t>
      </w:r>
      <w:r w:rsidR="005E058A">
        <w:t>ssessment (SOFA) score, LOS i</w:t>
      </w:r>
      <w:r w:rsidR="003A7E36">
        <w:t xml:space="preserve">n the </w:t>
      </w:r>
      <w:r w:rsidR="003A7E36">
        <w:lastRenderedPageBreak/>
        <w:t xml:space="preserve">ICU and the hospital, six </w:t>
      </w:r>
      <w:r w:rsidR="005E058A">
        <w:t>month</w:t>
      </w:r>
      <w:r w:rsidR="003A7E36">
        <w:t>s</w:t>
      </w:r>
      <w:r w:rsidR="005E058A">
        <w:t xml:space="preserve"> mortality, and the development of hyperglycaemia or insulin resistance.</w:t>
      </w:r>
    </w:p>
    <w:p w14:paraId="7AA42837" w14:textId="2690D303" w:rsidR="005E058A" w:rsidRDefault="005E058A" w:rsidP="005E058A">
      <w:r w:rsidRPr="00B35372">
        <w:rPr>
          <w:i/>
        </w:rPr>
        <w:t>Inclusion criteria</w:t>
      </w:r>
      <w:r>
        <w:t>: Critically ill patients in ICU indicated for TPN for at least 5 to 9 days. They needed to have an elevated APACHE</w:t>
      </w:r>
      <w:r w:rsidR="00336464">
        <w:t> II</w:t>
      </w:r>
      <w:r w:rsidR="003A7E36">
        <w:t xml:space="preserve"> </w:t>
      </w:r>
      <w:r>
        <w:t>score &gt; 12 and enteral nutrition was either contraindicated or not tolerated.</w:t>
      </w:r>
    </w:p>
    <w:p w14:paraId="3AB741E1" w14:textId="78824C98" w:rsidR="005E058A" w:rsidRDefault="005E058A" w:rsidP="005E058A">
      <w:r>
        <w:t>The ITT patient population consisted of 127 patients with 59 in treatment group and 68 in control group. The PP population consisted of 117 pati</w:t>
      </w:r>
      <w:r w:rsidR="00976013">
        <w:t>ents (53 treatment</w:t>
      </w:r>
      <w:r w:rsidR="00336464">
        <w:t xml:space="preserve"> group subjects, and</w:t>
      </w:r>
      <w:r w:rsidR="00976013">
        <w:t xml:space="preserve"> 64 control</w:t>
      </w:r>
      <w:r w:rsidR="00336464">
        <w:t xml:space="preserve"> group subjects</w:t>
      </w:r>
      <w:r w:rsidR="00976013">
        <w:t>).</w:t>
      </w:r>
    </w:p>
    <w:p w14:paraId="23673985" w14:textId="77777777" w:rsidR="005E058A" w:rsidRDefault="005E058A" w:rsidP="00B35372">
      <w:pPr>
        <w:pStyle w:val="Heading6"/>
      </w:pPr>
      <w:r>
        <w:t>Results</w:t>
      </w:r>
    </w:p>
    <w:p w14:paraId="369F0AEB" w14:textId="2B94C98A" w:rsidR="005E058A" w:rsidRDefault="005E058A" w:rsidP="005E058A">
      <w:r>
        <w:t xml:space="preserve">The incidence of nosocomial infections was not significantly different between </w:t>
      </w:r>
      <w:r w:rsidR="00695AFB">
        <w:t>dipeptide alanylglutamine</w:t>
      </w:r>
      <w:r>
        <w:t xml:space="preserve"> and control groups. A lower incidence for these infections in the </w:t>
      </w:r>
      <w:r w:rsidR="00695AFB">
        <w:t>dipeptide alanylglutamine</w:t>
      </w:r>
      <w:r>
        <w:t xml:space="preserve"> group, compared to control group was noted.</w:t>
      </w:r>
    </w:p>
    <w:p w14:paraId="092B3C31" w14:textId="573D9525" w:rsidR="00976013" w:rsidRDefault="00976013" w:rsidP="00976013">
      <w:pPr>
        <w:pStyle w:val="TableTitle"/>
      </w:pPr>
      <w:r w:rsidRPr="00976013">
        <w:t xml:space="preserve">Table </w:t>
      </w:r>
      <w:fldSimple w:instr=" SEQ Table \* ARABIC ">
        <w:r w:rsidR="00405CEF">
          <w:rPr>
            <w:noProof/>
          </w:rPr>
          <w:t>9</w:t>
        </w:r>
      </w:fldSimple>
      <w:r>
        <w:t xml:space="preserve">: </w:t>
      </w:r>
      <w:r w:rsidR="00336464">
        <w:t xml:space="preserve">Study 04-TPN-GLN-01-SP </w:t>
      </w:r>
      <w:r>
        <w:t>Incidence of nosocomial infections</w:t>
      </w:r>
      <w:r w:rsidR="00FC7333">
        <w:t xml:space="preserve"> (per protocol population)</w:t>
      </w:r>
    </w:p>
    <w:p w14:paraId="27C96091" w14:textId="2FCE759F" w:rsidR="00976013" w:rsidRDefault="00976013" w:rsidP="00976013">
      <w:r w:rsidRPr="00976013">
        <w:rPr>
          <w:noProof/>
          <w:lang w:eastAsia="en-AU"/>
        </w:rPr>
        <w:drawing>
          <wp:inline distT="0" distB="0" distL="0" distR="0" wp14:anchorId="6CBB4B7D" wp14:editId="56014299">
            <wp:extent cx="3886200" cy="1781092"/>
            <wp:effectExtent l="0" t="0" r="0" b="0"/>
            <wp:docPr id="5" name="Picture 5" descr="Incidence of nosocomial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0316"/>
                    <a:stretch/>
                  </pic:blipFill>
                  <pic:spPr bwMode="auto">
                    <a:xfrm>
                      <a:off x="0" y="0"/>
                      <a:ext cx="3886400" cy="1781184"/>
                    </a:xfrm>
                    <a:prstGeom prst="rect">
                      <a:avLst/>
                    </a:prstGeom>
                    <a:ln>
                      <a:noFill/>
                    </a:ln>
                    <a:extLst>
                      <a:ext uri="{53640926-AAD7-44D8-BBD7-CCE9431645EC}">
                        <a14:shadowObscured xmlns:a14="http://schemas.microsoft.com/office/drawing/2010/main"/>
                      </a:ext>
                    </a:extLst>
                  </pic:spPr>
                </pic:pic>
              </a:graphicData>
            </a:graphic>
          </wp:inline>
        </w:drawing>
      </w:r>
    </w:p>
    <w:p w14:paraId="63D35F1D" w14:textId="77777777" w:rsidR="00976013" w:rsidRDefault="00976013" w:rsidP="00976013">
      <w:r>
        <w:t>No significant differences between treatment groups were reported for SOFA scores, length of stay in ICU or hospital, mortality in ICU and 6 month mortality.</w:t>
      </w:r>
    </w:p>
    <w:p w14:paraId="3EF4B959" w14:textId="77777777" w:rsidR="00976013" w:rsidRDefault="00976013" w:rsidP="00B35372">
      <w:pPr>
        <w:pStyle w:val="Heading5"/>
      </w:pPr>
      <w:r>
        <w:t>Literature-based component of the submission</w:t>
      </w:r>
    </w:p>
    <w:p w14:paraId="4D774EB1" w14:textId="77777777" w:rsidR="00976013" w:rsidRDefault="00976013" w:rsidP="00976013">
      <w:r>
        <w:t>The submission also included 31 published studies, identified by a literature search. The efficacy outcomes of those studies are summarised under the following headings:</w:t>
      </w:r>
    </w:p>
    <w:p w14:paraId="7512C173" w14:textId="65957039" w:rsidR="00976013" w:rsidRDefault="00976013" w:rsidP="003A7E36">
      <w:pPr>
        <w:pStyle w:val="ListBullet"/>
      </w:pPr>
      <w:r w:rsidRPr="00B35372">
        <w:rPr>
          <w:i/>
        </w:rPr>
        <w:t>Incid</w:t>
      </w:r>
      <w:r w:rsidR="003A7E36" w:rsidRPr="00B35372">
        <w:rPr>
          <w:i/>
        </w:rPr>
        <w:t>ence of nosocomial infections</w:t>
      </w:r>
      <w:r w:rsidR="003A7E36">
        <w:t>: t</w:t>
      </w:r>
      <w:r>
        <w:t xml:space="preserve">here was conflicting evidence in terms of reduction in infection control in the </w:t>
      </w:r>
      <w:r w:rsidR="00695AFB">
        <w:t>dipeptide alanylglutamine</w:t>
      </w:r>
      <w:r>
        <w:t xml:space="preserve"> group, compared to control group. Data from 9 out of 31 studies indicate a reduction in infection rate, meanwhile other study results indicating that no difference for this outcome.</w:t>
      </w:r>
    </w:p>
    <w:p w14:paraId="6B946138" w14:textId="77777777" w:rsidR="00976013" w:rsidRDefault="00976013" w:rsidP="003A7E36">
      <w:pPr>
        <w:pStyle w:val="ListBullet"/>
      </w:pPr>
      <w:r w:rsidRPr="00B35372">
        <w:rPr>
          <w:i/>
        </w:rPr>
        <w:t>Nitrogen balance</w:t>
      </w:r>
      <w:r>
        <w:t>: 8 out of 31 published study results indicate an improved nitrogen retention or reduction in negative balance.</w:t>
      </w:r>
    </w:p>
    <w:p w14:paraId="366298B5" w14:textId="41DE39B0" w:rsidR="00976013" w:rsidRDefault="00976013" w:rsidP="003A7E36">
      <w:pPr>
        <w:pStyle w:val="ListBullet"/>
      </w:pPr>
      <w:r w:rsidRPr="00B35372">
        <w:rPr>
          <w:i/>
        </w:rPr>
        <w:t>IC</w:t>
      </w:r>
      <w:r w:rsidR="003A7E36" w:rsidRPr="00B35372">
        <w:rPr>
          <w:i/>
        </w:rPr>
        <w:t>U and hospital length of stay:</w:t>
      </w:r>
      <w:r w:rsidR="003A7E36">
        <w:t xml:space="preserve"> c</w:t>
      </w:r>
      <w:r>
        <w:t xml:space="preserve">onflicting evidence related to this outcome is evident from the published study data. 9 studies reported shorter length of hospital stay, meanwhile 14 study results indicate no difference between treatment groups. Length of stay in ICU was shorter in </w:t>
      </w:r>
      <w:r w:rsidR="00695AFB">
        <w:t>dipeptide alanylglutamine</w:t>
      </w:r>
      <w:r>
        <w:t xml:space="preserve"> group in 3 studies, with significant difference in one study.</w:t>
      </w:r>
    </w:p>
    <w:p w14:paraId="7F8918DD" w14:textId="49BE089A" w:rsidR="00976013" w:rsidRDefault="00976013" w:rsidP="00A03D11">
      <w:pPr>
        <w:pStyle w:val="ListBullet"/>
      </w:pPr>
      <w:r w:rsidRPr="00B35372">
        <w:rPr>
          <w:i/>
        </w:rPr>
        <w:t>Mortality</w:t>
      </w:r>
      <w:r>
        <w:t>: overall, no significant difference between treatment grou</w:t>
      </w:r>
      <w:r w:rsidR="00AF586F">
        <w:t xml:space="preserve">ps were reported in terms of in </w:t>
      </w:r>
      <w:r>
        <w:t>hospital mortality.</w:t>
      </w:r>
    </w:p>
    <w:p w14:paraId="498BD091" w14:textId="3CC40B6D" w:rsidR="00976013" w:rsidRDefault="00976013" w:rsidP="00A03D11">
      <w:pPr>
        <w:pStyle w:val="ListBullet2"/>
      </w:pPr>
      <w:r>
        <w:lastRenderedPageBreak/>
        <w:t>Dat</w:t>
      </w:r>
      <w:r w:rsidR="00AF586F">
        <w:t>a from studies by Heyland et al;</w:t>
      </w:r>
      <w:bookmarkStart w:id="40" w:name="_Ref54601474"/>
      <w:r w:rsidR="00AF586F">
        <w:rPr>
          <w:rStyle w:val="FootnoteReference"/>
        </w:rPr>
        <w:footnoteReference w:id="7"/>
      </w:r>
      <w:bookmarkEnd w:id="40"/>
      <w:r w:rsidR="00AF586F">
        <w:t xml:space="preserve"> </w:t>
      </w:r>
      <w:r w:rsidR="0063501F">
        <w:t>and Sykorova et al;</w:t>
      </w:r>
      <w:bookmarkStart w:id="41" w:name="_Ref54606133"/>
      <w:r w:rsidR="0063501F">
        <w:rPr>
          <w:rStyle w:val="FootnoteReference"/>
        </w:rPr>
        <w:footnoteReference w:id="8"/>
      </w:r>
      <w:bookmarkEnd w:id="41"/>
      <w:r>
        <w:t xml:space="preserve">indicated an increased mortality rate in </w:t>
      </w:r>
      <w:r w:rsidR="00695AFB">
        <w:t xml:space="preserve">dipeptide alanylglutamine </w:t>
      </w:r>
      <w:r>
        <w:t>treated patients.</w:t>
      </w:r>
    </w:p>
    <w:p w14:paraId="13CD354D" w14:textId="24DC64A5" w:rsidR="00976013" w:rsidRDefault="00976013" w:rsidP="00976013">
      <w:r>
        <w:t>Stud</w:t>
      </w:r>
      <w:r w:rsidR="00AF586F">
        <w:t>y by Heyland et al;</w:t>
      </w:r>
      <w:r w:rsidR="00AF586F" w:rsidRPr="00AF586F">
        <w:rPr>
          <w:vertAlign w:val="superscript"/>
        </w:rPr>
        <w:fldChar w:fldCharType="begin"/>
      </w:r>
      <w:r w:rsidR="00AF586F" w:rsidRPr="00AF586F">
        <w:rPr>
          <w:vertAlign w:val="superscript"/>
        </w:rPr>
        <w:instrText xml:space="preserve"> NOTEREF _Ref54601474 \h </w:instrText>
      </w:r>
      <w:r w:rsidR="00AF586F">
        <w:rPr>
          <w:vertAlign w:val="superscript"/>
        </w:rPr>
        <w:instrText xml:space="preserve"> \* MERGEFORMAT </w:instrText>
      </w:r>
      <w:r w:rsidR="00AF586F" w:rsidRPr="00AF586F">
        <w:rPr>
          <w:vertAlign w:val="superscript"/>
        </w:rPr>
      </w:r>
      <w:r w:rsidR="00AF586F" w:rsidRPr="00AF586F">
        <w:rPr>
          <w:vertAlign w:val="superscript"/>
        </w:rPr>
        <w:fldChar w:fldCharType="separate"/>
      </w:r>
      <w:r w:rsidR="003C7CA7">
        <w:rPr>
          <w:vertAlign w:val="superscript"/>
        </w:rPr>
        <w:t>7</w:t>
      </w:r>
      <w:r w:rsidR="00AF586F" w:rsidRPr="00AF586F">
        <w:rPr>
          <w:vertAlign w:val="superscript"/>
        </w:rPr>
        <w:fldChar w:fldCharType="end"/>
      </w:r>
      <w:r w:rsidR="00802DC7">
        <w:t xml:space="preserve"> was a blinded 2 </w:t>
      </w:r>
      <w:r>
        <w:t>by</w:t>
      </w:r>
      <w:r w:rsidR="00802DC7">
        <w:t xml:space="preserve"> 2 factorial multi</w:t>
      </w:r>
      <w:r>
        <w:t xml:space="preserve">centre RCT. 1223 patients were randomised to four treatment arms to receive supplements of glutamine, antioxidants, both, or placebo. Around 30% of patients had renal dysfunction and majority of patients had multiple organ failure at </w:t>
      </w:r>
      <w:r w:rsidR="0020651C">
        <w:t>Baseline</w:t>
      </w:r>
      <w:r>
        <w:t>.</w:t>
      </w:r>
    </w:p>
    <w:p w14:paraId="2439F615" w14:textId="35F5D906" w:rsidR="0063501F" w:rsidRDefault="0063501F" w:rsidP="0063501F">
      <w:r w:rsidRPr="0063501F">
        <w:t>Supplements were started within 24 hours after admission to the ICU and were provided both intravenously and enterally. patients received high doses of study nutrients administered separate from art</w:t>
      </w:r>
      <w:r w:rsidR="003A7E36">
        <w:t>ificial nutrition IV</w:t>
      </w:r>
      <w:r w:rsidRPr="0063501F">
        <w:t xml:space="preserve"> </w:t>
      </w:r>
      <w:r w:rsidR="003A7E36">
        <w:t>glutamine supplementation (0.35 </w:t>
      </w:r>
      <w:r w:rsidRPr="0063501F">
        <w:t>g/kg/d</w:t>
      </w:r>
      <w:r>
        <w:t>ay</w:t>
      </w:r>
      <w:r w:rsidRPr="0063501F">
        <w:t>) parenterally provided as 0.50</w:t>
      </w:r>
      <w:r w:rsidR="003A7E36">
        <w:t> </w:t>
      </w:r>
      <w:r w:rsidRPr="0063501F">
        <w:t>g/kg/d</w:t>
      </w:r>
      <w:r>
        <w:t>ay</w:t>
      </w:r>
      <w:r w:rsidRPr="0063501F">
        <w:t xml:space="preserve"> of the dipeptide alanylglutamine </w:t>
      </w:r>
      <w:r w:rsidR="003A7E36">
        <w:t>and an additional 30 </w:t>
      </w:r>
      <w:r w:rsidRPr="0063501F">
        <w:t>g/d</w:t>
      </w:r>
      <w:r>
        <w:t>ay</w:t>
      </w:r>
      <w:r w:rsidRPr="0063501F">
        <w:t xml:space="preserve"> of glutamine enter</w:t>
      </w:r>
      <w:r w:rsidR="003A7E36">
        <w:t>ally, provided as 42.5 </w:t>
      </w:r>
      <w:r>
        <w:t>g alanyl</w:t>
      </w:r>
      <w:r w:rsidRPr="0063501F">
        <w:t>glutamine a</w:t>
      </w:r>
      <w:r w:rsidR="003A7E36">
        <w:t>nd glycine-glutamine dipeptides</w:t>
      </w:r>
      <w:r w:rsidRPr="0063501F">
        <w:t>.</w:t>
      </w:r>
    </w:p>
    <w:p w14:paraId="3860FA9D" w14:textId="4E4572C9" w:rsidR="00976013" w:rsidRDefault="0063501F" w:rsidP="00976013">
      <w:r>
        <w:t xml:space="preserve">The primary outcome was </w:t>
      </w:r>
      <w:r w:rsidR="002711A2">
        <w:t xml:space="preserve">the </w:t>
      </w:r>
      <w:r>
        <w:t xml:space="preserve">28 </w:t>
      </w:r>
      <w:r w:rsidR="00976013">
        <w:t>day mortality. the primary analysis demonstrated no clinical benefit of these nutrition interventions and identified a trend toward increased mortality at 28 days (32.4% v</w:t>
      </w:r>
      <w:r>
        <w:t>er</w:t>
      </w:r>
      <w:r w:rsidR="00976013">
        <w:t>s</w:t>
      </w:r>
      <w:r>
        <w:t>us</w:t>
      </w:r>
      <w:r w:rsidR="00976013">
        <w:t xml:space="preserve"> 27.2%; adjusted odds ratio,</w:t>
      </w:r>
      <w:r>
        <w:t xml:space="preserve"> 1.28; 95% confidence interval (CI), 1.00 to 1.64; p</w:t>
      </w:r>
      <w:r w:rsidR="00976013">
        <w:t xml:space="preserve"> = </w:t>
      </w:r>
      <w:r>
        <w:t>0</w:t>
      </w:r>
      <w:r w:rsidR="00976013">
        <w:t>.049) and a signifi</w:t>
      </w:r>
      <w:r>
        <w:t xml:space="preserve">cant increase in hospital and 6 </w:t>
      </w:r>
      <w:r w:rsidR="00976013">
        <w:t>month</w:t>
      </w:r>
      <w:r>
        <w:t>s</w:t>
      </w:r>
      <w:r w:rsidR="00976013">
        <w:t xml:space="preserve"> mortality among patients who received glutamine compared with those who did not receive glutamine.</w:t>
      </w:r>
    </w:p>
    <w:p w14:paraId="7B7B3442" w14:textId="77777777" w:rsidR="00976013" w:rsidRDefault="00976013" w:rsidP="00976013">
      <w:r>
        <w:t>In a post hoc subgroup analysis, both glutamine and antioxidants appeared harmful (increase mortality) in all patients treated with alanylglutamine, with statistically significant rate of mortality effect in patients with baseline renal dysfunction. No subgroups suggested reduced mortality with supplements.</w:t>
      </w:r>
    </w:p>
    <w:p w14:paraId="4090BA9E" w14:textId="435A6966" w:rsidR="00976013" w:rsidRDefault="00976013" w:rsidP="00976013">
      <w:r>
        <w:t>The adverse effects of glutam</w:t>
      </w:r>
      <w:r w:rsidR="0063501F">
        <w:t>ine observed in the REDOX</w:t>
      </w:r>
      <w:r w:rsidR="002711A2">
        <w:t>S</w:t>
      </w:r>
      <w:r w:rsidR="0063501F">
        <w:t xml:space="preserve"> trial;</w:t>
      </w:r>
      <w:r w:rsidR="0063501F">
        <w:fldChar w:fldCharType="begin"/>
      </w:r>
      <w:r w:rsidR="0063501F">
        <w:instrText xml:space="preserve"> NOTEREF _Ref54601474 \f \h </w:instrText>
      </w:r>
      <w:r w:rsidR="0063501F">
        <w:fldChar w:fldCharType="separate"/>
      </w:r>
      <w:r w:rsidR="003C7CA7" w:rsidRPr="003C7CA7">
        <w:rPr>
          <w:rStyle w:val="FootnoteReference"/>
        </w:rPr>
        <w:t>7</w:t>
      </w:r>
      <w:r w:rsidR="0063501F">
        <w:fldChar w:fldCharType="end"/>
      </w:r>
      <w:r>
        <w:t xml:space="preserve"> were partially attributed to the high dose of study supplements provided to these patients. It also needs to be considered that the duration of treatment was 28 days which is much longer than the proposed duration of treatment of 10 days.</w:t>
      </w:r>
    </w:p>
    <w:p w14:paraId="0B5415F2" w14:textId="38467CBD" w:rsidR="00976013" w:rsidRDefault="0063501F" w:rsidP="00976013">
      <w:r>
        <w:t>In the study by Sykorova et al;</w:t>
      </w:r>
      <w:r w:rsidRPr="0063501F">
        <w:rPr>
          <w:vertAlign w:val="superscript"/>
        </w:rPr>
        <w:fldChar w:fldCharType="begin"/>
      </w:r>
      <w:r w:rsidRPr="0063501F">
        <w:rPr>
          <w:vertAlign w:val="superscript"/>
        </w:rPr>
        <w:instrText xml:space="preserve"> NOTEREF _Ref54606133 \h </w:instrText>
      </w:r>
      <w:r>
        <w:rPr>
          <w:vertAlign w:val="superscript"/>
        </w:rPr>
        <w:instrText xml:space="preserve"> \* MERGEFORMAT </w:instrText>
      </w:r>
      <w:r w:rsidRPr="0063501F">
        <w:rPr>
          <w:vertAlign w:val="superscript"/>
        </w:rPr>
      </w:r>
      <w:r w:rsidRPr="0063501F">
        <w:rPr>
          <w:vertAlign w:val="superscript"/>
        </w:rPr>
        <w:fldChar w:fldCharType="separate"/>
      </w:r>
      <w:r w:rsidR="003C7CA7">
        <w:rPr>
          <w:vertAlign w:val="superscript"/>
        </w:rPr>
        <w:t>8</w:t>
      </w:r>
      <w:r w:rsidRPr="0063501F">
        <w:rPr>
          <w:vertAlign w:val="superscript"/>
        </w:rPr>
        <w:fldChar w:fldCharType="end"/>
      </w:r>
      <w:r w:rsidR="00976013">
        <w:t xml:space="preserve"> 44 adult autologous transplant patients with haematological malignancies were randomised to parenteral nutrition either prophylactically or ad hoc. In each group, they were further randomised to receive standard PN or PN with 0.5</w:t>
      </w:r>
      <w:r w:rsidR="003A7E36">
        <w:t> </w:t>
      </w:r>
      <w:r w:rsidR="00976013">
        <w:t xml:space="preserve">g/kg of glutamine as </w:t>
      </w:r>
      <w:r w:rsidR="0020651C">
        <w:t>alanylglutamine</w:t>
      </w:r>
      <w:r w:rsidR="00976013">
        <w:t>. Glutamine supplementation was found to be associated with worse outcome, with a significantly lower propor</w:t>
      </w:r>
      <w:r w:rsidR="00496C30">
        <w:t xml:space="preserve">tion of patients having disease </w:t>
      </w:r>
      <w:r w:rsidR="00976013">
        <w:t>free survival rate (35% v</w:t>
      </w:r>
      <w:r>
        <w:t>er</w:t>
      </w:r>
      <w:r w:rsidR="00976013">
        <w:t>s</w:t>
      </w:r>
      <w:r>
        <w:t>us</w:t>
      </w:r>
      <w:r w:rsidR="00976013">
        <w:t xml:space="preserve"> 77%, p</w:t>
      </w:r>
      <w:r>
        <w:t xml:space="preserve"> </w:t>
      </w:r>
      <w:r w:rsidR="00976013">
        <w:t>=</w:t>
      </w:r>
      <w:r>
        <w:t xml:space="preserve"> </w:t>
      </w:r>
      <w:r w:rsidR="00976013">
        <w:t>0.0</w:t>
      </w:r>
      <w:r w:rsidR="00496C30">
        <w:t xml:space="preserve">3), compared to PN group. Event </w:t>
      </w:r>
      <w:r w:rsidR="00976013">
        <w:t>free survival rate was also shorter in patients treated with glutamine supplement (33% v</w:t>
      </w:r>
      <w:r w:rsidR="00496C30">
        <w:t>er</w:t>
      </w:r>
      <w:r w:rsidR="00976013">
        <w:t>s</w:t>
      </w:r>
      <w:r w:rsidR="00496C30">
        <w:t>us</w:t>
      </w:r>
      <w:r w:rsidR="00976013">
        <w:t xml:space="preserve"> 65%).</w:t>
      </w:r>
    </w:p>
    <w:p w14:paraId="33DA9086" w14:textId="77777777" w:rsidR="00976013" w:rsidRDefault="00976013" w:rsidP="00B35372">
      <w:pPr>
        <w:pStyle w:val="Heading5"/>
      </w:pPr>
      <w:r>
        <w:t>Pooled data and meta analyses</w:t>
      </w:r>
    </w:p>
    <w:p w14:paraId="62E73394" w14:textId="7D0BF205" w:rsidR="00976013" w:rsidRDefault="00976013" w:rsidP="00976013">
      <w:r>
        <w:t xml:space="preserve">8 metanalyses, 3 systematic reviews and a </w:t>
      </w:r>
      <w:r w:rsidR="00336464">
        <w:t>C</w:t>
      </w:r>
      <w:r>
        <w:t>ochrane review was also included in this submssion.</w:t>
      </w:r>
    </w:p>
    <w:p w14:paraId="5AB298DE" w14:textId="74B08956" w:rsidR="00976013" w:rsidRDefault="00336464" w:rsidP="00976013">
      <w:r>
        <w:t>The m</w:t>
      </w:r>
      <w:r w:rsidR="00976013">
        <w:t xml:space="preserve">ajority of analyses reported a reduction in infections. </w:t>
      </w:r>
      <w:r>
        <w:t xml:space="preserve">The </w:t>
      </w:r>
      <w:r w:rsidR="00976013">
        <w:t>Cochrane review</w:t>
      </w:r>
      <w:r w:rsidR="003A7E36">
        <w:t>;</w:t>
      </w:r>
      <w:bookmarkStart w:id="42" w:name="_Ref54775609"/>
      <w:r w:rsidR="003A7E36">
        <w:rPr>
          <w:rStyle w:val="FootnoteReference"/>
        </w:rPr>
        <w:footnoteReference w:id="9"/>
      </w:r>
      <w:bookmarkEnd w:id="42"/>
      <w:r w:rsidR="00976013">
        <w:t xml:space="preserve"> reported a risk ratio of 0.79 with reduction in </w:t>
      </w:r>
      <w:r w:rsidR="00496C30">
        <w:t>infections that</w:t>
      </w:r>
      <w:r w:rsidR="00976013">
        <w:t xml:space="preserve"> was statically significant (p</w:t>
      </w:r>
      <w:r>
        <w:t> </w:t>
      </w:r>
      <w:r w:rsidR="0063501F">
        <w:t>≤</w:t>
      </w:r>
      <w:r>
        <w:t> </w:t>
      </w:r>
      <w:r w:rsidR="00976013">
        <w:t>0.00001).</w:t>
      </w:r>
    </w:p>
    <w:p w14:paraId="109F7044" w14:textId="77777777" w:rsidR="00976013" w:rsidRDefault="00976013" w:rsidP="00B35372">
      <w:pPr>
        <w:pStyle w:val="Heading4"/>
      </w:pPr>
      <w:r>
        <w:lastRenderedPageBreak/>
        <w:t>Safety</w:t>
      </w:r>
    </w:p>
    <w:p w14:paraId="4FA29E98" w14:textId="6F54BE07" w:rsidR="00976013" w:rsidRDefault="00336464" w:rsidP="00976013">
      <w:r>
        <w:t xml:space="preserve">The majority </w:t>
      </w:r>
      <w:r w:rsidR="00976013">
        <w:t>of the spons</w:t>
      </w:r>
      <w:r w:rsidR="00695AFB">
        <w:t xml:space="preserve">or </w:t>
      </w:r>
      <w:r w:rsidR="00496C30">
        <w:t xml:space="preserve">conducted studies in the </w:t>
      </w:r>
      <w:r>
        <w:t xml:space="preserve">1990s </w:t>
      </w:r>
      <w:r w:rsidR="00976013">
        <w:t>did not have a safety population. Also, number of patients were not adequate enough to assess safety.</w:t>
      </w:r>
    </w:p>
    <w:p w14:paraId="31A3B9AE" w14:textId="69A55BD5" w:rsidR="00976013" w:rsidRPr="005E058A" w:rsidRDefault="00496C30" w:rsidP="00976013">
      <w:r>
        <w:t xml:space="preserve">No major treatment </w:t>
      </w:r>
      <w:r w:rsidR="00976013">
        <w:t>related safety issues were noted in the published studies that randomised large patient population. Most of the events were in line with the nature and severity of underlying illness in patients treated in ICU setting.</w:t>
      </w:r>
    </w:p>
    <w:p w14:paraId="0E2F74A3" w14:textId="77777777" w:rsidR="008E7846" w:rsidRDefault="00386150" w:rsidP="007B6132">
      <w:pPr>
        <w:pStyle w:val="Heading3"/>
        <w:rPr>
          <w:lang w:eastAsia="en-AU"/>
        </w:rPr>
      </w:pPr>
      <w:bookmarkStart w:id="43" w:name="_Toc314842514"/>
      <w:bookmarkStart w:id="44" w:name="_Toc54965541"/>
      <w:r>
        <w:rPr>
          <w:lang w:eastAsia="en-AU"/>
        </w:rPr>
        <w:t>Risk m</w:t>
      </w:r>
      <w:r w:rsidR="008E7846">
        <w:rPr>
          <w:lang w:eastAsia="en-AU"/>
        </w:rPr>
        <w:t xml:space="preserve">anagement </w:t>
      </w:r>
      <w:r>
        <w:rPr>
          <w:lang w:eastAsia="en-AU"/>
        </w:rPr>
        <w:t>p</w:t>
      </w:r>
      <w:r w:rsidR="008E7846">
        <w:rPr>
          <w:lang w:eastAsia="en-AU"/>
        </w:rPr>
        <w:t>lan</w:t>
      </w:r>
      <w:bookmarkEnd w:id="43"/>
      <w:bookmarkEnd w:id="44"/>
    </w:p>
    <w:p w14:paraId="2C84087A" w14:textId="77777777" w:rsidR="008E7846" w:rsidRDefault="007D53B6" w:rsidP="007D53B6">
      <w:r>
        <w:t>There was no requirement for a risk management plan evaluation for a submission of this type.</w:t>
      </w:r>
      <w:r>
        <w:rPr>
          <w:rStyle w:val="FootnoteReference"/>
        </w:rPr>
        <w:footnoteReference w:id="10"/>
      </w:r>
    </w:p>
    <w:p w14:paraId="60460CDB" w14:textId="77777777" w:rsidR="008E7846" w:rsidRDefault="00AA0ED0" w:rsidP="008E7846">
      <w:pPr>
        <w:pStyle w:val="Heading3"/>
      </w:pPr>
      <w:bookmarkStart w:id="45" w:name="_Toc247691531"/>
      <w:bookmarkStart w:id="46" w:name="_Toc314842515"/>
      <w:bookmarkStart w:id="47" w:name="_Toc54965542"/>
      <w:bookmarkStart w:id="48" w:name="_Toc196046505"/>
      <w:bookmarkStart w:id="49" w:name="_Toc196046949"/>
      <w:r>
        <w:t>Risk-benefit a</w:t>
      </w:r>
      <w:r w:rsidR="008E7846">
        <w:t>nalysis</w:t>
      </w:r>
      <w:bookmarkEnd w:id="45"/>
      <w:bookmarkEnd w:id="46"/>
      <w:bookmarkEnd w:id="47"/>
    </w:p>
    <w:p w14:paraId="7A6813E8" w14:textId="77777777" w:rsidR="00D23139" w:rsidRDefault="007D53B6" w:rsidP="00D23139">
      <w:pPr>
        <w:pStyle w:val="Heading4"/>
      </w:pPr>
      <w:r>
        <w:t>Delegate’s considerations</w:t>
      </w:r>
    </w:p>
    <w:p w14:paraId="4712F29C" w14:textId="2BAD0A10" w:rsidR="00976013" w:rsidRDefault="00976013" w:rsidP="00976013">
      <w:r>
        <w:t>The pr</w:t>
      </w:r>
      <w:r w:rsidR="009C4180">
        <w:t xml:space="preserve">oposed indication is </w:t>
      </w:r>
      <w:r w:rsidR="0020651C">
        <w:t>Dipeptiven</w:t>
      </w:r>
      <w:r>
        <w:t xml:space="preserve"> is indicated as part of a clinical nutrition regimen in patients in hypercatabolic and/or hypermetabolic states. It should be given together with parenteral nutrition.</w:t>
      </w:r>
    </w:p>
    <w:p w14:paraId="48E18857" w14:textId="5FE96C39" w:rsidR="00976013" w:rsidRDefault="00976013" w:rsidP="00976013">
      <w:r>
        <w:t xml:space="preserve">Both hypercatabolism and hyperanabolism are fundamental physiological changes that happen in almost all of the critical illnesses. It would include a large patient population with a variety of critical conditions. The clinical practice guidelines, including </w:t>
      </w:r>
      <w:r w:rsidR="003E1FBB">
        <w:t xml:space="preserve">those of the </w:t>
      </w:r>
      <w:r w:rsidR="009C4180">
        <w:t>American Society for Parenteral and E</w:t>
      </w:r>
      <w:r w:rsidR="009C4180" w:rsidRPr="009C4180">
        <w:t>nteral</w:t>
      </w:r>
      <w:r w:rsidR="009C4180">
        <w:t xml:space="preserve"> N</w:t>
      </w:r>
      <w:r w:rsidR="009C4180" w:rsidRPr="009C4180">
        <w:t xml:space="preserve">utrition </w:t>
      </w:r>
      <w:r w:rsidR="009C4180">
        <w:t>(</w:t>
      </w:r>
      <w:r>
        <w:t>ASPEN</w:t>
      </w:r>
      <w:r w:rsidR="009C4180">
        <w:t>)</w:t>
      </w:r>
      <w:r>
        <w:t xml:space="preserve"> and </w:t>
      </w:r>
      <w:r w:rsidR="003E1FBB">
        <w:t xml:space="preserve">the </w:t>
      </w:r>
      <w:r w:rsidR="009C4180">
        <w:t>European Society for Clinical Nutrition and M</w:t>
      </w:r>
      <w:r w:rsidR="009C4180" w:rsidRPr="009C4180">
        <w:t xml:space="preserve">etabolism </w:t>
      </w:r>
      <w:r w:rsidR="009C4180">
        <w:t>(</w:t>
      </w:r>
      <w:r>
        <w:t>ESPEN</w:t>
      </w:r>
      <w:r w:rsidR="009C4180">
        <w:t>)</w:t>
      </w:r>
      <w:r>
        <w:t xml:space="preserve"> do not recommend glutamine supplementation for general use</w:t>
      </w:r>
      <w:r w:rsidR="009C4180">
        <w:t xml:space="preserve"> in critical care setting. The D</w:t>
      </w:r>
      <w:r>
        <w:t xml:space="preserve">elegate was unable to access </w:t>
      </w:r>
      <w:r w:rsidR="003E1FBB">
        <w:t>the Australasian Society for Parenteral Nutrition (</w:t>
      </w:r>
      <w:r>
        <w:t>AusPEN</w:t>
      </w:r>
      <w:r w:rsidR="003E1FBB">
        <w:t>)</w:t>
      </w:r>
      <w:r>
        <w:t xml:space="preserve"> guidelines, as </w:t>
      </w:r>
      <w:r w:rsidR="009C4180">
        <w:t>its</w:t>
      </w:r>
      <w:r>
        <w:t xml:space="preserve"> access is restricted to members. The part of the indication that states as </w:t>
      </w:r>
      <w:r w:rsidR="0020651C">
        <w:t>Dipeptiven</w:t>
      </w:r>
      <w:r>
        <w:t xml:space="preserve"> to be administered only along with TPN reassures that this product will only be used in intensive care setting. The </w:t>
      </w:r>
      <w:r w:rsidR="00C65FB1">
        <w:t>Delega</w:t>
      </w:r>
      <w:r w:rsidR="00846FAE">
        <w:t>t</w:t>
      </w:r>
      <w:r w:rsidR="00C65FB1">
        <w:t>e</w:t>
      </w:r>
      <w:r>
        <w:t>’s concerns for a broad indication for this product are illustrated in the discussion below.</w:t>
      </w:r>
    </w:p>
    <w:p w14:paraId="0F385078" w14:textId="4F69DBBC" w:rsidR="00976013" w:rsidRDefault="00976013" w:rsidP="00976013">
      <w:r>
        <w:t>Based on the findings from the studies included in this submission and the evolving evidence related to role of parenteral glutamine in critical care nutrition</w:t>
      </w:r>
      <w:r w:rsidR="009C4180">
        <w:t xml:space="preserve"> since it was last approved in New Zealand</w:t>
      </w:r>
      <w:r>
        <w:t xml:space="preserve"> in 2007, there is conflicting evidence in terms of treatment benefits for patients. Moreover, there is evidence of harm, when administered to the broader ICU patient population, from a higher systemic/supraphysiologic l</w:t>
      </w:r>
      <w:r w:rsidR="009C4180">
        <w:t>evels of glutamine</w:t>
      </w:r>
      <w:r>
        <w:t>.</w:t>
      </w:r>
      <w:r w:rsidR="009C4180">
        <w:fldChar w:fldCharType="begin"/>
      </w:r>
      <w:r w:rsidR="009C4180">
        <w:instrText xml:space="preserve"> NOTEREF _Ref54601474 \f \h </w:instrText>
      </w:r>
      <w:r w:rsidR="009C4180">
        <w:fldChar w:fldCharType="separate"/>
      </w:r>
      <w:r w:rsidR="003C7CA7" w:rsidRPr="003C7CA7">
        <w:rPr>
          <w:rStyle w:val="FootnoteReference"/>
        </w:rPr>
        <w:t>7</w:t>
      </w:r>
      <w:r w:rsidR="009C4180">
        <w:fldChar w:fldCharType="end"/>
      </w:r>
      <w:r>
        <w:t xml:space="preserve"> The single centre trials that the sponsor has conducted with small pati</w:t>
      </w:r>
      <w:r w:rsidR="009C4180">
        <w:t>ent population in the early nineties did</w:t>
      </w:r>
      <w:r>
        <w:t xml:space="preserve"> not show major benefit in terms of nitrogen balance, urea production, mortality and infection rate. Multicentre trials with large patient population conducted after the year 2000 provide conflicting evidence for patient benefits such as reduction in infection, length of hospital/ICU stay and mortality. </w:t>
      </w:r>
      <w:r w:rsidR="00EB167B">
        <w:t xml:space="preserve">The </w:t>
      </w:r>
      <w:r>
        <w:t>SIGNET study</w:t>
      </w:r>
      <w:r w:rsidR="009C4180">
        <w:t>;</w:t>
      </w:r>
      <w:r w:rsidR="009C4180">
        <w:rPr>
          <w:rStyle w:val="FootnoteReference"/>
        </w:rPr>
        <w:footnoteReference w:id="11"/>
      </w:r>
      <w:r>
        <w:t xml:space="preserve"> randomised 502 ICU patients to re</w:t>
      </w:r>
      <w:r w:rsidR="00EB167B">
        <w:t>ceive parenteral glutamine (20</w:t>
      </w:r>
      <w:r w:rsidR="00C65FB1">
        <w:t> </w:t>
      </w:r>
      <w:r>
        <w:t>g/day) along with TPN and the treatment effects were compared to patients receiving TPN without added glutamine. There was no significant treatment benefit in terms of incidence of new infections, mortality rate, length of stay, days of antibiotic use and modified SOFA score.</w:t>
      </w:r>
    </w:p>
    <w:p w14:paraId="7E73D46C" w14:textId="6D3610DB" w:rsidR="00976013" w:rsidRDefault="00976013" w:rsidP="00976013">
      <w:r>
        <w:t>In healthy individuals, serum glutamine level is maintained at 600</w:t>
      </w:r>
      <w:r w:rsidR="00EB167B">
        <w:t xml:space="preserve"> to</w:t>
      </w:r>
      <w:r>
        <w:t xml:space="preserve"> 900 </w:t>
      </w:r>
      <w:r w:rsidR="003E1FBB">
        <w:t>µ</w:t>
      </w:r>
      <w:r>
        <w:t>mol/L. Baseline serum levels of glutamine are found to be low in patient population</w:t>
      </w:r>
      <w:r w:rsidR="003E1FBB">
        <w:t>s</w:t>
      </w:r>
      <w:r>
        <w:t xml:space="preserve"> like burn</w:t>
      </w:r>
      <w:r w:rsidR="003E1FBB">
        <w:t xml:space="preserve"> injuries</w:t>
      </w:r>
      <w:r>
        <w:t xml:space="preserve">, </w:t>
      </w:r>
      <w:r>
        <w:lastRenderedPageBreak/>
        <w:t xml:space="preserve">trauma, </w:t>
      </w:r>
      <w:r w:rsidR="00EB167B">
        <w:t>post-surgery</w:t>
      </w:r>
      <w:r>
        <w:t xml:space="preserve"> </w:t>
      </w:r>
      <w:r w:rsidR="003E1FBB">
        <w:t xml:space="preserve">patients </w:t>
      </w:r>
      <w:r>
        <w:t>and</w:t>
      </w:r>
      <w:r w:rsidR="003E1FBB">
        <w:t xml:space="preserve"> patients with</w:t>
      </w:r>
      <w:r>
        <w:t xml:space="preserve"> pancreatitis. There is moderate evidence to suggest treatment benefit with parenteral glutamine in post-operative patients, especially those wh</w:t>
      </w:r>
      <w:r w:rsidR="00C65FB1">
        <w:t xml:space="preserve">o underwent GI surgery. </w:t>
      </w:r>
      <w:r w:rsidR="003E1FBB">
        <w:t>A r</w:t>
      </w:r>
      <w:r w:rsidR="00C65FB1">
        <w:t xml:space="preserve">ecent </w:t>
      </w:r>
      <w:r w:rsidR="003E1FBB">
        <w:t>C</w:t>
      </w:r>
      <w:r>
        <w:t>ochrane review</w:t>
      </w:r>
      <w:r w:rsidR="00C65FB1">
        <w:t>;</w:t>
      </w:r>
      <w:r w:rsidR="00C65FB1">
        <w:fldChar w:fldCharType="begin"/>
      </w:r>
      <w:r w:rsidR="00C65FB1">
        <w:instrText xml:space="preserve"> NOTEREF _Ref54775609 \f \h </w:instrText>
      </w:r>
      <w:r w:rsidR="00C65FB1">
        <w:fldChar w:fldCharType="separate"/>
      </w:r>
      <w:r w:rsidR="003C7CA7" w:rsidRPr="003C7CA7">
        <w:rPr>
          <w:rStyle w:val="FootnoteReference"/>
        </w:rPr>
        <w:t>9</w:t>
      </w:r>
      <w:r w:rsidR="00C65FB1">
        <w:fldChar w:fldCharType="end"/>
      </w:r>
      <w:r>
        <w:t xml:space="preserve"> concluded that patients treated with glutamine infusion benefitted with reduced infection rate (moderate quality of evidence), length of hospital stay (low quality evidence) and no effect on mortality rate and length of ICU stay.</w:t>
      </w:r>
    </w:p>
    <w:p w14:paraId="274BB2BA" w14:textId="7EB512A9" w:rsidR="00976013" w:rsidRDefault="00EB167B" w:rsidP="00EB167B">
      <w:r>
        <w:t>The D</w:t>
      </w:r>
      <w:r w:rsidR="00976013">
        <w:t>elegate has noted that in all the studies included in this submission, the interventions to supplement glut</w:t>
      </w:r>
      <w:r>
        <w:t xml:space="preserve">amine were irrespective of the </w:t>
      </w:r>
      <w:r w:rsidR="003E1FBB">
        <w:t>b</w:t>
      </w:r>
      <w:r w:rsidR="00976013">
        <w:t>aseline serum levels in patients. Not many studies have estimat</w:t>
      </w:r>
      <w:r>
        <w:t>ed serum level of glutamine at B</w:t>
      </w:r>
      <w:r w:rsidR="00976013">
        <w:t>aseline. In a sub</w:t>
      </w:r>
      <w:r w:rsidR="003E1FBB">
        <w:noBreakHyphen/>
      </w:r>
      <w:r w:rsidR="00976013">
        <w:t>sample of REDOX</w:t>
      </w:r>
      <w:r w:rsidR="002711A2">
        <w:t>S</w:t>
      </w:r>
      <w:r w:rsidR="00976013">
        <w:t xml:space="preserve"> study</w:t>
      </w:r>
      <w:r>
        <w:t>;</w:t>
      </w:r>
      <w:r>
        <w:fldChar w:fldCharType="begin"/>
      </w:r>
      <w:r>
        <w:instrText xml:space="preserve"> NOTEREF _Ref54601474 \f \h </w:instrText>
      </w:r>
      <w:r>
        <w:fldChar w:fldCharType="separate"/>
      </w:r>
      <w:r w:rsidR="003C7CA7" w:rsidRPr="003C7CA7">
        <w:rPr>
          <w:rStyle w:val="FootnoteReference"/>
        </w:rPr>
        <w:t>7</w:t>
      </w:r>
      <w:r>
        <w:fldChar w:fldCharType="end"/>
      </w:r>
      <w:r>
        <w:t xml:space="preserve"> only 31</w:t>
      </w:r>
      <w:r w:rsidR="00976013">
        <w:t>% of patients were glutamine deficient (&lt;</w:t>
      </w:r>
      <w:r>
        <w:t xml:space="preserve"> </w:t>
      </w:r>
      <w:r w:rsidR="00976013">
        <w:t xml:space="preserve">420 </w:t>
      </w:r>
      <w:r w:rsidR="00694D97">
        <w:t>µ</w:t>
      </w:r>
      <w:r w:rsidR="00976013">
        <w:t>mol/L) while 15 % had supra-normal levels (&gt;</w:t>
      </w:r>
      <w:r>
        <w:t xml:space="preserve"> 930 </w:t>
      </w:r>
      <w:r w:rsidR="001908F9">
        <w:t>µ</w:t>
      </w:r>
      <w:r>
        <w:t xml:space="preserve">mol/L) at </w:t>
      </w:r>
      <w:r w:rsidR="0020651C">
        <w:t>Baseline</w:t>
      </w:r>
      <w:r w:rsidR="00976013">
        <w:t>.</w:t>
      </w:r>
      <w:r>
        <w:rPr>
          <w:rStyle w:val="FootnoteReference"/>
        </w:rPr>
        <w:footnoteReference w:id="12"/>
      </w:r>
      <w:r w:rsidR="00976013">
        <w:t xml:space="preserve"> Moreover, a U-shaped curve represents the association between glutamine and mortality, where both low (&lt;</w:t>
      </w:r>
      <w:r w:rsidR="00694D97">
        <w:t> </w:t>
      </w:r>
      <w:r w:rsidR="00976013">
        <w:t xml:space="preserve">420 </w:t>
      </w:r>
      <w:r w:rsidR="00694D97">
        <w:t>µ</w:t>
      </w:r>
      <w:r w:rsidR="00976013">
        <w:t>mol/L) and high (&gt;</w:t>
      </w:r>
      <w:r>
        <w:t xml:space="preserve"> </w:t>
      </w:r>
      <w:r w:rsidR="00976013">
        <w:t xml:space="preserve">930 </w:t>
      </w:r>
      <w:r w:rsidR="00694D97">
        <w:t>µ</w:t>
      </w:r>
      <w:r w:rsidR="00976013">
        <w:t xml:space="preserve">mol/L) levels were associated </w:t>
      </w:r>
      <w:r>
        <w:t>with a higher mortality risk</w:t>
      </w:r>
      <w:r w:rsidR="00976013">
        <w:t>.</w:t>
      </w:r>
      <w:r>
        <w:rPr>
          <w:rStyle w:val="FootnoteReference"/>
        </w:rPr>
        <w:footnoteReference w:id="13"/>
      </w:r>
      <w:r w:rsidR="00976013">
        <w:t xml:space="preserve"> These findings suggest that a targeted approach to replenish systemic level of glutamine would be beneficial.</w:t>
      </w:r>
    </w:p>
    <w:p w14:paraId="138B7C99" w14:textId="309D8028" w:rsidR="001908F9" w:rsidRDefault="00976013" w:rsidP="00976013">
      <w:pPr>
        <w:pStyle w:val="FigureTitle"/>
      </w:pPr>
      <w:r>
        <w:t xml:space="preserve">Figure </w:t>
      </w:r>
      <w:fldSimple w:instr=" SEQ Figure \* ARABIC ">
        <w:r w:rsidR="003C7CA7">
          <w:rPr>
            <w:noProof/>
          </w:rPr>
          <w:t>3</w:t>
        </w:r>
      </w:fldSimple>
      <w:r>
        <w:t xml:space="preserve">: All cause 6 month mortality and </w:t>
      </w:r>
      <w:r w:rsidR="00694D97">
        <w:t xml:space="preserve">intensive care unit </w:t>
      </w:r>
      <w:r>
        <w:t xml:space="preserve">mortality of consecutive patients admitted to general </w:t>
      </w:r>
      <w:r w:rsidR="00694D97">
        <w:t>intensive care</w:t>
      </w:r>
      <w:r>
        <w:t xml:space="preserve"> at Karolinska Huddinge.</w:t>
      </w:r>
    </w:p>
    <w:p w14:paraId="664C13DA" w14:textId="70CE67B8" w:rsidR="00976013" w:rsidRDefault="00976013" w:rsidP="00976013">
      <w:r w:rsidRPr="00976013">
        <w:rPr>
          <w:noProof/>
          <w:lang w:eastAsia="en-AU"/>
        </w:rPr>
        <w:drawing>
          <wp:inline distT="0" distB="0" distL="0" distR="0" wp14:anchorId="42CF477D" wp14:editId="26568C45">
            <wp:extent cx="4236085" cy="3252486"/>
            <wp:effectExtent l="0" t="0" r="0" b="5080"/>
            <wp:docPr id="6" name="Picture 6" descr="All cause 6 month mortality and intensive care unit mortality of consecutive patients admitted to general intensive care at Karolinska Hudd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29575"/>
                    <a:stretch/>
                  </pic:blipFill>
                  <pic:spPr bwMode="auto">
                    <a:xfrm>
                      <a:off x="0" y="0"/>
                      <a:ext cx="4236085" cy="3252486"/>
                    </a:xfrm>
                    <a:prstGeom prst="rect">
                      <a:avLst/>
                    </a:prstGeom>
                    <a:noFill/>
                    <a:ln>
                      <a:noFill/>
                    </a:ln>
                    <a:extLst>
                      <a:ext uri="{53640926-AAD7-44D8-BBD7-CCE9431645EC}">
                        <a14:shadowObscured xmlns:a14="http://schemas.microsoft.com/office/drawing/2010/main"/>
                      </a:ext>
                    </a:extLst>
                  </pic:spPr>
                </pic:pic>
              </a:graphicData>
            </a:graphic>
          </wp:inline>
        </w:drawing>
      </w:r>
    </w:p>
    <w:p w14:paraId="03912A54" w14:textId="22C18DBD" w:rsidR="001908F9" w:rsidRDefault="001908F9" w:rsidP="00976013">
      <w:pPr>
        <w:pStyle w:val="TableDescription"/>
      </w:pPr>
      <w:r w:rsidRPr="001908F9">
        <w:t>All-cause 6-month mortality (open bars) and ICU mortality (filled bars) of consecutive patients admitted to the general ICU (n</w:t>
      </w:r>
      <w:r>
        <w:t xml:space="preserve"> </w:t>
      </w:r>
      <w:r w:rsidRPr="001908F9">
        <w:t>=</w:t>
      </w:r>
      <w:r>
        <w:t xml:space="preserve"> </w:t>
      </w:r>
      <w:r w:rsidRPr="001908F9">
        <w:t>174) at Karolinska</w:t>
      </w:r>
      <w:r>
        <w:t xml:space="preserve"> University Hospital,</w:t>
      </w:r>
      <w:r w:rsidRPr="001908F9">
        <w:t xml:space="preserve"> Huddinge</w:t>
      </w:r>
      <w:r>
        <w:t>, Sweden,</w:t>
      </w:r>
      <w:r w:rsidRPr="001908F9">
        <w:t xml:space="preserve"> divided into quartiles according to the admittance plasma glutamine concentration Mortality is different in between the quartiles, where the two lower quartiles are different from the two higher (P</w:t>
      </w:r>
      <w:r>
        <w:t xml:space="preserve"> </w:t>
      </w:r>
      <w:r w:rsidRPr="001908F9">
        <w:t>=</w:t>
      </w:r>
      <w:r>
        <w:t xml:space="preserve"> </w:t>
      </w:r>
      <w:r w:rsidRPr="001908F9">
        <w:t>0.037).</w:t>
      </w:r>
      <w:r>
        <w:t xml:space="preserve"> Adapted from </w:t>
      </w:r>
      <w:r w:rsidRPr="001908F9">
        <w:t>Rodas, P.C., et al., Glutamine and glutathione at ICU admission in relation to outcome</w:t>
      </w:r>
      <w:r w:rsidRPr="00B35372">
        <w:rPr>
          <w:i/>
        </w:rPr>
        <w:t>. Clin Sci (Lond),</w:t>
      </w:r>
      <w:r w:rsidRPr="001908F9">
        <w:t xml:space="preserve"> 2012. 122(12): p. 591-7.</w:t>
      </w:r>
    </w:p>
    <w:p w14:paraId="21D468B8" w14:textId="6B1817AC" w:rsidR="00976013" w:rsidRDefault="00976013" w:rsidP="00976013">
      <w:r w:rsidRPr="00976013">
        <w:t xml:space="preserve">The </w:t>
      </w:r>
      <w:r w:rsidR="00846FAE">
        <w:t>Delegate</w:t>
      </w:r>
      <w:r w:rsidRPr="00976013">
        <w:t xml:space="preserve"> has considered the fact that the total daily</w:t>
      </w:r>
      <w:r w:rsidR="00BA4A40">
        <w:t xml:space="preserve"> dose of glutamine (parenteral plus</w:t>
      </w:r>
      <w:r w:rsidRPr="00976013">
        <w:t xml:space="preserve"> enteral) administered in REDOX</w:t>
      </w:r>
      <w:r w:rsidR="002711A2">
        <w:t>S</w:t>
      </w:r>
      <w:r w:rsidRPr="00976013">
        <w:t xml:space="preserve"> study</w:t>
      </w:r>
      <w:r w:rsidR="00EB167B">
        <w:t>;</w:t>
      </w:r>
      <w:r w:rsidR="00EB167B">
        <w:fldChar w:fldCharType="begin"/>
      </w:r>
      <w:r w:rsidR="00EB167B">
        <w:instrText xml:space="preserve"> NOTEREF _Ref54601474 \f \h </w:instrText>
      </w:r>
      <w:r w:rsidR="00EB167B">
        <w:fldChar w:fldCharType="separate"/>
      </w:r>
      <w:r w:rsidR="003C7CA7" w:rsidRPr="003C7CA7">
        <w:rPr>
          <w:rStyle w:val="FootnoteReference"/>
        </w:rPr>
        <w:t>7</w:t>
      </w:r>
      <w:r w:rsidR="00EB167B">
        <w:fldChar w:fldCharType="end"/>
      </w:r>
      <w:r w:rsidRPr="00976013">
        <w:t xml:space="preserve"> (0.7</w:t>
      </w:r>
      <w:r w:rsidR="00C65FB1">
        <w:t> </w:t>
      </w:r>
      <w:r w:rsidRPr="00976013">
        <w:t>g/kg) was higher than the recommended dose in the prop</w:t>
      </w:r>
      <w:r w:rsidR="00EB167B">
        <w:t xml:space="preserve">osed Product Information (PI) (0.3 to </w:t>
      </w:r>
      <w:r w:rsidR="00C65FB1">
        <w:t>0.5 </w:t>
      </w:r>
      <w:r w:rsidRPr="00976013">
        <w:t>g/kg). For this reason, findings of REDOX</w:t>
      </w:r>
      <w:r w:rsidR="002711A2">
        <w:t>S</w:t>
      </w:r>
      <w:r w:rsidRPr="00976013">
        <w:t xml:space="preserve"> study</w:t>
      </w:r>
      <w:r w:rsidR="00EB167B">
        <w:t>;</w:t>
      </w:r>
      <w:r w:rsidR="00EB167B">
        <w:fldChar w:fldCharType="begin"/>
      </w:r>
      <w:r w:rsidR="00EB167B">
        <w:instrText xml:space="preserve"> NOTEREF _Ref54601474 \f \h </w:instrText>
      </w:r>
      <w:r w:rsidR="00EB167B">
        <w:fldChar w:fldCharType="separate"/>
      </w:r>
      <w:r w:rsidR="003C7CA7" w:rsidRPr="003C7CA7">
        <w:rPr>
          <w:rStyle w:val="FootnoteReference"/>
        </w:rPr>
        <w:t>7</w:t>
      </w:r>
      <w:r w:rsidR="00EB167B">
        <w:fldChar w:fldCharType="end"/>
      </w:r>
      <w:r w:rsidRPr="00976013">
        <w:t xml:space="preserve"> that are related to mortality rates cannot be fully extrapolated to the current submission. However, the study findings indicate that high systemic levels of </w:t>
      </w:r>
      <w:r w:rsidRPr="00976013">
        <w:lastRenderedPageBreak/>
        <w:t>glutamine can cause more harm than benefits. If glutamine is administered at the recom</w:t>
      </w:r>
      <w:r w:rsidR="00EB167B">
        <w:t>mended dose to all patients in ‘</w:t>
      </w:r>
      <w:r w:rsidRPr="00976013">
        <w:t>hypercatabolic and/or</w:t>
      </w:r>
      <w:r w:rsidR="00EB167B">
        <w:t xml:space="preserve"> hypermetabolic states’</w:t>
      </w:r>
      <w:r>
        <w:t>, irrespective of the basal systemic level of glutamine, then it is likely to result in high systemic level of glutamine in a large proportion of patients. Based on evidence from REDOX</w:t>
      </w:r>
      <w:r w:rsidR="002711A2">
        <w:t>S</w:t>
      </w:r>
      <w:r>
        <w:t xml:space="preserve"> study</w:t>
      </w:r>
      <w:r w:rsidR="00EB167B">
        <w:t>;</w:t>
      </w:r>
      <w:r w:rsidR="00EB167B">
        <w:fldChar w:fldCharType="begin"/>
      </w:r>
      <w:r w:rsidR="00EB167B">
        <w:instrText xml:space="preserve"> NOTEREF _Ref54601474 \f \h </w:instrText>
      </w:r>
      <w:r w:rsidR="00EB167B">
        <w:fldChar w:fldCharType="separate"/>
      </w:r>
      <w:r w:rsidR="003C7CA7" w:rsidRPr="003C7CA7">
        <w:rPr>
          <w:rStyle w:val="FootnoteReference"/>
        </w:rPr>
        <w:t>7</w:t>
      </w:r>
      <w:r w:rsidR="00EB167B">
        <w:fldChar w:fldCharType="end"/>
      </w:r>
      <w:r w:rsidR="00EB167B">
        <w:t xml:space="preserve"> this practice co</w:t>
      </w:r>
      <w:r w:rsidR="00BA4A40">
        <w:t>u</w:t>
      </w:r>
      <w:r>
        <w:t>ld be harmful for patients.</w:t>
      </w:r>
    </w:p>
    <w:p w14:paraId="6CC21DD4" w14:textId="40D69249" w:rsidR="00976013" w:rsidRDefault="00976013" w:rsidP="00976013">
      <w:r>
        <w:t>The REDOX</w:t>
      </w:r>
      <w:r w:rsidR="002711A2">
        <w:t>S</w:t>
      </w:r>
      <w:r>
        <w:t xml:space="preserve"> study data found that majority of patients did not have glutamine deficiency in early stage of illness.</w:t>
      </w:r>
      <w:r w:rsidR="00EB167B">
        <w:fldChar w:fldCharType="begin"/>
      </w:r>
      <w:r w:rsidR="00EB167B">
        <w:instrText xml:space="preserve"> NOTEREF _Ref54601474 \f \h </w:instrText>
      </w:r>
      <w:r w:rsidR="00EB167B">
        <w:fldChar w:fldCharType="separate"/>
      </w:r>
      <w:r w:rsidR="003C7CA7" w:rsidRPr="003C7CA7">
        <w:rPr>
          <w:rStyle w:val="FootnoteReference"/>
        </w:rPr>
        <w:t>7</w:t>
      </w:r>
      <w:r w:rsidR="00EB167B">
        <w:fldChar w:fldCharType="end"/>
      </w:r>
      <w:r>
        <w:t xml:space="preserve"> In addition, recent data from REDOX</w:t>
      </w:r>
      <w:r w:rsidR="002711A2">
        <w:t>S</w:t>
      </w:r>
      <w:r>
        <w:t xml:space="preserve"> study</w:t>
      </w:r>
      <w:r w:rsidR="00BA4A40">
        <w:t>;</w:t>
      </w:r>
      <w:r w:rsidR="00BA4A40">
        <w:fldChar w:fldCharType="begin"/>
      </w:r>
      <w:r w:rsidR="00BA4A40">
        <w:instrText xml:space="preserve"> NOTEREF _Ref54601474 \f \h </w:instrText>
      </w:r>
      <w:r w:rsidR="00BA4A40">
        <w:fldChar w:fldCharType="separate"/>
      </w:r>
      <w:r w:rsidR="003C7CA7" w:rsidRPr="003C7CA7">
        <w:rPr>
          <w:rStyle w:val="FootnoteReference"/>
        </w:rPr>
        <w:t>7</w:t>
      </w:r>
      <w:r w:rsidR="00BA4A40">
        <w:fldChar w:fldCharType="end"/>
      </w:r>
      <w:r>
        <w:t xml:space="preserve"> and other trials suggest that parenteral </w:t>
      </w:r>
      <w:r w:rsidR="001908F9">
        <w:t xml:space="preserve">glutamine </w:t>
      </w:r>
      <w:r>
        <w:t xml:space="preserve">should not be given to all patients early in the acute phase of critical illness, in patients with multiple organ failure or in patients with un-resuscitated shock requiring significant vasopressor support. In the proposed PI, severe renal and hepatic insufficiency and severe metabolic acidosis are stated as contraindications. This appears to exclude the patient population for whom </w:t>
      </w:r>
      <w:r w:rsidR="0020651C">
        <w:t>Dipeptiven</w:t>
      </w:r>
      <w:r>
        <w:t xml:space="preserve"> infusion could cause harm, rather than benefit. However, it doesn’t help to identify the patient population w</w:t>
      </w:r>
      <w:r w:rsidR="00EF6E5C">
        <w:t xml:space="preserve">ho might benefit the most with </w:t>
      </w:r>
      <w:r w:rsidR="0020651C">
        <w:t>Dipeptiven</w:t>
      </w:r>
      <w:r>
        <w:t xml:space="preserve"> infusion.</w:t>
      </w:r>
    </w:p>
    <w:p w14:paraId="6DFF36B0" w14:textId="4EFA89D1" w:rsidR="00976013" w:rsidRDefault="00BA4A40" w:rsidP="00976013">
      <w:r>
        <w:t>The D</w:t>
      </w:r>
      <w:r w:rsidR="00976013">
        <w:t>elegate appreciates that the product was first registered many years ago. However, the evidence in critical care nutrition that is related to glutamine supplementation has been constantly evolving during this period. Data from recently published studies suggest conflicting evidence regarding efficacy and provide safety concerns related to mortality with high systemic glutamine levels.</w:t>
      </w:r>
    </w:p>
    <w:p w14:paraId="72E1F4B2" w14:textId="77777777" w:rsidR="00976013" w:rsidRDefault="00976013" w:rsidP="00976013">
      <w:r>
        <w:t>To conclude, the critically ill population is a heterogeneous one. It is unknown whether glutamine kinetics always have the same pattern or if it varies with the underlying pathological situation. Hence, from a clinical perspective, it is important to identify the patient group who will benefit the most with supplemental parenteral glutamine.</w:t>
      </w:r>
    </w:p>
    <w:p w14:paraId="5B2F4B7C" w14:textId="69B60220" w:rsidR="007D53B6" w:rsidRDefault="001908F9" w:rsidP="007D53B6">
      <w:pPr>
        <w:pStyle w:val="Heading4"/>
      </w:pPr>
      <w:r>
        <w:t>Request</w:t>
      </w:r>
      <w:r w:rsidR="007D53B6">
        <w:t xml:space="preserve"> for sponsor</w:t>
      </w:r>
    </w:p>
    <w:p w14:paraId="1620D241" w14:textId="73524DD7" w:rsidR="00215056" w:rsidRDefault="00215056" w:rsidP="00B35372">
      <w:pPr>
        <w:pStyle w:val="ListBullet"/>
        <w:rPr>
          <w:b/>
          <w:i/>
        </w:rPr>
      </w:pPr>
      <w:r w:rsidRPr="00B35372">
        <w:rPr>
          <w:b/>
          <w:i/>
        </w:rPr>
        <w:t xml:space="preserve">The sponsor is required to provide periodic safety reports from </w:t>
      </w:r>
      <w:r w:rsidR="001908F9" w:rsidRPr="00B35372">
        <w:rPr>
          <w:b/>
          <w:i/>
        </w:rPr>
        <w:t xml:space="preserve">the </w:t>
      </w:r>
      <w:r w:rsidRPr="00B35372">
        <w:rPr>
          <w:b/>
          <w:i/>
        </w:rPr>
        <w:t xml:space="preserve">UK since </w:t>
      </w:r>
      <w:r w:rsidR="0020651C" w:rsidRPr="00B35372">
        <w:rPr>
          <w:b/>
          <w:i/>
        </w:rPr>
        <w:t>Dipeptiven</w:t>
      </w:r>
      <w:r w:rsidR="00E95D7E" w:rsidRPr="00B35372">
        <w:rPr>
          <w:b/>
          <w:i/>
        </w:rPr>
        <w:t xml:space="preserve"> was first registered.</w:t>
      </w:r>
    </w:p>
    <w:p w14:paraId="37812492" w14:textId="1EB4DB33" w:rsidR="001908F9" w:rsidRPr="001908F9" w:rsidRDefault="001908F9" w:rsidP="00B35372">
      <w:pPr>
        <w:pStyle w:val="Heading5"/>
      </w:pPr>
      <w:r>
        <w:t>Sponsor response</w:t>
      </w:r>
    </w:p>
    <w:p w14:paraId="23072F79" w14:textId="4FF797A8" w:rsidR="00D35DE6" w:rsidRPr="00215056" w:rsidRDefault="00D35DE6" w:rsidP="00332A70">
      <w:r>
        <w:t xml:space="preserve">The most recent periodic safety update report (PSUR) covering 73 countries, which includes </w:t>
      </w:r>
      <w:r w:rsidR="001908F9">
        <w:t xml:space="preserve">the </w:t>
      </w:r>
      <w:r>
        <w:t>UK, for the interval 25 July 2017 to 31 May 2019 was provided by the sponsor. In addition, PSURs from 1995 until 2013 are also provided. PSUR</w:t>
      </w:r>
      <w:r w:rsidR="001908F9">
        <w:t>s</w:t>
      </w:r>
      <w:r>
        <w:t xml:space="preserve"> from 2012 until 2017 w</w:t>
      </w:r>
      <w:r w:rsidR="001908F9">
        <w:t>ere</w:t>
      </w:r>
      <w:r>
        <w:t xml:space="preserve"> provided with the initial application.</w:t>
      </w:r>
    </w:p>
    <w:p w14:paraId="1726D25F" w14:textId="2386AF57" w:rsidR="007D53B6" w:rsidRDefault="007D53B6" w:rsidP="007D53B6">
      <w:pPr>
        <w:pStyle w:val="Heading4"/>
      </w:pPr>
      <w:r>
        <w:t xml:space="preserve">Request for Advisory Committee on </w:t>
      </w:r>
      <w:r w:rsidR="00E87D9D">
        <w:t xml:space="preserve">Medicines </w:t>
      </w:r>
      <w:r>
        <w:t>advice</w:t>
      </w:r>
    </w:p>
    <w:p w14:paraId="476153D6" w14:textId="25798E2F" w:rsidR="007D53B6" w:rsidRDefault="00215056" w:rsidP="00215056">
      <w:r>
        <w:t xml:space="preserve">The </w:t>
      </w:r>
      <w:r w:rsidR="00846FAE">
        <w:t>Delegate</w:t>
      </w:r>
      <w:r>
        <w:t xml:space="preserve"> has requested advice from</w:t>
      </w:r>
      <w:r w:rsidR="0099133A">
        <w:t xml:space="preserve"> Advisory Committee on Medicine.</w:t>
      </w:r>
    </w:p>
    <w:p w14:paraId="05AFDE3B" w14:textId="1FCADA20" w:rsidR="006075B6" w:rsidRDefault="006075B6" w:rsidP="006075B6">
      <w:r>
        <w:t>The Delegate has requested the following advice from Advisory Committee on Medicine.</w:t>
      </w:r>
    </w:p>
    <w:p w14:paraId="46ED26DE" w14:textId="77777777" w:rsidR="006075B6" w:rsidRPr="00F67A66" w:rsidRDefault="006075B6" w:rsidP="006075B6">
      <w:pPr>
        <w:pStyle w:val="Numberbullet0"/>
        <w:numPr>
          <w:ilvl w:val="0"/>
          <w:numId w:val="33"/>
        </w:numPr>
      </w:pPr>
      <w:r w:rsidRPr="00F67A66">
        <w:t>Do all patients of the heterogeneous ICU population have the same needs in terms of parenteral glutamine supplementation, or are there specific needs for specific sub-populations?</w:t>
      </w:r>
    </w:p>
    <w:p w14:paraId="12F8FDA6" w14:textId="77777777" w:rsidR="006075B6" w:rsidRPr="00F67A66" w:rsidRDefault="006075B6" w:rsidP="006075B6">
      <w:pPr>
        <w:pStyle w:val="Numberbullet0"/>
        <w:numPr>
          <w:ilvl w:val="0"/>
          <w:numId w:val="8"/>
        </w:numPr>
      </w:pPr>
      <w:r w:rsidRPr="00F67A66">
        <w:t>What is the best approach to identify the patient population who will have maximum treatment benefit with parenteral glutamine?</w:t>
      </w:r>
    </w:p>
    <w:p w14:paraId="75278B77" w14:textId="7749FEB5" w:rsidR="006075B6" w:rsidRPr="00F67A66" w:rsidRDefault="006075B6" w:rsidP="006075B6">
      <w:pPr>
        <w:pStyle w:val="Numberbullet0"/>
        <w:numPr>
          <w:ilvl w:val="0"/>
          <w:numId w:val="8"/>
        </w:numPr>
      </w:pPr>
      <w:r w:rsidRPr="00F67A66">
        <w:t xml:space="preserve">The Delegate suggests that the commencement of glutamine infusion in TPN to be guided by the </w:t>
      </w:r>
      <w:r w:rsidR="001908F9">
        <w:t>b</w:t>
      </w:r>
      <w:r w:rsidRPr="00F67A66">
        <w:t xml:space="preserve">aseline serum glutamine level. </w:t>
      </w:r>
      <w:r w:rsidR="001908F9">
        <w:t xml:space="preserve">The </w:t>
      </w:r>
      <w:r w:rsidRPr="00F67A66">
        <w:t>ACM’s comments will be appreciated.</w:t>
      </w:r>
    </w:p>
    <w:p w14:paraId="091E3CFC" w14:textId="346555AC" w:rsidR="006075B6" w:rsidRPr="00F67A66" w:rsidRDefault="006075B6" w:rsidP="006075B6">
      <w:pPr>
        <w:pStyle w:val="Numberbullet0"/>
        <w:numPr>
          <w:ilvl w:val="0"/>
          <w:numId w:val="8"/>
        </w:numPr>
      </w:pPr>
      <w:r w:rsidRPr="00F67A66">
        <w:t>Based on the evaluated data, the duration of most of the studies ranged from 5 to 10</w:t>
      </w:r>
      <w:r w:rsidR="00BF0F13">
        <w:t> </w:t>
      </w:r>
      <w:r w:rsidRPr="00F67A66">
        <w:t xml:space="preserve">days. The Delegate suggests that continuation of treatment with Dipeptiven beyond 10 days should be at the discretion of the treating physician. </w:t>
      </w:r>
      <w:r w:rsidR="00BF0F13">
        <w:t xml:space="preserve">The </w:t>
      </w:r>
      <w:r w:rsidRPr="00F67A66">
        <w:t>ACM’s comments will be appreciated.</w:t>
      </w:r>
    </w:p>
    <w:p w14:paraId="6816409F" w14:textId="77777777" w:rsidR="006075B6" w:rsidRPr="00F67A66" w:rsidRDefault="006075B6" w:rsidP="006075B6">
      <w:pPr>
        <w:pStyle w:val="Numberbullet0"/>
        <w:numPr>
          <w:ilvl w:val="0"/>
          <w:numId w:val="8"/>
        </w:numPr>
      </w:pPr>
      <w:r w:rsidRPr="00F67A66">
        <w:lastRenderedPageBreak/>
        <w:t>Are the contraindications specified in the proposed PI adequate enough to exclude patient population who might be at risk with parenteral glutamine supplementation?</w:t>
      </w:r>
    </w:p>
    <w:p w14:paraId="38225768" w14:textId="0507436B" w:rsidR="006075B6" w:rsidRPr="00F67A66" w:rsidRDefault="006075B6" w:rsidP="00B35372">
      <w:pPr>
        <w:pStyle w:val="Numberbullet0"/>
        <w:numPr>
          <w:ilvl w:val="0"/>
          <w:numId w:val="8"/>
        </w:numPr>
      </w:pPr>
      <w:r w:rsidRPr="00F67A66">
        <w:t xml:space="preserve">Based on </w:t>
      </w:r>
      <w:r w:rsidR="00BF0F13">
        <w:t xml:space="preserve">the </w:t>
      </w:r>
      <w:r w:rsidRPr="00F67A66">
        <w:t>REDOX</w:t>
      </w:r>
      <w:r w:rsidR="002711A2">
        <w:t>S</w:t>
      </w:r>
      <w:r w:rsidRPr="00F67A66">
        <w:t xml:space="preserve"> study;</w:t>
      </w:r>
      <w:r w:rsidRPr="00F67A66">
        <w:fldChar w:fldCharType="begin"/>
      </w:r>
      <w:r w:rsidRPr="00F67A66">
        <w:instrText xml:space="preserve"> NOTEREF _Ref54601474 \f \h  \* MERGEFORMAT </w:instrText>
      </w:r>
      <w:r w:rsidRPr="00F67A66">
        <w:fldChar w:fldCharType="separate"/>
      </w:r>
      <w:r w:rsidRPr="00F67A66">
        <w:rPr>
          <w:rStyle w:val="FootnoteReference"/>
        </w:rPr>
        <w:t>7</w:t>
      </w:r>
      <w:r w:rsidRPr="00F67A66">
        <w:fldChar w:fldCharType="end"/>
      </w:r>
      <w:r w:rsidRPr="00F67A66">
        <w:t xml:space="preserve"> findings that fatality occurred mostly in patients with multi-organ failure, the Delegate believes it will be worthwhile to include multi-organ failure as a contraindication. </w:t>
      </w:r>
      <w:r w:rsidR="00BF0F13">
        <w:t xml:space="preserve">The </w:t>
      </w:r>
      <w:r w:rsidRPr="00F67A66">
        <w:t>ACM’s comments will be appreciated.</w:t>
      </w:r>
    </w:p>
    <w:p w14:paraId="712A487D" w14:textId="5CFB3544" w:rsidR="006075B6" w:rsidRDefault="006075B6" w:rsidP="006075B6">
      <w:pPr>
        <w:pStyle w:val="Heading4"/>
      </w:pPr>
      <w:r>
        <w:t>Advisory Committee considerations</w:t>
      </w:r>
      <w:r>
        <w:rPr>
          <w:rStyle w:val="FootnoteReference"/>
        </w:rPr>
        <w:footnoteReference w:id="14"/>
      </w:r>
    </w:p>
    <w:p w14:paraId="7E2BCC75" w14:textId="77777777" w:rsidR="006075B6" w:rsidRDefault="006075B6" w:rsidP="006075B6">
      <w:pPr>
        <w:pStyle w:val="Heading5"/>
      </w:pPr>
      <w:r>
        <w:t>Specific advice</w:t>
      </w:r>
    </w:p>
    <w:p w14:paraId="714F97D1" w14:textId="77777777" w:rsidR="006075B6" w:rsidRPr="004C28C2" w:rsidRDefault="006075B6" w:rsidP="006075B6">
      <w:r w:rsidRPr="004C28C2">
        <w:t>The ACM advised the following in response to the Delegate’s specific request for advice.</w:t>
      </w:r>
    </w:p>
    <w:p w14:paraId="15801BBF" w14:textId="77777777" w:rsidR="006075B6" w:rsidRPr="00B35372" w:rsidRDefault="006075B6" w:rsidP="00B35372">
      <w:pPr>
        <w:pStyle w:val="Numberbullet0"/>
        <w:numPr>
          <w:ilvl w:val="0"/>
          <w:numId w:val="36"/>
        </w:numPr>
        <w:rPr>
          <w:b/>
          <w:i/>
        </w:rPr>
      </w:pPr>
      <w:r w:rsidRPr="00B35372">
        <w:rPr>
          <w:b/>
          <w:i/>
        </w:rPr>
        <w:t>Do all patients of the heterogeneous ICU population have the same needs in terms of parenteral glutamine supplementation, or are there specific needs for specific sub-populations?</w:t>
      </w:r>
    </w:p>
    <w:p w14:paraId="6EB53ABC" w14:textId="77777777" w:rsidR="006075B6" w:rsidRPr="00E87D9D" w:rsidRDefault="006075B6" w:rsidP="006075B6">
      <w:r w:rsidRPr="00E87D9D">
        <w:t>The ACM was of the view that it is unknown whether all ICU patients have the same needs in terms of parenteral glutamine supplementation and that there is insufficient evidence available to support the nee</w:t>
      </w:r>
      <w:r>
        <w:t>ds of any particular sub-group.</w:t>
      </w:r>
    </w:p>
    <w:p w14:paraId="399B4206" w14:textId="77777777" w:rsidR="006075B6" w:rsidRDefault="006075B6" w:rsidP="006075B6">
      <w:pPr>
        <w:pStyle w:val="Numberbullet0"/>
        <w:numPr>
          <w:ilvl w:val="0"/>
          <w:numId w:val="33"/>
        </w:numPr>
        <w:rPr>
          <w:b/>
          <w:i/>
        </w:rPr>
      </w:pPr>
      <w:r w:rsidRPr="00215056">
        <w:rPr>
          <w:b/>
          <w:i/>
        </w:rPr>
        <w:t>What is the best approach to identify the patient population who will have maximum treatment benefit with parenteral glutamine?</w:t>
      </w:r>
    </w:p>
    <w:p w14:paraId="1440A03F" w14:textId="77777777" w:rsidR="006075B6" w:rsidRPr="00E87D9D" w:rsidRDefault="006075B6" w:rsidP="006075B6">
      <w:r w:rsidRPr="00E87D9D">
        <w:t>The ACM considered that the best evidence for the use of parenteral glutamine is in previously well patients in critical care for burns and trauma treatment may benefit from treatment with alanylglutamine. However, the ACM was of the view that there is insufficient evidence to suggest an appropriate dosage regimen for alanylglutamine in this setting. In addition, there is lack of evidence to support this usage, based on clinical studies that are designed specifically to examine the efficacy and safety of alanylglutamine in this patient population. The ACM was of the opinion that there is lack of evidence to strongly support benefit from the use of parenteral gluta</w:t>
      </w:r>
      <w:r>
        <w:t>mine in any patient population.</w:t>
      </w:r>
    </w:p>
    <w:p w14:paraId="0E504FFB" w14:textId="2C375DFA" w:rsidR="006075B6" w:rsidRDefault="006075B6" w:rsidP="006075B6">
      <w:pPr>
        <w:pStyle w:val="Numberbullet0"/>
        <w:numPr>
          <w:ilvl w:val="0"/>
          <w:numId w:val="33"/>
        </w:numPr>
        <w:rPr>
          <w:b/>
          <w:i/>
        </w:rPr>
      </w:pPr>
      <w:r w:rsidRPr="00215056">
        <w:rPr>
          <w:b/>
          <w:i/>
        </w:rPr>
        <w:t xml:space="preserve">The </w:t>
      </w:r>
      <w:r>
        <w:rPr>
          <w:b/>
          <w:i/>
        </w:rPr>
        <w:t>Delegate</w:t>
      </w:r>
      <w:r w:rsidRPr="00215056">
        <w:rPr>
          <w:b/>
          <w:i/>
        </w:rPr>
        <w:t xml:space="preserve"> suggests that the commencement of glutamine infusion in TPN to be guided by the </w:t>
      </w:r>
      <w:r w:rsidR="00BF0F13">
        <w:rPr>
          <w:b/>
          <w:i/>
        </w:rPr>
        <w:t>b</w:t>
      </w:r>
      <w:r>
        <w:rPr>
          <w:b/>
          <w:i/>
        </w:rPr>
        <w:t>aseline</w:t>
      </w:r>
      <w:r w:rsidRPr="00215056">
        <w:rPr>
          <w:b/>
          <w:i/>
        </w:rPr>
        <w:t xml:space="preserve"> serum glutamine level. </w:t>
      </w:r>
      <w:r w:rsidR="00BF0F13">
        <w:rPr>
          <w:b/>
          <w:i/>
        </w:rPr>
        <w:t xml:space="preserve">The </w:t>
      </w:r>
      <w:r w:rsidRPr="00215056">
        <w:rPr>
          <w:b/>
          <w:i/>
        </w:rPr>
        <w:t>ACM’s comments will be appreciated.</w:t>
      </w:r>
    </w:p>
    <w:p w14:paraId="3A19016A" w14:textId="77777777" w:rsidR="006075B6" w:rsidRPr="00215056" w:rsidRDefault="006075B6" w:rsidP="006075B6">
      <w:r w:rsidRPr="00E95D7E">
        <w:t>The ACM advised that relying on measurement of serum glutamine levels to guide clinical decision making is not practical, as testing for this is only available in specialist metabolic pathology labs, of which there are only five in Australia, and has a m</w:t>
      </w:r>
      <w:r>
        <w:t>inimum turnaround timeframe of two</w:t>
      </w:r>
      <w:r w:rsidRPr="00E95D7E">
        <w:t xml:space="preserve"> days, often longer.</w:t>
      </w:r>
    </w:p>
    <w:p w14:paraId="6C57FFF2" w14:textId="5A6420AA" w:rsidR="006075B6" w:rsidRDefault="006075B6" w:rsidP="006075B6">
      <w:pPr>
        <w:pStyle w:val="Numberbullet0"/>
        <w:numPr>
          <w:ilvl w:val="0"/>
          <w:numId w:val="33"/>
        </w:numPr>
        <w:rPr>
          <w:b/>
          <w:i/>
        </w:rPr>
      </w:pPr>
      <w:r w:rsidRPr="00215056">
        <w:rPr>
          <w:b/>
          <w:i/>
        </w:rPr>
        <w:t>Based on the evaluated data, the duration of mo</w:t>
      </w:r>
      <w:r>
        <w:rPr>
          <w:b/>
          <w:i/>
        </w:rPr>
        <w:t xml:space="preserve">st of the studies ranged from 5 to </w:t>
      </w:r>
      <w:r w:rsidRPr="00215056">
        <w:rPr>
          <w:b/>
          <w:i/>
        </w:rPr>
        <w:t xml:space="preserve">10 days. The </w:t>
      </w:r>
      <w:r>
        <w:rPr>
          <w:b/>
          <w:i/>
        </w:rPr>
        <w:t>Delegate</w:t>
      </w:r>
      <w:r w:rsidRPr="00215056">
        <w:rPr>
          <w:b/>
          <w:i/>
        </w:rPr>
        <w:t xml:space="preserve"> suggests that continuation of treatment with Dipeptiven beyond 10 days should be at the discretion of the treating physician. </w:t>
      </w:r>
      <w:r w:rsidR="00BF0F13">
        <w:rPr>
          <w:b/>
          <w:i/>
        </w:rPr>
        <w:t xml:space="preserve">The </w:t>
      </w:r>
      <w:r w:rsidRPr="00215056">
        <w:rPr>
          <w:b/>
          <w:i/>
        </w:rPr>
        <w:t>ACM’s comments will be appreciated.</w:t>
      </w:r>
    </w:p>
    <w:p w14:paraId="0702C8D9" w14:textId="77777777" w:rsidR="006075B6" w:rsidRPr="00E95D7E" w:rsidRDefault="006075B6" w:rsidP="006075B6">
      <w:pPr>
        <w:pStyle w:val="Numberbullet0"/>
        <w:numPr>
          <w:ilvl w:val="0"/>
          <w:numId w:val="0"/>
        </w:numPr>
      </w:pPr>
      <w:r w:rsidRPr="00E95D7E">
        <w:t>The ACM was of the view that treatment beyond 10 days should not be recommended unless there is clear evidence of glutamine deficiency despite having appropriate protei</w:t>
      </w:r>
      <w:r>
        <w:t>n supplementation in their TPN.</w:t>
      </w:r>
    </w:p>
    <w:p w14:paraId="10DFEFE5" w14:textId="77777777" w:rsidR="006075B6" w:rsidRDefault="006075B6" w:rsidP="006075B6">
      <w:pPr>
        <w:pStyle w:val="Numberbullet0"/>
        <w:numPr>
          <w:ilvl w:val="0"/>
          <w:numId w:val="33"/>
        </w:numPr>
        <w:rPr>
          <w:b/>
          <w:i/>
        </w:rPr>
      </w:pPr>
      <w:r w:rsidRPr="00215056">
        <w:rPr>
          <w:b/>
          <w:i/>
        </w:rPr>
        <w:lastRenderedPageBreak/>
        <w:t>Are the contraindicati</w:t>
      </w:r>
      <w:r>
        <w:rPr>
          <w:b/>
          <w:i/>
        </w:rPr>
        <w:t>ons specified in the proposed PI</w:t>
      </w:r>
      <w:r w:rsidRPr="00215056">
        <w:rPr>
          <w:b/>
          <w:i/>
        </w:rPr>
        <w:t xml:space="preserve"> adequate enough to exclude patient population who might be at risk with parenteral glutamine supplementation?</w:t>
      </w:r>
    </w:p>
    <w:p w14:paraId="7A02ED78" w14:textId="77777777" w:rsidR="006075B6" w:rsidRPr="00E95D7E" w:rsidRDefault="006075B6" w:rsidP="006075B6">
      <w:pPr>
        <w:pStyle w:val="Numberbullet0"/>
        <w:numPr>
          <w:ilvl w:val="0"/>
          <w:numId w:val="0"/>
        </w:numPr>
      </w:pPr>
      <w:r w:rsidRPr="00E95D7E">
        <w:t>The ACM was of the view that the contraindications proposed in the PI do not adequately exclude patient populations who might be at risk with parenteral glutamine supplementation. In particular, the ACM noted that while the PI recommends that ‘possible symptoms of hyperammonaemia should be controlled’, the PI does not suggest monitoring ammonia levels and clinical symptoms of hyperammmonaemia can overlap with other pathology. The ACM advised that as high glutamine levels lead to high ammonia levels, at a minimum the PI should be amended to exclude the use of glutamine in patients with abnormal levels. However, the ACM expressed con</w:t>
      </w:r>
      <w:r>
        <w:t xml:space="preserve">cern that there is evidence (for example </w:t>
      </w:r>
      <w:r w:rsidRPr="00E95D7E">
        <w:t>Takahashi et al</w:t>
      </w:r>
      <w:r>
        <w:t>;</w:t>
      </w:r>
      <w:r>
        <w:rPr>
          <w:rStyle w:val="FootnoteReference"/>
        </w:rPr>
        <w:footnoteReference w:id="15"/>
      </w:r>
      <w:r w:rsidRPr="00E95D7E">
        <w:t>) to suggest that high glutamine levels in themselves may lead to cerebral oedema, irrespective of serum ammonia levels, and that as a result, artificially elevating serum glutamine levels may have un</w:t>
      </w:r>
      <w:r>
        <w:t>intended negative consequences.</w:t>
      </w:r>
    </w:p>
    <w:p w14:paraId="5D5D0728" w14:textId="6EDE0CD4" w:rsidR="006075B6" w:rsidRDefault="006075B6" w:rsidP="006075B6">
      <w:pPr>
        <w:pStyle w:val="Numberbullet0"/>
        <w:numPr>
          <w:ilvl w:val="0"/>
          <w:numId w:val="33"/>
        </w:numPr>
        <w:rPr>
          <w:b/>
          <w:i/>
        </w:rPr>
      </w:pPr>
      <w:r w:rsidRPr="00215056">
        <w:rPr>
          <w:b/>
          <w:i/>
        </w:rPr>
        <w:t xml:space="preserve">Based on </w:t>
      </w:r>
      <w:r w:rsidR="00BF0F13">
        <w:rPr>
          <w:b/>
          <w:i/>
        </w:rPr>
        <w:t xml:space="preserve">the </w:t>
      </w:r>
      <w:r w:rsidRPr="00215056">
        <w:rPr>
          <w:b/>
          <w:i/>
        </w:rPr>
        <w:t>REDOX</w:t>
      </w:r>
      <w:r w:rsidR="002711A2">
        <w:rPr>
          <w:b/>
          <w:i/>
        </w:rPr>
        <w:t>S</w:t>
      </w:r>
      <w:r w:rsidRPr="00215056">
        <w:rPr>
          <w:b/>
          <w:i/>
        </w:rPr>
        <w:t xml:space="preserve"> study</w:t>
      </w:r>
      <w:r>
        <w:rPr>
          <w:b/>
          <w:i/>
        </w:rPr>
        <w:t>;</w:t>
      </w:r>
      <w:r w:rsidRPr="00AD0B1D">
        <w:rPr>
          <w:i/>
        </w:rPr>
        <w:fldChar w:fldCharType="begin"/>
      </w:r>
      <w:r w:rsidRPr="00AD0B1D">
        <w:rPr>
          <w:i/>
        </w:rPr>
        <w:instrText xml:space="preserve"> NOTEREF _Ref54601474 \f \h </w:instrText>
      </w:r>
      <w:r>
        <w:rPr>
          <w:i/>
        </w:rPr>
        <w:instrText xml:space="preserve"> \* MERGEFORMAT </w:instrText>
      </w:r>
      <w:r w:rsidRPr="00AD0B1D">
        <w:rPr>
          <w:i/>
        </w:rPr>
      </w:r>
      <w:r w:rsidRPr="00AD0B1D">
        <w:rPr>
          <w:i/>
        </w:rPr>
        <w:fldChar w:fldCharType="separate"/>
      </w:r>
      <w:r w:rsidRPr="003C7CA7">
        <w:rPr>
          <w:rStyle w:val="FootnoteReference"/>
        </w:rPr>
        <w:t>7</w:t>
      </w:r>
      <w:r w:rsidRPr="00AD0B1D">
        <w:rPr>
          <w:i/>
        </w:rPr>
        <w:fldChar w:fldCharType="end"/>
      </w:r>
      <w:r w:rsidRPr="00215056">
        <w:rPr>
          <w:b/>
          <w:i/>
        </w:rPr>
        <w:t xml:space="preserve"> findings that fatality occurred mostly in patients with multi-organ failure, the </w:t>
      </w:r>
      <w:r>
        <w:rPr>
          <w:b/>
          <w:i/>
        </w:rPr>
        <w:t>Delegate</w:t>
      </w:r>
      <w:r w:rsidRPr="00215056">
        <w:rPr>
          <w:b/>
          <w:i/>
        </w:rPr>
        <w:t xml:space="preserve"> believes it will be worthwhile to include multi-organ failure as a contraindication. </w:t>
      </w:r>
      <w:r w:rsidR="00BF0F13">
        <w:rPr>
          <w:b/>
          <w:i/>
        </w:rPr>
        <w:t xml:space="preserve">The </w:t>
      </w:r>
      <w:r w:rsidRPr="00215056">
        <w:rPr>
          <w:b/>
          <w:i/>
        </w:rPr>
        <w:t>ACM’s comments will be appreciated.</w:t>
      </w:r>
    </w:p>
    <w:p w14:paraId="1B50732F" w14:textId="175B6FC1" w:rsidR="006075B6" w:rsidRDefault="006075B6" w:rsidP="00B35372">
      <w:pPr>
        <w:pStyle w:val="Numberbullet0"/>
        <w:numPr>
          <w:ilvl w:val="0"/>
          <w:numId w:val="0"/>
        </w:numPr>
      </w:pPr>
      <w:r w:rsidRPr="00E95D7E">
        <w:t xml:space="preserve">The ACM considered the </w:t>
      </w:r>
      <w:r>
        <w:t>Delegate</w:t>
      </w:r>
      <w:r w:rsidRPr="00E95D7E">
        <w:t>’s suggestion that multi-organ failure could be included as a contraindication to parenteral glutamine use, based on outcomes of the REDOX</w:t>
      </w:r>
      <w:r w:rsidR="002711A2">
        <w:t>S</w:t>
      </w:r>
      <w:r w:rsidRPr="00E95D7E">
        <w:t xml:space="preserve"> study</w:t>
      </w:r>
      <w:r>
        <w:t>.</w:t>
      </w:r>
      <w:r>
        <w:fldChar w:fldCharType="begin"/>
      </w:r>
      <w:r>
        <w:instrText xml:space="preserve"> NOTEREF _Ref54601474 \f \h </w:instrText>
      </w:r>
      <w:r>
        <w:fldChar w:fldCharType="separate"/>
      </w:r>
      <w:r w:rsidRPr="003C7CA7">
        <w:rPr>
          <w:rStyle w:val="FootnoteReference"/>
        </w:rPr>
        <w:t>7</w:t>
      </w:r>
      <w:r>
        <w:fldChar w:fldCharType="end"/>
      </w:r>
      <w:r>
        <w:t xml:space="preserve"> While the ACM agreed with the D</w:t>
      </w:r>
      <w:r w:rsidRPr="00E95D7E">
        <w:t xml:space="preserve">elegate that glutamine should not be used in such patients, the ACM noted that this would exclude most </w:t>
      </w:r>
      <w:r>
        <w:t>patients within an ICU setting.</w:t>
      </w:r>
    </w:p>
    <w:p w14:paraId="468EADEB" w14:textId="3D9514EC" w:rsidR="00F67A66" w:rsidRPr="00F67A66" w:rsidRDefault="004C28C2" w:rsidP="004C28C2">
      <w:pPr>
        <w:pStyle w:val="Heading5"/>
      </w:pPr>
      <w:r>
        <w:t>ACM recommendation</w:t>
      </w:r>
    </w:p>
    <w:p w14:paraId="69F16F5E" w14:textId="72DBD60F"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74C1E4AF" w14:textId="77777777" w:rsidR="00E87D9D" w:rsidRPr="00E87D9D" w:rsidRDefault="00E87D9D" w:rsidP="00E87D9D">
      <w:pPr>
        <w:rPr>
          <w:bCs/>
        </w:rPr>
      </w:pPr>
      <w:r w:rsidRPr="00E87D9D">
        <w:rPr>
          <w:bCs/>
        </w:rPr>
        <w:t>The proposed indication considered by the ACM was:</w:t>
      </w:r>
    </w:p>
    <w:p w14:paraId="4D6EFD4B" w14:textId="1110EF8D" w:rsidR="00E87D9D" w:rsidRPr="00E87D9D" w:rsidRDefault="00E87D9D" w:rsidP="00E87D9D">
      <w:pPr>
        <w:ind w:firstLine="720"/>
        <w:rPr>
          <w:bCs/>
          <w:i/>
        </w:rPr>
      </w:pPr>
      <w:r w:rsidRPr="00E87D9D">
        <w:rPr>
          <w:bCs/>
          <w:i/>
        </w:rPr>
        <w:t>Proposed indication:</w:t>
      </w:r>
    </w:p>
    <w:p w14:paraId="35F7F97E" w14:textId="77777777" w:rsidR="00E87D9D" w:rsidRPr="00E87D9D" w:rsidRDefault="00E87D9D" w:rsidP="00E87D9D">
      <w:pPr>
        <w:ind w:left="720"/>
        <w:rPr>
          <w:bCs/>
          <w:i/>
        </w:rPr>
      </w:pPr>
      <w:r w:rsidRPr="00E87D9D">
        <w:rPr>
          <w:bCs/>
          <w:i/>
        </w:rPr>
        <w:t>Dipeptiven is indicated as part of a clinical nutrition regimen in patients in hypercatabolic and/or hypermetabolic states. It should be given together with parenteral nutrition.</w:t>
      </w:r>
    </w:p>
    <w:p w14:paraId="052B290C" w14:textId="77777777" w:rsidR="00E87D9D" w:rsidRPr="00E87D9D" w:rsidRDefault="00E87D9D" w:rsidP="00E87D9D">
      <w:pPr>
        <w:ind w:left="720"/>
        <w:rPr>
          <w:bCs/>
          <w:i/>
        </w:rPr>
      </w:pPr>
      <w:r w:rsidRPr="00E87D9D">
        <w:rPr>
          <w:bCs/>
          <w:i/>
        </w:rPr>
        <w:t>Delegate’s revised indication:</w:t>
      </w:r>
    </w:p>
    <w:p w14:paraId="63D275C4" w14:textId="7C07A7C8" w:rsidR="00B35372" w:rsidRPr="00E87D9D" w:rsidRDefault="00E87D9D" w:rsidP="00B35372">
      <w:pPr>
        <w:ind w:left="720"/>
      </w:pPr>
      <w:r w:rsidRPr="00E87D9D">
        <w:rPr>
          <w:bCs/>
          <w:i/>
        </w:rPr>
        <w:t>Dipeptiven is indicated as part of a clinical nutrition regimen in patients in hypercatabolic and/or hypermetabolic states with low level of basal serum glutamine. It should be given together with parenteral nutrition.</w:t>
      </w:r>
      <w:r w:rsidR="00B35372" w:rsidRPr="00E87D9D">
        <w:t xml:space="preserve"> </w:t>
      </w:r>
    </w:p>
    <w:p w14:paraId="456067D7" w14:textId="0EC0E747" w:rsidR="00B35372" w:rsidRDefault="006075B6" w:rsidP="00B35372">
      <w:r w:rsidRPr="00E87D9D">
        <w:t>The ACM agreed that D</w:t>
      </w:r>
      <w:r>
        <w:t>ipeptiven</w:t>
      </w:r>
      <w:r w:rsidRPr="00E87D9D">
        <w:t xml:space="preserve"> had an overall negative benefit-risk profile for the proposed indication as the evidence submitted did not satisfactorily establish the efficacy and safety of the product</w:t>
      </w:r>
      <w:bookmarkStart w:id="50" w:name="_Toc247691532"/>
      <w:bookmarkStart w:id="51" w:name="_Toc314842516"/>
      <w:bookmarkStart w:id="52" w:name="_Toc54965543"/>
      <w:bookmarkEnd w:id="29"/>
      <w:bookmarkEnd w:id="48"/>
      <w:bookmarkEnd w:id="49"/>
    </w:p>
    <w:p w14:paraId="13B4A1D8" w14:textId="13DA190E" w:rsidR="008E7846" w:rsidRPr="002E238E" w:rsidRDefault="008E7846" w:rsidP="008E7846">
      <w:pPr>
        <w:pStyle w:val="Heading3"/>
      </w:pPr>
      <w:r>
        <w:t>Outcome</w:t>
      </w:r>
      <w:bookmarkEnd w:id="50"/>
      <w:bookmarkEnd w:id="51"/>
      <w:bookmarkEnd w:id="52"/>
    </w:p>
    <w:p w14:paraId="216B54A8" w14:textId="3BA18187" w:rsidR="00456765" w:rsidRDefault="00456765" w:rsidP="00456765">
      <w:bookmarkStart w:id="53" w:name="_Toc247691533"/>
      <w:bookmarkStart w:id="54" w:name="_Toc314842517"/>
      <w:r>
        <w:t>T</w:t>
      </w:r>
      <w:r w:rsidRPr="00E146E3">
        <w:t xml:space="preserve">he sponsor withdrew their submission on </w:t>
      </w:r>
      <w:r w:rsidR="005D3B08">
        <w:t>16</w:t>
      </w:r>
      <w:r w:rsidR="00E95D7E">
        <w:t xml:space="preserve"> January 2020</w:t>
      </w:r>
      <w:r w:rsidRPr="00E146E3">
        <w:t xml:space="preserve"> before a decision had been made by the TGA.</w:t>
      </w:r>
    </w:p>
    <w:bookmarkEnd w:id="53"/>
    <w:bookmarkEnd w:id="54"/>
    <w:p w14:paraId="35B61F38" w14:textId="696CB5A5" w:rsidR="00E95D7E" w:rsidRDefault="008E7846" w:rsidP="00E95D7E">
      <w:pPr>
        <w:autoSpaceDE w:val="0"/>
        <w:autoSpaceDN w:val="0"/>
        <w:adjustRightInd w:val="0"/>
        <w:spacing w:after="0"/>
        <w:rPr>
          <w:lang w:eastAsia="ja-JP"/>
        </w:rPr>
      </w:pPr>
      <w:r w:rsidRPr="00C80137">
        <w:rPr>
          <w:b/>
        </w:rPr>
        <w:br w:type="page"/>
      </w:r>
    </w:p>
    <w:p w14:paraId="3269701C" w14:textId="77777777" w:rsidR="00C80137" w:rsidRPr="001D043B" w:rsidRDefault="00C80137" w:rsidP="003A7F6C">
      <w:pPr>
        <w:pStyle w:val="TableTitle"/>
        <w:sectPr w:rsidR="00C80137" w:rsidRPr="001D043B" w:rsidSect="00B452CE">
          <w:headerReference w:type="even" r:id="rId20"/>
          <w:headerReference w:type="default" r:id="rId21"/>
          <w:headerReference w:type="first" r:id="rId22"/>
          <w:footerReference w:type="first" r:id="rId2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2016D78" w14:textId="77777777" w:rsidTr="00A05FA4">
        <w:trPr>
          <w:trHeight w:hRule="exact" w:val="704"/>
        </w:trPr>
        <w:tc>
          <w:tcPr>
            <w:tcW w:w="9175" w:type="dxa"/>
          </w:tcPr>
          <w:p w14:paraId="11FEAB61" w14:textId="77777777" w:rsidR="001C32CD" w:rsidRPr="00487162" w:rsidRDefault="001C32CD" w:rsidP="00A05FA4">
            <w:pPr>
              <w:pStyle w:val="TGASignoff"/>
            </w:pPr>
            <w:r w:rsidRPr="00487162">
              <w:lastRenderedPageBreak/>
              <w:t>Therapeutic Goods Administration</w:t>
            </w:r>
          </w:p>
        </w:tc>
      </w:tr>
      <w:tr w:rsidR="001C32CD" w:rsidRPr="004C239D" w14:paraId="4AE49C98" w14:textId="77777777" w:rsidTr="00A05FA4">
        <w:trPr>
          <w:trHeight w:val="1221"/>
        </w:trPr>
        <w:tc>
          <w:tcPr>
            <w:tcW w:w="9175" w:type="dxa"/>
            <w:tcMar>
              <w:top w:w="28" w:type="dxa"/>
            </w:tcMar>
          </w:tcPr>
          <w:p w14:paraId="3BD18E81" w14:textId="77777777" w:rsidR="001C32CD" w:rsidRPr="00487162" w:rsidRDefault="001C32CD" w:rsidP="00A05FA4">
            <w:pPr>
              <w:pStyle w:val="Address"/>
            </w:pPr>
            <w:r w:rsidRPr="00487162">
              <w:t>PO Box 100 Woden ACT 2606 Australia</w:t>
            </w:r>
          </w:p>
          <w:p w14:paraId="7154B2B8" w14:textId="0F9D0029" w:rsidR="001C32CD" w:rsidRPr="00487162" w:rsidRDefault="001C32CD" w:rsidP="00A05FA4">
            <w:pPr>
              <w:pStyle w:val="Address"/>
            </w:pPr>
            <w:r w:rsidRPr="00487162">
              <w:t xml:space="preserve">Email: </w:t>
            </w:r>
            <w:hyperlink r:id="rId24" w:history="1">
              <w:r w:rsidRPr="004C239D">
                <w:rPr>
                  <w:rStyle w:val="Hyperlink"/>
                </w:rPr>
                <w:t>info@tga.gov.au</w:t>
              </w:r>
            </w:hyperlink>
            <w:r w:rsidRPr="00487162">
              <w:t xml:space="preserve">  Phone: 1800 020 653  Fax: 02 6232 8605</w:t>
            </w:r>
          </w:p>
          <w:p w14:paraId="59591E19" w14:textId="151BE410" w:rsidR="001C32CD" w:rsidRPr="004C239D" w:rsidRDefault="008650BB" w:rsidP="00A05FA4">
            <w:pPr>
              <w:pStyle w:val="Address"/>
              <w:spacing w:line="260" w:lineRule="atLeast"/>
              <w:rPr>
                <w:b/>
                <w:color w:val="0000FF"/>
                <w:u w:val="single"/>
              </w:rPr>
            </w:pPr>
            <w:hyperlink r:id="rId25" w:history="1">
              <w:r w:rsidR="007C6B9B" w:rsidRPr="007C6B9B">
                <w:rPr>
                  <w:rStyle w:val="Hyperlink"/>
                  <w:b/>
                </w:rPr>
                <w:t>https://www.tga.gov.au</w:t>
              </w:r>
            </w:hyperlink>
          </w:p>
        </w:tc>
      </w:tr>
    </w:tbl>
    <w:p w14:paraId="3F584232" w14:textId="77777777" w:rsidR="00774E1D" w:rsidRPr="008A5E0B" w:rsidRDefault="00774E1D" w:rsidP="004C239D"/>
    <w:sectPr w:rsidR="00774E1D" w:rsidRPr="008A5E0B" w:rsidSect="001C32CD">
      <w:headerReference w:type="even" r:id="rId26"/>
      <w:headerReference w:type="default" r:id="rId27"/>
      <w:footerReference w:type="default" r:id="rId28"/>
      <w:headerReference w:type="first" r:id="rId29"/>
      <w:footerReference w:type="first" r:id="rId30"/>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E4F20C" w16cid:durableId="234BBBF2"/>
  <w16cid:commentId w16cid:paraId="6D4FE08F" w16cid:durableId="2368E0B9"/>
  <w16cid:commentId w16cid:paraId="41580FE9" w16cid:durableId="234C127F"/>
  <w16cid:commentId w16cid:paraId="52013B85" w16cid:durableId="2368E0BB"/>
  <w16cid:commentId w16cid:paraId="39EFFDD4" w16cid:durableId="2368E0BC"/>
  <w16cid:commentId w16cid:paraId="297A8D60" w16cid:durableId="2368E0BD"/>
  <w16cid:commentId w16cid:paraId="2707B261" w16cid:durableId="2353D54F"/>
  <w16cid:commentId w16cid:paraId="0385820E" w16cid:durableId="2368E0BF"/>
  <w16cid:commentId w16cid:paraId="69108B81" w16cid:durableId="2368E0E2"/>
  <w16cid:commentId w16cid:paraId="2F329B23" w16cid:durableId="2353D3A5"/>
  <w16cid:commentId w16cid:paraId="3A9FFC0E" w16cid:durableId="2368E0C1"/>
  <w16cid:commentId w16cid:paraId="0B1BC381" w16cid:durableId="2368E1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FB6C4" w14:textId="77777777" w:rsidR="0067586B" w:rsidRDefault="0067586B" w:rsidP="00C40A36">
      <w:pPr>
        <w:spacing w:after="0"/>
      </w:pPr>
      <w:r>
        <w:separator/>
      </w:r>
    </w:p>
  </w:endnote>
  <w:endnote w:type="continuationSeparator" w:id="0">
    <w:p w14:paraId="7E2FBA8E" w14:textId="77777777" w:rsidR="0067586B" w:rsidRDefault="0067586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7586B" w:rsidRPr="00487162" w14:paraId="04068201" w14:textId="77777777" w:rsidTr="00DB750B">
      <w:trPr>
        <w:trHeight w:val="269"/>
      </w:trPr>
      <w:tc>
        <w:tcPr>
          <w:tcW w:w="7371" w:type="dxa"/>
          <w:tcMar>
            <w:top w:w="142" w:type="dxa"/>
            <w:bottom w:w="0" w:type="dxa"/>
          </w:tcMar>
        </w:tcPr>
        <w:p w14:paraId="3B2BACE5" w14:textId="7A50F23B" w:rsidR="0067586B" w:rsidRPr="00487162" w:rsidRDefault="0067586B" w:rsidP="003A3446">
          <w:pPr>
            <w:pStyle w:val="Footer"/>
          </w:pPr>
          <w:r w:rsidRPr="00487162">
            <w:t>AusPA</w:t>
          </w:r>
          <w:r>
            <w:t>R - Dipeptiven – alanylglutamine</w:t>
          </w:r>
          <w:r w:rsidRPr="00460036">
            <w:t xml:space="preserve"> </w:t>
          </w:r>
          <w:r>
            <w:t>– Fresenius Kabi Australia Pty Ltd PM-2018-04790-1-1</w:t>
          </w:r>
          <w:r>
            <w:br/>
          </w:r>
          <w:r w:rsidR="003A3446">
            <w:t>FINAL</w:t>
          </w:r>
          <w:r w:rsidRPr="00487162">
            <w:t xml:space="preserve"> </w:t>
          </w:r>
          <w:r>
            <w:t>2</w:t>
          </w:r>
          <w:r w:rsidR="003A3446">
            <w:t xml:space="preserve"> December</w:t>
          </w:r>
          <w:r>
            <w:t xml:space="preserve"> 2020</w:t>
          </w:r>
        </w:p>
      </w:tc>
      <w:tc>
        <w:tcPr>
          <w:tcW w:w="1490" w:type="dxa"/>
          <w:tcMar>
            <w:top w:w="142" w:type="dxa"/>
            <w:bottom w:w="0" w:type="dxa"/>
          </w:tcMar>
        </w:tcPr>
        <w:p w14:paraId="1594AEE7" w14:textId="6E5EB568" w:rsidR="0067586B" w:rsidRPr="00487162" w:rsidRDefault="0067586B" w:rsidP="00DB750B">
          <w:pPr>
            <w:pStyle w:val="Footer"/>
            <w:jc w:val="right"/>
          </w:pPr>
          <w:r w:rsidRPr="00487162">
            <w:t xml:space="preserve">Page </w:t>
          </w:r>
          <w:r>
            <w:fldChar w:fldCharType="begin"/>
          </w:r>
          <w:r>
            <w:instrText xml:space="preserve"> PAGE  \* Arabic </w:instrText>
          </w:r>
          <w:r>
            <w:fldChar w:fldCharType="separate"/>
          </w:r>
          <w:r w:rsidR="008650BB">
            <w:rPr>
              <w:noProof/>
            </w:rPr>
            <w:t>2</w:t>
          </w:r>
          <w:r>
            <w:fldChar w:fldCharType="end"/>
          </w:r>
          <w:r w:rsidRPr="00487162">
            <w:t xml:space="preserve"> of </w:t>
          </w:r>
          <w:fldSimple w:instr=" NUMPAGES  \* Arabic ">
            <w:r w:rsidR="008650BB">
              <w:rPr>
                <w:noProof/>
              </w:rPr>
              <w:t>26</w:t>
            </w:r>
          </w:fldSimple>
        </w:p>
      </w:tc>
    </w:tr>
  </w:tbl>
  <w:p w14:paraId="08B608AE" w14:textId="77777777" w:rsidR="0067586B" w:rsidRDefault="0067586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7586B" w:rsidRPr="00487162" w14:paraId="5BB5FC96" w14:textId="77777777" w:rsidTr="00E45619">
      <w:trPr>
        <w:trHeight w:val="269"/>
      </w:trPr>
      <w:tc>
        <w:tcPr>
          <w:tcW w:w="4519" w:type="dxa"/>
          <w:tcBorders>
            <w:top w:val="single" w:sz="4" w:space="0" w:color="auto"/>
          </w:tcBorders>
          <w:tcMar>
            <w:top w:w="142" w:type="dxa"/>
            <w:bottom w:w="0" w:type="dxa"/>
          </w:tcMar>
        </w:tcPr>
        <w:p w14:paraId="05E5B8F8" w14:textId="77777777" w:rsidR="0067586B" w:rsidRPr="00487162" w:rsidRDefault="0067586B" w:rsidP="00FE1DEE">
          <w:pPr>
            <w:pStyle w:val="Footer"/>
          </w:pPr>
          <w:r w:rsidRPr="00487162">
            <w:t>Document title, Part #, Section # - Section title</w:t>
          </w:r>
        </w:p>
        <w:p w14:paraId="58F5BDBC" w14:textId="77777777" w:rsidR="0067586B" w:rsidRPr="00487162" w:rsidRDefault="0067586B" w:rsidP="00FE1DEE">
          <w:pPr>
            <w:pStyle w:val="Footer"/>
          </w:pPr>
          <w:r w:rsidRPr="00487162">
            <w:t>V1.0 October 2010</w:t>
          </w:r>
        </w:p>
      </w:tc>
      <w:tc>
        <w:tcPr>
          <w:tcW w:w="4342" w:type="dxa"/>
          <w:tcBorders>
            <w:top w:val="single" w:sz="4" w:space="0" w:color="auto"/>
          </w:tcBorders>
          <w:tcMar>
            <w:top w:w="142" w:type="dxa"/>
            <w:bottom w:w="0" w:type="dxa"/>
          </w:tcMar>
        </w:tcPr>
        <w:p w14:paraId="667CC59D" w14:textId="77777777" w:rsidR="0067586B" w:rsidRPr="00487162" w:rsidRDefault="0067586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6FA7FD8D" w14:textId="77777777" w:rsidR="0067586B" w:rsidRDefault="00675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9091" w14:textId="77777777" w:rsidR="0067586B" w:rsidRPr="001C32CD" w:rsidRDefault="0067586B"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7586B" w14:paraId="467B1EBF" w14:textId="77777777" w:rsidTr="0010601F">
      <w:trPr>
        <w:trHeight w:val="108"/>
      </w:trPr>
      <w:tc>
        <w:tcPr>
          <w:tcW w:w="8875" w:type="dxa"/>
          <w:gridSpan w:val="2"/>
          <w:tcBorders>
            <w:bottom w:val="single" w:sz="4" w:space="0" w:color="auto"/>
          </w:tcBorders>
          <w:tcMar>
            <w:right w:w="284" w:type="dxa"/>
          </w:tcMar>
        </w:tcPr>
        <w:p w14:paraId="716A641B" w14:textId="77777777" w:rsidR="0067586B" w:rsidRDefault="0067586B" w:rsidP="006E08B3">
          <w:pPr>
            <w:pStyle w:val="Heading3"/>
          </w:pPr>
          <w:r>
            <w:t>Copyright</w:t>
          </w:r>
        </w:p>
        <w:p w14:paraId="198F4C4F" w14:textId="77777777" w:rsidR="0067586B" w:rsidRDefault="0067586B" w:rsidP="006E08B3">
          <w:r>
            <w:rPr>
              <w:rFonts w:cs="Arial"/>
            </w:rPr>
            <w:t>©</w:t>
          </w:r>
          <w:r>
            <w:t xml:space="preserve"> Commonwealth of Australia [add year]</w:t>
          </w:r>
        </w:p>
        <w:p w14:paraId="296F26C7" w14:textId="77777777" w:rsidR="0067586B" w:rsidRDefault="0067586B" w:rsidP="006E08B3"/>
        <w:p w14:paraId="282F5CFD" w14:textId="77777777" w:rsidR="0067586B" w:rsidRDefault="0067586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C0F0E55" w14:textId="77777777" w:rsidR="0067586B" w:rsidRDefault="0067586B" w:rsidP="006E08B3"/>
        <w:p w14:paraId="28A5A41A" w14:textId="77777777" w:rsidR="0067586B" w:rsidRDefault="0067586B" w:rsidP="006E08B3">
          <w:pPr>
            <w:pStyle w:val="Heading3"/>
          </w:pPr>
          <w:r>
            <w:t>Confidentiality</w:t>
          </w:r>
        </w:p>
        <w:p w14:paraId="75954F63" w14:textId="77777777" w:rsidR="0067586B" w:rsidRDefault="0067586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C136FEA" w14:textId="77777777" w:rsidR="0067586B" w:rsidRDefault="0067586B" w:rsidP="006E08B3"/>
        <w:p w14:paraId="10B95407" w14:textId="77777777" w:rsidR="0067586B" w:rsidRDefault="0067586B" w:rsidP="006E08B3">
          <w:r>
            <w:t>For submission made by individuals, all personal details, other than your name, will be removed from your submission before it is published on the TGA’s Internet site.</w:t>
          </w:r>
        </w:p>
        <w:p w14:paraId="30D9594D" w14:textId="77777777" w:rsidR="0067586B" w:rsidRDefault="0067586B" w:rsidP="006E08B3"/>
        <w:p w14:paraId="1D43A0C3" w14:textId="77777777" w:rsidR="0067586B" w:rsidRDefault="0067586B" w:rsidP="006E08B3">
          <w:r>
            <w:t>In addition, a list of parties making submissions will be published. If you do not wish to be identified with your submission you must specifically request this in the space provided ib the submission coversheet.</w:t>
          </w:r>
        </w:p>
      </w:tc>
    </w:tr>
    <w:tr w:rsidR="0067586B" w14:paraId="55EFC878" w14:textId="77777777" w:rsidTr="0010601F">
      <w:trPr>
        <w:trHeight w:val="417"/>
      </w:trPr>
      <w:tc>
        <w:tcPr>
          <w:tcW w:w="4519" w:type="dxa"/>
          <w:tcBorders>
            <w:top w:val="single" w:sz="4" w:space="0" w:color="auto"/>
          </w:tcBorders>
          <w:tcMar>
            <w:top w:w="142" w:type="dxa"/>
            <w:bottom w:w="0" w:type="dxa"/>
          </w:tcMar>
        </w:tcPr>
        <w:p w14:paraId="7C577148" w14:textId="77777777" w:rsidR="0067586B" w:rsidRDefault="0067586B" w:rsidP="006E08B3">
          <w:r>
            <w:t>Document title, Part #, Section # - Section title</w:t>
          </w:r>
        </w:p>
        <w:p w14:paraId="41A1C693" w14:textId="77777777" w:rsidR="0067586B" w:rsidRDefault="0067586B" w:rsidP="006E08B3">
          <w:r>
            <w:t>V1.0 October 2010</w:t>
          </w:r>
        </w:p>
      </w:tc>
      <w:tc>
        <w:tcPr>
          <w:tcW w:w="4356" w:type="dxa"/>
          <w:tcBorders>
            <w:top w:val="single" w:sz="4" w:space="0" w:color="auto"/>
          </w:tcBorders>
          <w:tcMar>
            <w:top w:w="142" w:type="dxa"/>
            <w:bottom w:w="0" w:type="dxa"/>
          </w:tcMar>
        </w:tcPr>
        <w:p w14:paraId="764BD322" w14:textId="77777777" w:rsidR="0067586B" w:rsidRDefault="0067586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6AEA8D04" w14:textId="77777777" w:rsidR="0067586B" w:rsidRDefault="0067586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E19EB" w14:textId="77777777" w:rsidR="0067586B" w:rsidRDefault="0067586B" w:rsidP="00C40A36">
      <w:pPr>
        <w:spacing w:after="0"/>
      </w:pPr>
      <w:r>
        <w:separator/>
      </w:r>
    </w:p>
  </w:footnote>
  <w:footnote w:type="continuationSeparator" w:id="0">
    <w:p w14:paraId="529AEE2E" w14:textId="77777777" w:rsidR="0067586B" w:rsidRDefault="0067586B" w:rsidP="00C40A36">
      <w:pPr>
        <w:spacing w:after="0"/>
      </w:pPr>
      <w:r>
        <w:continuationSeparator/>
      </w:r>
    </w:p>
  </w:footnote>
  <w:footnote w:id="1">
    <w:p w14:paraId="07EABE55" w14:textId="77777777" w:rsidR="0067586B" w:rsidRDefault="0067586B">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802570A" w14:textId="5CE84BB3" w:rsidR="0067586B" w:rsidRDefault="0067586B">
      <w:pPr>
        <w:pStyle w:val="FootnoteText"/>
      </w:pPr>
      <w:r>
        <w:rPr>
          <w:rStyle w:val="FootnoteReference"/>
        </w:rPr>
        <w:footnoteRef/>
      </w:r>
      <w:r>
        <w:t xml:space="preserve"> </w:t>
      </w:r>
      <w:r w:rsidRPr="00F27309">
        <w:t>The D-xylose absorption test measures the level of D-xylose, a type of sugar, in a blood or urine sample.</w:t>
      </w:r>
    </w:p>
  </w:footnote>
  <w:footnote w:id="3">
    <w:p w14:paraId="05924499" w14:textId="66A8392F" w:rsidR="0067586B" w:rsidRDefault="0067586B">
      <w:pPr>
        <w:pStyle w:val="FootnoteText"/>
      </w:pPr>
      <w:r>
        <w:rPr>
          <w:rStyle w:val="FootnoteReference"/>
        </w:rPr>
        <w:footnoteRef/>
      </w:r>
      <w:r>
        <w:t xml:space="preserve"> </w:t>
      </w:r>
      <w:r w:rsidRPr="00551CD6">
        <w:t xml:space="preserve">The </w:t>
      </w:r>
      <w:r w:rsidRPr="00B35372">
        <w:rPr>
          <w:b/>
        </w:rPr>
        <w:t>Therapeutic Intervention Scoring System</w:t>
      </w:r>
      <w:r w:rsidRPr="00551CD6">
        <w:t xml:space="preserve"> (</w:t>
      </w:r>
      <w:r w:rsidRPr="00B35372">
        <w:rPr>
          <w:b/>
        </w:rPr>
        <w:t>TISS</w:t>
      </w:r>
      <w:r w:rsidRPr="00551CD6">
        <w:t>) quantifies type and number of intensive care treatments. This system, therefore, indicates the work load of intensive care and may be used for calculating costs in the ICU.</w:t>
      </w:r>
    </w:p>
  </w:footnote>
  <w:footnote w:id="4">
    <w:p w14:paraId="62663A5F" w14:textId="46D75DB5" w:rsidR="0067586B" w:rsidRDefault="0067586B">
      <w:pPr>
        <w:pStyle w:val="FootnoteText"/>
      </w:pPr>
      <w:r>
        <w:rPr>
          <w:rStyle w:val="FootnoteReference"/>
        </w:rPr>
        <w:footnoteRef/>
      </w:r>
      <w:r>
        <w:t xml:space="preserve"> </w:t>
      </w:r>
      <w:r w:rsidRPr="00B35372">
        <w:rPr>
          <w:b/>
        </w:rPr>
        <w:t>APACHE II</w:t>
      </w:r>
      <w:r w:rsidRPr="00D84CAA">
        <w:t xml:space="preserve"> is a severity-of-disease classifica</w:t>
      </w:r>
      <w:r>
        <w:t xml:space="preserve">tion system. </w:t>
      </w:r>
      <w:r w:rsidRPr="00D84CAA">
        <w:t>It is applied within 24 hours of admission of a pat</w:t>
      </w:r>
      <w:r>
        <w:t>ient to an ICU</w:t>
      </w:r>
      <w:r w:rsidRPr="00D84CAA">
        <w:t>: an integer score from 0 to 71 is computed based on several measurements; higher scores correspond to more severe disease and a higher risk of death.</w:t>
      </w:r>
    </w:p>
  </w:footnote>
  <w:footnote w:id="5">
    <w:p w14:paraId="714FA713" w14:textId="6938C0D9" w:rsidR="0067586B" w:rsidRDefault="0067586B" w:rsidP="00D84CAA">
      <w:pPr>
        <w:pStyle w:val="FootnoteText"/>
      </w:pPr>
      <w:r>
        <w:rPr>
          <w:rStyle w:val="FootnoteReference"/>
        </w:rPr>
        <w:footnoteRef/>
      </w:r>
      <w:r>
        <w:t xml:space="preserve"> The </w:t>
      </w:r>
      <w:r w:rsidRPr="00B35372">
        <w:rPr>
          <w:b/>
        </w:rPr>
        <w:t>Simplified Acute Physiology Score II</w:t>
      </w:r>
      <w:r>
        <w:t xml:space="preserve"> (</w:t>
      </w:r>
      <w:r w:rsidRPr="00B35372">
        <w:rPr>
          <w:b/>
        </w:rPr>
        <w:t>SAPS II</w:t>
      </w:r>
      <w:r>
        <w:t>) was designed to measure the severity of disease for patients admitted to intensive care units aged 15 or more. 24 hours after admission to ICU, the measurement has been completed and resulted in an integer point score between 0 and 163 and a predicted mortality between 0% and 100%.</w:t>
      </w:r>
    </w:p>
  </w:footnote>
  <w:footnote w:id="6">
    <w:p w14:paraId="7E212B4F" w14:textId="489896F3" w:rsidR="0067586B" w:rsidRDefault="0067586B">
      <w:pPr>
        <w:pStyle w:val="FootnoteText"/>
      </w:pPr>
      <w:r>
        <w:rPr>
          <w:rStyle w:val="FootnoteReference"/>
        </w:rPr>
        <w:footnoteRef/>
      </w:r>
      <w:r>
        <w:t xml:space="preserve"> The </w:t>
      </w:r>
      <w:r w:rsidRPr="00B35372">
        <w:rPr>
          <w:b/>
        </w:rPr>
        <w:t>injury severity score</w:t>
      </w:r>
      <w:r w:rsidRPr="00D84CAA">
        <w:t xml:space="preserve"> </w:t>
      </w:r>
      <w:r>
        <w:t>(</w:t>
      </w:r>
      <w:r w:rsidRPr="00B35372">
        <w:rPr>
          <w:b/>
        </w:rPr>
        <w:t>ISS</w:t>
      </w:r>
      <w:r>
        <w:t xml:space="preserve">) </w:t>
      </w:r>
      <w:r w:rsidRPr="00D84CAA">
        <w:t>assesses the combined effects of the multiply-injured patients and is based on an anatomical injur</w:t>
      </w:r>
      <w:r>
        <w:t>y severity (AIS) classification, the abbreviated injury scale</w:t>
      </w:r>
      <w:r w:rsidRPr="00D84CAA">
        <w:t xml:space="preserve">. </w:t>
      </w:r>
      <w:r>
        <w:t>ISS</w:t>
      </w:r>
      <w:r w:rsidRPr="00D84CAA">
        <w:t xml:space="preserve"> range</w:t>
      </w:r>
      <w:r>
        <w:t>s</w:t>
      </w:r>
      <w:r w:rsidRPr="00D84CAA">
        <w:t xml:space="preserve"> from 1 to 75. If an </w:t>
      </w:r>
      <w:r>
        <w:t>injury is assigned an AIS of 6</w:t>
      </w:r>
      <w:r w:rsidRPr="00D84CAA">
        <w:t>, the ISS score is automatically assigned 75.</w:t>
      </w:r>
    </w:p>
  </w:footnote>
  <w:footnote w:id="7">
    <w:p w14:paraId="72991867" w14:textId="060CF04C" w:rsidR="0067586B" w:rsidRDefault="0067586B">
      <w:pPr>
        <w:pStyle w:val="FootnoteText"/>
      </w:pPr>
      <w:r>
        <w:rPr>
          <w:rStyle w:val="FootnoteReference"/>
        </w:rPr>
        <w:footnoteRef/>
      </w:r>
      <w:r>
        <w:t xml:space="preserve"> Heyland, Daren K et al. </w:t>
      </w:r>
      <w:r w:rsidRPr="00AF586F">
        <w:t>REducing Deaths due to OXidative Stress (The REDOXS Study): Rationale and study design for a randomized trial of glutamine and antioxidant supplementat</w:t>
      </w:r>
      <w:r>
        <w:t>ion in critically-ill patients.</w:t>
      </w:r>
      <w:r w:rsidRPr="00AF586F">
        <w:t xml:space="preserve"> </w:t>
      </w:r>
      <w:r w:rsidRPr="00AF586F">
        <w:rPr>
          <w:i/>
        </w:rPr>
        <w:t>The Proceedings of the Nutrition Society</w:t>
      </w:r>
      <w:r w:rsidRPr="00AF586F">
        <w:t xml:space="preserve"> vol. 65,3 (2006): 250-63.</w:t>
      </w:r>
    </w:p>
  </w:footnote>
  <w:footnote w:id="8">
    <w:p w14:paraId="7F39574D" w14:textId="6B7533BD" w:rsidR="0067586B" w:rsidRDefault="0067586B">
      <w:pPr>
        <w:pStyle w:val="FootnoteText"/>
      </w:pPr>
      <w:r>
        <w:rPr>
          <w:rStyle w:val="FootnoteReference"/>
        </w:rPr>
        <w:footnoteRef/>
      </w:r>
      <w:r>
        <w:t xml:space="preserve"> Sykorova, A et al. </w:t>
      </w:r>
      <w:r w:rsidRPr="0063501F">
        <w:t>A randomized, double blind comparative study of prophylactic parenteral nutritional support with or without glutamine in autologous stem cell transplantation for hematological malignan</w:t>
      </w:r>
      <w:r>
        <w:t>cies -- three years' follow-up.</w:t>
      </w:r>
      <w:r w:rsidRPr="0063501F">
        <w:t xml:space="preserve"> Neoplasma vol. 52,6 (2005): 476-82.</w:t>
      </w:r>
    </w:p>
  </w:footnote>
  <w:footnote w:id="9">
    <w:p w14:paraId="4D70669B" w14:textId="5F761B1A" w:rsidR="0067586B" w:rsidRDefault="0067586B">
      <w:pPr>
        <w:pStyle w:val="FootnoteText"/>
      </w:pPr>
      <w:r>
        <w:rPr>
          <w:rStyle w:val="FootnoteReference"/>
        </w:rPr>
        <w:footnoteRef/>
      </w:r>
      <w:r>
        <w:t xml:space="preserve"> Information extract from cochrance.org.</w:t>
      </w:r>
    </w:p>
  </w:footnote>
  <w:footnote w:id="10">
    <w:p w14:paraId="0A3153F8" w14:textId="77777777" w:rsidR="0067586B" w:rsidRDefault="0067586B">
      <w:pPr>
        <w:pStyle w:val="FootnoteText"/>
      </w:pPr>
      <w:r>
        <w:rPr>
          <w:rStyle w:val="FootnoteReference"/>
        </w:rPr>
        <w:footnoteRef/>
      </w:r>
      <w:r>
        <w:t xml:space="preserve"> </w:t>
      </w:r>
      <w:r w:rsidRPr="007D53B6">
        <w:t>The sponsor must still comply with routine product vigilance and risk minimisation requirements.</w:t>
      </w:r>
    </w:p>
  </w:footnote>
  <w:footnote w:id="11">
    <w:p w14:paraId="692DBF0E" w14:textId="1513BC66" w:rsidR="0067586B" w:rsidRDefault="0067586B">
      <w:pPr>
        <w:pStyle w:val="FootnoteText"/>
      </w:pPr>
      <w:r>
        <w:rPr>
          <w:rStyle w:val="FootnoteReference"/>
        </w:rPr>
        <w:footnoteRef/>
      </w:r>
      <w:r>
        <w:t xml:space="preserve"> Andrews, Peter J D et al. </w:t>
      </w:r>
      <w:r w:rsidRPr="009C4180">
        <w:t>Randomised trial of glutamine, selenium, or both, to supplement parenteral nutriti</w:t>
      </w:r>
      <w:r>
        <w:t>on for critically ill patients.</w:t>
      </w:r>
      <w:r w:rsidRPr="009C4180">
        <w:t xml:space="preserve"> BMJ (Clinical research ed.) vol. 342 d1542. 17 Mar. 2011, doi:10.1136/bmj.d1542</w:t>
      </w:r>
    </w:p>
  </w:footnote>
  <w:footnote w:id="12">
    <w:p w14:paraId="4C4F12DD" w14:textId="7F7CA012" w:rsidR="0067586B" w:rsidRDefault="0067586B">
      <w:pPr>
        <w:pStyle w:val="FootnoteText"/>
      </w:pPr>
      <w:r>
        <w:rPr>
          <w:rStyle w:val="FootnoteReference"/>
        </w:rPr>
        <w:footnoteRef/>
      </w:r>
      <w:r>
        <w:t xml:space="preserve"> </w:t>
      </w:r>
      <w:r w:rsidRPr="00EB167B">
        <w:t xml:space="preserve">Oudemans-van Straaten, H.M., et al., Plasma glutamine depletion and patient outcome in acute ICU admissions. </w:t>
      </w:r>
      <w:r w:rsidRPr="00EB167B">
        <w:rPr>
          <w:i/>
        </w:rPr>
        <w:t>Intensive Care Med</w:t>
      </w:r>
      <w:r w:rsidRPr="00EB167B">
        <w:t>, 2001. 27(1): p. 84-90.</w:t>
      </w:r>
    </w:p>
  </w:footnote>
  <w:footnote w:id="13">
    <w:p w14:paraId="1BFF5052" w14:textId="3485AE5E" w:rsidR="0067586B" w:rsidRDefault="0067586B">
      <w:pPr>
        <w:pStyle w:val="FootnoteText"/>
      </w:pPr>
      <w:r>
        <w:rPr>
          <w:rStyle w:val="FootnoteReference"/>
        </w:rPr>
        <w:footnoteRef/>
      </w:r>
      <w:r>
        <w:t xml:space="preserve"> </w:t>
      </w:r>
      <w:r w:rsidRPr="00EB167B">
        <w:t xml:space="preserve">Rodas, P.C., et al., Glutamine and glutathione at ICU admission in relation to outcome. </w:t>
      </w:r>
      <w:r w:rsidRPr="00EB167B">
        <w:rPr>
          <w:i/>
        </w:rPr>
        <w:t>Clin Sci (Lond)</w:t>
      </w:r>
      <w:r>
        <w:t>, 2012. 122(12): p. 591-7.</w:t>
      </w:r>
    </w:p>
  </w:footnote>
  <w:footnote w:id="14">
    <w:p w14:paraId="766C14D0" w14:textId="77777777" w:rsidR="0067586B" w:rsidRDefault="0067586B" w:rsidP="006075B6">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B676893" w14:textId="77777777" w:rsidR="0067586B" w:rsidRPr="00456765" w:rsidRDefault="0067586B" w:rsidP="006075B6">
      <w:pPr>
        <w:pStyle w:val="FootnoteText"/>
        <w:rPr>
          <w:lang w:val="en-US"/>
        </w:rPr>
      </w:pPr>
      <w:r>
        <w:t xml:space="preserve">The Committee is established under Regulation 35 of the </w:t>
      </w:r>
      <w:r w:rsidRPr="00A03D11">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15">
    <w:p w14:paraId="3923905E" w14:textId="77777777" w:rsidR="0067586B" w:rsidRDefault="0067586B" w:rsidP="006075B6">
      <w:pPr>
        <w:pStyle w:val="FootnoteText"/>
      </w:pPr>
      <w:r>
        <w:rPr>
          <w:rStyle w:val="FootnoteReference"/>
        </w:rPr>
        <w:footnoteRef/>
      </w:r>
      <w:r>
        <w:t xml:space="preserve"> T</w:t>
      </w:r>
      <w:r w:rsidRPr="00AD0B1D">
        <w:t>akahashi H</w:t>
      </w:r>
      <w:r>
        <w:t xml:space="preserve"> et al.,</w:t>
      </w:r>
      <w:r w:rsidRPr="00AD0B1D">
        <w:t xml:space="preserve"> Glutamine Synthetase Inhibition Prevents Cerebral Oedema During</w:t>
      </w:r>
      <w:r>
        <w:t xml:space="preserve"> Hyperammonemia. In: Reulen HJ et al.,</w:t>
      </w:r>
      <w:r w:rsidRPr="00AD0B1D">
        <w:t xml:space="preserve"> </w:t>
      </w:r>
      <w:r w:rsidRPr="00AD0B1D">
        <w:rPr>
          <w:i/>
        </w:rPr>
        <w:t>Brain Edema VIII. Acta Neurochirurgica</w:t>
      </w:r>
      <w:r>
        <w:t>, 1990 (51) Springer, Vienna.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6A73" w14:textId="77777777" w:rsidR="0067586B" w:rsidRDefault="0067586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39F9" w14:textId="77777777" w:rsidR="0067586B" w:rsidRDefault="0067586B">
    <w:pPr>
      <w:rPr>
        <w:noProof/>
        <w:lang w:eastAsia="en-AU"/>
      </w:rPr>
    </w:pPr>
    <w:r w:rsidRPr="00347824">
      <w:rPr>
        <w:noProof/>
        <w:lang w:eastAsia="en-AU"/>
      </w:rPr>
      <w:drawing>
        <wp:anchor distT="0" distB="0" distL="114300" distR="114300" simplePos="0" relativeHeight="251658240" behindDoc="1" locked="0" layoutInCell="1" allowOverlap="1" wp14:anchorId="715CC669" wp14:editId="0F3491D9">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405E896" w14:textId="77777777" w:rsidR="0067586B" w:rsidRDefault="0067586B" w:rsidP="00593AD1">
    <w:pPr>
      <w:pStyle w:val="HeaderNoLine"/>
    </w:pPr>
    <w:r>
      <w:rPr>
        <w:noProof/>
        <w:lang w:eastAsia="en-AU"/>
      </w:rPr>
      <w:drawing>
        <wp:inline distT="0" distB="0" distL="0" distR="0" wp14:anchorId="6ECBF44A" wp14:editId="2167BF82">
          <wp:extent cx="5400675" cy="7639050"/>
          <wp:effectExtent l="0" t="0" r="9525" b="0"/>
          <wp:docPr id="14" name="Picture 1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E25DD" w14:textId="77777777" w:rsidR="0067586B" w:rsidRDefault="006758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D1B3" w14:textId="77777777" w:rsidR="0067586B" w:rsidRDefault="0067586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2ECCE" w14:textId="77777777" w:rsidR="0067586B" w:rsidRDefault="0067586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2C1F8" w14:textId="77777777" w:rsidR="0067586B" w:rsidRDefault="006758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C127" w14:textId="77777777" w:rsidR="0067586B" w:rsidRDefault="0067586B"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B55C6" w14:textId="77777777" w:rsidR="0067586B" w:rsidRDefault="0067586B" w:rsidP="006E08B3">
    <w:r>
      <w:t>Therapeutic Goods Administration</w:t>
    </w:r>
  </w:p>
  <w:p w14:paraId="62565D7A" w14:textId="77777777" w:rsidR="0067586B" w:rsidRDefault="0067586B"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47A883C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1"/>
  </w:num>
  <w:num w:numId="29">
    <w:abstractNumId w:val="6"/>
  </w:num>
  <w:num w:numId="30">
    <w:abstractNumId w:val="8"/>
  </w:num>
  <w:num w:numId="31">
    <w:abstractNumId w:val="4"/>
  </w:num>
  <w:num w:numId="32">
    <w:abstractNumId w:val="1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035"/>
    <w:rsid w:val="00000150"/>
    <w:rsid w:val="00002031"/>
    <w:rsid w:val="00004734"/>
    <w:rsid w:val="00005F8A"/>
    <w:rsid w:val="00006B22"/>
    <w:rsid w:val="00006FAB"/>
    <w:rsid w:val="00010D94"/>
    <w:rsid w:val="0001276A"/>
    <w:rsid w:val="000246AE"/>
    <w:rsid w:val="00025C67"/>
    <w:rsid w:val="00044772"/>
    <w:rsid w:val="0004541C"/>
    <w:rsid w:val="0005559E"/>
    <w:rsid w:val="000604D6"/>
    <w:rsid w:val="000703F2"/>
    <w:rsid w:val="00072035"/>
    <w:rsid w:val="000734D8"/>
    <w:rsid w:val="00077775"/>
    <w:rsid w:val="00082BEE"/>
    <w:rsid w:val="00090471"/>
    <w:rsid w:val="00096AA7"/>
    <w:rsid w:val="000A3AED"/>
    <w:rsid w:val="000B3532"/>
    <w:rsid w:val="000B3A75"/>
    <w:rsid w:val="000C00C2"/>
    <w:rsid w:val="000C37DA"/>
    <w:rsid w:val="000C690F"/>
    <w:rsid w:val="000D1295"/>
    <w:rsid w:val="000D391B"/>
    <w:rsid w:val="000D3D6D"/>
    <w:rsid w:val="000D4C74"/>
    <w:rsid w:val="000D4FC7"/>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344AF"/>
    <w:rsid w:val="00136D28"/>
    <w:rsid w:val="0014197B"/>
    <w:rsid w:val="001447CD"/>
    <w:rsid w:val="00147224"/>
    <w:rsid w:val="001516B1"/>
    <w:rsid w:val="00154EBB"/>
    <w:rsid w:val="00156316"/>
    <w:rsid w:val="00161181"/>
    <w:rsid w:val="00162D14"/>
    <w:rsid w:val="00163780"/>
    <w:rsid w:val="00165389"/>
    <w:rsid w:val="0017006B"/>
    <w:rsid w:val="0017693F"/>
    <w:rsid w:val="0018110E"/>
    <w:rsid w:val="00181684"/>
    <w:rsid w:val="001843C6"/>
    <w:rsid w:val="001850E0"/>
    <w:rsid w:val="001908F9"/>
    <w:rsid w:val="001A03AF"/>
    <w:rsid w:val="001A0DCF"/>
    <w:rsid w:val="001A2158"/>
    <w:rsid w:val="001A525F"/>
    <w:rsid w:val="001B09F9"/>
    <w:rsid w:val="001B5C90"/>
    <w:rsid w:val="001B6448"/>
    <w:rsid w:val="001C32CD"/>
    <w:rsid w:val="001D2984"/>
    <w:rsid w:val="001E07CF"/>
    <w:rsid w:val="001E0D61"/>
    <w:rsid w:val="001E59F1"/>
    <w:rsid w:val="001F2CEE"/>
    <w:rsid w:val="001F49EB"/>
    <w:rsid w:val="001F6CBA"/>
    <w:rsid w:val="00201D4E"/>
    <w:rsid w:val="0020651C"/>
    <w:rsid w:val="002076C9"/>
    <w:rsid w:val="00215056"/>
    <w:rsid w:val="00220B8A"/>
    <w:rsid w:val="002257F3"/>
    <w:rsid w:val="00233456"/>
    <w:rsid w:val="002339A5"/>
    <w:rsid w:val="00250271"/>
    <w:rsid w:val="00255747"/>
    <w:rsid w:val="00257848"/>
    <w:rsid w:val="002578E8"/>
    <w:rsid w:val="0027084A"/>
    <w:rsid w:val="002711A2"/>
    <w:rsid w:val="00274889"/>
    <w:rsid w:val="00280265"/>
    <w:rsid w:val="00286434"/>
    <w:rsid w:val="00286C59"/>
    <w:rsid w:val="00291957"/>
    <w:rsid w:val="002942D1"/>
    <w:rsid w:val="0029501A"/>
    <w:rsid w:val="002A3721"/>
    <w:rsid w:val="002B1638"/>
    <w:rsid w:val="002B3624"/>
    <w:rsid w:val="002D0952"/>
    <w:rsid w:val="002D5339"/>
    <w:rsid w:val="002E0A93"/>
    <w:rsid w:val="002E40B3"/>
    <w:rsid w:val="002E4C9A"/>
    <w:rsid w:val="002E537E"/>
    <w:rsid w:val="002F11F8"/>
    <w:rsid w:val="002F2847"/>
    <w:rsid w:val="002F3F56"/>
    <w:rsid w:val="002F44B5"/>
    <w:rsid w:val="002F5122"/>
    <w:rsid w:val="00310F3A"/>
    <w:rsid w:val="00311AC0"/>
    <w:rsid w:val="003176FC"/>
    <w:rsid w:val="0032583B"/>
    <w:rsid w:val="00327883"/>
    <w:rsid w:val="00331271"/>
    <w:rsid w:val="00332A70"/>
    <w:rsid w:val="00335504"/>
    <w:rsid w:val="00336464"/>
    <w:rsid w:val="00340C18"/>
    <w:rsid w:val="003442FD"/>
    <w:rsid w:val="00347824"/>
    <w:rsid w:val="00350567"/>
    <w:rsid w:val="003521E8"/>
    <w:rsid w:val="00364BE6"/>
    <w:rsid w:val="00370CE3"/>
    <w:rsid w:val="003728F3"/>
    <w:rsid w:val="003735BC"/>
    <w:rsid w:val="0037496E"/>
    <w:rsid w:val="00383221"/>
    <w:rsid w:val="00386150"/>
    <w:rsid w:val="003874CE"/>
    <w:rsid w:val="00390900"/>
    <w:rsid w:val="003A103E"/>
    <w:rsid w:val="003A3446"/>
    <w:rsid w:val="003A4D66"/>
    <w:rsid w:val="003A7E36"/>
    <w:rsid w:val="003A7F6C"/>
    <w:rsid w:val="003B4D60"/>
    <w:rsid w:val="003B7E39"/>
    <w:rsid w:val="003C25B7"/>
    <w:rsid w:val="003C58DC"/>
    <w:rsid w:val="003C7CA7"/>
    <w:rsid w:val="003D1E62"/>
    <w:rsid w:val="003E0B99"/>
    <w:rsid w:val="003E1FBB"/>
    <w:rsid w:val="003E2486"/>
    <w:rsid w:val="003E3208"/>
    <w:rsid w:val="003E7CCD"/>
    <w:rsid w:val="003F0B04"/>
    <w:rsid w:val="0040134E"/>
    <w:rsid w:val="00405CEF"/>
    <w:rsid w:val="004334C7"/>
    <w:rsid w:val="00440A2D"/>
    <w:rsid w:val="00441C3F"/>
    <w:rsid w:val="00444D1A"/>
    <w:rsid w:val="0045186A"/>
    <w:rsid w:val="004564A7"/>
    <w:rsid w:val="00456765"/>
    <w:rsid w:val="00460036"/>
    <w:rsid w:val="004617BF"/>
    <w:rsid w:val="00463658"/>
    <w:rsid w:val="004637A0"/>
    <w:rsid w:val="004722CC"/>
    <w:rsid w:val="00490483"/>
    <w:rsid w:val="004936E4"/>
    <w:rsid w:val="00494E60"/>
    <w:rsid w:val="00496C30"/>
    <w:rsid w:val="00497487"/>
    <w:rsid w:val="004A2771"/>
    <w:rsid w:val="004A6189"/>
    <w:rsid w:val="004A7390"/>
    <w:rsid w:val="004B7B76"/>
    <w:rsid w:val="004C239D"/>
    <w:rsid w:val="004C28C2"/>
    <w:rsid w:val="004C2DCA"/>
    <w:rsid w:val="004C4FBE"/>
    <w:rsid w:val="004C61D2"/>
    <w:rsid w:val="004F0C4A"/>
    <w:rsid w:val="004F0F38"/>
    <w:rsid w:val="004F47D6"/>
    <w:rsid w:val="00500337"/>
    <w:rsid w:val="00501921"/>
    <w:rsid w:val="005253D8"/>
    <w:rsid w:val="00530354"/>
    <w:rsid w:val="00531385"/>
    <w:rsid w:val="0053625B"/>
    <w:rsid w:val="005434C6"/>
    <w:rsid w:val="00543B39"/>
    <w:rsid w:val="0054558D"/>
    <w:rsid w:val="00546154"/>
    <w:rsid w:val="00550096"/>
    <w:rsid w:val="00551CD6"/>
    <w:rsid w:val="00555280"/>
    <w:rsid w:val="00555366"/>
    <w:rsid w:val="00557FF9"/>
    <w:rsid w:val="00562327"/>
    <w:rsid w:val="005711D5"/>
    <w:rsid w:val="00574DE4"/>
    <w:rsid w:val="00576378"/>
    <w:rsid w:val="00577130"/>
    <w:rsid w:val="00577945"/>
    <w:rsid w:val="00577E38"/>
    <w:rsid w:val="00585322"/>
    <w:rsid w:val="005857C6"/>
    <w:rsid w:val="00592F6E"/>
    <w:rsid w:val="00593AD1"/>
    <w:rsid w:val="005A68B6"/>
    <w:rsid w:val="005B44C3"/>
    <w:rsid w:val="005C5570"/>
    <w:rsid w:val="005C5B66"/>
    <w:rsid w:val="005C61DA"/>
    <w:rsid w:val="005C79A4"/>
    <w:rsid w:val="005D3B08"/>
    <w:rsid w:val="005D5442"/>
    <w:rsid w:val="005E058A"/>
    <w:rsid w:val="00602E5A"/>
    <w:rsid w:val="00603F32"/>
    <w:rsid w:val="00605AD4"/>
    <w:rsid w:val="006075B6"/>
    <w:rsid w:val="006136D7"/>
    <w:rsid w:val="00625A6E"/>
    <w:rsid w:val="00632398"/>
    <w:rsid w:val="0063501F"/>
    <w:rsid w:val="00640FC3"/>
    <w:rsid w:val="00642020"/>
    <w:rsid w:val="006430EE"/>
    <w:rsid w:val="0065337B"/>
    <w:rsid w:val="0065419D"/>
    <w:rsid w:val="0065503E"/>
    <w:rsid w:val="006603BC"/>
    <w:rsid w:val="006604D8"/>
    <w:rsid w:val="0066301A"/>
    <w:rsid w:val="00664A5B"/>
    <w:rsid w:val="0066735C"/>
    <w:rsid w:val="0067020A"/>
    <w:rsid w:val="0067586B"/>
    <w:rsid w:val="006763D2"/>
    <w:rsid w:val="00680C08"/>
    <w:rsid w:val="006916A0"/>
    <w:rsid w:val="006931B1"/>
    <w:rsid w:val="00694D97"/>
    <w:rsid w:val="00695AFB"/>
    <w:rsid w:val="006A15C0"/>
    <w:rsid w:val="006A58A8"/>
    <w:rsid w:val="006C3E2A"/>
    <w:rsid w:val="006C642F"/>
    <w:rsid w:val="006D03E5"/>
    <w:rsid w:val="006D5D3E"/>
    <w:rsid w:val="006E08B3"/>
    <w:rsid w:val="006F17AC"/>
    <w:rsid w:val="006F25B8"/>
    <w:rsid w:val="006F572E"/>
    <w:rsid w:val="007046D6"/>
    <w:rsid w:val="00705DB0"/>
    <w:rsid w:val="00705F0C"/>
    <w:rsid w:val="00722B57"/>
    <w:rsid w:val="00730F8A"/>
    <w:rsid w:val="00735A8C"/>
    <w:rsid w:val="00742120"/>
    <w:rsid w:val="0074253D"/>
    <w:rsid w:val="0074429B"/>
    <w:rsid w:val="007575C6"/>
    <w:rsid w:val="007615BC"/>
    <w:rsid w:val="007629BE"/>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1808"/>
    <w:rsid w:val="007D53B6"/>
    <w:rsid w:val="007E7626"/>
    <w:rsid w:val="00802DC7"/>
    <w:rsid w:val="00805D27"/>
    <w:rsid w:val="00806DCB"/>
    <w:rsid w:val="008175B8"/>
    <w:rsid w:val="00821776"/>
    <w:rsid w:val="00822E5E"/>
    <w:rsid w:val="008321F5"/>
    <w:rsid w:val="00832369"/>
    <w:rsid w:val="00834660"/>
    <w:rsid w:val="00836BC2"/>
    <w:rsid w:val="00846FAE"/>
    <w:rsid w:val="0085156D"/>
    <w:rsid w:val="00852B28"/>
    <w:rsid w:val="0085641B"/>
    <w:rsid w:val="00857136"/>
    <w:rsid w:val="008650BB"/>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B7831"/>
    <w:rsid w:val="008C159F"/>
    <w:rsid w:val="008C1623"/>
    <w:rsid w:val="008C1850"/>
    <w:rsid w:val="008C51A9"/>
    <w:rsid w:val="008E7846"/>
    <w:rsid w:val="008F012A"/>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1F77"/>
    <w:rsid w:val="00946EA5"/>
    <w:rsid w:val="00960520"/>
    <w:rsid w:val="00963C08"/>
    <w:rsid w:val="00974BC4"/>
    <w:rsid w:val="009752A5"/>
    <w:rsid w:val="00976013"/>
    <w:rsid w:val="0098585A"/>
    <w:rsid w:val="0099133A"/>
    <w:rsid w:val="00993772"/>
    <w:rsid w:val="009A4CED"/>
    <w:rsid w:val="009A690D"/>
    <w:rsid w:val="009B1D12"/>
    <w:rsid w:val="009B416B"/>
    <w:rsid w:val="009C4180"/>
    <w:rsid w:val="009C4BD5"/>
    <w:rsid w:val="009D7B77"/>
    <w:rsid w:val="009E0BB0"/>
    <w:rsid w:val="009E3FBB"/>
    <w:rsid w:val="009F7353"/>
    <w:rsid w:val="00A03D11"/>
    <w:rsid w:val="00A04F85"/>
    <w:rsid w:val="00A05FA4"/>
    <w:rsid w:val="00A102E4"/>
    <w:rsid w:val="00A1219C"/>
    <w:rsid w:val="00A12C42"/>
    <w:rsid w:val="00A14DF7"/>
    <w:rsid w:val="00A21B68"/>
    <w:rsid w:val="00A22D57"/>
    <w:rsid w:val="00A3246D"/>
    <w:rsid w:val="00A347C0"/>
    <w:rsid w:val="00A36FA7"/>
    <w:rsid w:val="00A44DDB"/>
    <w:rsid w:val="00A475B7"/>
    <w:rsid w:val="00A47AF7"/>
    <w:rsid w:val="00A47C3E"/>
    <w:rsid w:val="00A50226"/>
    <w:rsid w:val="00A52C9B"/>
    <w:rsid w:val="00A60BAD"/>
    <w:rsid w:val="00A74EC3"/>
    <w:rsid w:val="00A77F87"/>
    <w:rsid w:val="00A80B5B"/>
    <w:rsid w:val="00A84E36"/>
    <w:rsid w:val="00A964D1"/>
    <w:rsid w:val="00AA0ED0"/>
    <w:rsid w:val="00AC2B40"/>
    <w:rsid w:val="00AC2BB2"/>
    <w:rsid w:val="00AC2C3C"/>
    <w:rsid w:val="00AC512D"/>
    <w:rsid w:val="00AD0083"/>
    <w:rsid w:val="00AD0B1D"/>
    <w:rsid w:val="00AD3935"/>
    <w:rsid w:val="00AE65EB"/>
    <w:rsid w:val="00AE67A7"/>
    <w:rsid w:val="00AF1D94"/>
    <w:rsid w:val="00AF586F"/>
    <w:rsid w:val="00AF60C5"/>
    <w:rsid w:val="00B009C6"/>
    <w:rsid w:val="00B01548"/>
    <w:rsid w:val="00B130C5"/>
    <w:rsid w:val="00B13EBD"/>
    <w:rsid w:val="00B21D29"/>
    <w:rsid w:val="00B25034"/>
    <w:rsid w:val="00B258AB"/>
    <w:rsid w:val="00B33588"/>
    <w:rsid w:val="00B33863"/>
    <w:rsid w:val="00B33909"/>
    <w:rsid w:val="00B35128"/>
    <w:rsid w:val="00B35372"/>
    <w:rsid w:val="00B37D17"/>
    <w:rsid w:val="00B4175E"/>
    <w:rsid w:val="00B41C85"/>
    <w:rsid w:val="00B452CE"/>
    <w:rsid w:val="00B50FB4"/>
    <w:rsid w:val="00B53F45"/>
    <w:rsid w:val="00B54C25"/>
    <w:rsid w:val="00B76B91"/>
    <w:rsid w:val="00B77EB1"/>
    <w:rsid w:val="00B811C6"/>
    <w:rsid w:val="00B855B0"/>
    <w:rsid w:val="00B92E08"/>
    <w:rsid w:val="00BA0738"/>
    <w:rsid w:val="00BA4A40"/>
    <w:rsid w:val="00BC622A"/>
    <w:rsid w:val="00BD1233"/>
    <w:rsid w:val="00BE0A78"/>
    <w:rsid w:val="00BE79F0"/>
    <w:rsid w:val="00BF046D"/>
    <w:rsid w:val="00BF0F13"/>
    <w:rsid w:val="00BF1190"/>
    <w:rsid w:val="00BF3774"/>
    <w:rsid w:val="00BF5D04"/>
    <w:rsid w:val="00C009AA"/>
    <w:rsid w:val="00C1164D"/>
    <w:rsid w:val="00C16861"/>
    <w:rsid w:val="00C346AB"/>
    <w:rsid w:val="00C404A6"/>
    <w:rsid w:val="00C40A36"/>
    <w:rsid w:val="00C44419"/>
    <w:rsid w:val="00C45E7B"/>
    <w:rsid w:val="00C471B1"/>
    <w:rsid w:val="00C525A2"/>
    <w:rsid w:val="00C52E24"/>
    <w:rsid w:val="00C5518B"/>
    <w:rsid w:val="00C6316B"/>
    <w:rsid w:val="00C634A9"/>
    <w:rsid w:val="00C64586"/>
    <w:rsid w:val="00C65FB1"/>
    <w:rsid w:val="00C70A36"/>
    <w:rsid w:val="00C70D53"/>
    <w:rsid w:val="00C73D0B"/>
    <w:rsid w:val="00C74F5C"/>
    <w:rsid w:val="00C760BA"/>
    <w:rsid w:val="00C772FF"/>
    <w:rsid w:val="00C80137"/>
    <w:rsid w:val="00C801AF"/>
    <w:rsid w:val="00C80256"/>
    <w:rsid w:val="00C93897"/>
    <w:rsid w:val="00C94CD4"/>
    <w:rsid w:val="00C9747E"/>
    <w:rsid w:val="00CB2B04"/>
    <w:rsid w:val="00CB6BC0"/>
    <w:rsid w:val="00CC1B7C"/>
    <w:rsid w:val="00CC727F"/>
    <w:rsid w:val="00CD7C0A"/>
    <w:rsid w:val="00CF15C3"/>
    <w:rsid w:val="00CF2B6F"/>
    <w:rsid w:val="00CF2F3E"/>
    <w:rsid w:val="00CF326D"/>
    <w:rsid w:val="00CF58B6"/>
    <w:rsid w:val="00CF5DAD"/>
    <w:rsid w:val="00D0062D"/>
    <w:rsid w:val="00D017ED"/>
    <w:rsid w:val="00D040D3"/>
    <w:rsid w:val="00D04C65"/>
    <w:rsid w:val="00D07056"/>
    <w:rsid w:val="00D153D8"/>
    <w:rsid w:val="00D17C28"/>
    <w:rsid w:val="00D201D2"/>
    <w:rsid w:val="00D224FE"/>
    <w:rsid w:val="00D23139"/>
    <w:rsid w:val="00D35DE6"/>
    <w:rsid w:val="00D425BB"/>
    <w:rsid w:val="00D453FA"/>
    <w:rsid w:val="00D6493E"/>
    <w:rsid w:val="00D7195D"/>
    <w:rsid w:val="00D7301E"/>
    <w:rsid w:val="00D83AE1"/>
    <w:rsid w:val="00D84CAA"/>
    <w:rsid w:val="00D855D4"/>
    <w:rsid w:val="00D902C9"/>
    <w:rsid w:val="00D91F5C"/>
    <w:rsid w:val="00D93466"/>
    <w:rsid w:val="00D97208"/>
    <w:rsid w:val="00DA1124"/>
    <w:rsid w:val="00DA64CB"/>
    <w:rsid w:val="00DB06B8"/>
    <w:rsid w:val="00DB117A"/>
    <w:rsid w:val="00DB6124"/>
    <w:rsid w:val="00DB750B"/>
    <w:rsid w:val="00DB75B7"/>
    <w:rsid w:val="00DC0A2F"/>
    <w:rsid w:val="00DC1948"/>
    <w:rsid w:val="00DC6E02"/>
    <w:rsid w:val="00DD28CD"/>
    <w:rsid w:val="00DE02AE"/>
    <w:rsid w:val="00DE39D1"/>
    <w:rsid w:val="00DF1D7F"/>
    <w:rsid w:val="00DF4BE4"/>
    <w:rsid w:val="00E02382"/>
    <w:rsid w:val="00E02FB4"/>
    <w:rsid w:val="00E0601A"/>
    <w:rsid w:val="00E13CDE"/>
    <w:rsid w:val="00E13FC7"/>
    <w:rsid w:val="00E16066"/>
    <w:rsid w:val="00E17AB5"/>
    <w:rsid w:val="00E20571"/>
    <w:rsid w:val="00E235F7"/>
    <w:rsid w:val="00E23659"/>
    <w:rsid w:val="00E239D4"/>
    <w:rsid w:val="00E26130"/>
    <w:rsid w:val="00E40B22"/>
    <w:rsid w:val="00E44ED1"/>
    <w:rsid w:val="00E45619"/>
    <w:rsid w:val="00E4588F"/>
    <w:rsid w:val="00E46DA3"/>
    <w:rsid w:val="00E51BB1"/>
    <w:rsid w:val="00E540D7"/>
    <w:rsid w:val="00E55CB0"/>
    <w:rsid w:val="00E624A5"/>
    <w:rsid w:val="00E64BA4"/>
    <w:rsid w:val="00E7344E"/>
    <w:rsid w:val="00E82665"/>
    <w:rsid w:val="00E87D9D"/>
    <w:rsid w:val="00E95D7E"/>
    <w:rsid w:val="00E97E18"/>
    <w:rsid w:val="00EB0798"/>
    <w:rsid w:val="00EB167B"/>
    <w:rsid w:val="00EB40AD"/>
    <w:rsid w:val="00EB586E"/>
    <w:rsid w:val="00EB5FC8"/>
    <w:rsid w:val="00EC463D"/>
    <w:rsid w:val="00EC7A85"/>
    <w:rsid w:val="00ED2922"/>
    <w:rsid w:val="00ED3CAD"/>
    <w:rsid w:val="00ED5A41"/>
    <w:rsid w:val="00EE0DDB"/>
    <w:rsid w:val="00EE1DE8"/>
    <w:rsid w:val="00EE27C2"/>
    <w:rsid w:val="00EF4BAD"/>
    <w:rsid w:val="00EF59DC"/>
    <w:rsid w:val="00EF6E5C"/>
    <w:rsid w:val="00F033EC"/>
    <w:rsid w:val="00F04F68"/>
    <w:rsid w:val="00F12670"/>
    <w:rsid w:val="00F14AA0"/>
    <w:rsid w:val="00F14B27"/>
    <w:rsid w:val="00F2433F"/>
    <w:rsid w:val="00F27309"/>
    <w:rsid w:val="00F2754C"/>
    <w:rsid w:val="00F3148D"/>
    <w:rsid w:val="00F325C5"/>
    <w:rsid w:val="00F32FE0"/>
    <w:rsid w:val="00F35298"/>
    <w:rsid w:val="00F47333"/>
    <w:rsid w:val="00F47E37"/>
    <w:rsid w:val="00F53C07"/>
    <w:rsid w:val="00F54B65"/>
    <w:rsid w:val="00F640B6"/>
    <w:rsid w:val="00F64369"/>
    <w:rsid w:val="00F66DF2"/>
    <w:rsid w:val="00F67A66"/>
    <w:rsid w:val="00F80E40"/>
    <w:rsid w:val="00F848D9"/>
    <w:rsid w:val="00F87600"/>
    <w:rsid w:val="00FA5069"/>
    <w:rsid w:val="00FA56D0"/>
    <w:rsid w:val="00FA5B82"/>
    <w:rsid w:val="00FA639E"/>
    <w:rsid w:val="00FC1FCA"/>
    <w:rsid w:val="00FC25E4"/>
    <w:rsid w:val="00FC4EF7"/>
    <w:rsid w:val="00FC7333"/>
    <w:rsid w:val="00FD0824"/>
    <w:rsid w:val="00FD119B"/>
    <w:rsid w:val="00FD1EDC"/>
    <w:rsid w:val="00FE1DEE"/>
    <w:rsid w:val="00FE30E1"/>
    <w:rsid w:val="00FF2126"/>
    <w:rsid w:val="00FF5755"/>
    <w:rsid w:val="00FF58E9"/>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18F05FA"/>
  <w15:docId w15:val="{30798B60-10EB-4A64-B633-3F649A85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67A6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E0D61"/>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0C37DA"/>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310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346864">
      <w:bodyDiv w:val="1"/>
      <w:marLeft w:val="0"/>
      <w:marRight w:val="0"/>
      <w:marTop w:val="0"/>
      <w:marBottom w:val="0"/>
      <w:divBdr>
        <w:top w:val="none" w:sz="0" w:space="0" w:color="auto"/>
        <w:left w:val="none" w:sz="0" w:space="0" w:color="auto"/>
        <w:bottom w:val="none" w:sz="0" w:space="0" w:color="auto"/>
        <w:right w:val="none" w:sz="0" w:space="0" w:color="auto"/>
      </w:divBdr>
    </w:div>
    <w:div w:id="2080055905">
      <w:bodyDiv w:val="1"/>
      <w:marLeft w:val="0"/>
      <w:marRight w:val="0"/>
      <w:marTop w:val="0"/>
      <w:marBottom w:val="0"/>
      <w:divBdr>
        <w:top w:val="none" w:sz="0" w:space="0" w:color="auto"/>
        <w:left w:val="none" w:sz="0" w:space="0" w:color="auto"/>
        <w:bottom w:val="none" w:sz="0" w:space="0" w:color="auto"/>
        <w:right w:val="none" w:sz="0" w:space="0" w:color="auto"/>
      </w:divBdr>
    </w:div>
    <w:div w:id="213760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footer" Target="footer3.xml"/><Relationship Id="rId36"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2616\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5EDB7-BF99-473D-9E18-D4CD0E1B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20</TotalTime>
  <Pages>26</Pages>
  <Words>7294</Words>
  <Characters>40997</Characters>
  <Application>Microsoft Office Word</Application>
  <DocSecurity>0</DocSecurity>
  <Lines>999</Lines>
  <Paragraphs>652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47639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Alanylglutamine</dc:title>
  <dc:subject>prescription medicine regulation</dc:subject>
  <dc:creator>Therapeutic Goods Administration</dc:creator>
  <cp:keywords>AusPARs</cp:keywords>
  <cp:lastPrinted>2019-08-14T04:30:00Z</cp:lastPrinted>
  <dcterms:created xsi:type="dcterms:W3CDTF">2020-12-01T13:34:00Z</dcterms:created>
  <dcterms:modified xsi:type="dcterms:W3CDTF">2020-12-10T03:05:00Z</dcterms:modified>
  <cp:category/>
</cp:coreProperties>
</file>