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53F" w:rsidRPr="0059188A" w:rsidRDefault="00A1753F" w:rsidP="00CC53E9">
      <w:pPr>
        <w:pStyle w:val="Heading1"/>
        <w:jc w:val="center"/>
        <w:rPr>
          <w:rFonts w:ascii="Times New Roman Bold" w:hAnsi="Times New Roman Bold"/>
          <w:lang w:val="en-AU"/>
        </w:rPr>
      </w:pPr>
      <w:r w:rsidRPr="0059188A">
        <w:rPr>
          <w:rFonts w:ascii="Times New Roman Bold" w:hAnsi="Times New Roman Bold"/>
          <w:lang w:val="en-AU"/>
        </w:rPr>
        <w:t>PRODUCT INFORMATION</w:t>
      </w:r>
    </w:p>
    <w:p w:rsidR="00A1753F" w:rsidRPr="0059188A" w:rsidRDefault="00A1753F" w:rsidP="00C010BA">
      <w:pPr>
        <w:jc w:val="both"/>
        <w:rPr>
          <w:lang w:val="en-AU"/>
        </w:rPr>
      </w:pPr>
    </w:p>
    <w:p w:rsidR="00A1753F" w:rsidRPr="0059188A" w:rsidRDefault="00A1753F" w:rsidP="00A1753F">
      <w:pPr>
        <w:jc w:val="center"/>
        <w:rPr>
          <w:b/>
          <w:sz w:val="32"/>
          <w:szCs w:val="32"/>
          <w:lang w:val="en-AU"/>
        </w:rPr>
      </w:pPr>
      <w:r w:rsidRPr="0059188A">
        <w:rPr>
          <w:b/>
          <w:sz w:val="32"/>
          <w:szCs w:val="32"/>
          <w:lang w:val="en-AU"/>
        </w:rPr>
        <w:t>EYLEA</w:t>
      </w:r>
      <w:r w:rsidRPr="0059188A">
        <w:rPr>
          <w:b/>
          <w:sz w:val="32"/>
          <w:szCs w:val="32"/>
          <w:vertAlign w:val="superscript"/>
          <w:lang w:val="en-AU"/>
        </w:rPr>
        <w:t>®</w:t>
      </w:r>
      <w:r w:rsidRPr="0059188A">
        <w:rPr>
          <w:b/>
          <w:sz w:val="32"/>
          <w:szCs w:val="32"/>
          <w:lang w:val="en-AU"/>
        </w:rPr>
        <w:t xml:space="preserve"> </w:t>
      </w:r>
      <w:r w:rsidR="00464079" w:rsidRPr="0059188A">
        <w:rPr>
          <w:b/>
          <w:sz w:val="32"/>
          <w:szCs w:val="32"/>
          <w:lang w:val="en-AU"/>
        </w:rPr>
        <w:br/>
      </w:r>
      <w:proofErr w:type="spellStart"/>
      <w:r w:rsidRPr="0059188A">
        <w:rPr>
          <w:b/>
          <w:sz w:val="32"/>
          <w:szCs w:val="32"/>
          <w:lang w:val="en-AU"/>
        </w:rPr>
        <w:t>aflibercept</w:t>
      </w:r>
      <w:proofErr w:type="spellEnd"/>
      <w:r w:rsidR="00464079" w:rsidRPr="0059188A">
        <w:rPr>
          <w:b/>
          <w:sz w:val="32"/>
          <w:szCs w:val="32"/>
          <w:lang w:val="en-AU"/>
        </w:rPr>
        <w:t xml:space="preserve"> </w:t>
      </w:r>
      <w:r w:rsidR="00B87BAF" w:rsidRPr="0059188A">
        <w:rPr>
          <w:b/>
          <w:sz w:val="32"/>
          <w:szCs w:val="32"/>
          <w:lang w:val="en-AU"/>
        </w:rPr>
        <w:t>(</w:t>
      </w:r>
      <w:proofErr w:type="spellStart"/>
      <w:r w:rsidR="00B87BAF" w:rsidRPr="0059188A">
        <w:rPr>
          <w:b/>
          <w:sz w:val="32"/>
          <w:szCs w:val="32"/>
          <w:lang w:val="en-AU"/>
        </w:rPr>
        <w:t>rch</w:t>
      </w:r>
      <w:proofErr w:type="spellEnd"/>
      <w:r w:rsidR="00B87BAF" w:rsidRPr="0059188A">
        <w:rPr>
          <w:b/>
          <w:sz w:val="32"/>
          <w:szCs w:val="32"/>
          <w:lang w:val="en-AU"/>
        </w:rPr>
        <w:t>)</w:t>
      </w:r>
    </w:p>
    <w:p w:rsidR="00A1753F" w:rsidRPr="0059188A" w:rsidRDefault="00A1753F" w:rsidP="00C010BA">
      <w:pPr>
        <w:jc w:val="both"/>
        <w:rPr>
          <w:lang w:val="en-AU"/>
        </w:rPr>
      </w:pPr>
    </w:p>
    <w:p w:rsidR="00A1753F" w:rsidRPr="0059188A" w:rsidRDefault="00C010BA" w:rsidP="00D4671A">
      <w:pPr>
        <w:pStyle w:val="Heading1"/>
        <w:rPr>
          <w:lang w:val="en-AU"/>
        </w:rPr>
      </w:pPr>
      <w:r w:rsidRPr="0059188A">
        <w:rPr>
          <w:lang w:val="en-AU"/>
        </w:rPr>
        <w:t>NAME OF THE</w:t>
      </w:r>
      <w:r w:rsidR="00A1753F" w:rsidRPr="0059188A">
        <w:rPr>
          <w:lang w:val="en-AU"/>
        </w:rPr>
        <w:t xml:space="preserve"> MEDICINE</w:t>
      </w:r>
    </w:p>
    <w:p w:rsidR="00A1753F" w:rsidRPr="0059188A" w:rsidRDefault="00A1753F" w:rsidP="00C010BA">
      <w:pPr>
        <w:jc w:val="both"/>
        <w:rPr>
          <w:lang w:val="en-AU"/>
        </w:rPr>
      </w:pPr>
    </w:p>
    <w:p w:rsidR="00A1753F" w:rsidRPr="0059188A" w:rsidRDefault="007A5078" w:rsidP="00C010BA">
      <w:pPr>
        <w:jc w:val="both"/>
        <w:rPr>
          <w:lang w:val="en-AU"/>
        </w:rPr>
      </w:pPr>
      <w:r w:rsidRPr="0059188A">
        <w:rPr>
          <w:lang w:val="en-AU"/>
        </w:rPr>
        <w:t>Active ingredient:</w:t>
      </w:r>
      <w:r w:rsidRPr="0059188A">
        <w:rPr>
          <w:lang w:val="en-AU"/>
        </w:rPr>
        <w:tab/>
      </w:r>
      <w:proofErr w:type="spellStart"/>
      <w:r w:rsidRPr="0059188A">
        <w:rPr>
          <w:lang w:val="en-AU"/>
        </w:rPr>
        <w:t>Aflibercept</w:t>
      </w:r>
      <w:proofErr w:type="spellEnd"/>
    </w:p>
    <w:p w:rsidR="007A5078" w:rsidRPr="0059188A" w:rsidRDefault="007A5078" w:rsidP="007A5078">
      <w:pPr>
        <w:ind w:left="2160" w:hanging="2160"/>
        <w:jc w:val="both"/>
        <w:rPr>
          <w:lang w:val="en-AU"/>
        </w:rPr>
      </w:pPr>
    </w:p>
    <w:p w:rsidR="007A5078" w:rsidRPr="0059188A" w:rsidRDefault="007A5078" w:rsidP="007A5078">
      <w:pPr>
        <w:ind w:left="2160"/>
        <w:jc w:val="both"/>
        <w:rPr>
          <w:lang w:val="en-AU"/>
        </w:rPr>
      </w:pPr>
      <w:r w:rsidRPr="0059188A">
        <w:rPr>
          <w:lang w:val="en-AU"/>
        </w:rPr>
        <w:t>Chemical names:</w:t>
      </w:r>
      <w:r w:rsidRPr="0059188A">
        <w:rPr>
          <w:lang w:val="en-AU"/>
        </w:rPr>
        <w:tab/>
        <w:t>Vascular endothelial growth factor receptor type VEGFR-1 (synthetic human immunoglobulin domain 2 fragment) fusion protein with vascular endothelial growth factor receptor type VEGFR-2 (synthetic human immunoglobulin domain 3 fragment) fusion protein with immunoglobulin G1 (synthetic Fc fragment), dimer</w:t>
      </w:r>
      <w:r w:rsidR="00A0615B">
        <w:rPr>
          <w:lang w:val="en-AU"/>
        </w:rPr>
        <w:t xml:space="preserve"> </w:t>
      </w:r>
      <w:r w:rsidRPr="0059188A">
        <w:rPr>
          <w:lang w:val="en-AU"/>
        </w:rPr>
        <w:t>des-432-lysine-[human vascular endothelial growth factor receptor 1-(103-204)-peptide (containing Ig-like C2-type 2 domain) fusion protein with human vascular endothelial growth factor receptor 2-(206-308)-peptide (containing Ig-like C2-type 3 domain fragment) fusion protein with human immunoglobulin G1-(227 C-terminal residues)-peptide (Fc fragment)], (211-211’:214-214’)-</w:t>
      </w:r>
      <w:proofErr w:type="spellStart"/>
      <w:r w:rsidRPr="0059188A">
        <w:rPr>
          <w:lang w:val="en-AU"/>
        </w:rPr>
        <w:t>bisdisulfide</w:t>
      </w:r>
      <w:proofErr w:type="spellEnd"/>
      <w:r w:rsidRPr="0059188A">
        <w:rPr>
          <w:lang w:val="en-AU"/>
        </w:rPr>
        <w:t xml:space="preserve"> dimer</w:t>
      </w:r>
    </w:p>
    <w:p w:rsidR="007A5078" w:rsidRPr="0059188A" w:rsidRDefault="007A5078" w:rsidP="007A5078">
      <w:pPr>
        <w:jc w:val="both"/>
        <w:rPr>
          <w:lang w:val="en-AU"/>
        </w:rPr>
      </w:pPr>
    </w:p>
    <w:p w:rsidR="007A5078" w:rsidRPr="0059188A" w:rsidRDefault="007A5078" w:rsidP="007A5078">
      <w:pPr>
        <w:jc w:val="both"/>
        <w:rPr>
          <w:lang w:val="en-AU"/>
        </w:rPr>
      </w:pPr>
      <w:r w:rsidRPr="0059188A">
        <w:rPr>
          <w:lang w:val="en-AU"/>
        </w:rPr>
        <w:t>CAS number:</w:t>
      </w:r>
      <w:r w:rsidRPr="0059188A">
        <w:rPr>
          <w:lang w:val="en-AU"/>
        </w:rPr>
        <w:tab/>
      </w:r>
      <w:r w:rsidRPr="0059188A">
        <w:rPr>
          <w:lang w:val="en-AU"/>
        </w:rPr>
        <w:tab/>
        <w:t>862111-32-8</w:t>
      </w:r>
    </w:p>
    <w:p w:rsidR="007A5078" w:rsidRPr="0059188A" w:rsidRDefault="007A5078" w:rsidP="007A5078">
      <w:pPr>
        <w:jc w:val="both"/>
        <w:rPr>
          <w:lang w:val="en-AU"/>
        </w:rPr>
      </w:pPr>
    </w:p>
    <w:p w:rsidR="007A5078" w:rsidRPr="0059188A" w:rsidRDefault="007A5078" w:rsidP="007A5078">
      <w:pPr>
        <w:jc w:val="both"/>
      </w:pPr>
      <w:r w:rsidRPr="0059188A">
        <w:t>Molecular weight:</w:t>
      </w:r>
      <w:r w:rsidRPr="0059188A">
        <w:tab/>
        <w:t xml:space="preserve">97 </w:t>
      </w:r>
      <w:proofErr w:type="spellStart"/>
      <w:r w:rsidRPr="0059188A">
        <w:t>kDa</w:t>
      </w:r>
      <w:proofErr w:type="spellEnd"/>
      <w:r w:rsidRPr="0059188A">
        <w:t xml:space="preserve"> (protein molecular weight)</w:t>
      </w:r>
    </w:p>
    <w:p w:rsidR="007A5078" w:rsidRPr="0059188A" w:rsidRDefault="007A5078" w:rsidP="007A5078">
      <w:pPr>
        <w:ind w:left="1440" w:firstLine="720"/>
        <w:jc w:val="both"/>
      </w:pPr>
      <w:r w:rsidRPr="0059188A">
        <w:t xml:space="preserve">115 </w:t>
      </w:r>
      <w:proofErr w:type="spellStart"/>
      <w:r w:rsidRPr="0059188A">
        <w:t>kDa</w:t>
      </w:r>
      <w:proofErr w:type="spellEnd"/>
      <w:r w:rsidRPr="0059188A">
        <w:t xml:space="preserve"> (total molecular weight)</w:t>
      </w:r>
    </w:p>
    <w:p w:rsidR="007A5078" w:rsidRPr="0059188A" w:rsidRDefault="007A5078" w:rsidP="007A5078">
      <w:pPr>
        <w:jc w:val="both"/>
      </w:pPr>
    </w:p>
    <w:p w:rsidR="007A5078" w:rsidRPr="0059188A" w:rsidRDefault="007A5078" w:rsidP="00A54ED7">
      <w:pPr>
        <w:ind w:left="2160" w:hanging="2160"/>
        <w:jc w:val="both"/>
      </w:pPr>
      <w:r w:rsidRPr="0059188A">
        <w:t>Structure:</w:t>
      </w:r>
      <w:r w:rsidRPr="0059188A">
        <w:tab/>
      </w:r>
      <w:r w:rsidR="00A54ED7" w:rsidRPr="0059188A">
        <w:t>The secondary and tertiary structures</w:t>
      </w:r>
      <w:r w:rsidR="00A20A54" w:rsidRPr="0059188A">
        <w:t xml:space="preserve"> of </w:t>
      </w:r>
      <w:proofErr w:type="spellStart"/>
      <w:r w:rsidR="00A20A54" w:rsidRPr="0059188A">
        <w:t>aflibercept</w:t>
      </w:r>
      <w:proofErr w:type="spellEnd"/>
      <w:r w:rsidR="00A54ED7" w:rsidRPr="0059188A">
        <w:t xml:space="preserve"> as well as the amino acid structure are shown in Figures 1 and 2. </w:t>
      </w:r>
    </w:p>
    <w:p w:rsidR="00A6742D" w:rsidRDefault="00A6742D" w:rsidP="007A5078">
      <w:pPr>
        <w:jc w:val="both"/>
      </w:pPr>
    </w:p>
    <w:p w:rsidR="00A6742D" w:rsidRPr="00A6742D" w:rsidRDefault="00A6742D" w:rsidP="00A6742D"/>
    <w:p w:rsidR="00A6742D" w:rsidRPr="00A6742D" w:rsidRDefault="00A6742D" w:rsidP="00A6742D"/>
    <w:p w:rsidR="00A6742D" w:rsidRDefault="00A6742D" w:rsidP="00A6742D"/>
    <w:p w:rsidR="00A6742D" w:rsidRDefault="00A6742D" w:rsidP="00A6742D"/>
    <w:p w:rsidR="007A5078" w:rsidRPr="00A6742D" w:rsidRDefault="00A6742D" w:rsidP="00A6742D">
      <w:pPr>
        <w:tabs>
          <w:tab w:val="left" w:pos="2925"/>
        </w:tabs>
      </w:pPr>
      <w:r>
        <w:tab/>
      </w:r>
    </w:p>
    <w:p w:rsidR="00A54ED7" w:rsidRPr="0059188A" w:rsidRDefault="00A54ED7" w:rsidP="00BA7679">
      <w:pPr>
        <w:keepNext/>
        <w:jc w:val="both"/>
        <w:rPr>
          <w:b/>
        </w:rPr>
      </w:pPr>
      <w:r w:rsidRPr="0059188A">
        <w:rPr>
          <w:b/>
        </w:rPr>
        <w:lastRenderedPageBreak/>
        <w:t xml:space="preserve">Figure 1: </w:t>
      </w:r>
      <w:proofErr w:type="spellStart"/>
      <w:r w:rsidRPr="0059188A">
        <w:rPr>
          <w:b/>
        </w:rPr>
        <w:t>Aflibercept</w:t>
      </w:r>
      <w:proofErr w:type="spellEnd"/>
      <w:r w:rsidRPr="0059188A">
        <w:rPr>
          <w:b/>
        </w:rPr>
        <w:t xml:space="preserve"> secondary and tertiary structures</w:t>
      </w:r>
    </w:p>
    <w:p w:rsidR="00A54ED7" w:rsidRPr="0059188A" w:rsidRDefault="00A54ED7" w:rsidP="00BA7679">
      <w:pPr>
        <w:keepNext/>
        <w:jc w:val="both"/>
      </w:pPr>
    </w:p>
    <w:p w:rsidR="00A54ED7" w:rsidRPr="0059188A" w:rsidRDefault="003E56D2" w:rsidP="007A5078">
      <w:pPr>
        <w:jc w:val="both"/>
      </w:pPr>
      <w:r>
        <w:rPr>
          <w:noProof/>
          <w:lang w:val="en-AU"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VEGF Trap Schematic 7 Igs" style="width:156pt;height:180.75pt;visibility:visible">
            <v:imagedata r:id="rId9" o:title="VEGF Trap Schematic 7 Igs" croptop="-2333f"/>
          </v:shape>
        </w:pict>
      </w:r>
    </w:p>
    <w:p w:rsidR="00A54ED7" w:rsidRPr="0059188A" w:rsidRDefault="00A54ED7" w:rsidP="007A5078">
      <w:pPr>
        <w:jc w:val="both"/>
      </w:pPr>
    </w:p>
    <w:p w:rsidR="00A20A54" w:rsidRPr="0059188A" w:rsidRDefault="00A20A54" w:rsidP="007A5078">
      <w:pPr>
        <w:jc w:val="both"/>
      </w:pPr>
    </w:p>
    <w:p w:rsidR="00A54ED7" w:rsidRPr="0059188A" w:rsidRDefault="00A54ED7" w:rsidP="007A5078">
      <w:pPr>
        <w:jc w:val="both"/>
        <w:rPr>
          <w:b/>
        </w:rPr>
      </w:pPr>
      <w:r w:rsidRPr="0059188A">
        <w:rPr>
          <w:b/>
        </w:rPr>
        <w:t xml:space="preserve">Figure 2: </w:t>
      </w:r>
      <w:proofErr w:type="spellStart"/>
      <w:r w:rsidRPr="0059188A">
        <w:rPr>
          <w:b/>
        </w:rPr>
        <w:t>Aflibercept</w:t>
      </w:r>
      <w:proofErr w:type="spellEnd"/>
      <w:r w:rsidRPr="0059188A">
        <w:rPr>
          <w:b/>
        </w:rPr>
        <w:t xml:space="preserve"> amino acid structure   </w:t>
      </w:r>
    </w:p>
    <w:p w:rsidR="00A54ED7" w:rsidRPr="0059188A" w:rsidRDefault="00A54ED7" w:rsidP="007A5078">
      <w:pPr>
        <w:jc w:val="both"/>
      </w:pPr>
    </w:p>
    <w:p w:rsidR="00A54ED7" w:rsidRPr="0059188A" w:rsidRDefault="003E56D2" w:rsidP="007A5078">
      <w:pPr>
        <w:jc w:val="both"/>
      </w:pPr>
      <w:r>
        <w:rPr>
          <w:noProof/>
          <w:lang w:val="en-AU" w:eastAsia="en-AU"/>
        </w:rPr>
        <w:pict>
          <v:shape id="Picture 2" o:spid="_x0000_i1026" type="#_x0000_t75" style="width:396pt;height:360.75pt;visibility:visible">
            <v:imagedata r:id="rId10" o:title=""/>
          </v:shape>
        </w:pict>
      </w:r>
    </w:p>
    <w:p w:rsidR="00A1753F" w:rsidRPr="0059188A" w:rsidRDefault="00A1753F" w:rsidP="001B5410">
      <w:pPr>
        <w:pStyle w:val="Heading1"/>
        <w:keepLines/>
        <w:pageBreakBefore/>
        <w:rPr>
          <w:rFonts w:ascii="Times New Roman Bold" w:hAnsi="Times New Roman Bold"/>
          <w:lang w:val="en-AU"/>
        </w:rPr>
      </w:pPr>
      <w:r w:rsidRPr="0059188A">
        <w:rPr>
          <w:rFonts w:ascii="Times New Roman Bold" w:hAnsi="Times New Roman Bold"/>
          <w:lang w:val="en-AU"/>
        </w:rPr>
        <w:lastRenderedPageBreak/>
        <w:t xml:space="preserve">DESCRIPTION </w:t>
      </w:r>
    </w:p>
    <w:p w:rsidR="00A1753F" w:rsidRPr="0059188A" w:rsidRDefault="00A1753F" w:rsidP="001B5410">
      <w:pPr>
        <w:keepLines/>
        <w:jc w:val="both"/>
        <w:rPr>
          <w:lang w:val="en-AU"/>
        </w:rPr>
      </w:pPr>
    </w:p>
    <w:p w:rsidR="00C6103C" w:rsidRPr="0059188A" w:rsidRDefault="00C6103C" w:rsidP="001B5410">
      <w:pPr>
        <w:keepLines/>
        <w:jc w:val="both"/>
        <w:rPr>
          <w:lang w:val="en-AU"/>
        </w:rPr>
      </w:pPr>
      <w:r w:rsidRPr="0059188A">
        <w:rPr>
          <w:lang w:val="en-AU"/>
        </w:rPr>
        <w:t>EYLEA</w:t>
      </w:r>
      <w:r w:rsidR="00C805F2" w:rsidRPr="0059188A">
        <w:rPr>
          <w:lang w:val="en-AU"/>
        </w:rPr>
        <w:t xml:space="preserve"> is a sterile, clear, </w:t>
      </w:r>
      <w:proofErr w:type="gramStart"/>
      <w:r w:rsidR="00C805F2" w:rsidRPr="0059188A">
        <w:rPr>
          <w:lang w:val="en-AU"/>
        </w:rPr>
        <w:t>colourless</w:t>
      </w:r>
      <w:proofErr w:type="gramEnd"/>
      <w:r w:rsidR="00C805F2" w:rsidRPr="0059188A">
        <w:rPr>
          <w:lang w:val="en-AU"/>
        </w:rPr>
        <w:t xml:space="preserve"> to pale yellow, preservative-free</w:t>
      </w:r>
      <w:r w:rsidR="00A20A54" w:rsidRPr="0059188A">
        <w:rPr>
          <w:lang w:val="en-AU"/>
        </w:rPr>
        <w:t xml:space="preserve">, </w:t>
      </w:r>
      <w:proofErr w:type="spellStart"/>
      <w:r w:rsidR="00A20A54" w:rsidRPr="0059188A">
        <w:rPr>
          <w:lang w:val="en-AU"/>
        </w:rPr>
        <w:t>iso</w:t>
      </w:r>
      <w:proofErr w:type="spellEnd"/>
      <w:r w:rsidR="00A20A54" w:rsidRPr="0059188A">
        <w:rPr>
          <w:lang w:val="en-AU"/>
        </w:rPr>
        <w:t>-osmotic</w:t>
      </w:r>
      <w:r w:rsidR="00C805F2" w:rsidRPr="0059188A">
        <w:rPr>
          <w:lang w:val="en-AU"/>
        </w:rPr>
        <w:t xml:space="preserve"> aqueous </w:t>
      </w:r>
      <w:r w:rsidR="001B05E7" w:rsidRPr="0059188A">
        <w:rPr>
          <w:lang w:val="en-AU"/>
        </w:rPr>
        <w:t xml:space="preserve">40 mg/mL </w:t>
      </w:r>
      <w:r w:rsidR="00C805F2" w:rsidRPr="0059188A">
        <w:rPr>
          <w:lang w:val="en-AU"/>
        </w:rPr>
        <w:t xml:space="preserve">solution for </w:t>
      </w:r>
      <w:proofErr w:type="spellStart"/>
      <w:r w:rsidR="00C805F2" w:rsidRPr="0059188A">
        <w:rPr>
          <w:lang w:val="en-AU"/>
        </w:rPr>
        <w:t>intravitreal</w:t>
      </w:r>
      <w:proofErr w:type="spellEnd"/>
      <w:r w:rsidR="00C805F2" w:rsidRPr="0059188A">
        <w:rPr>
          <w:lang w:val="en-AU"/>
        </w:rPr>
        <w:t xml:space="preserve"> injection</w:t>
      </w:r>
      <w:r w:rsidRPr="0059188A">
        <w:rPr>
          <w:lang w:val="en-AU"/>
        </w:rPr>
        <w:t xml:space="preserve">. </w:t>
      </w:r>
    </w:p>
    <w:p w:rsidR="00A1753F" w:rsidRPr="0059188A" w:rsidRDefault="00A1753F" w:rsidP="00C010BA">
      <w:pPr>
        <w:jc w:val="both"/>
        <w:rPr>
          <w:lang w:val="en-AU"/>
        </w:rPr>
      </w:pPr>
    </w:p>
    <w:p w:rsidR="005B5F1D" w:rsidRPr="0059188A" w:rsidRDefault="005B5F1D" w:rsidP="005B5F1D">
      <w:pPr>
        <w:jc w:val="both"/>
        <w:rPr>
          <w:lang w:val="en-AU"/>
        </w:rPr>
      </w:pPr>
      <w:r w:rsidRPr="0059188A">
        <w:rPr>
          <w:lang w:val="en-AU"/>
        </w:rPr>
        <w:t>Excipients:</w:t>
      </w:r>
      <w:r w:rsidR="00133B90" w:rsidRPr="0059188A">
        <w:rPr>
          <w:lang w:val="en-AU"/>
        </w:rPr>
        <w:t xml:space="preserve"> </w:t>
      </w:r>
      <w:proofErr w:type="spellStart"/>
      <w:r w:rsidR="00133B90" w:rsidRPr="0059188A">
        <w:rPr>
          <w:lang w:val="en-AU"/>
        </w:rPr>
        <w:t>Polysorbate</w:t>
      </w:r>
      <w:proofErr w:type="spellEnd"/>
      <w:r w:rsidR="00133B90" w:rsidRPr="0059188A">
        <w:rPr>
          <w:lang w:val="en-AU"/>
        </w:rPr>
        <w:t xml:space="preserve"> 20,</w:t>
      </w:r>
      <w:r w:rsidR="0014502D" w:rsidRPr="0059188A">
        <w:rPr>
          <w:lang w:val="en-AU"/>
        </w:rPr>
        <w:t xml:space="preserve"> sodium phosphate</w:t>
      </w:r>
      <w:r w:rsidR="00133B90" w:rsidRPr="0059188A">
        <w:rPr>
          <w:lang w:val="en-AU"/>
        </w:rPr>
        <w:t xml:space="preserve"> - </w:t>
      </w:r>
      <w:r w:rsidR="0014502D" w:rsidRPr="0059188A">
        <w:rPr>
          <w:lang w:val="en-AU"/>
        </w:rPr>
        <w:t>monobasic</w:t>
      </w:r>
      <w:r w:rsidR="00133B90" w:rsidRPr="0059188A">
        <w:rPr>
          <w:lang w:val="en-AU"/>
        </w:rPr>
        <w:t xml:space="preserve"> monohydrate, sodium phosphate -</w:t>
      </w:r>
      <w:r w:rsidR="0014502D" w:rsidRPr="0059188A">
        <w:rPr>
          <w:lang w:val="en-AU"/>
        </w:rPr>
        <w:t xml:space="preserve"> dibasic</w:t>
      </w:r>
      <w:r w:rsidR="00133B90" w:rsidRPr="0059188A">
        <w:rPr>
          <w:lang w:val="en-AU"/>
        </w:rPr>
        <w:t>, sodium chloride,</w:t>
      </w:r>
      <w:r w:rsidR="0014502D" w:rsidRPr="0059188A">
        <w:rPr>
          <w:lang w:val="en-AU"/>
        </w:rPr>
        <w:t xml:space="preserve"> sucrose</w:t>
      </w:r>
      <w:r w:rsidR="00133B90" w:rsidRPr="0059188A">
        <w:rPr>
          <w:lang w:val="en-AU"/>
        </w:rPr>
        <w:t>,</w:t>
      </w:r>
      <w:r w:rsidR="0014502D" w:rsidRPr="0059188A">
        <w:rPr>
          <w:lang w:val="en-AU"/>
        </w:rPr>
        <w:t xml:space="preserve"> water for injection</w:t>
      </w:r>
      <w:r w:rsidR="00FE3C1D" w:rsidRPr="0059188A">
        <w:rPr>
          <w:lang w:val="en-AU"/>
        </w:rPr>
        <w:t>s</w:t>
      </w:r>
      <w:r w:rsidR="0014502D" w:rsidRPr="0059188A">
        <w:rPr>
          <w:lang w:val="en-AU"/>
        </w:rPr>
        <w:t xml:space="preserve">.  </w:t>
      </w:r>
    </w:p>
    <w:p w:rsidR="005B5F1D" w:rsidRPr="0059188A" w:rsidRDefault="005B5F1D" w:rsidP="00C010BA">
      <w:pPr>
        <w:jc w:val="both"/>
        <w:rPr>
          <w:lang w:val="en-AU"/>
        </w:rPr>
      </w:pPr>
    </w:p>
    <w:p w:rsidR="00A1753F" w:rsidRPr="0059188A" w:rsidRDefault="00A1753F" w:rsidP="00D4671A">
      <w:pPr>
        <w:pStyle w:val="Heading1"/>
        <w:rPr>
          <w:rFonts w:ascii="Times New Roman Bold" w:hAnsi="Times New Roman Bold"/>
          <w:lang w:val="en-AU"/>
        </w:rPr>
      </w:pPr>
      <w:r w:rsidRPr="0059188A">
        <w:rPr>
          <w:rFonts w:ascii="Times New Roman Bold" w:hAnsi="Times New Roman Bold"/>
          <w:lang w:val="en-AU"/>
        </w:rPr>
        <w:t xml:space="preserve">PHARMACOLOGY </w:t>
      </w:r>
    </w:p>
    <w:p w:rsidR="00A20A54" w:rsidRPr="0059188A" w:rsidRDefault="00A20A54" w:rsidP="00D4671A">
      <w:pPr>
        <w:pStyle w:val="Heading2"/>
        <w:rPr>
          <w:rFonts w:ascii="Times New Roman Bold" w:hAnsi="Times New Roman Bold"/>
          <w:bCs w:val="0"/>
          <w:i w:val="0"/>
          <w:lang w:val="en-AU"/>
        </w:rPr>
      </w:pPr>
      <w:proofErr w:type="spellStart"/>
      <w:r w:rsidRPr="0059188A">
        <w:rPr>
          <w:rFonts w:ascii="Times New Roman Bold" w:hAnsi="Times New Roman Bold"/>
          <w:bCs w:val="0"/>
          <w:i w:val="0"/>
          <w:lang w:val="en-AU"/>
        </w:rPr>
        <w:t>Pharmacodynamic</w:t>
      </w:r>
      <w:proofErr w:type="spellEnd"/>
      <w:r w:rsidRPr="0059188A">
        <w:rPr>
          <w:rFonts w:ascii="Times New Roman Bold" w:hAnsi="Times New Roman Bold"/>
          <w:bCs w:val="0"/>
          <w:i w:val="0"/>
          <w:lang w:val="en-AU"/>
        </w:rPr>
        <w:t xml:space="preserve"> properties</w:t>
      </w:r>
    </w:p>
    <w:p w:rsidR="00A20A54" w:rsidRPr="0059188A" w:rsidRDefault="00A20A54" w:rsidP="00A20A54">
      <w:pPr>
        <w:jc w:val="both"/>
        <w:rPr>
          <w:lang w:val="en-AU"/>
        </w:rPr>
      </w:pPr>
    </w:p>
    <w:p w:rsidR="00A20A54" w:rsidRPr="0059188A" w:rsidRDefault="00A20A54" w:rsidP="00A20A54">
      <w:pPr>
        <w:jc w:val="both"/>
        <w:rPr>
          <w:lang w:val="en-AU"/>
        </w:rPr>
      </w:pPr>
      <w:proofErr w:type="spellStart"/>
      <w:r w:rsidRPr="0059188A">
        <w:rPr>
          <w:lang w:val="en-AU"/>
        </w:rPr>
        <w:t>Pharmacotherapeutic</w:t>
      </w:r>
      <w:proofErr w:type="spellEnd"/>
      <w:r w:rsidRPr="0059188A">
        <w:rPr>
          <w:lang w:val="en-AU"/>
        </w:rPr>
        <w:t xml:space="preserve"> group: </w:t>
      </w:r>
      <w:r w:rsidRPr="0059188A">
        <w:rPr>
          <w:lang w:val="en-AU"/>
        </w:rPr>
        <w:tab/>
      </w:r>
      <w:proofErr w:type="spellStart"/>
      <w:r w:rsidRPr="0059188A">
        <w:rPr>
          <w:lang w:val="en-AU"/>
        </w:rPr>
        <w:t>Ophthalmologicals</w:t>
      </w:r>
      <w:proofErr w:type="spellEnd"/>
      <w:r w:rsidRPr="0059188A">
        <w:rPr>
          <w:lang w:val="en-AU"/>
        </w:rPr>
        <w:t xml:space="preserve"> / </w:t>
      </w:r>
      <w:proofErr w:type="spellStart"/>
      <w:r w:rsidRPr="0059188A">
        <w:rPr>
          <w:lang w:val="en-AU"/>
        </w:rPr>
        <w:t>Antineovasculari</w:t>
      </w:r>
      <w:r w:rsidR="0009686D" w:rsidRPr="0059188A">
        <w:rPr>
          <w:lang w:val="en-AU"/>
        </w:rPr>
        <w:t>s</w:t>
      </w:r>
      <w:r w:rsidRPr="0059188A">
        <w:rPr>
          <w:lang w:val="en-AU"/>
        </w:rPr>
        <w:t>ation</w:t>
      </w:r>
      <w:proofErr w:type="spellEnd"/>
      <w:r w:rsidRPr="0059188A">
        <w:rPr>
          <w:lang w:val="en-AU"/>
        </w:rPr>
        <w:t xml:space="preserve"> agents</w:t>
      </w:r>
    </w:p>
    <w:p w:rsidR="00A20A54" w:rsidRPr="0059188A" w:rsidRDefault="00A20A54" w:rsidP="00A20A54">
      <w:pPr>
        <w:jc w:val="both"/>
        <w:rPr>
          <w:lang w:val="en-AU"/>
        </w:rPr>
      </w:pPr>
      <w:r w:rsidRPr="0059188A">
        <w:rPr>
          <w:lang w:val="en-AU"/>
        </w:rPr>
        <w:t>ATC Code:</w:t>
      </w:r>
      <w:r w:rsidRPr="0059188A">
        <w:rPr>
          <w:lang w:val="en-AU"/>
        </w:rPr>
        <w:tab/>
      </w:r>
      <w:r w:rsidRPr="0059188A">
        <w:rPr>
          <w:lang w:val="en-AU"/>
        </w:rPr>
        <w:tab/>
      </w:r>
      <w:r w:rsidRPr="0059188A">
        <w:rPr>
          <w:lang w:val="en-AU"/>
        </w:rPr>
        <w:tab/>
        <w:t>S01LA05</w:t>
      </w:r>
    </w:p>
    <w:p w:rsidR="00A20A54" w:rsidRPr="0059188A" w:rsidRDefault="00A20A54" w:rsidP="00A20A54">
      <w:pPr>
        <w:jc w:val="both"/>
        <w:rPr>
          <w:lang w:val="en-AU"/>
        </w:rPr>
      </w:pPr>
    </w:p>
    <w:p w:rsidR="00A20A54" w:rsidRPr="0059188A" w:rsidRDefault="00A20A54" w:rsidP="00A20A54">
      <w:pPr>
        <w:jc w:val="both"/>
        <w:rPr>
          <w:lang w:val="en-AU"/>
        </w:rPr>
      </w:pPr>
      <w:proofErr w:type="spellStart"/>
      <w:r w:rsidRPr="0059188A">
        <w:rPr>
          <w:lang w:val="en-AU"/>
        </w:rPr>
        <w:t>Aflibercept</w:t>
      </w:r>
      <w:proofErr w:type="spellEnd"/>
      <w:r w:rsidRPr="0059188A">
        <w:rPr>
          <w:lang w:val="en-AU"/>
        </w:rPr>
        <w:t xml:space="preserve"> is a recombinant fusion protein consisting of portions of human VEGF receptor 1 and 2 extracellular domains fused to the Fc portion of human IgG1. </w:t>
      </w:r>
      <w:proofErr w:type="spellStart"/>
      <w:r w:rsidRPr="0059188A">
        <w:rPr>
          <w:lang w:val="en-AU"/>
        </w:rPr>
        <w:t>Aflibercept</w:t>
      </w:r>
      <w:proofErr w:type="spellEnd"/>
      <w:r w:rsidRPr="0059188A">
        <w:rPr>
          <w:lang w:val="en-AU"/>
        </w:rPr>
        <w:t xml:space="preserve"> is produced in Chinese hamster ovary (CHO) K1 cells by recombinant DNA technology.</w:t>
      </w:r>
    </w:p>
    <w:p w:rsidR="00A20A54" w:rsidRPr="0059188A" w:rsidRDefault="00A20A54" w:rsidP="00D4671A">
      <w:pPr>
        <w:pStyle w:val="Heading3"/>
        <w:rPr>
          <w:rFonts w:ascii="Times New Roman Bold" w:hAnsi="Times New Roman Bold"/>
          <w:i/>
          <w:sz w:val="28"/>
          <w:szCs w:val="28"/>
          <w:lang w:val="en-AU"/>
        </w:rPr>
      </w:pPr>
      <w:r w:rsidRPr="0059188A">
        <w:rPr>
          <w:rFonts w:ascii="Times New Roman Bold" w:hAnsi="Times New Roman Bold"/>
          <w:i/>
          <w:sz w:val="28"/>
          <w:szCs w:val="28"/>
          <w:lang w:val="en-AU"/>
        </w:rPr>
        <w:t>Mechanism of action</w:t>
      </w:r>
    </w:p>
    <w:p w:rsidR="00A20A54" w:rsidRPr="0059188A" w:rsidRDefault="00A20A54" w:rsidP="00A20A54">
      <w:pPr>
        <w:jc w:val="both"/>
        <w:rPr>
          <w:lang w:val="en-AU"/>
        </w:rPr>
      </w:pPr>
      <w:r w:rsidRPr="0059188A">
        <w:rPr>
          <w:lang w:val="en-AU"/>
        </w:rPr>
        <w:t xml:space="preserve">     </w:t>
      </w:r>
    </w:p>
    <w:p w:rsidR="00A20A54" w:rsidRPr="0059188A" w:rsidRDefault="00A20A54" w:rsidP="00A20A54">
      <w:pPr>
        <w:jc w:val="both"/>
        <w:rPr>
          <w:lang w:val="en-AU"/>
        </w:rPr>
      </w:pPr>
      <w:r w:rsidRPr="0059188A">
        <w:rPr>
          <w:lang w:val="en-AU"/>
        </w:rPr>
        <w:t>Vascular endothelial growth factor-A (VEGF-A) and placental growth factor (</w:t>
      </w:r>
      <w:proofErr w:type="spellStart"/>
      <w:r w:rsidRPr="0059188A">
        <w:rPr>
          <w:lang w:val="en-AU"/>
        </w:rPr>
        <w:t>PlGF</w:t>
      </w:r>
      <w:proofErr w:type="spellEnd"/>
      <w:r w:rsidRPr="0059188A">
        <w:rPr>
          <w:lang w:val="en-AU"/>
        </w:rPr>
        <w:t xml:space="preserve">) are members of the VEGF family of </w:t>
      </w:r>
      <w:proofErr w:type="spellStart"/>
      <w:r w:rsidRPr="0059188A">
        <w:rPr>
          <w:lang w:val="en-AU"/>
        </w:rPr>
        <w:t>angiogenic</w:t>
      </w:r>
      <w:proofErr w:type="spellEnd"/>
      <w:r w:rsidRPr="0059188A">
        <w:rPr>
          <w:lang w:val="en-AU"/>
        </w:rPr>
        <w:t xml:space="preserve"> factors that can act as potent </w:t>
      </w:r>
      <w:proofErr w:type="spellStart"/>
      <w:r w:rsidRPr="0059188A">
        <w:rPr>
          <w:lang w:val="en-AU"/>
        </w:rPr>
        <w:t>mitogenic</w:t>
      </w:r>
      <w:proofErr w:type="spellEnd"/>
      <w:r w:rsidRPr="0059188A">
        <w:rPr>
          <w:lang w:val="en-AU"/>
        </w:rPr>
        <w:t xml:space="preserve">, chemotactic, and vascular permeability factors for endothelial cells. VEGF acts via two receptor tyrosine kinases, VEGFR-1 and VEGFR-2, present on the surface of endothelial cells. </w:t>
      </w:r>
      <w:proofErr w:type="spellStart"/>
      <w:r w:rsidRPr="0059188A">
        <w:rPr>
          <w:lang w:val="en-AU"/>
        </w:rPr>
        <w:t>PlGF</w:t>
      </w:r>
      <w:proofErr w:type="spellEnd"/>
      <w:r w:rsidRPr="0059188A">
        <w:rPr>
          <w:lang w:val="en-AU"/>
        </w:rPr>
        <w:t xml:space="preserve"> binds only to VEGFR-1, which is also present on the surface of leu</w:t>
      </w:r>
      <w:r w:rsidR="00937AC6" w:rsidRPr="0059188A">
        <w:rPr>
          <w:lang w:val="en-AU"/>
        </w:rPr>
        <w:t>k</w:t>
      </w:r>
      <w:r w:rsidRPr="0059188A">
        <w:rPr>
          <w:lang w:val="en-AU"/>
        </w:rPr>
        <w:t xml:space="preserve">ocytes. Excessive activation of these receptors by VEGF-A can result in pathological neovascularisation and excessive vascular permeability. </w:t>
      </w:r>
      <w:proofErr w:type="spellStart"/>
      <w:r w:rsidRPr="0059188A">
        <w:rPr>
          <w:lang w:val="en-AU"/>
        </w:rPr>
        <w:t>PlGF</w:t>
      </w:r>
      <w:proofErr w:type="spellEnd"/>
      <w:r w:rsidRPr="0059188A">
        <w:rPr>
          <w:lang w:val="en-AU"/>
        </w:rPr>
        <w:t xml:space="preserve"> can synergise with VEGF-A in these processes, and is also known to promote leukocyte infiltration and vascular inflammation. A variety of ocular diseases</w:t>
      </w:r>
      <w:r w:rsidR="009B301C">
        <w:rPr>
          <w:lang w:val="en-AU"/>
        </w:rPr>
        <w:t xml:space="preserve"> is</w:t>
      </w:r>
      <w:r w:rsidRPr="0059188A">
        <w:rPr>
          <w:lang w:val="en-AU"/>
        </w:rPr>
        <w:t xml:space="preserve"> associated with pathologic neovascularisation and vascular leakage, and</w:t>
      </w:r>
      <w:r w:rsidR="009B301C">
        <w:rPr>
          <w:lang w:val="en-AU"/>
        </w:rPr>
        <w:t>/or</w:t>
      </w:r>
      <w:r w:rsidRPr="0059188A">
        <w:rPr>
          <w:lang w:val="en-AU"/>
        </w:rPr>
        <w:t xml:space="preserve"> can result in thickening and oedema of the retina, which is thought to contribute to vision loss.</w:t>
      </w:r>
    </w:p>
    <w:p w:rsidR="00A20A54" w:rsidRPr="0059188A" w:rsidRDefault="00A20A54" w:rsidP="00A20A54">
      <w:pPr>
        <w:jc w:val="both"/>
        <w:rPr>
          <w:lang w:val="en-AU"/>
        </w:rPr>
      </w:pPr>
    </w:p>
    <w:p w:rsidR="00A05589" w:rsidRPr="0059188A" w:rsidRDefault="00A20A54" w:rsidP="00A20A54">
      <w:pPr>
        <w:jc w:val="both"/>
        <w:rPr>
          <w:lang w:val="en-AU"/>
        </w:rPr>
      </w:pPr>
      <w:proofErr w:type="spellStart"/>
      <w:r w:rsidRPr="0059188A">
        <w:rPr>
          <w:lang w:val="en-AU"/>
        </w:rPr>
        <w:t>Aflibercept</w:t>
      </w:r>
      <w:proofErr w:type="spellEnd"/>
      <w:r w:rsidRPr="0059188A">
        <w:rPr>
          <w:lang w:val="en-AU"/>
        </w:rPr>
        <w:t xml:space="preserve"> acts as a soluble decoy receptor that binds VEGF-A and </w:t>
      </w:r>
      <w:proofErr w:type="spellStart"/>
      <w:r w:rsidRPr="0059188A">
        <w:rPr>
          <w:lang w:val="en-AU"/>
        </w:rPr>
        <w:t>PlGF</w:t>
      </w:r>
      <w:proofErr w:type="spellEnd"/>
      <w:r w:rsidRPr="0059188A">
        <w:rPr>
          <w:lang w:val="en-AU"/>
        </w:rPr>
        <w:t xml:space="preserve"> with higher affinity than their natural receptors, and thereby can inhibit the binding and activation of these cognate VEGF receptors. The equilibrium dissociation constant (K</w:t>
      </w:r>
      <w:r w:rsidRPr="0059188A">
        <w:rPr>
          <w:vertAlign w:val="subscript"/>
          <w:lang w:val="en-AU"/>
        </w:rPr>
        <w:t>D</w:t>
      </w:r>
      <w:r w:rsidRPr="0059188A">
        <w:rPr>
          <w:lang w:val="en-AU"/>
        </w:rPr>
        <w:t xml:space="preserve">) for </w:t>
      </w:r>
      <w:proofErr w:type="spellStart"/>
      <w:r w:rsidRPr="0059188A">
        <w:rPr>
          <w:lang w:val="en-AU"/>
        </w:rPr>
        <w:t>aflibercept</w:t>
      </w:r>
      <w:proofErr w:type="spellEnd"/>
      <w:r w:rsidRPr="0059188A">
        <w:rPr>
          <w:lang w:val="en-AU"/>
        </w:rPr>
        <w:t xml:space="preserve"> binding to human VEGF-A</w:t>
      </w:r>
      <w:r w:rsidRPr="0059188A">
        <w:rPr>
          <w:vertAlign w:val="subscript"/>
          <w:lang w:val="en-AU"/>
        </w:rPr>
        <w:t>165</w:t>
      </w:r>
      <w:r w:rsidRPr="0059188A">
        <w:rPr>
          <w:lang w:val="en-AU"/>
        </w:rPr>
        <w:t xml:space="preserve"> is 0.5 </w:t>
      </w:r>
      <w:proofErr w:type="spellStart"/>
      <w:r w:rsidRPr="0059188A">
        <w:rPr>
          <w:lang w:val="en-AU"/>
        </w:rPr>
        <w:t>pM</w:t>
      </w:r>
      <w:proofErr w:type="spellEnd"/>
      <w:r w:rsidRPr="0059188A">
        <w:rPr>
          <w:lang w:val="en-AU"/>
        </w:rPr>
        <w:t xml:space="preserve"> and to human VEGF-A</w:t>
      </w:r>
      <w:r w:rsidRPr="0059188A">
        <w:rPr>
          <w:vertAlign w:val="subscript"/>
          <w:lang w:val="en-AU"/>
        </w:rPr>
        <w:t>121</w:t>
      </w:r>
      <w:r w:rsidRPr="0059188A">
        <w:rPr>
          <w:lang w:val="en-AU"/>
        </w:rPr>
        <w:t xml:space="preserve"> is 0.36 </w:t>
      </w:r>
      <w:proofErr w:type="spellStart"/>
      <w:r w:rsidRPr="0059188A">
        <w:rPr>
          <w:lang w:val="en-AU"/>
        </w:rPr>
        <w:t>pM</w:t>
      </w:r>
      <w:proofErr w:type="spellEnd"/>
      <w:r w:rsidRPr="0059188A">
        <w:rPr>
          <w:lang w:val="en-AU"/>
        </w:rPr>
        <w:t>. The K</w:t>
      </w:r>
      <w:r w:rsidRPr="0059188A">
        <w:rPr>
          <w:vertAlign w:val="subscript"/>
          <w:lang w:val="en-AU"/>
        </w:rPr>
        <w:t>D</w:t>
      </w:r>
      <w:r w:rsidRPr="0059188A">
        <w:rPr>
          <w:lang w:val="en-AU"/>
        </w:rPr>
        <w:t xml:space="preserve"> for binding to human PlGF-2 is 39 </w:t>
      </w:r>
      <w:proofErr w:type="spellStart"/>
      <w:r w:rsidRPr="0059188A">
        <w:rPr>
          <w:lang w:val="en-AU"/>
        </w:rPr>
        <w:t>pM</w:t>
      </w:r>
      <w:proofErr w:type="spellEnd"/>
      <w:r w:rsidRPr="0059188A">
        <w:rPr>
          <w:lang w:val="en-AU"/>
        </w:rPr>
        <w:t>.</w:t>
      </w:r>
    </w:p>
    <w:p w:rsidR="00A20A54" w:rsidRPr="0059188A" w:rsidRDefault="00A20A54" w:rsidP="00A20A54">
      <w:pPr>
        <w:jc w:val="both"/>
        <w:rPr>
          <w:lang w:val="en-AU"/>
        </w:rPr>
      </w:pPr>
    </w:p>
    <w:p w:rsidR="00A20A54" w:rsidRPr="0059188A" w:rsidRDefault="00A20A54" w:rsidP="00D4671A">
      <w:pPr>
        <w:pStyle w:val="Heading3"/>
        <w:rPr>
          <w:rFonts w:ascii="Times New Roman Bold" w:hAnsi="Times New Roman Bold"/>
          <w:i/>
          <w:sz w:val="28"/>
          <w:szCs w:val="28"/>
          <w:lang w:val="en-AU"/>
        </w:rPr>
      </w:pPr>
      <w:proofErr w:type="spellStart"/>
      <w:r w:rsidRPr="0059188A">
        <w:rPr>
          <w:rFonts w:ascii="Times New Roman Bold" w:hAnsi="Times New Roman Bold"/>
          <w:i/>
          <w:sz w:val="28"/>
          <w:szCs w:val="28"/>
          <w:lang w:val="en-AU"/>
        </w:rPr>
        <w:lastRenderedPageBreak/>
        <w:t>Pharmacodynamic</w:t>
      </w:r>
      <w:proofErr w:type="spellEnd"/>
      <w:r w:rsidRPr="0059188A">
        <w:rPr>
          <w:rFonts w:ascii="Times New Roman Bold" w:hAnsi="Times New Roman Bold"/>
          <w:i/>
          <w:sz w:val="28"/>
          <w:szCs w:val="28"/>
          <w:lang w:val="en-AU"/>
        </w:rPr>
        <w:t xml:space="preserve"> effects</w:t>
      </w:r>
    </w:p>
    <w:p w:rsidR="00701ECD" w:rsidRPr="004A2828" w:rsidRDefault="00701ECD" w:rsidP="001B5410">
      <w:pPr>
        <w:pStyle w:val="PIheading3"/>
        <w:keepNext/>
        <w:keepLines/>
        <w:spacing w:before="240"/>
        <w:outlineLvl w:val="3"/>
        <w:rPr>
          <w:u w:val="single"/>
          <w:lang w:val="en-AU"/>
        </w:rPr>
      </w:pPr>
      <w:proofErr w:type="spellStart"/>
      <w:r w:rsidRPr="004A2828">
        <w:rPr>
          <w:u w:val="single"/>
          <w:lang w:val="en-AU"/>
        </w:rPr>
        <w:t>Neovascular</w:t>
      </w:r>
      <w:proofErr w:type="spellEnd"/>
      <w:r w:rsidRPr="004A2828">
        <w:rPr>
          <w:u w:val="single"/>
          <w:lang w:val="en-AU"/>
        </w:rPr>
        <w:t xml:space="preserve"> (wet) age-related macular degeneration (wet AMD)</w:t>
      </w:r>
    </w:p>
    <w:p w:rsidR="00701ECD" w:rsidRPr="0059188A" w:rsidRDefault="00701ECD" w:rsidP="001B5410">
      <w:pPr>
        <w:keepNext/>
        <w:keepLines/>
        <w:jc w:val="both"/>
        <w:rPr>
          <w:lang w:val="en-AU"/>
        </w:rPr>
      </w:pPr>
    </w:p>
    <w:p w:rsidR="00A05589" w:rsidRPr="0059188A" w:rsidRDefault="00A05589" w:rsidP="001B5410">
      <w:pPr>
        <w:keepNext/>
        <w:keepLines/>
        <w:jc w:val="both"/>
        <w:rPr>
          <w:lang w:val="en-AU"/>
        </w:rPr>
      </w:pPr>
      <w:r w:rsidRPr="0059188A">
        <w:rPr>
          <w:lang w:val="en-AU"/>
        </w:rPr>
        <w:t>Wet AMD is characteris</w:t>
      </w:r>
      <w:r w:rsidR="00A20A54" w:rsidRPr="0059188A">
        <w:rPr>
          <w:lang w:val="en-AU"/>
        </w:rPr>
        <w:t>ed by path</w:t>
      </w:r>
      <w:r w:rsidRPr="0059188A">
        <w:rPr>
          <w:lang w:val="en-AU"/>
        </w:rPr>
        <w:t>ological choroidal neovascularis</w:t>
      </w:r>
      <w:r w:rsidR="00A20A54" w:rsidRPr="0059188A">
        <w:rPr>
          <w:lang w:val="en-AU"/>
        </w:rPr>
        <w:t xml:space="preserve">ation (CNV). Leakage of blood and fluid from CNV may cause retinal </w:t>
      </w:r>
      <w:r w:rsidRPr="0059188A">
        <w:rPr>
          <w:lang w:val="en-AU"/>
        </w:rPr>
        <w:t>o</w:t>
      </w:r>
      <w:r w:rsidR="00A20A54" w:rsidRPr="0059188A">
        <w:rPr>
          <w:lang w:val="en-AU"/>
        </w:rPr>
        <w:t>edema and/or sub-/intra-retinal h</w:t>
      </w:r>
      <w:r w:rsidRPr="0059188A">
        <w:rPr>
          <w:lang w:val="en-AU"/>
        </w:rPr>
        <w:t>a</w:t>
      </w:r>
      <w:r w:rsidR="00A20A54" w:rsidRPr="0059188A">
        <w:rPr>
          <w:lang w:val="en-AU"/>
        </w:rPr>
        <w:t>emorrhage, resulting in loss of visual acuity.</w:t>
      </w:r>
    </w:p>
    <w:p w:rsidR="00A05589" w:rsidRPr="0059188A" w:rsidRDefault="00A05589" w:rsidP="001B5410">
      <w:pPr>
        <w:keepNext/>
        <w:keepLines/>
        <w:jc w:val="both"/>
        <w:rPr>
          <w:lang w:val="en-AU"/>
        </w:rPr>
      </w:pPr>
    </w:p>
    <w:p w:rsidR="00A20A54" w:rsidRPr="0059188A" w:rsidRDefault="00A20A54" w:rsidP="00A20A54">
      <w:pPr>
        <w:jc w:val="both"/>
        <w:rPr>
          <w:lang w:val="en-AU"/>
        </w:rPr>
      </w:pPr>
      <w:r w:rsidRPr="0059188A">
        <w:rPr>
          <w:lang w:val="en-AU"/>
        </w:rPr>
        <w:t xml:space="preserve">In patients treated with EYLEA (one injection per month for three consecutive months, followed by one injection every 2 months), retinal thickness decreased soon after treatment initiation, and the mean CNV lesion size was reduced, consistent with the results seen with </w:t>
      </w:r>
      <w:proofErr w:type="spellStart"/>
      <w:r w:rsidRPr="0059188A">
        <w:rPr>
          <w:lang w:val="en-AU"/>
        </w:rPr>
        <w:t>ranibizumab</w:t>
      </w:r>
      <w:proofErr w:type="spellEnd"/>
      <w:r w:rsidRPr="0059188A">
        <w:rPr>
          <w:lang w:val="en-AU"/>
        </w:rPr>
        <w:t xml:space="preserve"> 0.5 mg every month.</w:t>
      </w:r>
    </w:p>
    <w:p w:rsidR="00A05589" w:rsidRPr="0059188A" w:rsidRDefault="00A05589" w:rsidP="00A20A54">
      <w:pPr>
        <w:jc w:val="both"/>
        <w:rPr>
          <w:lang w:val="en-AU"/>
        </w:rPr>
      </w:pPr>
    </w:p>
    <w:p w:rsidR="00A1753F" w:rsidRDefault="00A20A54" w:rsidP="00A20A54">
      <w:pPr>
        <w:jc w:val="both"/>
        <w:rPr>
          <w:lang w:val="en-AU"/>
        </w:rPr>
      </w:pPr>
      <w:r w:rsidRPr="0059188A">
        <w:rPr>
          <w:lang w:val="en-AU"/>
        </w:rPr>
        <w:t xml:space="preserve">In </w:t>
      </w:r>
      <w:r w:rsidR="00A05589" w:rsidRPr="0059188A">
        <w:rPr>
          <w:lang w:val="en-AU"/>
        </w:rPr>
        <w:t xml:space="preserve">pivotal phase III clinical studies, </w:t>
      </w:r>
      <w:r w:rsidRPr="0059188A">
        <w:rPr>
          <w:lang w:val="en-AU"/>
        </w:rPr>
        <w:t>VIEW</w:t>
      </w:r>
      <w:r w:rsidR="00A05589" w:rsidRPr="0059188A">
        <w:rPr>
          <w:lang w:val="en-AU"/>
        </w:rPr>
        <w:t xml:space="preserve"> </w:t>
      </w:r>
      <w:r w:rsidRPr="0059188A">
        <w:rPr>
          <w:lang w:val="en-AU"/>
        </w:rPr>
        <w:t>1</w:t>
      </w:r>
      <w:r w:rsidR="00A05589" w:rsidRPr="0059188A">
        <w:rPr>
          <w:lang w:val="en-AU"/>
        </w:rPr>
        <w:t xml:space="preserve"> and VIEW 2, </w:t>
      </w:r>
      <w:r w:rsidRPr="0059188A">
        <w:rPr>
          <w:lang w:val="en-AU"/>
        </w:rPr>
        <w:t>there were mean decreases in retinal thickness on optical coherence tomography (OCT)</w:t>
      </w:r>
      <w:r w:rsidR="00A05589" w:rsidRPr="0059188A">
        <w:rPr>
          <w:lang w:val="en-AU"/>
        </w:rPr>
        <w:t xml:space="preserve"> at week 52:</w:t>
      </w:r>
      <w:r w:rsidRPr="0059188A">
        <w:rPr>
          <w:lang w:val="en-AU"/>
        </w:rPr>
        <w:t xml:space="preserve"> -130 and </w:t>
      </w:r>
      <w:r w:rsidR="00A0615B">
        <w:rPr>
          <w:lang w:val="en-AU"/>
        </w:rPr>
        <w:noBreakHyphen/>
      </w:r>
      <w:r w:rsidRPr="0059188A">
        <w:rPr>
          <w:lang w:val="en-AU"/>
        </w:rPr>
        <w:t xml:space="preserve">129 microns for the EYLEA 2 mg every two months and </w:t>
      </w:r>
      <w:proofErr w:type="spellStart"/>
      <w:r w:rsidRPr="0059188A">
        <w:rPr>
          <w:lang w:val="en-AU"/>
        </w:rPr>
        <w:t>ranibizumab</w:t>
      </w:r>
      <w:proofErr w:type="spellEnd"/>
      <w:r w:rsidRPr="0059188A">
        <w:rPr>
          <w:lang w:val="en-AU"/>
        </w:rPr>
        <w:t xml:space="preserve"> 0.5 mg every month study groups, respectively</w:t>
      </w:r>
      <w:r w:rsidR="00A05589" w:rsidRPr="0059188A">
        <w:rPr>
          <w:lang w:val="en-AU"/>
        </w:rPr>
        <w:t>, in VIEW 1;</w:t>
      </w:r>
      <w:r w:rsidRPr="0059188A">
        <w:rPr>
          <w:lang w:val="en-AU"/>
        </w:rPr>
        <w:t xml:space="preserve"> -149 and -139 microns for the EYLEA 2 mg every two months, and </w:t>
      </w:r>
      <w:proofErr w:type="spellStart"/>
      <w:r w:rsidRPr="0059188A">
        <w:rPr>
          <w:lang w:val="en-AU"/>
        </w:rPr>
        <w:t>ranibizumab</w:t>
      </w:r>
      <w:proofErr w:type="spellEnd"/>
      <w:r w:rsidRPr="0059188A">
        <w:rPr>
          <w:lang w:val="en-AU"/>
        </w:rPr>
        <w:t xml:space="preserve"> 0.5 mg every month study groups, respectively</w:t>
      </w:r>
      <w:r w:rsidR="00A05589" w:rsidRPr="0059188A">
        <w:rPr>
          <w:lang w:val="en-AU"/>
        </w:rPr>
        <w:t xml:space="preserve">, in VIEW 2. </w:t>
      </w:r>
    </w:p>
    <w:p w:rsidR="009B301C" w:rsidRDefault="009B301C" w:rsidP="00A20A54">
      <w:pPr>
        <w:jc w:val="both"/>
        <w:rPr>
          <w:lang w:val="en-AU"/>
        </w:rPr>
      </w:pPr>
    </w:p>
    <w:p w:rsidR="009B301C" w:rsidRPr="0059188A" w:rsidRDefault="009B301C" w:rsidP="00A20A54">
      <w:pPr>
        <w:jc w:val="both"/>
        <w:rPr>
          <w:lang w:val="en-AU"/>
        </w:rPr>
      </w:pPr>
      <w:r>
        <w:rPr>
          <w:lang w:val="en-AU"/>
        </w:rPr>
        <w:t>The reduction of CNV size and reduction in retinal thickness were generally maintained in the second year of the studies.</w:t>
      </w:r>
    </w:p>
    <w:p w:rsidR="00701ECD" w:rsidRPr="004A2828" w:rsidRDefault="00701ECD" w:rsidP="00B872CE">
      <w:pPr>
        <w:pStyle w:val="PIheading3"/>
        <w:spacing w:before="240"/>
        <w:outlineLvl w:val="3"/>
        <w:rPr>
          <w:u w:val="single"/>
          <w:lang w:val="en-AU"/>
        </w:rPr>
      </w:pPr>
      <w:r w:rsidRPr="004A2828">
        <w:rPr>
          <w:u w:val="single"/>
          <w:lang w:val="en-AU"/>
        </w:rPr>
        <w:t>Macular oedema following central retinal vein occlusion (CRVO)</w:t>
      </w:r>
    </w:p>
    <w:p w:rsidR="00701ECD" w:rsidRPr="0059188A" w:rsidRDefault="00701ECD" w:rsidP="00A20A54">
      <w:pPr>
        <w:jc w:val="both"/>
        <w:rPr>
          <w:lang w:val="en-AU"/>
        </w:rPr>
      </w:pPr>
    </w:p>
    <w:p w:rsidR="00701ECD" w:rsidRPr="0059188A" w:rsidRDefault="00701ECD" w:rsidP="00701ECD">
      <w:pPr>
        <w:jc w:val="both"/>
        <w:rPr>
          <w:lang w:val="en-AU"/>
        </w:rPr>
      </w:pPr>
      <w:r w:rsidRPr="0059188A">
        <w:rPr>
          <w:lang w:val="en-AU"/>
        </w:rPr>
        <w:t>In CRVO</w:t>
      </w:r>
      <w:r w:rsidR="00901E1A" w:rsidRPr="0059188A">
        <w:rPr>
          <w:lang w:val="en-AU"/>
        </w:rPr>
        <w:t>,</w:t>
      </w:r>
      <w:r w:rsidRPr="0059188A">
        <w:rPr>
          <w:lang w:val="en-AU"/>
        </w:rPr>
        <w:t xml:space="preserve"> retinal </w:t>
      </w:r>
      <w:proofErr w:type="spellStart"/>
      <w:r w:rsidRPr="0059188A">
        <w:rPr>
          <w:lang w:val="en-AU"/>
        </w:rPr>
        <w:t>ischaemia</w:t>
      </w:r>
      <w:proofErr w:type="spellEnd"/>
      <w:r w:rsidRPr="0059188A">
        <w:rPr>
          <w:lang w:val="en-AU"/>
        </w:rPr>
        <w:t xml:space="preserve"> occurs and signals the release of VEGF which in turn destabilises the tight junctions and promotes endothelial cell proliferation. Up-regulation of VEGF is associated with the breakdown of the blood retina barrier and this increased vascular permeability results in retinal </w:t>
      </w:r>
      <w:r w:rsidR="00901E1A" w:rsidRPr="0059188A">
        <w:rPr>
          <w:lang w:val="en-AU"/>
        </w:rPr>
        <w:t>o</w:t>
      </w:r>
      <w:r w:rsidRPr="0059188A">
        <w:rPr>
          <w:lang w:val="en-AU"/>
        </w:rPr>
        <w:t>edema, stimulation of endotheli</w:t>
      </w:r>
      <w:r w:rsidR="00901E1A" w:rsidRPr="0059188A">
        <w:rPr>
          <w:lang w:val="en-AU"/>
        </w:rPr>
        <w:t>al cell growth and neovascularis</w:t>
      </w:r>
      <w:r w:rsidRPr="0059188A">
        <w:rPr>
          <w:lang w:val="en-AU"/>
        </w:rPr>
        <w:t>ation.</w:t>
      </w:r>
    </w:p>
    <w:p w:rsidR="00701ECD" w:rsidRPr="0059188A" w:rsidRDefault="00701ECD" w:rsidP="00701ECD">
      <w:pPr>
        <w:jc w:val="both"/>
        <w:rPr>
          <w:lang w:val="en-AU"/>
        </w:rPr>
      </w:pPr>
    </w:p>
    <w:p w:rsidR="00701ECD" w:rsidRPr="0059188A" w:rsidRDefault="00701ECD" w:rsidP="00701ECD">
      <w:pPr>
        <w:jc w:val="both"/>
        <w:rPr>
          <w:lang w:val="en-AU"/>
        </w:rPr>
      </w:pPr>
      <w:r w:rsidRPr="0059188A">
        <w:rPr>
          <w:lang w:val="en-AU"/>
        </w:rPr>
        <w:t xml:space="preserve">In patients treated with EYLEA (one injection every </w:t>
      </w:r>
      <w:r w:rsidR="00D51CD0" w:rsidRPr="0059188A">
        <w:rPr>
          <w:lang w:val="en-AU"/>
        </w:rPr>
        <w:t>month for six months</w:t>
      </w:r>
      <w:r w:rsidRPr="0059188A">
        <w:rPr>
          <w:lang w:val="en-AU"/>
        </w:rPr>
        <w:t>)</w:t>
      </w:r>
      <w:r w:rsidR="003D5366">
        <w:rPr>
          <w:lang w:val="en-AU"/>
        </w:rPr>
        <w:t>,</w:t>
      </w:r>
      <w:r w:rsidRPr="0059188A">
        <w:rPr>
          <w:lang w:val="en-AU"/>
        </w:rPr>
        <w:t xml:space="preserve"> there was consistent, rapid and robust response in morphology (central retinal thickness [CRT] as assessed by OCT). Improvements in mean CRT were maintained through week </w:t>
      </w:r>
      <w:r w:rsidR="003E6E6A" w:rsidRPr="0059188A">
        <w:rPr>
          <w:lang w:val="en-AU"/>
        </w:rPr>
        <w:t>2</w:t>
      </w:r>
      <w:r w:rsidR="00217474" w:rsidRPr="0059188A">
        <w:rPr>
          <w:lang w:val="en-AU"/>
        </w:rPr>
        <w:t>4</w:t>
      </w:r>
      <w:r w:rsidRPr="0059188A">
        <w:rPr>
          <w:lang w:val="en-AU"/>
        </w:rPr>
        <w:t>.</w:t>
      </w:r>
    </w:p>
    <w:p w:rsidR="00701ECD" w:rsidRPr="0059188A" w:rsidRDefault="00701ECD" w:rsidP="00701ECD">
      <w:pPr>
        <w:jc w:val="both"/>
        <w:rPr>
          <w:lang w:val="en-AU"/>
        </w:rPr>
      </w:pPr>
    </w:p>
    <w:p w:rsidR="00701ECD" w:rsidRPr="0059188A" w:rsidRDefault="00701ECD" w:rsidP="00701ECD">
      <w:pPr>
        <w:jc w:val="both"/>
        <w:rPr>
          <w:lang w:val="en-AU"/>
        </w:rPr>
      </w:pPr>
      <w:r w:rsidRPr="0059188A">
        <w:rPr>
          <w:lang w:val="en-AU"/>
        </w:rPr>
        <w:t xml:space="preserve">Retinal thickness on OCT at week 24 compared to baseline was a secondary efficacy </w:t>
      </w:r>
      <w:r w:rsidR="00587072" w:rsidRPr="0059188A">
        <w:rPr>
          <w:lang w:val="en-AU"/>
        </w:rPr>
        <w:t>endpoint</w:t>
      </w:r>
      <w:r w:rsidRPr="0059188A">
        <w:rPr>
          <w:lang w:val="en-AU"/>
        </w:rPr>
        <w:t xml:space="preserve"> in both</w:t>
      </w:r>
      <w:r w:rsidR="00872D2E">
        <w:rPr>
          <w:lang w:val="en-AU"/>
        </w:rPr>
        <w:t xml:space="preserve"> the</w:t>
      </w:r>
      <w:r w:rsidRPr="0059188A">
        <w:rPr>
          <w:lang w:val="en-AU"/>
        </w:rPr>
        <w:t xml:space="preserve"> COPERNICUS and GALILEO stud</w:t>
      </w:r>
      <w:r w:rsidR="00872D2E">
        <w:rPr>
          <w:lang w:val="en-AU"/>
        </w:rPr>
        <w:t>ies</w:t>
      </w:r>
      <w:r w:rsidRPr="0059188A">
        <w:rPr>
          <w:lang w:val="en-AU"/>
        </w:rPr>
        <w:t xml:space="preserve">. In both studies, the mean change in </w:t>
      </w:r>
      <w:r w:rsidR="00872D2E">
        <w:rPr>
          <w:lang w:val="en-AU"/>
        </w:rPr>
        <w:t xml:space="preserve">CRT </w:t>
      </w:r>
      <w:r w:rsidRPr="0059188A">
        <w:rPr>
          <w:lang w:val="en-AU"/>
        </w:rPr>
        <w:t xml:space="preserve">from baseline </w:t>
      </w:r>
      <w:r w:rsidR="00626205" w:rsidRPr="0059188A">
        <w:rPr>
          <w:lang w:val="en-AU"/>
        </w:rPr>
        <w:t>to week 24</w:t>
      </w:r>
      <w:r w:rsidRPr="0059188A">
        <w:rPr>
          <w:lang w:val="en-AU"/>
        </w:rPr>
        <w:t xml:space="preserve"> statistically significant</w:t>
      </w:r>
      <w:r w:rsidR="00943E79" w:rsidRPr="0059188A">
        <w:rPr>
          <w:lang w:val="en-AU"/>
        </w:rPr>
        <w:t>ly</w:t>
      </w:r>
      <w:r w:rsidRPr="0059188A">
        <w:rPr>
          <w:lang w:val="en-AU"/>
        </w:rPr>
        <w:t xml:space="preserve"> favo</w:t>
      </w:r>
      <w:r w:rsidR="00901E1A" w:rsidRPr="0059188A">
        <w:rPr>
          <w:lang w:val="en-AU"/>
        </w:rPr>
        <w:t>u</w:t>
      </w:r>
      <w:r w:rsidRPr="0059188A">
        <w:rPr>
          <w:lang w:val="en-AU"/>
        </w:rPr>
        <w:t>r</w:t>
      </w:r>
      <w:r w:rsidR="00943E79" w:rsidRPr="0059188A">
        <w:rPr>
          <w:lang w:val="en-AU"/>
        </w:rPr>
        <w:t>ed</w:t>
      </w:r>
      <w:r w:rsidRPr="0059188A">
        <w:rPr>
          <w:lang w:val="en-AU"/>
        </w:rPr>
        <w:t xml:space="preserve"> EYLEA.</w:t>
      </w:r>
    </w:p>
    <w:p w:rsidR="00014C78" w:rsidRPr="0059188A" w:rsidRDefault="00014C78" w:rsidP="00014C78">
      <w:pPr>
        <w:jc w:val="both"/>
        <w:rPr>
          <w:lang w:val="en-AU"/>
        </w:rPr>
      </w:pPr>
    </w:p>
    <w:p w:rsidR="007C3358" w:rsidRDefault="007C3358" w:rsidP="00014C78">
      <w:pPr>
        <w:jc w:val="both"/>
        <w:rPr>
          <w:b/>
          <w:lang w:val="en-AU"/>
        </w:rPr>
      </w:pPr>
    </w:p>
    <w:p w:rsidR="007C3358" w:rsidRPr="007C3358" w:rsidRDefault="007C3358" w:rsidP="007C3358">
      <w:pPr>
        <w:rPr>
          <w:lang w:val="en-AU"/>
        </w:rPr>
      </w:pPr>
    </w:p>
    <w:p w:rsidR="007C3358" w:rsidRPr="007C3358" w:rsidRDefault="007C3358" w:rsidP="007C3358">
      <w:pPr>
        <w:rPr>
          <w:lang w:val="en-AU"/>
        </w:rPr>
      </w:pPr>
    </w:p>
    <w:p w:rsidR="007C3358" w:rsidRDefault="007C3358" w:rsidP="007C3358">
      <w:pPr>
        <w:rPr>
          <w:lang w:val="en-AU"/>
        </w:rPr>
      </w:pPr>
    </w:p>
    <w:p w:rsidR="007C3358" w:rsidRDefault="007C3358" w:rsidP="007C3358">
      <w:pPr>
        <w:tabs>
          <w:tab w:val="left" w:pos="2865"/>
        </w:tabs>
        <w:rPr>
          <w:lang w:val="en-AU"/>
        </w:rPr>
      </w:pPr>
      <w:r>
        <w:rPr>
          <w:lang w:val="en-AU"/>
        </w:rPr>
        <w:tab/>
      </w:r>
    </w:p>
    <w:p w:rsidR="007C3358" w:rsidRDefault="007C3358" w:rsidP="007C3358">
      <w:pPr>
        <w:rPr>
          <w:lang w:val="en-AU"/>
        </w:rPr>
      </w:pPr>
    </w:p>
    <w:p w:rsidR="000501C3" w:rsidRPr="007C3358" w:rsidRDefault="000501C3" w:rsidP="007C3358">
      <w:pPr>
        <w:rPr>
          <w:lang w:val="en-AU"/>
        </w:rPr>
        <w:sectPr w:rsidR="000501C3" w:rsidRPr="007C3358" w:rsidSect="00EF6A1A">
          <w:headerReference w:type="default" r:id="rId11"/>
          <w:footerReference w:type="default" r:id="rId12"/>
          <w:pgSz w:w="11907" w:h="16840" w:code="9"/>
          <w:pgMar w:top="1247" w:right="1797" w:bottom="1418" w:left="1797" w:header="709" w:footer="709" w:gutter="0"/>
          <w:pgNumType w:start="1"/>
          <w:cols w:space="708"/>
          <w:docGrid w:linePitch="360"/>
        </w:sectPr>
      </w:pPr>
    </w:p>
    <w:p w:rsidR="00014C78" w:rsidRPr="0059188A" w:rsidRDefault="00014C78" w:rsidP="00014C78">
      <w:pPr>
        <w:jc w:val="both"/>
      </w:pPr>
      <w:r w:rsidRPr="0059188A">
        <w:rPr>
          <w:b/>
        </w:rPr>
        <w:lastRenderedPageBreak/>
        <w:t xml:space="preserve">Table 1: </w:t>
      </w:r>
      <w:proofErr w:type="spellStart"/>
      <w:r w:rsidRPr="0059188A">
        <w:rPr>
          <w:b/>
        </w:rPr>
        <w:t>Pharmacodynamic</w:t>
      </w:r>
      <w:proofErr w:type="spellEnd"/>
      <w:r w:rsidRPr="0059188A">
        <w:rPr>
          <w:b/>
        </w:rPr>
        <w:t xml:space="preserve"> parameter at week 24</w:t>
      </w:r>
      <w:r w:rsidR="00DE1CAB" w:rsidRPr="0059188A">
        <w:rPr>
          <w:b/>
        </w:rPr>
        <w:t>, week</w:t>
      </w:r>
      <w:r w:rsidRPr="0059188A">
        <w:rPr>
          <w:b/>
        </w:rPr>
        <w:t xml:space="preserve"> 52</w:t>
      </w:r>
      <w:r w:rsidR="00DE1CAB" w:rsidRPr="0059188A">
        <w:rPr>
          <w:b/>
        </w:rPr>
        <w:t xml:space="preserve"> and week 76/100</w:t>
      </w:r>
      <w:r w:rsidRPr="0059188A">
        <w:rPr>
          <w:b/>
        </w:rPr>
        <w:t xml:space="preserve"> (Full Analysis Set with LOCF) in COPERNICUS and GALILEO studies</w:t>
      </w:r>
    </w:p>
    <w:p w:rsidR="00701ECD" w:rsidRPr="0059188A" w:rsidRDefault="00701ECD" w:rsidP="00A20A54">
      <w:pPr>
        <w:jc w:val="both"/>
        <w:rPr>
          <w:lang w:val="en-AU"/>
        </w:rPr>
      </w:pPr>
    </w:p>
    <w:tbl>
      <w:tblPr>
        <w:tblW w:w="132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980"/>
        <w:gridCol w:w="980"/>
        <w:gridCol w:w="981"/>
        <w:gridCol w:w="980"/>
        <w:gridCol w:w="981"/>
        <w:gridCol w:w="980"/>
        <w:gridCol w:w="980"/>
        <w:gridCol w:w="981"/>
        <w:gridCol w:w="980"/>
        <w:gridCol w:w="981"/>
        <w:gridCol w:w="980"/>
        <w:gridCol w:w="981"/>
      </w:tblGrid>
      <w:tr w:rsidR="00DE1CAB" w:rsidRPr="0059188A" w:rsidTr="007C3358">
        <w:trPr>
          <w:cantSplit/>
          <w:jc w:val="center"/>
        </w:trPr>
        <w:tc>
          <w:tcPr>
            <w:tcW w:w="1526" w:type="dxa"/>
            <w:tcBorders>
              <w:top w:val="single" w:sz="6" w:space="0" w:color="auto"/>
              <w:left w:val="single" w:sz="6" w:space="0" w:color="auto"/>
              <w:right w:val="single" w:sz="6" w:space="0" w:color="auto"/>
            </w:tcBorders>
            <w:hideMark/>
          </w:tcPr>
          <w:p w:rsidR="00DE1CAB" w:rsidRPr="0059188A" w:rsidRDefault="00DE1CAB" w:rsidP="00BC615F">
            <w:pPr>
              <w:pStyle w:val="C-TableHeader"/>
              <w:rPr>
                <w:sz w:val="18"/>
                <w:szCs w:val="18"/>
              </w:rPr>
            </w:pPr>
            <w:r w:rsidRPr="0059188A">
              <w:rPr>
                <w:sz w:val="18"/>
                <w:szCs w:val="18"/>
              </w:rPr>
              <w:t>Efficacy Outcomes</w:t>
            </w:r>
          </w:p>
        </w:tc>
        <w:tc>
          <w:tcPr>
            <w:tcW w:w="5882" w:type="dxa"/>
            <w:gridSpan w:val="6"/>
            <w:tcBorders>
              <w:top w:val="single" w:sz="6" w:space="0" w:color="auto"/>
              <w:left w:val="single" w:sz="6" w:space="0" w:color="auto"/>
              <w:bottom w:val="single" w:sz="6" w:space="0" w:color="auto"/>
              <w:right w:val="single" w:sz="6" w:space="0" w:color="auto"/>
            </w:tcBorders>
            <w:hideMark/>
          </w:tcPr>
          <w:p w:rsidR="00DE1CAB" w:rsidRPr="0059188A" w:rsidRDefault="00DE1CAB" w:rsidP="00BC615F">
            <w:pPr>
              <w:pStyle w:val="C-TableHeader"/>
              <w:jc w:val="center"/>
              <w:rPr>
                <w:sz w:val="18"/>
                <w:szCs w:val="18"/>
              </w:rPr>
            </w:pPr>
            <w:r w:rsidRPr="0059188A">
              <w:rPr>
                <w:sz w:val="18"/>
                <w:szCs w:val="18"/>
              </w:rPr>
              <w:t>COPERNICUS</w:t>
            </w:r>
          </w:p>
        </w:tc>
        <w:tc>
          <w:tcPr>
            <w:tcW w:w="5883" w:type="dxa"/>
            <w:gridSpan w:val="6"/>
            <w:tcBorders>
              <w:top w:val="single" w:sz="6" w:space="0" w:color="auto"/>
              <w:left w:val="single" w:sz="6" w:space="0" w:color="auto"/>
              <w:bottom w:val="single" w:sz="6" w:space="0" w:color="auto"/>
              <w:right w:val="single" w:sz="6" w:space="0" w:color="auto"/>
            </w:tcBorders>
            <w:hideMark/>
          </w:tcPr>
          <w:p w:rsidR="00DE1CAB" w:rsidRPr="0059188A" w:rsidRDefault="00DE1CAB" w:rsidP="00BC615F">
            <w:pPr>
              <w:pStyle w:val="C-TableHeader"/>
              <w:jc w:val="center"/>
              <w:rPr>
                <w:sz w:val="18"/>
                <w:szCs w:val="18"/>
              </w:rPr>
            </w:pPr>
            <w:r w:rsidRPr="0059188A">
              <w:rPr>
                <w:sz w:val="18"/>
                <w:szCs w:val="18"/>
              </w:rPr>
              <w:t>GALILEO</w:t>
            </w:r>
          </w:p>
        </w:tc>
      </w:tr>
      <w:tr w:rsidR="00DE1CAB" w:rsidRPr="0059188A" w:rsidTr="007C3358">
        <w:trPr>
          <w:cantSplit/>
          <w:jc w:val="center"/>
        </w:trPr>
        <w:tc>
          <w:tcPr>
            <w:tcW w:w="1526" w:type="dxa"/>
            <w:tcBorders>
              <w:left w:val="single" w:sz="6" w:space="0" w:color="auto"/>
              <w:right w:val="single" w:sz="6" w:space="0" w:color="auto"/>
            </w:tcBorders>
            <w:vAlign w:val="center"/>
            <w:hideMark/>
          </w:tcPr>
          <w:p w:rsidR="00DE1CAB" w:rsidRPr="0059188A" w:rsidRDefault="00DE1CAB" w:rsidP="00BC615F">
            <w:pPr>
              <w:rPr>
                <w:b/>
                <w:sz w:val="18"/>
                <w:szCs w:val="18"/>
              </w:rPr>
            </w:pPr>
          </w:p>
        </w:tc>
        <w:tc>
          <w:tcPr>
            <w:tcW w:w="1960" w:type="dxa"/>
            <w:gridSpan w:val="2"/>
            <w:tcBorders>
              <w:top w:val="single" w:sz="6" w:space="0" w:color="auto"/>
              <w:left w:val="single" w:sz="6" w:space="0" w:color="auto"/>
              <w:bottom w:val="single" w:sz="6" w:space="0" w:color="auto"/>
              <w:right w:val="single" w:sz="6" w:space="0" w:color="auto"/>
            </w:tcBorders>
            <w:hideMark/>
          </w:tcPr>
          <w:p w:rsidR="00DE1CAB" w:rsidRPr="0059188A" w:rsidRDefault="00DE1CAB" w:rsidP="00BC615F">
            <w:pPr>
              <w:pStyle w:val="C-TableHeader"/>
              <w:jc w:val="center"/>
              <w:rPr>
                <w:sz w:val="18"/>
                <w:szCs w:val="18"/>
              </w:rPr>
            </w:pPr>
            <w:r w:rsidRPr="0059188A">
              <w:rPr>
                <w:sz w:val="18"/>
                <w:szCs w:val="18"/>
              </w:rPr>
              <w:t>24 Weeks</w:t>
            </w:r>
          </w:p>
        </w:tc>
        <w:tc>
          <w:tcPr>
            <w:tcW w:w="1961" w:type="dxa"/>
            <w:gridSpan w:val="2"/>
            <w:tcBorders>
              <w:top w:val="single" w:sz="6" w:space="0" w:color="auto"/>
              <w:left w:val="single" w:sz="6" w:space="0" w:color="auto"/>
              <w:bottom w:val="single" w:sz="6" w:space="0" w:color="auto"/>
              <w:right w:val="single" w:sz="6" w:space="0" w:color="auto"/>
            </w:tcBorders>
            <w:hideMark/>
          </w:tcPr>
          <w:p w:rsidR="00DE1CAB" w:rsidRPr="0059188A" w:rsidRDefault="00DE1CAB" w:rsidP="00BC615F">
            <w:pPr>
              <w:pStyle w:val="C-TableHeader"/>
              <w:jc w:val="center"/>
              <w:rPr>
                <w:sz w:val="18"/>
                <w:szCs w:val="18"/>
              </w:rPr>
            </w:pPr>
            <w:r w:rsidRPr="0059188A">
              <w:rPr>
                <w:sz w:val="18"/>
                <w:szCs w:val="18"/>
              </w:rPr>
              <w:t>52 Weeks</w:t>
            </w:r>
          </w:p>
        </w:tc>
        <w:tc>
          <w:tcPr>
            <w:tcW w:w="1961" w:type="dxa"/>
            <w:gridSpan w:val="2"/>
            <w:tcBorders>
              <w:top w:val="single" w:sz="6" w:space="0" w:color="auto"/>
              <w:left w:val="single" w:sz="6" w:space="0" w:color="auto"/>
              <w:bottom w:val="single" w:sz="6" w:space="0" w:color="auto"/>
              <w:right w:val="single" w:sz="6" w:space="0" w:color="auto"/>
            </w:tcBorders>
          </w:tcPr>
          <w:p w:rsidR="00DE1CAB" w:rsidRPr="0059188A" w:rsidRDefault="00DE1CAB" w:rsidP="00BC615F">
            <w:pPr>
              <w:pStyle w:val="C-TableHeader"/>
              <w:jc w:val="center"/>
              <w:rPr>
                <w:sz w:val="18"/>
                <w:szCs w:val="18"/>
              </w:rPr>
            </w:pPr>
            <w:r w:rsidRPr="0059188A">
              <w:rPr>
                <w:sz w:val="18"/>
                <w:szCs w:val="18"/>
              </w:rPr>
              <w:t>100 Weeks</w:t>
            </w:r>
          </w:p>
        </w:tc>
        <w:tc>
          <w:tcPr>
            <w:tcW w:w="1961" w:type="dxa"/>
            <w:gridSpan w:val="2"/>
            <w:tcBorders>
              <w:top w:val="single" w:sz="6" w:space="0" w:color="auto"/>
              <w:left w:val="single" w:sz="6" w:space="0" w:color="auto"/>
              <w:bottom w:val="single" w:sz="6" w:space="0" w:color="auto"/>
              <w:right w:val="single" w:sz="6" w:space="0" w:color="auto"/>
            </w:tcBorders>
            <w:hideMark/>
          </w:tcPr>
          <w:p w:rsidR="00DE1CAB" w:rsidRPr="0059188A" w:rsidRDefault="00DE1CAB" w:rsidP="00BC615F">
            <w:pPr>
              <w:pStyle w:val="C-TableHeader"/>
              <w:jc w:val="center"/>
              <w:rPr>
                <w:sz w:val="18"/>
                <w:szCs w:val="18"/>
              </w:rPr>
            </w:pPr>
            <w:r w:rsidRPr="0059188A">
              <w:rPr>
                <w:sz w:val="18"/>
                <w:szCs w:val="18"/>
              </w:rPr>
              <w:t>24 Weeks</w:t>
            </w:r>
          </w:p>
        </w:tc>
        <w:tc>
          <w:tcPr>
            <w:tcW w:w="1961" w:type="dxa"/>
            <w:gridSpan w:val="2"/>
            <w:tcBorders>
              <w:top w:val="single" w:sz="6" w:space="0" w:color="auto"/>
              <w:left w:val="single" w:sz="6" w:space="0" w:color="auto"/>
              <w:bottom w:val="single" w:sz="6" w:space="0" w:color="auto"/>
              <w:right w:val="single" w:sz="6" w:space="0" w:color="auto"/>
            </w:tcBorders>
            <w:hideMark/>
          </w:tcPr>
          <w:p w:rsidR="00DE1CAB" w:rsidRPr="0059188A" w:rsidRDefault="00DE1CAB" w:rsidP="00BC615F">
            <w:pPr>
              <w:pStyle w:val="C-TableHeader"/>
              <w:jc w:val="center"/>
              <w:rPr>
                <w:sz w:val="18"/>
                <w:szCs w:val="18"/>
              </w:rPr>
            </w:pPr>
            <w:r w:rsidRPr="0059188A">
              <w:rPr>
                <w:sz w:val="18"/>
                <w:szCs w:val="18"/>
              </w:rPr>
              <w:t>52 Weeks</w:t>
            </w:r>
          </w:p>
        </w:tc>
        <w:tc>
          <w:tcPr>
            <w:tcW w:w="1961" w:type="dxa"/>
            <w:gridSpan w:val="2"/>
            <w:tcBorders>
              <w:top w:val="single" w:sz="6" w:space="0" w:color="auto"/>
              <w:left w:val="single" w:sz="6" w:space="0" w:color="auto"/>
              <w:bottom w:val="single" w:sz="6" w:space="0" w:color="auto"/>
              <w:right w:val="single" w:sz="6" w:space="0" w:color="auto"/>
            </w:tcBorders>
          </w:tcPr>
          <w:p w:rsidR="00DE1CAB" w:rsidRPr="0059188A" w:rsidRDefault="00DE1CAB" w:rsidP="00F8008D">
            <w:pPr>
              <w:pStyle w:val="C-TableHeader"/>
              <w:jc w:val="center"/>
              <w:rPr>
                <w:sz w:val="18"/>
                <w:szCs w:val="18"/>
              </w:rPr>
            </w:pPr>
            <w:r w:rsidRPr="0059188A">
              <w:rPr>
                <w:sz w:val="18"/>
                <w:szCs w:val="18"/>
              </w:rPr>
              <w:t>76 Weeks</w:t>
            </w:r>
          </w:p>
        </w:tc>
      </w:tr>
      <w:tr w:rsidR="00DE1CAB" w:rsidRPr="0059188A" w:rsidTr="007C3358">
        <w:trPr>
          <w:cantSplit/>
          <w:jc w:val="center"/>
        </w:trPr>
        <w:tc>
          <w:tcPr>
            <w:tcW w:w="1526" w:type="dxa"/>
            <w:tcBorders>
              <w:left w:val="single" w:sz="6" w:space="0" w:color="auto"/>
              <w:bottom w:val="single" w:sz="6" w:space="0" w:color="auto"/>
              <w:right w:val="single" w:sz="6" w:space="0" w:color="auto"/>
            </w:tcBorders>
            <w:vAlign w:val="center"/>
            <w:hideMark/>
          </w:tcPr>
          <w:p w:rsidR="00DE1CAB" w:rsidRPr="0059188A" w:rsidRDefault="00DE1CAB" w:rsidP="00BC615F">
            <w:pPr>
              <w:rPr>
                <w:b/>
                <w:sz w:val="18"/>
                <w:szCs w:val="18"/>
              </w:rPr>
            </w:pPr>
          </w:p>
        </w:tc>
        <w:tc>
          <w:tcPr>
            <w:tcW w:w="980" w:type="dxa"/>
            <w:tcBorders>
              <w:top w:val="single" w:sz="6" w:space="0" w:color="auto"/>
              <w:left w:val="single" w:sz="6" w:space="0" w:color="auto"/>
              <w:bottom w:val="single" w:sz="6" w:space="0" w:color="auto"/>
              <w:right w:val="single" w:sz="6" w:space="0" w:color="auto"/>
            </w:tcBorders>
            <w:vAlign w:val="center"/>
          </w:tcPr>
          <w:p w:rsidR="00DE1CAB" w:rsidRPr="0059188A" w:rsidRDefault="00DE1CAB" w:rsidP="00DE1CAB">
            <w:pPr>
              <w:pStyle w:val="C-TableText"/>
              <w:jc w:val="center"/>
              <w:rPr>
                <w:b/>
                <w:sz w:val="18"/>
                <w:szCs w:val="18"/>
              </w:rPr>
            </w:pPr>
            <w:r w:rsidRPr="0059188A">
              <w:rPr>
                <w:b/>
                <w:sz w:val="18"/>
                <w:szCs w:val="18"/>
              </w:rPr>
              <w:t>Control</w:t>
            </w:r>
          </w:p>
          <w:p w:rsidR="00DE1CAB" w:rsidRPr="0059188A" w:rsidRDefault="00DE1CAB" w:rsidP="00DE1CAB">
            <w:pPr>
              <w:pStyle w:val="C-TableText"/>
              <w:jc w:val="center"/>
              <w:rPr>
                <w:sz w:val="18"/>
                <w:szCs w:val="18"/>
              </w:rPr>
            </w:pPr>
          </w:p>
          <w:p w:rsidR="00DE1CAB" w:rsidRPr="0059188A" w:rsidRDefault="00DE1CAB" w:rsidP="00F651F2">
            <w:pPr>
              <w:pStyle w:val="C-TableText"/>
              <w:jc w:val="center"/>
              <w:rPr>
                <w:b/>
                <w:sz w:val="18"/>
                <w:szCs w:val="18"/>
              </w:rPr>
            </w:pPr>
            <w:r w:rsidRPr="0059188A">
              <w:rPr>
                <w:b/>
                <w:sz w:val="18"/>
                <w:szCs w:val="18"/>
              </w:rPr>
              <w:t>(</w:t>
            </w:r>
            <w:r w:rsidR="00F651F2">
              <w:rPr>
                <w:b/>
                <w:sz w:val="18"/>
                <w:szCs w:val="18"/>
              </w:rPr>
              <w:t>N</w:t>
            </w:r>
            <w:r w:rsidRPr="0059188A">
              <w:rPr>
                <w:b/>
                <w:sz w:val="18"/>
                <w:szCs w:val="18"/>
              </w:rPr>
              <w:t xml:space="preserve"> = 73)</w:t>
            </w:r>
          </w:p>
        </w:tc>
        <w:tc>
          <w:tcPr>
            <w:tcW w:w="980" w:type="dxa"/>
            <w:tcBorders>
              <w:top w:val="single" w:sz="6" w:space="0" w:color="auto"/>
              <w:left w:val="single" w:sz="6" w:space="0" w:color="auto"/>
              <w:bottom w:val="single" w:sz="6" w:space="0" w:color="auto"/>
              <w:right w:val="single" w:sz="6" w:space="0" w:color="auto"/>
            </w:tcBorders>
            <w:vAlign w:val="center"/>
            <w:hideMark/>
          </w:tcPr>
          <w:p w:rsidR="00DE1CAB" w:rsidRPr="0059188A" w:rsidRDefault="00DE1CAB" w:rsidP="00DE1CAB">
            <w:pPr>
              <w:pStyle w:val="C-TableHeader"/>
              <w:ind w:left="-93" w:right="-18"/>
              <w:jc w:val="center"/>
              <w:rPr>
                <w:sz w:val="18"/>
                <w:szCs w:val="18"/>
              </w:rPr>
            </w:pPr>
            <w:r w:rsidRPr="0059188A">
              <w:rPr>
                <w:sz w:val="18"/>
                <w:szCs w:val="18"/>
              </w:rPr>
              <w:t>EYLEA</w:t>
            </w:r>
          </w:p>
          <w:p w:rsidR="00DE1CAB" w:rsidRPr="0059188A" w:rsidRDefault="00DE1CAB" w:rsidP="00DE1CAB">
            <w:pPr>
              <w:pStyle w:val="C-TableHeader"/>
              <w:ind w:left="-93" w:right="-18"/>
              <w:jc w:val="center"/>
              <w:rPr>
                <w:sz w:val="18"/>
                <w:szCs w:val="18"/>
              </w:rPr>
            </w:pPr>
            <w:r w:rsidRPr="0059188A">
              <w:rPr>
                <w:sz w:val="18"/>
                <w:szCs w:val="18"/>
              </w:rPr>
              <w:t>2 mg Q4</w:t>
            </w:r>
          </w:p>
          <w:p w:rsidR="00DE1CAB" w:rsidRPr="0059188A" w:rsidRDefault="00DE1CAB" w:rsidP="00F651F2">
            <w:pPr>
              <w:pStyle w:val="C-TableText"/>
              <w:ind w:left="-93" w:right="-18"/>
              <w:jc w:val="center"/>
              <w:rPr>
                <w:b/>
                <w:sz w:val="18"/>
                <w:szCs w:val="18"/>
              </w:rPr>
            </w:pPr>
            <w:r w:rsidRPr="0059188A">
              <w:rPr>
                <w:b/>
                <w:sz w:val="18"/>
                <w:szCs w:val="18"/>
              </w:rPr>
              <w:t>(</w:t>
            </w:r>
            <w:r w:rsidR="00F651F2">
              <w:rPr>
                <w:b/>
                <w:sz w:val="18"/>
                <w:szCs w:val="18"/>
              </w:rPr>
              <w:t>N</w:t>
            </w:r>
            <w:r w:rsidRPr="0059188A">
              <w:rPr>
                <w:b/>
                <w:sz w:val="18"/>
                <w:szCs w:val="18"/>
              </w:rPr>
              <w:t xml:space="preserve"> = 114)</w:t>
            </w:r>
          </w:p>
        </w:tc>
        <w:tc>
          <w:tcPr>
            <w:tcW w:w="981" w:type="dxa"/>
            <w:tcBorders>
              <w:top w:val="single" w:sz="6" w:space="0" w:color="auto"/>
              <w:left w:val="single" w:sz="6" w:space="0" w:color="auto"/>
              <w:bottom w:val="single" w:sz="6" w:space="0" w:color="auto"/>
              <w:right w:val="single" w:sz="6" w:space="0" w:color="auto"/>
            </w:tcBorders>
            <w:vAlign w:val="center"/>
          </w:tcPr>
          <w:p w:rsidR="00DE1CAB" w:rsidRPr="0059188A" w:rsidRDefault="00DE1CAB" w:rsidP="00DE1CAB">
            <w:pPr>
              <w:pStyle w:val="C-TableText"/>
              <w:ind w:left="-78" w:right="-33"/>
              <w:jc w:val="center"/>
              <w:rPr>
                <w:b/>
                <w:sz w:val="18"/>
                <w:szCs w:val="18"/>
              </w:rPr>
            </w:pPr>
            <w:r w:rsidRPr="0059188A">
              <w:rPr>
                <w:b/>
                <w:sz w:val="18"/>
                <w:szCs w:val="18"/>
              </w:rPr>
              <w:t xml:space="preserve">Control </w:t>
            </w:r>
            <w:r w:rsidRPr="0059188A">
              <w:rPr>
                <w:sz w:val="18"/>
                <w:szCs w:val="18"/>
                <w:vertAlign w:val="superscript"/>
              </w:rPr>
              <w:t>c)</w:t>
            </w:r>
          </w:p>
          <w:p w:rsidR="00DE1CAB" w:rsidRPr="0059188A" w:rsidRDefault="00DE1CAB" w:rsidP="00DE1CAB">
            <w:pPr>
              <w:pStyle w:val="C-TableText"/>
              <w:jc w:val="center"/>
              <w:rPr>
                <w:sz w:val="18"/>
                <w:szCs w:val="18"/>
              </w:rPr>
            </w:pPr>
          </w:p>
          <w:p w:rsidR="00DE1CAB" w:rsidRPr="0059188A" w:rsidRDefault="00DE1CAB" w:rsidP="00F651F2">
            <w:pPr>
              <w:pStyle w:val="C-TableText"/>
              <w:jc w:val="center"/>
              <w:rPr>
                <w:sz w:val="18"/>
                <w:szCs w:val="18"/>
              </w:rPr>
            </w:pPr>
            <w:r w:rsidRPr="0059188A">
              <w:rPr>
                <w:b/>
                <w:sz w:val="18"/>
                <w:szCs w:val="18"/>
              </w:rPr>
              <w:t>(</w:t>
            </w:r>
            <w:r w:rsidR="00F651F2">
              <w:rPr>
                <w:b/>
                <w:sz w:val="18"/>
                <w:szCs w:val="18"/>
              </w:rPr>
              <w:t>N</w:t>
            </w:r>
            <w:r w:rsidRPr="0059188A">
              <w:rPr>
                <w:b/>
                <w:sz w:val="18"/>
                <w:szCs w:val="18"/>
              </w:rPr>
              <w:t xml:space="preserve"> = 73)</w:t>
            </w:r>
          </w:p>
        </w:tc>
        <w:tc>
          <w:tcPr>
            <w:tcW w:w="980" w:type="dxa"/>
            <w:tcBorders>
              <w:top w:val="single" w:sz="6" w:space="0" w:color="auto"/>
              <w:left w:val="single" w:sz="6" w:space="0" w:color="auto"/>
              <w:bottom w:val="single" w:sz="6" w:space="0" w:color="auto"/>
              <w:right w:val="single" w:sz="6" w:space="0" w:color="auto"/>
            </w:tcBorders>
            <w:vAlign w:val="center"/>
            <w:hideMark/>
          </w:tcPr>
          <w:p w:rsidR="00DE1CAB" w:rsidRPr="0059188A" w:rsidRDefault="00DE1CAB" w:rsidP="00DE1CAB">
            <w:pPr>
              <w:pStyle w:val="C-TableHeader"/>
              <w:ind w:left="-93" w:right="-18"/>
              <w:jc w:val="center"/>
              <w:rPr>
                <w:sz w:val="18"/>
                <w:szCs w:val="18"/>
              </w:rPr>
            </w:pPr>
            <w:r w:rsidRPr="0059188A">
              <w:rPr>
                <w:sz w:val="18"/>
                <w:szCs w:val="18"/>
              </w:rPr>
              <w:t>EYLEA</w:t>
            </w:r>
          </w:p>
          <w:p w:rsidR="00DE1CAB" w:rsidRPr="0059188A" w:rsidRDefault="00DE1CAB" w:rsidP="00DE1CAB">
            <w:pPr>
              <w:pStyle w:val="C-TableHeader"/>
              <w:ind w:left="-93" w:right="-18"/>
              <w:jc w:val="center"/>
              <w:rPr>
                <w:sz w:val="18"/>
                <w:szCs w:val="18"/>
              </w:rPr>
            </w:pPr>
            <w:r w:rsidRPr="0059188A">
              <w:rPr>
                <w:sz w:val="18"/>
                <w:szCs w:val="18"/>
              </w:rPr>
              <w:t>2 mg</w:t>
            </w:r>
          </w:p>
          <w:p w:rsidR="00DE1CAB" w:rsidRPr="0059188A" w:rsidRDefault="00DE1CAB" w:rsidP="00F651F2">
            <w:pPr>
              <w:pStyle w:val="C-TableText"/>
              <w:ind w:left="-63"/>
              <w:jc w:val="center"/>
              <w:rPr>
                <w:sz w:val="18"/>
                <w:szCs w:val="18"/>
              </w:rPr>
            </w:pPr>
            <w:r w:rsidRPr="0059188A">
              <w:rPr>
                <w:b/>
                <w:sz w:val="18"/>
                <w:szCs w:val="18"/>
              </w:rPr>
              <w:t>(</w:t>
            </w:r>
            <w:r w:rsidR="00F651F2">
              <w:rPr>
                <w:b/>
                <w:sz w:val="18"/>
                <w:szCs w:val="18"/>
              </w:rPr>
              <w:t>N</w:t>
            </w:r>
            <w:r w:rsidRPr="0059188A">
              <w:rPr>
                <w:b/>
                <w:sz w:val="18"/>
                <w:szCs w:val="18"/>
              </w:rPr>
              <w:t xml:space="preserve"> = 114)</w:t>
            </w:r>
          </w:p>
        </w:tc>
        <w:tc>
          <w:tcPr>
            <w:tcW w:w="981" w:type="dxa"/>
            <w:tcBorders>
              <w:top w:val="single" w:sz="6" w:space="0" w:color="auto"/>
              <w:left w:val="single" w:sz="6" w:space="0" w:color="auto"/>
              <w:bottom w:val="single" w:sz="6" w:space="0" w:color="auto"/>
              <w:right w:val="single" w:sz="6" w:space="0" w:color="auto"/>
            </w:tcBorders>
            <w:vAlign w:val="center"/>
          </w:tcPr>
          <w:p w:rsidR="00DE1CAB" w:rsidRPr="0059188A" w:rsidRDefault="00DE1CAB" w:rsidP="00DE1CAB">
            <w:pPr>
              <w:pStyle w:val="C-TableText"/>
              <w:ind w:left="-135" w:right="-102"/>
              <w:jc w:val="center"/>
              <w:rPr>
                <w:b/>
                <w:sz w:val="18"/>
                <w:szCs w:val="18"/>
              </w:rPr>
            </w:pPr>
            <w:r w:rsidRPr="0059188A">
              <w:rPr>
                <w:b/>
                <w:sz w:val="18"/>
                <w:szCs w:val="18"/>
              </w:rPr>
              <w:t xml:space="preserve">Control </w:t>
            </w:r>
            <w:r w:rsidRPr="0059188A">
              <w:rPr>
                <w:sz w:val="18"/>
                <w:szCs w:val="18"/>
                <w:vertAlign w:val="superscript"/>
              </w:rPr>
              <w:t>c, d)</w:t>
            </w:r>
          </w:p>
          <w:p w:rsidR="00DE1CAB" w:rsidRPr="0059188A" w:rsidRDefault="00DE1CAB" w:rsidP="00DE1CAB">
            <w:pPr>
              <w:pStyle w:val="C-TableText"/>
              <w:jc w:val="center"/>
              <w:rPr>
                <w:b/>
                <w:sz w:val="18"/>
                <w:szCs w:val="18"/>
              </w:rPr>
            </w:pPr>
          </w:p>
          <w:p w:rsidR="00DE1CAB" w:rsidRPr="0059188A" w:rsidRDefault="00DE1CAB" w:rsidP="00F651F2">
            <w:pPr>
              <w:pStyle w:val="C-TableText"/>
              <w:jc w:val="center"/>
              <w:rPr>
                <w:b/>
                <w:sz w:val="18"/>
                <w:szCs w:val="18"/>
              </w:rPr>
            </w:pPr>
            <w:r w:rsidRPr="0059188A">
              <w:rPr>
                <w:b/>
                <w:sz w:val="18"/>
                <w:szCs w:val="18"/>
              </w:rPr>
              <w:t>(</w:t>
            </w:r>
            <w:r w:rsidR="00F651F2">
              <w:rPr>
                <w:b/>
                <w:sz w:val="18"/>
                <w:szCs w:val="18"/>
              </w:rPr>
              <w:t>N</w:t>
            </w:r>
            <w:r w:rsidRPr="0059188A">
              <w:rPr>
                <w:b/>
                <w:sz w:val="18"/>
                <w:szCs w:val="18"/>
              </w:rPr>
              <w:t xml:space="preserve"> =</w:t>
            </w:r>
            <w:r w:rsidR="009D146B">
              <w:rPr>
                <w:b/>
                <w:sz w:val="18"/>
                <w:szCs w:val="18"/>
              </w:rPr>
              <w:t xml:space="preserve"> 73</w:t>
            </w:r>
            <w:r w:rsidRPr="0059188A">
              <w:rPr>
                <w:b/>
                <w:sz w:val="18"/>
                <w:szCs w:val="18"/>
              </w:rPr>
              <w:t>)</w:t>
            </w:r>
          </w:p>
        </w:tc>
        <w:tc>
          <w:tcPr>
            <w:tcW w:w="980" w:type="dxa"/>
            <w:tcBorders>
              <w:top w:val="single" w:sz="6" w:space="0" w:color="auto"/>
              <w:left w:val="single" w:sz="6" w:space="0" w:color="auto"/>
              <w:bottom w:val="single" w:sz="6" w:space="0" w:color="auto"/>
              <w:right w:val="single" w:sz="6" w:space="0" w:color="auto"/>
            </w:tcBorders>
            <w:vAlign w:val="center"/>
          </w:tcPr>
          <w:p w:rsidR="00DE1CAB" w:rsidRPr="0059188A" w:rsidRDefault="00DE1CAB" w:rsidP="00DE1CAB">
            <w:pPr>
              <w:pStyle w:val="C-TableHeader"/>
              <w:ind w:left="-93" w:right="-18"/>
              <w:jc w:val="center"/>
              <w:rPr>
                <w:sz w:val="18"/>
                <w:szCs w:val="18"/>
              </w:rPr>
            </w:pPr>
            <w:r w:rsidRPr="0059188A">
              <w:rPr>
                <w:sz w:val="18"/>
                <w:szCs w:val="18"/>
              </w:rPr>
              <w:t xml:space="preserve">EYLEA </w:t>
            </w:r>
            <w:r w:rsidRPr="0059188A">
              <w:rPr>
                <w:b w:val="0"/>
                <w:sz w:val="18"/>
                <w:szCs w:val="18"/>
                <w:vertAlign w:val="superscript"/>
              </w:rPr>
              <w:t>d)</w:t>
            </w:r>
          </w:p>
          <w:p w:rsidR="00DE1CAB" w:rsidRPr="0059188A" w:rsidRDefault="00DE1CAB" w:rsidP="00DE1CAB">
            <w:pPr>
              <w:pStyle w:val="C-TableHeader"/>
              <w:ind w:left="-93" w:right="-18"/>
              <w:jc w:val="center"/>
              <w:rPr>
                <w:sz w:val="18"/>
                <w:szCs w:val="18"/>
              </w:rPr>
            </w:pPr>
            <w:r w:rsidRPr="0059188A">
              <w:rPr>
                <w:sz w:val="18"/>
                <w:szCs w:val="18"/>
              </w:rPr>
              <w:t>2 mg</w:t>
            </w:r>
          </w:p>
          <w:p w:rsidR="00DE1CAB" w:rsidRPr="0059188A" w:rsidRDefault="00DE1CAB" w:rsidP="00F651F2">
            <w:pPr>
              <w:pStyle w:val="C-TableText"/>
              <w:jc w:val="center"/>
              <w:rPr>
                <w:b/>
                <w:sz w:val="18"/>
                <w:szCs w:val="18"/>
              </w:rPr>
            </w:pPr>
            <w:r w:rsidRPr="0059188A">
              <w:rPr>
                <w:b/>
                <w:sz w:val="18"/>
                <w:szCs w:val="18"/>
              </w:rPr>
              <w:t>(</w:t>
            </w:r>
            <w:r w:rsidR="00F651F2">
              <w:rPr>
                <w:b/>
                <w:sz w:val="18"/>
                <w:szCs w:val="18"/>
              </w:rPr>
              <w:t>N</w:t>
            </w:r>
            <w:r w:rsidRPr="0059188A">
              <w:rPr>
                <w:b/>
                <w:sz w:val="18"/>
                <w:szCs w:val="18"/>
              </w:rPr>
              <w:t xml:space="preserve"> =</w:t>
            </w:r>
            <w:r w:rsidR="009D146B">
              <w:rPr>
                <w:b/>
                <w:sz w:val="18"/>
                <w:szCs w:val="18"/>
              </w:rPr>
              <w:t xml:space="preserve"> 114</w:t>
            </w:r>
            <w:r w:rsidRPr="0059188A">
              <w:rPr>
                <w:b/>
                <w:sz w:val="18"/>
                <w:szCs w:val="18"/>
              </w:rPr>
              <w:t>)</w:t>
            </w:r>
          </w:p>
        </w:tc>
        <w:tc>
          <w:tcPr>
            <w:tcW w:w="980" w:type="dxa"/>
            <w:tcBorders>
              <w:top w:val="single" w:sz="6" w:space="0" w:color="auto"/>
              <w:left w:val="single" w:sz="6" w:space="0" w:color="auto"/>
              <w:bottom w:val="single" w:sz="6" w:space="0" w:color="auto"/>
              <w:right w:val="single" w:sz="6" w:space="0" w:color="auto"/>
            </w:tcBorders>
            <w:vAlign w:val="center"/>
          </w:tcPr>
          <w:p w:rsidR="00DE1CAB" w:rsidRPr="0059188A" w:rsidRDefault="00DE1CAB" w:rsidP="00DE1CAB">
            <w:pPr>
              <w:pStyle w:val="C-TableText"/>
              <w:jc w:val="center"/>
              <w:rPr>
                <w:b/>
                <w:sz w:val="18"/>
                <w:szCs w:val="18"/>
              </w:rPr>
            </w:pPr>
            <w:r w:rsidRPr="0059188A">
              <w:rPr>
                <w:b/>
                <w:sz w:val="18"/>
                <w:szCs w:val="18"/>
              </w:rPr>
              <w:t>Control</w:t>
            </w:r>
          </w:p>
          <w:p w:rsidR="00DE1CAB" w:rsidRPr="0059188A" w:rsidRDefault="00DE1CAB" w:rsidP="00DE1CAB">
            <w:pPr>
              <w:pStyle w:val="C-TableText"/>
              <w:jc w:val="center"/>
              <w:rPr>
                <w:sz w:val="18"/>
                <w:szCs w:val="18"/>
              </w:rPr>
            </w:pPr>
          </w:p>
          <w:p w:rsidR="00DE1CAB" w:rsidRPr="0059188A" w:rsidRDefault="00DE1CAB" w:rsidP="00F651F2">
            <w:pPr>
              <w:pStyle w:val="C-TableText"/>
              <w:jc w:val="center"/>
              <w:rPr>
                <w:sz w:val="18"/>
                <w:szCs w:val="18"/>
              </w:rPr>
            </w:pPr>
            <w:r w:rsidRPr="0059188A">
              <w:rPr>
                <w:b/>
                <w:sz w:val="18"/>
                <w:szCs w:val="18"/>
              </w:rPr>
              <w:t>(</w:t>
            </w:r>
            <w:r w:rsidR="00F651F2">
              <w:rPr>
                <w:b/>
                <w:sz w:val="18"/>
                <w:szCs w:val="18"/>
              </w:rPr>
              <w:t>N</w:t>
            </w:r>
            <w:r w:rsidRPr="0059188A">
              <w:rPr>
                <w:b/>
                <w:sz w:val="18"/>
                <w:szCs w:val="18"/>
              </w:rPr>
              <w:t xml:space="preserve"> =</w:t>
            </w:r>
            <w:r w:rsidR="009D146B">
              <w:rPr>
                <w:b/>
                <w:sz w:val="18"/>
                <w:szCs w:val="18"/>
              </w:rPr>
              <w:t xml:space="preserve"> 68</w:t>
            </w:r>
            <w:r w:rsidRPr="0059188A">
              <w:rPr>
                <w:b/>
                <w:sz w:val="18"/>
                <w:szCs w:val="18"/>
              </w:rPr>
              <w:t>)</w:t>
            </w:r>
          </w:p>
        </w:tc>
        <w:tc>
          <w:tcPr>
            <w:tcW w:w="981" w:type="dxa"/>
            <w:tcBorders>
              <w:top w:val="single" w:sz="6" w:space="0" w:color="auto"/>
              <w:left w:val="single" w:sz="6" w:space="0" w:color="auto"/>
              <w:bottom w:val="single" w:sz="6" w:space="0" w:color="auto"/>
              <w:right w:val="single" w:sz="6" w:space="0" w:color="auto"/>
            </w:tcBorders>
            <w:vAlign w:val="center"/>
            <w:hideMark/>
          </w:tcPr>
          <w:p w:rsidR="00DE1CAB" w:rsidRPr="0059188A" w:rsidRDefault="00DE1CAB" w:rsidP="00DE1CAB">
            <w:pPr>
              <w:pStyle w:val="C-TableHeader"/>
              <w:ind w:left="-93" w:right="-18"/>
              <w:jc w:val="center"/>
              <w:rPr>
                <w:sz w:val="18"/>
                <w:szCs w:val="18"/>
              </w:rPr>
            </w:pPr>
            <w:r w:rsidRPr="0059188A">
              <w:rPr>
                <w:sz w:val="18"/>
                <w:szCs w:val="18"/>
              </w:rPr>
              <w:t>EYLEA</w:t>
            </w:r>
          </w:p>
          <w:p w:rsidR="00DE1CAB" w:rsidRPr="0059188A" w:rsidRDefault="00DE1CAB" w:rsidP="00DE1CAB">
            <w:pPr>
              <w:pStyle w:val="C-TableHeader"/>
              <w:ind w:left="-93" w:right="-18"/>
              <w:jc w:val="center"/>
              <w:rPr>
                <w:sz w:val="18"/>
                <w:szCs w:val="18"/>
              </w:rPr>
            </w:pPr>
            <w:r w:rsidRPr="0059188A">
              <w:rPr>
                <w:sz w:val="18"/>
                <w:szCs w:val="18"/>
              </w:rPr>
              <w:t>2 mg Q4</w:t>
            </w:r>
          </w:p>
          <w:p w:rsidR="00DE1CAB" w:rsidRPr="0059188A" w:rsidRDefault="00DE1CAB" w:rsidP="00F651F2">
            <w:pPr>
              <w:pStyle w:val="C-TableText"/>
              <w:ind w:left="-33"/>
              <w:jc w:val="center"/>
              <w:rPr>
                <w:sz w:val="18"/>
                <w:szCs w:val="18"/>
              </w:rPr>
            </w:pPr>
            <w:r w:rsidRPr="0059188A">
              <w:rPr>
                <w:b/>
                <w:sz w:val="18"/>
                <w:szCs w:val="18"/>
              </w:rPr>
              <w:t>(</w:t>
            </w:r>
            <w:r w:rsidR="00F651F2">
              <w:rPr>
                <w:b/>
                <w:sz w:val="18"/>
                <w:szCs w:val="18"/>
              </w:rPr>
              <w:t>N</w:t>
            </w:r>
            <w:r w:rsidRPr="0059188A">
              <w:rPr>
                <w:b/>
                <w:sz w:val="18"/>
                <w:szCs w:val="18"/>
              </w:rPr>
              <w:t xml:space="preserve"> = 103)</w:t>
            </w:r>
          </w:p>
        </w:tc>
        <w:tc>
          <w:tcPr>
            <w:tcW w:w="980" w:type="dxa"/>
            <w:tcBorders>
              <w:top w:val="single" w:sz="6" w:space="0" w:color="auto"/>
              <w:left w:val="single" w:sz="6" w:space="0" w:color="auto"/>
              <w:bottom w:val="single" w:sz="6" w:space="0" w:color="auto"/>
              <w:right w:val="single" w:sz="6" w:space="0" w:color="auto"/>
            </w:tcBorders>
            <w:vAlign w:val="center"/>
          </w:tcPr>
          <w:p w:rsidR="00DE1CAB" w:rsidRPr="0059188A" w:rsidRDefault="00DE1CAB" w:rsidP="00DE1CAB">
            <w:pPr>
              <w:pStyle w:val="C-TableText"/>
              <w:jc w:val="center"/>
              <w:rPr>
                <w:b/>
                <w:sz w:val="18"/>
                <w:szCs w:val="18"/>
              </w:rPr>
            </w:pPr>
            <w:r w:rsidRPr="0059188A">
              <w:rPr>
                <w:b/>
                <w:sz w:val="18"/>
                <w:szCs w:val="18"/>
              </w:rPr>
              <w:t>Control</w:t>
            </w:r>
          </w:p>
          <w:p w:rsidR="00DE1CAB" w:rsidRPr="0059188A" w:rsidRDefault="00DE1CAB" w:rsidP="00DE1CAB">
            <w:pPr>
              <w:pStyle w:val="C-TableText"/>
              <w:jc w:val="center"/>
              <w:rPr>
                <w:sz w:val="18"/>
                <w:szCs w:val="18"/>
              </w:rPr>
            </w:pPr>
          </w:p>
          <w:p w:rsidR="00DE1CAB" w:rsidRPr="0059188A" w:rsidRDefault="00DE1CAB" w:rsidP="00F651F2">
            <w:pPr>
              <w:pStyle w:val="C-TableText"/>
              <w:ind w:left="-33" w:right="-93"/>
              <w:jc w:val="center"/>
              <w:rPr>
                <w:sz w:val="18"/>
                <w:szCs w:val="18"/>
              </w:rPr>
            </w:pPr>
            <w:r w:rsidRPr="0059188A">
              <w:rPr>
                <w:b/>
                <w:sz w:val="18"/>
                <w:szCs w:val="18"/>
              </w:rPr>
              <w:t>(</w:t>
            </w:r>
            <w:r w:rsidR="00F651F2">
              <w:rPr>
                <w:b/>
                <w:sz w:val="18"/>
                <w:szCs w:val="18"/>
              </w:rPr>
              <w:t>N</w:t>
            </w:r>
            <w:r w:rsidRPr="0059188A">
              <w:rPr>
                <w:b/>
                <w:sz w:val="18"/>
                <w:szCs w:val="18"/>
              </w:rPr>
              <w:t xml:space="preserve"> =</w:t>
            </w:r>
            <w:r w:rsidR="009D146B">
              <w:rPr>
                <w:b/>
                <w:sz w:val="18"/>
                <w:szCs w:val="18"/>
              </w:rPr>
              <w:t xml:space="preserve"> 68</w:t>
            </w:r>
            <w:r w:rsidRPr="0059188A">
              <w:rPr>
                <w:b/>
                <w:sz w:val="18"/>
                <w:szCs w:val="18"/>
              </w:rPr>
              <w:t>)</w:t>
            </w:r>
          </w:p>
        </w:tc>
        <w:tc>
          <w:tcPr>
            <w:tcW w:w="981" w:type="dxa"/>
            <w:tcBorders>
              <w:top w:val="single" w:sz="6" w:space="0" w:color="auto"/>
              <w:left w:val="single" w:sz="6" w:space="0" w:color="auto"/>
              <w:bottom w:val="single" w:sz="6" w:space="0" w:color="auto"/>
              <w:right w:val="single" w:sz="6" w:space="0" w:color="auto"/>
            </w:tcBorders>
            <w:vAlign w:val="center"/>
            <w:hideMark/>
          </w:tcPr>
          <w:p w:rsidR="00DE1CAB" w:rsidRPr="0059188A" w:rsidRDefault="00DE1CAB" w:rsidP="00DE1CAB">
            <w:pPr>
              <w:pStyle w:val="C-TableHeader"/>
              <w:ind w:left="-93" w:right="-18"/>
              <w:jc w:val="center"/>
              <w:rPr>
                <w:sz w:val="18"/>
                <w:szCs w:val="18"/>
              </w:rPr>
            </w:pPr>
            <w:r w:rsidRPr="0059188A">
              <w:rPr>
                <w:sz w:val="18"/>
                <w:szCs w:val="18"/>
              </w:rPr>
              <w:t>EYLEA</w:t>
            </w:r>
          </w:p>
          <w:p w:rsidR="00DE1CAB" w:rsidRPr="0059188A" w:rsidRDefault="00DE1CAB" w:rsidP="00DE1CAB">
            <w:pPr>
              <w:pStyle w:val="C-TableHeader"/>
              <w:ind w:left="-93" w:right="-18"/>
              <w:jc w:val="center"/>
              <w:rPr>
                <w:sz w:val="18"/>
                <w:szCs w:val="18"/>
              </w:rPr>
            </w:pPr>
            <w:r w:rsidRPr="0059188A">
              <w:rPr>
                <w:sz w:val="18"/>
                <w:szCs w:val="18"/>
              </w:rPr>
              <w:t>2 mg</w:t>
            </w:r>
          </w:p>
          <w:p w:rsidR="00DE1CAB" w:rsidRPr="0059188A" w:rsidRDefault="00DE1CAB" w:rsidP="00F651F2">
            <w:pPr>
              <w:pStyle w:val="C-TableText"/>
              <w:ind w:left="-93"/>
              <w:jc w:val="center"/>
              <w:rPr>
                <w:sz w:val="18"/>
                <w:szCs w:val="18"/>
              </w:rPr>
            </w:pPr>
            <w:r w:rsidRPr="0059188A">
              <w:rPr>
                <w:b/>
                <w:sz w:val="18"/>
                <w:szCs w:val="18"/>
              </w:rPr>
              <w:t>(</w:t>
            </w:r>
            <w:r w:rsidR="00F651F2">
              <w:rPr>
                <w:b/>
                <w:sz w:val="18"/>
                <w:szCs w:val="18"/>
              </w:rPr>
              <w:t>N</w:t>
            </w:r>
            <w:r w:rsidRPr="0059188A">
              <w:rPr>
                <w:b/>
                <w:sz w:val="18"/>
                <w:szCs w:val="18"/>
              </w:rPr>
              <w:t xml:space="preserve"> = 103)</w:t>
            </w:r>
          </w:p>
        </w:tc>
        <w:tc>
          <w:tcPr>
            <w:tcW w:w="980" w:type="dxa"/>
            <w:tcBorders>
              <w:top w:val="single" w:sz="6" w:space="0" w:color="auto"/>
              <w:left w:val="single" w:sz="6" w:space="0" w:color="auto"/>
              <w:bottom w:val="single" w:sz="6" w:space="0" w:color="auto"/>
              <w:right w:val="single" w:sz="6" w:space="0" w:color="auto"/>
            </w:tcBorders>
            <w:vAlign w:val="center"/>
          </w:tcPr>
          <w:p w:rsidR="00DE1CAB" w:rsidRPr="0059188A" w:rsidRDefault="00DE1CAB" w:rsidP="00DE1CAB">
            <w:pPr>
              <w:pStyle w:val="C-TableText"/>
              <w:jc w:val="center"/>
              <w:rPr>
                <w:b/>
                <w:sz w:val="18"/>
                <w:szCs w:val="18"/>
              </w:rPr>
            </w:pPr>
            <w:r w:rsidRPr="0059188A">
              <w:rPr>
                <w:b/>
                <w:sz w:val="18"/>
                <w:szCs w:val="18"/>
              </w:rPr>
              <w:t xml:space="preserve">Control </w:t>
            </w:r>
            <w:r w:rsidRPr="0059188A">
              <w:rPr>
                <w:sz w:val="18"/>
                <w:szCs w:val="18"/>
                <w:vertAlign w:val="superscript"/>
              </w:rPr>
              <w:t>e)</w:t>
            </w:r>
          </w:p>
          <w:p w:rsidR="00DE1CAB" w:rsidRPr="0059188A" w:rsidRDefault="00DE1CAB" w:rsidP="00DE1CAB">
            <w:pPr>
              <w:pStyle w:val="C-TableText"/>
              <w:jc w:val="center"/>
              <w:rPr>
                <w:b/>
                <w:sz w:val="18"/>
                <w:szCs w:val="18"/>
              </w:rPr>
            </w:pPr>
          </w:p>
          <w:p w:rsidR="00DE1CAB" w:rsidRPr="0059188A" w:rsidRDefault="00DE1CAB" w:rsidP="00F651F2">
            <w:pPr>
              <w:pStyle w:val="C-TableText"/>
              <w:jc w:val="center"/>
              <w:rPr>
                <w:b/>
                <w:sz w:val="18"/>
                <w:szCs w:val="18"/>
              </w:rPr>
            </w:pPr>
            <w:r w:rsidRPr="0059188A">
              <w:rPr>
                <w:b/>
                <w:sz w:val="18"/>
                <w:szCs w:val="18"/>
              </w:rPr>
              <w:t>(</w:t>
            </w:r>
            <w:r w:rsidR="00F651F2">
              <w:rPr>
                <w:b/>
                <w:sz w:val="18"/>
                <w:szCs w:val="18"/>
              </w:rPr>
              <w:t>N</w:t>
            </w:r>
            <w:r w:rsidRPr="0059188A">
              <w:rPr>
                <w:b/>
                <w:sz w:val="18"/>
                <w:szCs w:val="18"/>
              </w:rPr>
              <w:t xml:space="preserve"> =</w:t>
            </w:r>
            <w:r w:rsidR="009D146B">
              <w:rPr>
                <w:b/>
                <w:sz w:val="18"/>
                <w:szCs w:val="18"/>
              </w:rPr>
              <w:t xml:space="preserve"> 68</w:t>
            </w:r>
            <w:r w:rsidRPr="0059188A">
              <w:rPr>
                <w:b/>
                <w:sz w:val="18"/>
                <w:szCs w:val="18"/>
              </w:rPr>
              <w:t>)</w:t>
            </w:r>
          </w:p>
        </w:tc>
        <w:tc>
          <w:tcPr>
            <w:tcW w:w="981" w:type="dxa"/>
            <w:tcBorders>
              <w:top w:val="single" w:sz="6" w:space="0" w:color="auto"/>
              <w:left w:val="single" w:sz="6" w:space="0" w:color="auto"/>
              <w:bottom w:val="single" w:sz="6" w:space="0" w:color="auto"/>
              <w:right w:val="single" w:sz="6" w:space="0" w:color="auto"/>
            </w:tcBorders>
            <w:vAlign w:val="center"/>
          </w:tcPr>
          <w:p w:rsidR="00DE1CAB" w:rsidRPr="0059188A" w:rsidRDefault="00DE1CAB" w:rsidP="00DE1CAB">
            <w:pPr>
              <w:pStyle w:val="C-TableHeader"/>
              <w:ind w:left="-93" w:right="-18"/>
              <w:jc w:val="center"/>
              <w:rPr>
                <w:sz w:val="18"/>
                <w:szCs w:val="18"/>
              </w:rPr>
            </w:pPr>
            <w:r w:rsidRPr="0059188A">
              <w:rPr>
                <w:sz w:val="18"/>
                <w:szCs w:val="18"/>
              </w:rPr>
              <w:t>EYLEA</w:t>
            </w:r>
            <w:r w:rsidRPr="0059188A">
              <w:rPr>
                <w:sz w:val="18"/>
                <w:szCs w:val="18"/>
                <w:vertAlign w:val="superscript"/>
                <w:lang w:eastAsia="zh-CN"/>
              </w:rPr>
              <w:t xml:space="preserve"> </w:t>
            </w:r>
            <w:r w:rsidRPr="0059188A">
              <w:rPr>
                <w:b w:val="0"/>
                <w:sz w:val="18"/>
                <w:szCs w:val="18"/>
                <w:vertAlign w:val="superscript"/>
                <w:lang w:eastAsia="zh-CN"/>
              </w:rPr>
              <w:t>e)</w:t>
            </w:r>
          </w:p>
          <w:p w:rsidR="00DE1CAB" w:rsidRPr="0059188A" w:rsidRDefault="00DE1CAB" w:rsidP="00DE1CAB">
            <w:pPr>
              <w:pStyle w:val="C-TableHeader"/>
              <w:ind w:left="-93" w:right="-18"/>
              <w:jc w:val="center"/>
              <w:rPr>
                <w:sz w:val="18"/>
                <w:szCs w:val="18"/>
              </w:rPr>
            </w:pPr>
            <w:r w:rsidRPr="0059188A">
              <w:rPr>
                <w:sz w:val="18"/>
                <w:szCs w:val="18"/>
              </w:rPr>
              <w:t>2 mg</w:t>
            </w:r>
          </w:p>
          <w:p w:rsidR="00DE1CAB" w:rsidRPr="0059188A" w:rsidRDefault="00DE1CAB" w:rsidP="00F651F2">
            <w:pPr>
              <w:pStyle w:val="C-TableText"/>
              <w:jc w:val="center"/>
              <w:rPr>
                <w:b/>
                <w:sz w:val="18"/>
                <w:szCs w:val="18"/>
              </w:rPr>
            </w:pPr>
            <w:r w:rsidRPr="0059188A">
              <w:rPr>
                <w:b/>
                <w:sz w:val="18"/>
                <w:szCs w:val="18"/>
              </w:rPr>
              <w:t>(</w:t>
            </w:r>
            <w:r w:rsidR="00F651F2">
              <w:rPr>
                <w:b/>
                <w:sz w:val="18"/>
                <w:szCs w:val="18"/>
              </w:rPr>
              <w:t>N</w:t>
            </w:r>
            <w:r w:rsidRPr="0059188A">
              <w:rPr>
                <w:b/>
                <w:sz w:val="18"/>
                <w:szCs w:val="18"/>
              </w:rPr>
              <w:t xml:space="preserve"> = 103)</w:t>
            </w:r>
          </w:p>
        </w:tc>
      </w:tr>
      <w:tr w:rsidR="00DE1CAB" w:rsidRPr="0059188A" w:rsidTr="007C3358">
        <w:trPr>
          <w:cantSplit/>
          <w:jc w:val="center"/>
        </w:trPr>
        <w:tc>
          <w:tcPr>
            <w:tcW w:w="1526" w:type="dxa"/>
            <w:tcBorders>
              <w:top w:val="single" w:sz="4" w:space="0" w:color="auto"/>
              <w:left w:val="single" w:sz="4" w:space="0" w:color="auto"/>
              <w:bottom w:val="single" w:sz="4" w:space="0" w:color="auto"/>
              <w:right w:val="single" w:sz="6" w:space="0" w:color="auto"/>
            </w:tcBorders>
            <w:hideMark/>
          </w:tcPr>
          <w:p w:rsidR="00DE1CAB" w:rsidRPr="0059188A" w:rsidRDefault="00DE1CAB" w:rsidP="00014C78">
            <w:pPr>
              <w:pStyle w:val="C-TableText"/>
              <w:rPr>
                <w:sz w:val="18"/>
                <w:szCs w:val="18"/>
              </w:rPr>
            </w:pPr>
            <w:r w:rsidRPr="0059188A">
              <w:rPr>
                <w:sz w:val="18"/>
                <w:szCs w:val="18"/>
              </w:rPr>
              <w:t>Mean change in retinal thickness from baseline</w:t>
            </w:r>
          </w:p>
        </w:tc>
        <w:tc>
          <w:tcPr>
            <w:tcW w:w="980" w:type="dxa"/>
            <w:tcBorders>
              <w:top w:val="single" w:sz="4" w:space="0" w:color="auto"/>
              <w:left w:val="single" w:sz="6" w:space="0" w:color="auto"/>
              <w:bottom w:val="single" w:sz="4" w:space="0" w:color="auto"/>
              <w:right w:val="single" w:sz="6" w:space="0" w:color="auto"/>
            </w:tcBorders>
            <w:vAlign w:val="center"/>
          </w:tcPr>
          <w:p w:rsidR="00DE1CAB" w:rsidRPr="0059188A" w:rsidRDefault="00DE1CAB" w:rsidP="00BC615F">
            <w:pPr>
              <w:pStyle w:val="C-TableText"/>
              <w:jc w:val="center"/>
              <w:rPr>
                <w:sz w:val="18"/>
                <w:szCs w:val="18"/>
              </w:rPr>
            </w:pPr>
            <w:r w:rsidRPr="0059188A">
              <w:rPr>
                <w:sz w:val="18"/>
                <w:szCs w:val="18"/>
              </w:rPr>
              <w:noBreakHyphen/>
              <w:t>145</w:t>
            </w:r>
          </w:p>
        </w:tc>
        <w:tc>
          <w:tcPr>
            <w:tcW w:w="980" w:type="dxa"/>
            <w:tcBorders>
              <w:top w:val="single" w:sz="4" w:space="0" w:color="auto"/>
              <w:left w:val="single" w:sz="6" w:space="0" w:color="auto"/>
              <w:bottom w:val="single" w:sz="4" w:space="0" w:color="auto"/>
              <w:right w:val="single" w:sz="6" w:space="0" w:color="auto"/>
            </w:tcBorders>
            <w:vAlign w:val="center"/>
          </w:tcPr>
          <w:p w:rsidR="00DE1CAB" w:rsidRPr="0059188A" w:rsidRDefault="00DE1CAB" w:rsidP="00BC615F">
            <w:pPr>
              <w:pStyle w:val="C-TableText"/>
              <w:jc w:val="center"/>
              <w:rPr>
                <w:sz w:val="18"/>
                <w:szCs w:val="18"/>
              </w:rPr>
            </w:pPr>
            <w:r w:rsidRPr="0059188A">
              <w:rPr>
                <w:sz w:val="18"/>
                <w:szCs w:val="18"/>
              </w:rPr>
              <w:noBreakHyphen/>
              <w:t>457</w:t>
            </w:r>
          </w:p>
        </w:tc>
        <w:tc>
          <w:tcPr>
            <w:tcW w:w="981" w:type="dxa"/>
            <w:tcBorders>
              <w:top w:val="single" w:sz="4" w:space="0" w:color="auto"/>
              <w:left w:val="single" w:sz="6" w:space="0" w:color="auto"/>
              <w:bottom w:val="single" w:sz="4" w:space="0" w:color="auto"/>
              <w:right w:val="single" w:sz="6" w:space="0" w:color="auto"/>
            </w:tcBorders>
            <w:vAlign w:val="center"/>
          </w:tcPr>
          <w:p w:rsidR="00DE1CAB" w:rsidRPr="0059188A" w:rsidRDefault="00DE1CAB" w:rsidP="00BC615F">
            <w:pPr>
              <w:pStyle w:val="C-TableText"/>
              <w:jc w:val="center"/>
              <w:rPr>
                <w:sz w:val="18"/>
                <w:szCs w:val="18"/>
              </w:rPr>
            </w:pPr>
            <w:r w:rsidRPr="0059188A">
              <w:rPr>
                <w:sz w:val="18"/>
                <w:szCs w:val="18"/>
              </w:rPr>
              <w:noBreakHyphen/>
              <w:t>382</w:t>
            </w:r>
          </w:p>
        </w:tc>
        <w:tc>
          <w:tcPr>
            <w:tcW w:w="980" w:type="dxa"/>
            <w:tcBorders>
              <w:top w:val="single" w:sz="4" w:space="0" w:color="auto"/>
              <w:left w:val="single" w:sz="6" w:space="0" w:color="auto"/>
              <w:bottom w:val="single" w:sz="4" w:space="0" w:color="auto"/>
              <w:right w:val="single" w:sz="6" w:space="0" w:color="auto"/>
            </w:tcBorders>
            <w:vAlign w:val="center"/>
          </w:tcPr>
          <w:p w:rsidR="00DE1CAB" w:rsidRPr="0059188A" w:rsidRDefault="00DE1CAB" w:rsidP="00BC615F">
            <w:pPr>
              <w:pStyle w:val="C-TableText"/>
              <w:jc w:val="center"/>
              <w:rPr>
                <w:sz w:val="18"/>
                <w:szCs w:val="18"/>
              </w:rPr>
            </w:pPr>
            <w:r w:rsidRPr="0059188A">
              <w:rPr>
                <w:sz w:val="18"/>
                <w:szCs w:val="18"/>
              </w:rPr>
              <w:noBreakHyphen/>
              <w:t>413</w:t>
            </w:r>
          </w:p>
        </w:tc>
        <w:tc>
          <w:tcPr>
            <w:tcW w:w="981" w:type="dxa"/>
            <w:tcBorders>
              <w:top w:val="single" w:sz="4" w:space="0" w:color="auto"/>
              <w:left w:val="single" w:sz="6" w:space="0" w:color="auto"/>
              <w:bottom w:val="single" w:sz="4" w:space="0" w:color="auto"/>
              <w:right w:val="single" w:sz="6" w:space="0" w:color="auto"/>
            </w:tcBorders>
            <w:vAlign w:val="center"/>
          </w:tcPr>
          <w:p w:rsidR="00DE1CAB" w:rsidRPr="0059188A" w:rsidRDefault="00DE1CAB" w:rsidP="00BC615F">
            <w:pPr>
              <w:pStyle w:val="C-TableText"/>
              <w:jc w:val="center"/>
              <w:rPr>
                <w:sz w:val="18"/>
                <w:szCs w:val="18"/>
              </w:rPr>
            </w:pPr>
            <w:r w:rsidRPr="0059188A">
              <w:rPr>
                <w:sz w:val="18"/>
                <w:szCs w:val="18"/>
                <w:lang w:eastAsia="zh-CN"/>
              </w:rPr>
              <w:t>-</w:t>
            </w:r>
            <w:r w:rsidRPr="0059188A">
              <w:rPr>
                <w:rFonts w:hint="eastAsia"/>
                <w:sz w:val="18"/>
                <w:szCs w:val="18"/>
                <w:lang w:eastAsia="zh-CN"/>
              </w:rPr>
              <w:t>343</w:t>
            </w:r>
          </w:p>
        </w:tc>
        <w:tc>
          <w:tcPr>
            <w:tcW w:w="980" w:type="dxa"/>
            <w:tcBorders>
              <w:top w:val="single" w:sz="4" w:space="0" w:color="auto"/>
              <w:left w:val="single" w:sz="6" w:space="0" w:color="auto"/>
              <w:bottom w:val="single" w:sz="4" w:space="0" w:color="auto"/>
              <w:right w:val="single" w:sz="6" w:space="0" w:color="auto"/>
            </w:tcBorders>
            <w:vAlign w:val="center"/>
          </w:tcPr>
          <w:p w:rsidR="00DE1CAB" w:rsidRPr="0059188A" w:rsidRDefault="00DE1CAB" w:rsidP="00BC615F">
            <w:pPr>
              <w:pStyle w:val="C-TableText"/>
              <w:jc w:val="center"/>
              <w:rPr>
                <w:sz w:val="18"/>
                <w:szCs w:val="18"/>
              </w:rPr>
            </w:pPr>
            <w:r w:rsidRPr="0059188A">
              <w:rPr>
                <w:sz w:val="18"/>
                <w:szCs w:val="18"/>
                <w:lang w:eastAsia="zh-CN"/>
              </w:rPr>
              <w:softHyphen/>
            </w:r>
            <w:r w:rsidRPr="0059188A">
              <w:rPr>
                <w:sz w:val="18"/>
                <w:szCs w:val="18"/>
                <w:lang w:eastAsia="zh-CN"/>
              </w:rPr>
              <w:softHyphen/>
              <w:t>-</w:t>
            </w:r>
            <w:r w:rsidRPr="0059188A">
              <w:rPr>
                <w:rFonts w:hint="eastAsia"/>
                <w:sz w:val="18"/>
                <w:szCs w:val="18"/>
                <w:lang w:eastAsia="zh-CN"/>
              </w:rPr>
              <w:t>390</w:t>
            </w:r>
          </w:p>
        </w:tc>
        <w:tc>
          <w:tcPr>
            <w:tcW w:w="980" w:type="dxa"/>
            <w:tcBorders>
              <w:top w:val="single" w:sz="4" w:space="0" w:color="auto"/>
              <w:left w:val="single" w:sz="6" w:space="0" w:color="auto"/>
              <w:bottom w:val="single" w:sz="4" w:space="0" w:color="auto"/>
              <w:right w:val="single" w:sz="6" w:space="0" w:color="auto"/>
            </w:tcBorders>
            <w:vAlign w:val="center"/>
          </w:tcPr>
          <w:p w:rsidR="00DE1CAB" w:rsidRPr="0059188A" w:rsidRDefault="00DE1CAB" w:rsidP="00BC615F">
            <w:pPr>
              <w:pStyle w:val="C-TableText"/>
              <w:jc w:val="center"/>
              <w:rPr>
                <w:sz w:val="18"/>
                <w:szCs w:val="18"/>
              </w:rPr>
            </w:pPr>
            <w:r w:rsidRPr="0059188A">
              <w:rPr>
                <w:sz w:val="18"/>
                <w:szCs w:val="18"/>
              </w:rPr>
              <w:noBreakHyphen/>
              <w:t>169</w:t>
            </w:r>
          </w:p>
        </w:tc>
        <w:tc>
          <w:tcPr>
            <w:tcW w:w="981" w:type="dxa"/>
            <w:tcBorders>
              <w:top w:val="single" w:sz="4" w:space="0" w:color="auto"/>
              <w:left w:val="single" w:sz="6" w:space="0" w:color="auto"/>
              <w:bottom w:val="single" w:sz="4" w:space="0" w:color="auto"/>
              <w:right w:val="single" w:sz="6" w:space="0" w:color="auto"/>
            </w:tcBorders>
            <w:vAlign w:val="center"/>
          </w:tcPr>
          <w:p w:rsidR="00DE1CAB" w:rsidRPr="0059188A" w:rsidRDefault="00DE1CAB" w:rsidP="00BC615F">
            <w:pPr>
              <w:pStyle w:val="C-TableText"/>
              <w:jc w:val="center"/>
              <w:rPr>
                <w:sz w:val="18"/>
                <w:szCs w:val="18"/>
              </w:rPr>
            </w:pPr>
            <w:r w:rsidRPr="0059188A">
              <w:rPr>
                <w:sz w:val="18"/>
                <w:szCs w:val="18"/>
              </w:rPr>
              <w:noBreakHyphen/>
              <w:t>449</w:t>
            </w:r>
          </w:p>
        </w:tc>
        <w:tc>
          <w:tcPr>
            <w:tcW w:w="980" w:type="dxa"/>
            <w:tcBorders>
              <w:top w:val="single" w:sz="4" w:space="0" w:color="auto"/>
              <w:left w:val="single" w:sz="6" w:space="0" w:color="auto"/>
              <w:bottom w:val="single" w:sz="4" w:space="0" w:color="auto"/>
              <w:right w:val="single" w:sz="6" w:space="0" w:color="auto"/>
            </w:tcBorders>
            <w:vAlign w:val="center"/>
          </w:tcPr>
          <w:p w:rsidR="00DE1CAB" w:rsidRPr="0059188A" w:rsidRDefault="00DE1CAB" w:rsidP="00BC615F">
            <w:pPr>
              <w:pStyle w:val="C-TableText"/>
              <w:jc w:val="center"/>
              <w:rPr>
                <w:sz w:val="18"/>
                <w:szCs w:val="18"/>
              </w:rPr>
            </w:pPr>
            <w:r w:rsidRPr="0059188A">
              <w:rPr>
                <w:sz w:val="18"/>
                <w:szCs w:val="18"/>
              </w:rPr>
              <w:noBreakHyphen/>
              <w:t>219</w:t>
            </w:r>
          </w:p>
        </w:tc>
        <w:tc>
          <w:tcPr>
            <w:tcW w:w="981" w:type="dxa"/>
            <w:tcBorders>
              <w:top w:val="single" w:sz="4" w:space="0" w:color="auto"/>
              <w:left w:val="single" w:sz="6" w:space="0" w:color="auto"/>
              <w:bottom w:val="single" w:sz="4" w:space="0" w:color="auto"/>
              <w:right w:val="single" w:sz="4" w:space="0" w:color="auto"/>
            </w:tcBorders>
            <w:vAlign w:val="center"/>
          </w:tcPr>
          <w:p w:rsidR="00DE1CAB" w:rsidRPr="0059188A" w:rsidRDefault="00DE1CAB" w:rsidP="00BC615F">
            <w:pPr>
              <w:pStyle w:val="C-TableText"/>
              <w:jc w:val="center"/>
              <w:rPr>
                <w:sz w:val="18"/>
                <w:szCs w:val="18"/>
              </w:rPr>
            </w:pPr>
            <w:r w:rsidRPr="0059188A">
              <w:rPr>
                <w:sz w:val="18"/>
                <w:szCs w:val="18"/>
              </w:rPr>
              <w:noBreakHyphen/>
              <w:t>424</w:t>
            </w:r>
          </w:p>
        </w:tc>
        <w:tc>
          <w:tcPr>
            <w:tcW w:w="980" w:type="dxa"/>
            <w:tcBorders>
              <w:top w:val="single" w:sz="4" w:space="0" w:color="auto"/>
              <w:left w:val="single" w:sz="6" w:space="0" w:color="auto"/>
              <w:bottom w:val="single" w:sz="4" w:space="0" w:color="auto"/>
              <w:right w:val="single" w:sz="4" w:space="0" w:color="auto"/>
            </w:tcBorders>
            <w:vAlign w:val="center"/>
          </w:tcPr>
          <w:p w:rsidR="00DE1CAB" w:rsidRPr="0059188A" w:rsidRDefault="00DE1CAB" w:rsidP="00F8008D">
            <w:pPr>
              <w:pStyle w:val="C-TableText"/>
              <w:jc w:val="center"/>
              <w:rPr>
                <w:sz w:val="18"/>
                <w:szCs w:val="18"/>
              </w:rPr>
            </w:pPr>
            <w:r w:rsidRPr="0059188A">
              <w:rPr>
                <w:sz w:val="18"/>
                <w:szCs w:val="18"/>
                <w:lang w:eastAsia="zh-CN"/>
              </w:rPr>
              <w:t>-</w:t>
            </w:r>
            <w:r w:rsidRPr="0059188A">
              <w:rPr>
                <w:rFonts w:hint="eastAsia"/>
                <w:sz w:val="18"/>
                <w:szCs w:val="18"/>
                <w:lang w:eastAsia="zh-CN"/>
              </w:rPr>
              <w:t>306</w:t>
            </w:r>
          </w:p>
        </w:tc>
        <w:tc>
          <w:tcPr>
            <w:tcW w:w="981" w:type="dxa"/>
            <w:tcBorders>
              <w:top w:val="single" w:sz="4" w:space="0" w:color="auto"/>
              <w:left w:val="single" w:sz="6" w:space="0" w:color="auto"/>
              <w:bottom w:val="single" w:sz="4" w:space="0" w:color="auto"/>
              <w:right w:val="single" w:sz="4" w:space="0" w:color="auto"/>
            </w:tcBorders>
            <w:vAlign w:val="center"/>
          </w:tcPr>
          <w:p w:rsidR="00DE1CAB" w:rsidRPr="0059188A" w:rsidRDefault="00DE1CAB" w:rsidP="00F8008D">
            <w:pPr>
              <w:pStyle w:val="C-TableText"/>
              <w:jc w:val="center"/>
              <w:rPr>
                <w:sz w:val="18"/>
                <w:szCs w:val="18"/>
              </w:rPr>
            </w:pPr>
            <w:r w:rsidRPr="0059188A">
              <w:rPr>
                <w:sz w:val="18"/>
                <w:szCs w:val="18"/>
                <w:lang w:eastAsia="zh-CN"/>
              </w:rPr>
              <w:t>-</w:t>
            </w:r>
            <w:r w:rsidRPr="0059188A">
              <w:rPr>
                <w:rFonts w:hint="eastAsia"/>
                <w:sz w:val="18"/>
                <w:szCs w:val="18"/>
                <w:lang w:eastAsia="zh-CN"/>
              </w:rPr>
              <w:t>389</w:t>
            </w:r>
          </w:p>
        </w:tc>
      </w:tr>
      <w:tr w:rsidR="00DE1CAB" w:rsidRPr="0059188A" w:rsidTr="007C3358">
        <w:trPr>
          <w:cantSplit/>
          <w:jc w:val="center"/>
        </w:trPr>
        <w:tc>
          <w:tcPr>
            <w:tcW w:w="1526" w:type="dxa"/>
            <w:tcBorders>
              <w:top w:val="single" w:sz="4" w:space="0" w:color="auto"/>
              <w:left w:val="single" w:sz="6" w:space="0" w:color="auto"/>
              <w:bottom w:val="nil"/>
              <w:right w:val="single" w:sz="6" w:space="0" w:color="auto"/>
            </w:tcBorders>
            <w:hideMark/>
          </w:tcPr>
          <w:p w:rsidR="00DE1CAB" w:rsidRPr="0059188A" w:rsidRDefault="00DE1CAB" w:rsidP="00DE1CAB">
            <w:pPr>
              <w:pStyle w:val="C-TableText"/>
              <w:ind w:left="142"/>
              <w:rPr>
                <w:sz w:val="18"/>
                <w:szCs w:val="18"/>
              </w:rPr>
            </w:pPr>
            <w:r w:rsidRPr="0059188A">
              <w:rPr>
                <w:sz w:val="18"/>
                <w:szCs w:val="18"/>
              </w:rPr>
              <w:t xml:space="preserve">Difference in LS mean </w:t>
            </w:r>
            <w:proofErr w:type="spellStart"/>
            <w:r w:rsidRPr="0059188A">
              <w:rPr>
                <w:sz w:val="18"/>
                <w:szCs w:val="18"/>
                <w:vertAlign w:val="superscript"/>
              </w:rPr>
              <w:t>a,b,c</w:t>
            </w:r>
            <w:proofErr w:type="spellEnd"/>
            <w:r w:rsidRPr="0059188A">
              <w:rPr>
                <w:sz w:val="18"/>
                <w:szCs w:val="18"/>
                <w:vertAlign w:val="superscript"/>
              </w:rPr>
              <w:t>)</w:t>
            </w:r>
            <w:r w:rsidRPr="0059188A">
              <w:rPr>
                <w:sz w:val="18"/>
                <w:szCs w:val="18"/>
                <w:vertAlign w:val="superscript"/>
              </w:rPr>
              <w:br/>
            </w:r>
            <w:r w:rsidRPr="0059188A">
              <w:rPr>
                <w:sz w:val="18"/>
                <w:szCs w:val="18"/>
              </w:rPr>
              <w:t>(95% CI)</w:t>
            </w:r>
          </w:p>
        </w:tc>
        <w:tc>
          <w:tcPr>
            <w:tcW w:w="980" w:type="dxa"/>
            <w:tcBorders>
              <w:top w:val="single" w:sz="4" w:space="0" w:color="auto"/>
              <w:left w:val="single" w:sz="6" w:space="0" w:color="auto"/>
              <w:bottom w:val="nil"/>
              <w:right w:val="single" w:sz="6" w:space="0" w:color="auto"/>
            </w:tcBorders>
            <w:vAlign w:val="center"/>
          </w:tcPr>
          <w:p w:rsidR="00DE1CAB" w:rsidRPr="0059188A" w:rsidRDefault="00DE1CAB" w:rsidP="00BC615F">
            <w:pPr>
              <w:pStyle w:val="C-TableText"/>
              <w:spacing w:before="180" w:after="120"/>
              <w:ind w:left="-108" w:right="-91"/>
              <w:jc w:val="center"/>
              <w:rPr>
                <w:sz w:val="18"/>
                <w:szCs w:val="18"/>
              </w:rPr>
            </w:pPr>
          </w:p>
        </w:tc>
        <w:tc>
          <w:tcPr>
            <w:tcW w:w="980" w:type="dxa"/>
            <w:tcBorders>
              <w:top w:val="single" w:sz="4" w:space="0" w:color="auto"/>
              <w:left w:val="single" w:sz="6" w:space="0" w:color="auto"/>
              <w:bottom w:val="nil"/>
              <w:right w:val="single" w:sz="6" w:space="0" w:color="auto"/>
            </w:tcBorders>
            <w:vAlign w:val="center"/>
          </w:tcPr>
          <w:p w:rsidR="00DE1CAB" w:rsidRPr="0059188A" w:rsidRDefault="00DE1CAB" w:rsidP="00BC615F">
            <w:pPr>
              <w:pStyle w:val="C-TableText"/>
              <w:ind w:left="-153" w:right="-136"/>
              <w:jc w:val="center"/>
              <w:rPr>
                <w:sz w:val="18"/>
                <w:szCs w:val="18"/>
              </w:rPr>
            </w:pPr>
            <w:r w:rsidRPr="0059188A">
              <w:rPr>
                <w:sz w:val="18"/>
                <w:szCs w:val="18"/>
              </w:rPr>
              <w:noBreakHyphen/>
              <w:t xml:space="preserve">312 </w:t>
            </w:r>
          </w:p>
          <w:p w:rsidR="00DE1CAB" w:rsidRPr="0059188A" w:rsidRDefault="00DE1CAB" w:rsidP="00BC615F">
            <w:pPr>
              <w:pStyle w:val="C-TableText"/>
              <w:ind w:left="-153" w:right="-136"/>
              <w:jc w:val="center"/>
              <w:rPr>
                <w:sz w:val="18"/>
                <w:szCs w:val="18"/>
              </w:rPr>
            </w:pPr>
            <w:r w:rsidRPr="0059188A">
              <w:rPr>
                <w:sz w:val="18"/>
                <w:szCs w:val="18"/>
              </w:rPr>
              <w:t>(</w:t>
            </w:r>
            <w:r w:rsidRPr="0059188A">
              <w:rPr>
                <w:sz w:val="18"/>
                <w:szCs w:val="18"/>
              </w:rPr>
              <w:noBreakHyphen/>
              <w:t xml:space="preserve">389, </w:t>
            </w:r>
            <w:r w:rsidRPr="0059188A">
              <w:rPr>
                <w:sz w:val="18"/>
                <w:szCs w:val="18"/>
              </w:rPr>
              <w:noBreakHyphen/>
              <w:t>234)</w:t>
            </w:r>
          </w:p>
        </w:tc>
        <w:tc>
          <w:tcPr>
            <w:tcW w:w="981" w:type="dxa"/>
            <w:tcBorders>
              <w:top w:val="single" w:sz="4" w:space="0" w:color="auto"/>
              <w:left w:val="single" w:sz="6" w:space="0" w:color="auto"/>
              <w:bottom w:val="nil"/>
              <w:right w:val="single" w:sz="6" w:space="0" w:color="auto"/>
            </w:tcBorders>
            <w:vAlign w:val="center"/>
          </w:tcPr>
          <w:p w:rsidR="00DE1CAB" w:rsidRPr="0059188A" w:rsidRDefault="00DE1CAB" w:rsidP="00BC615F">
            <w:pPr>
              <w:pStyle w:val="C-TableText"/>
              <w:spacing w:before="180" w:after="120"/>
              <w:ind w:left="-108" w:right="-91"/>
              <w:jc w:val="center"/>
              <w:rPr>
                <w:sz w:val="18"/>
                <w:szCs w:val="18"/>
              </w:rPr>
            </w:pPr>
          </w:p>
        </w:tc>
        <w:tc>
          <w:tcPr>
            <w:tcW w:w="980" w:type="dxa"/>
            <w:tcBorders>
              <w:top w:val="single" w:sz="4" w:space="0" w:color="auto"/>
              <w:left w:val="single" w:sz="6" w:space="0" w:color="auto"/>
              <w:bottom w:val="nil"/>
              <w:right w:val="single" w:sz="6" w:space="0" w:color="auto"/>
            </w:tcBorders>
            <w:vAlign w:val="center"/>
          </w:tcPr>
          <w:p w:rsidR="00DE1CAB" w:rsidRPr="0059188A" w:rsidRDefault="00DE1CAB" w:rsidP="00644413">
            <w:pPr>
              <w:pStyle w:val="C-TableText"/>
              <w:ind w:left="-63" w:right="-48"/>
              <w:jc w:val="center"/>
              <w:rPr>
                <w:sz w:val="18"/>
                <w:szCs w:val="18"/>
              </w:rPr>
            </w:pPr>
            <w:r w:rsidRPr="0059188A">
              <w:rPr>
                <w:sz w:val="18"/>
                <w:szCs w:val="18"/>
              </w:rPr>
              <w:noBreakHyphen/>
              <w:t>28</w:t>
            </w:r>
          </w:p>
          <w:p w:rsidR="00DE1CAB" w:rsidRPr="0059188A" w:rsidRDefault="00DE1CAB" w:rsidP="00644413">
            <w:pPr>
              <w:pStyle w:val="C-TableText"/>
              <w:ind w:left="-63" w:right="-48"/>
              <w:jc w:val="center"/>
              <w:rPr>
                <w:sz w:val="18"/>
                <w:szCs w:val="18"/>
              </w:rPr>
            </w:pPr>
            <w:r w:rsidRPr="0059188A">
              <w:rPr>
                <w:sz w:val="18"/>
                <w:szCs w:val="18"/>
              </w:rPr>
              <w:t>(</w:t>
            </w:r>
            <w:r w:rsidRPr="0059188A">
              <w:rPr>
                <w:sz w:val="18"/>
                <w:szCs w:val="18"/>
              </w:rPr>
              <w:noBreakHyphen/>
              <w:t>121, 64)</w:t>
            </w:r>
          </w:p>
        </w:tc>
        <w:tc>
          <w:tcPr>
            <w:tcW w:w="981" w:type="dxa"/>
            <w:tcBorders>
              <w:top w:val="single" w:sz="4" w:space="0" w:color="auto"/>
              <w:left w:val="single" w:sz="6" w:space="0" w:color="auto"/>
              <w:bottom w:val="nil"/>
              <w:right w:val="single" w:sz="6" w:space="0" w:color="auto"/>
            </w:tcBorders>
          </w:tcPr>
          <w:p w:rsidR="00DE1CAB" w:rsidRPr="0059188A" w:rsidRDefault="00DE1CAB" w:rsidP="00644413">
            <w:pPr>
              <w:pStyle w:val="C-TableText"/>
              <w:spacing w:before="180" w:after="120"/>
              <w:ind w:left="-108" w:right="-91"/>
              <w:jc w:val="center"/>
              <w:rPr>
                <w:sz w:val="18"/>
                <w:szCs w:val="18"/>
              </w:rPr>
            </w:pPr>
          </w:p>
        </w:tc>
        <w:tc>
          <w:tcPr>
            <w:tcW w:w="980" w:type="dxa"/>
            <w:tcBorders>
              <w:top w:val="single" w:sz="4" w:space="0" w:color="auto"/>
              <w:left w:val="single" w:sz="6" w:space="0" w:color="auto"/>
              <w:bottom w:val="nil"/>
              <w:right w:val="single" w:sz="6" w:space="0" w:color="auto"/>
            </w:tcBorders>
            <w:vAlign w:val="center"/>
          </w:tcPr>
          <w:p w:rsidR="00DE1CAB" w:rsidRPr="0059188A" w:rsidRDefault="00DE1CAB" w:rsidP="00DE1CAB">
            <w:pPr>
              <w:pStyle w:val="C-TableText"/>
              <w:ind w:left="-63" w:right="-48"/>
              <w:jc w:val="center"/>
              <w:rPr>
                <w:sz w:val="18"/>
                <w:szCs w:val="18"/>
              </w:rPr>
            </w:pPr>
            <w:r w:rsidRPr="0059188A">
              <w:rPr>
                <w:sz w:val="18"/>
                <w:szCs w:val="18"/>
              </w:rPr>
              <w:noBreakHyphen/>
              <w:t>45</w:t>
            </w:r>
            <w:r w:rsidRPr="0059188A">
              <w:rPr>
                <w:sz w:val="18"/>
                <w:szCs w:val="18"/>
              </w:rPr>
              <w:br/>
              <w:t>(</w:t>
            </w:r>
            <w:r w:rsidRPr="0059188A">
              <w:rPr>
                <w:sz w:val="18"/>
                <w:szCs w:val="18"/>
              </w:rPr>
              <w:noBreakHyphen/>
              <w:t>142, 53)</w:t>
            </w:r>
          </w:p>
        </w:tc>
        <w:tc>
          <w:tcPr>
            <w:tcW w:w="980" w:type="dxa"/>
            <w:tcBorders>
              <w:top w:val="single" w:sz="4" w:space="0" w:color="auto"/>
              <w:left w:val="single" w:sz="6" w:space="0" w:color="auto"/>
              <w:bottom w:val="nil"/>
              <w:right w:val="single" w:sz="6" w:space="0" w:color="auto"/>
            </w:tcBorders>
            <w:vAlign w:val="center"/>
          </w:tcPr>
          <w:p w:rsidR="00DE1CAB" w:rsidRPr="0059188A" w:rsidRDefault="00DE1CAB" w:rsidP="00644413">
            <w:pPr>
              <w:pStyle w:val="C-TableText"/>
              <w:spacing w:before="180" w:after="120"/>
              <w:ind w:left="-108" w:right="-91"/>
              <w:jc w:val="center"/>
              <w:rPr>
                <w:sz w:val="18"/>
                <w:szCs w:val="18"/>
              </w:rPr>
            </w:pPr>
          </w:p>
        </w:tc>
        <w:tc>
          <w:tcPr>
            <w:tcW w:w="981" w:type="dxa"/>
            <w:tcBorders>
              <w:top w:val="single" w:sz="4" w:space="0" w:color="auto"/>
              <w:left w:val="single" w:sz="6" w:space="0" w:color="auto"/>
              <w:bottom w:val="nil"/>
              <w:right w:val="single" w:sz="6" w:space="0" w:color="auto"/>
            </w:tcBorders>
            <w:vAlign w:val="center"/>
          </w:tcPr>
          <w:p w:rsidR="00DE1CAB" w:rsidRPr="0059188A" w:rsidRDefault="00DE1CAB" w:rsidP="00644413">
            <w:pPr>
              <w:pStyle w:val="C-TableText"/>
              <w:ind w:left="-63" w:right="-48"/>
              <w:jc w:val="center"/>
              <w:rPr>
                <w:sz w:val="18"/>
                <w:szCs w:val="18"/>
              </w:rPr>
            </w:pPr>
            <w:r w:rsidRPr="0059188A">
              <w:rPr>
                <w:sz w:val="18"/>
                <w:szCs w:val="18"/>
              </w:rPr>
              <w:noBreakHyphen/>
              <w:t>239</w:t>
            </w:r>
          </w:p>
          <w:p w:rsidR="00DE1CAB" w:rsidRPr="0059188A" w:rsidRDefault="00DE1CAB" w:rsidP="00DE1CAB">
            <w:pPr>
              <w:pStyle w:val="C-TableText"/>
              <w:ind w:left="-130" w:right="-118"/>
              <w:jc w:val="center"/>
              <w:rPr>
                <w:sz w:val="18"/>
                <w:szCs w:val="18"/>
              </w:rPr>
            </w:pPr>
            <w:r w:rsidRPr="0059188A">
              <w:rPr>
                <w:sz w:val="18"/>
                <w:szCs w:val="18"/>
              </w:rPr>
              <w:t>(</w:t>
            </w:r>
            <w:r w:rsidRPr="0059188A">
              <w:rPr>
                <w:sz w:val="18"/>
                <w:szCs w:val="18"/>
              </w:rPr>
              <w:noBreakHyphen/>
              <w:t xml:space="preserve">286, </w:t>
            </w:r>
            <w:r w:rsidRPr="0059188A">
              <w:rPr>
                <w:sz w:val="18"/>
                <w:szCs w:val="18"/>
              </w:rPr>
              <w:noBreakHyphen/>
              <w:t>193)</w:t>
            </w:r>
          </w:p>
        </w:tc>
        <w:tc>
          <w:tcPr>
            <w:tcW w:w="980" w:type="dxa"/>
            <w:tcBorders>
              <w:top w:val="single" w:sz="4" w:space="0" w:color="auto"/>
              <w:left w:val="single" w:sz="6" w:space="0" w:color="auto"/>
              <w:bottom w:val="nil"/>
              <w:right w:val="single" w:sz="6" w:space="0" w:color="auto"/>
            </w:tcBorders>
            <w:vAlign w:val="center"/>
          </w:tcPr>
          <w:p w:rsidR="00DE1CAB" w:rsidRPr="0059188A" w:rsidRDefault="00DE1CAB" w:rsidP="00BC615F">
            <w:pPr>
              <w:pStyle w:val="C-TableText"/>
              <w:spacing w:before="180" w:after="120"/>
              <w:ind w:left="-108" w:right="-91"/>
              <w:jc w:val="center"/>
              <w:rPr>
                <w:sz w:val="18"/>
                <w:szCs w:val="18"/>
              </w:rPr>
            </w:pPr>
          </w:p>
        </w:tc>
        <w:tc>
          <w:tcPr>
            <w:tcW w:w="981" w:type="dxa"/>
            <w:tcBorders>
              <w:top w:val="single" w:sz="4" w:space="0" w:color="auto"/>
              <w:left w:val="single" w:sz="6" w:space="0" w:color="auto"/>
              <w:bottom w:val="nil"/>
              <w:right w:val="single" w:sz="6" w:space="0" w:color="auto"/>
            </w:tcBorders>
            <w:vAlign w:val="center"/>
          </w:tcPr>
          <w:p w:rsidR="00DE1CAB" w:rsidRPr="0059188A" w:rsidRDefault="00DE1CAB" w:rsidP="00BC615F">
            <w:pPr>
              <w:pStyle w:val="C-TableText"/>
              <w:ind w:left="-108" w:right="-108"/>
              <w:jc w:val="center"/>
              <w:rPr>
                <w:sz w:val="16"/>
                <w:szCs w:val="18"/>
              </w:rPr>
            </w:pPr>
            <w:r w:rsidRPr="0059188A">
              <w:rPr>
                <w:sz w:val="18"/>
                <w:szCs w:val="18"/>
              </w:rPr>
              <w:noBreakHyphen/>
              <w:t>167</w:t>
            </w:r>
          </w:p>
          <w:p w:rsidR="00DE1CAB" w:rsidRPr="0059188A" w:rsidRDefault="00DE1CAB" w:rsidP="00BC615F">
            <w:pPr>
              <w:pStyle w:val="C-TableText"/>
              <w:ind w:left="-108" w:right="-108"/>
              <w:jc w:val="center"/>
              <w:rPr>
                <w:sz w:val="18"/>
                <w:szCs w:val="18"/>
              </w:rPr>
            </w:pPr>
            <w:r w:rsidRPr="0059188A">
              <w:rPr>
                <w:sz w:val="16"/>
                <w:szCs w:val="18"/>
              </w:rPr>
              <w:t>(</w:t>
            </w:r>
            <w:r w:rsidRPr="0059188A">
              <w:rPr>
                <w:sz w:val="18"/>
                <w:szCs w:val="18"/>
              </w:rPr>
              <w:noBreakHyphen/>
              <w:t xml:space="preserve">217, </w:t>
            </w:r>
            <w:r w:rsidRPr="0059188A">
              <w:rPr>
                <w:sz w:val="18"/>
                <w:szCs w:val="18"/>
              </w:rPr>
              <w:noBreakHyphen/>
              <w:t>118)</w:t>
            </w:r>
          </w:p>
        </w:tc>
        <w:tc>
          <w:tcPr>
            <w:tcW w:w="980" w:type="dxa"/>
            <w:tcBorders>
              <w:top w:val="single" w:sz="4" w:space="0" w:color="auto"/>
              <w:left w:val="single" w:sz="6" w:space="0" w:color="auto"/>
              <w:bottom w:val="nil"/>
              <w:right w:val="single" w:sz="6" w:space="0" w:color="auto"/>
            </w:tcBorders>
          </w:tcPr>
          <w:p w:rsidR="00DE1CAB" w:rsidRPr="0059188A" w:rsidRDefault="00DE1CAB" w:rsidP="00F8008D">
            <w:pPr>
              <w:pStyle w:val="C-TableText"/>
              <w:spacing w:before="180" w:after="120"/>
              <w:ind w:left="-108" w:right="-91"/>
              <w:jc w:val="center"/>
              <w:rPr>
                <w:sz w:val="18"/>
                <w:szCs w:val="18"/>
              </w:rPr>
            </w:pPr>
          </w:p>
        </w:tc>
        <w:tc>
          <w:tcPr>
            <w:tcW w:w="981" w:type="dxa"/>
            <w:tcBorders>
              <w:top w:val="single" w:sz="4" w:space="0" w:color="auto"/>
              <w:left w:val="single" w:sz="6" w:space="0" w:color="auto"/>
              <w:bottom w:val="nil"/>
              <w:right w:val="single" w:sz="6" w:space="0" w:color="auto"/>
            </w:tcBorders>
            <w:vAlign w:val="center"/>
          </w:tcPr>
          <w:p w:rsidR="00DE1CAB" w:rsidRPr="0059188A" w:rsidRDefault="00DE1CAB" w:rsidP="00DE1CAB">
            <w:pPr>
              <w:pStyle w:val="C-TableText"/>
              <w:ind w:left="-63" w:right="-48"/>
              <w:jc w:val="center"/>
              <w:rPr>
                <w:sz w:val="18"/>
                <w:szCs w:val="18"/>
              </w:rPr>
            </w:pPr>
            <w:r w:rsidRPr="0059188A">
              <w:rPr>
                <w:sz w:val="18"/>
                <w:szCs w:val="18"/>
              </w:rPr>
              <w:noBreakHyphen/>
              <w:t>44</w:t>
            </w:r>
            <w:r w:rsidRPr="0059188A">
              <w:rPr>
                <w:sz w:val="18"/>
                <w:szCs w:val="18"/>
              </w:rPr>
              <w:br/>
              <w:t>(</w:t>
            </w:r>
            <w:r w:rsidRPr="0059188A">
              <w:rPr>
                <w:sz w:val="18"/>
                <w:szCs w:val="18"/>
              </w:rPr>
              <w:noBreakHyphen/>
              <w:t>99, 10)</w:t>
            </w:r>
          </w:p>
        </w:tc>
      </w:tr>
      <w:tr w:rsidR="00DE1CAB" w:rsidRPr="0059188A" w:rsidTr="007C3358">
        <w:trPr>
          <w:cantSplit/>
          <w:jc w:val="center"/>
        </w:trPr>
        <w:tc>
          <w:tcPr>
            <w:tcW w:w="1526" w:type="dxa"/>
            <w:tcBorders>
              <w:top w:val="nil"/>
              <w:left w:val="single" w:sz="4" w:space="0" w:color="auto"/>
              <w:bottom w:val="single" w:sz="4" w:space="0" w:color="auto"/>
              <w:right w:val="single" w:sz="4" w:space="0" w:color="auto"/>
            </w:tcBorders>
            <w:hideMark/>
          </w:tcPr>
          <w:p w:rsidR="00DE1CAB" w:rsidRPr="0059188A" w:rsidRDefault="00DE1CAB" w:rsidP="00DE1CAB">
            <w:pPr>
              <w:pStyle w:val="C-TableText"/>
              <w:spacing w:before="0"/>
              <w:ind w:left="142"/>
              <w:rPr>
                <w:sz w:val="18"/>
                <w:szCs w:val="18"/>
              </w:rPr>
            </w:pPr>
            <w:r w:rsidRPr="0059188A">
              <w:rPr>
                <w:sz w:val="18"/>
                <w:szCs w:val="18"/>
              </w:rPr>
              <w:t>p-value</w:t>
            </w:r>
          </w:p>
        </w:tc>
        <w:tc>
          <w:tcPr>
            <w:tcW w:w="980" w:type="dxa"/>
            <w:tcBorders>
              <w:top w:val="nil"/>
              <w:left w:val="single" w:sz="4" w:space="0" w:color="auto"/>
              <w:bottom w:val="single" w:sz="4" w:space="0" w:color="auto"/>
              <w:right w:val="single" w:sz="4" w:space="0" w:color="auto"/>
            </w:tcBorders>
            <w:vAlign w:val="center"/>
          </w:tcPr>
          <w:p w:rsidR="00DE1CAB" w:rsidRPr="0059188A" w:rsidRDefault="00DE1CAB" w:rsidP="00BC615F">
            <w:pPr>
              <w:pStyle w:val="C-TableText"/>
              <w:spacing w:before="0"/>
              <w:ind w:left="-153" w:right="-136"/>
              <w:jc w:val="center"/>
              <w:rPr>
                <w:sz w:val="18"/>
                <w:szCs w:val="18"/>
              </w:rPr>
            </w:pPr>
          </w:p>
        </w:tc>
        <w:tc>
          <w:tcPr>
            <w:tcW w:w="980" w:type="dxa"/>
            <w:tcBorders>
              <w:top w:val="nil"/>
              <w:left w:val="single" w:sz="4" w:space="0" w:color="auto"/>
              <w:bottom w:val="single" w:sz="4" w:space="0" w:color="auto"/>
              <w:right w:val="single" w:sz="4" w:space="0" w:color="auto"/>
            </w:tcBorders>
            <w:vAlign w:val="center"/>
          </w:tcPr>
          <w:p w:rsidR="00DE1CAB" w:rsidRPr="0059188A" w:rsidRDefault="00DE1CAB" w:rsidP="00BC615F">
            <w:pPr>
              <w:pStyle w:val="C-TableText"/>
              <w:spacing w:before="0"/>
              <w:ind w:left="-153" w:right="-136"/>
              <w:jc w:val="center"/>
              <w:rPr>
                <w:sz w:val="18"/>
                <w:szCs w:val="18"/>
              </w:rPr>
            </w:pPr>
            <w:r w:rsidRPr="0059188A">
              <w:rPr>
                <w:sz w:val="18"/>
                <w:szCs w:val="18"/>
              </w:rPr>
              <w:t>p &lt; 0.0001</w:t>
            </w:r>
          </w:p>
        </w:tc>
        <w:tc>
          <w:tcPr>
            <w:tcW w:w="981" w:type="dxa"/>
            <w:tcBorders>
              <w:top w:val="nil"/>
              <w:left w:val="single" w:sz="4" w:space="0" w:color="auto"/>
              <w:bottom w:val="single" w:sz="4" w:space="0" w:color="auto"/>
              <w:right w:val="single" w:sz="4" w:space="0" w:color="auto"/>
            </w:tcBorders>
            <w:vAlign w:val="center"/>
          </w:tcPr>
          <w:p w:rsidR="00DE1CAB" w:rsidRPr="0059188A" w:rsidRDefault="00DE1CAB" w:rsidP="00BC615F">
            <w:pPr>
              <w:pStyle w:val="C-TableText"/>
              <w:spacing w:before="0"/>
              <w:ind w:left="-63" w:right="-48"/>
              <w:jc w:val="center"/>
              <w:rPr>
                <w:sz w:val="18"/>
                <w:szCs w:val="18"/>
              </w:rPr>
            </w:pPr>
          </w:p>
        </w:tc>
        <w:tc>
          <w:tcPr>
            <w:tcW w:w="980" w:type="dxa"/>
            <w:tcBorders>
              <w:top w:val="nil"/>
              <w:left w:val="single" w:sz="4" w:space="0" w:color="auto"/>
              <w:bottom w:val="single" w:sz="4" w:space="0" w:color="auto"/>
              <w:right w:val="single" w:sz="4" w:space="0" w:color="auto"/>
            </w:tcBorders>
            <w:vAlign w:val="center"/>
          </w:tcPr>
          <w:p w:rsidR="00DE1CAB" w:rsidRPr="0059188A" w:rsidRDefault="00DE1CAB" w:rsidP="00BC615F">
            <w:pPr>
              <w:pStyle w:val="C-TableText"/>
              <w:spacing w:before="0"/>
              <w:ind w:left="-63" w:right="-48"/>
              <w:jc w:val="center"/>
              <w:rPr>
                <w:sz w:val="18"/>
                <w:szCs w:val="18"/>
              </w:rPr>
            </w:pPr>
            <w:r w:rsidRPr="0059188A">
              <w:rPr>
                <w:sz w:val="18"/>
                <w:szCs w:val="18"/>
              </w:rPr>
              <w:t>p = 0.5460</w:t>
            </w:r>
          </w:p>
        </w:tc>
        <w:tc>
          <w:tcPr>
            <w:tcW w:w="981" w:type="dxa"/>
            <w:tcBorders>
              <w:top w:val="nil"/>
              <w:left w:val="single" w:sz="4" w:space="0" w:color="auto"/>
              <w:bottom w:val="single" w:sz="4" w:space="0" w:color="auto"/>
              <w:right w:val="single" w:sz="4" w:space="0" w:color="auto"/>
            </w:tcBorders>
          </w:tcPr>
          <w:p w:rsidR="00DE1CAB" w:rsidRPr="0059188A" w:rsidRDefault="00DE1CAB" w:rsidP="00BC615F">
            <w:pPr>
              <w:pStyle w:val="C-TableText"/>
              <w:spacing w:before="0"/>
              <w:ind w:left="-91" w:right="-79"/>
              <w:jc w:val="center"/>
              <w:rPr>
                <w:sz w:val="18"/>
                <w:szCs w:val="18"/>
              </w:rPr>
            </w:pPr>
          </w:p>
        </w:tc>
        <w:tc>
          <w:tcPr>
            <w:tcW w:w="980" w:type="dxa"/>
            <w:tcBorders>
              <w:top w:val="nil"/>
              <w:left w:val="single" w:sz="4" w:space="0" w:color="auto"/>
              <w:bottom w:val="single" w:sz="4" w:space="0" w:color="auto"/>
              <w:right w:val="single" w:sz="4" w:space="0" w:color="auto"/>
            </w:tcBorders>
            <w:vAlign w:val="center"/>
          </w:tcPr>
          <w:p w:rsidR="00DE1CAB" w:rsidRPr="0059188A" w:rsidRDefault="00DE1CAB" w:rsidP="00DE1CAB">
            <w:pPr>
              <w:pStyle w:val="C-TableText"/>
              <w:spacing w:before="0"/>
              <w:ind w:left="-91" w:right="-79"/>
              <w:jc w:val="center"/>
              <w:rPr>
                <w:sz w:val="18"/>
                <w:szCs w:val="18"/>
              </w:rPr>
            </w:pPr>
            <w:r w:rsidRPr="0059188A">
              <w:rPr>
                <w:sz w:val="18"/>
                <w:szCs w:val="18"/>
              </w:rPr>
              <w:t>p = 0.3661</w:t>
            </w:r>
          </w:p>
        </w:tc>
        <w:tc>
          <w:tcPr>
            <w:tcW w:w="980" w:type="dxa"/>
            <w:tcBorders>
              <w:top w:val="nil"/>
              <w:left w:val="single" w:sz="4" w:space="0" w:color="auto"/>
              <w:bottom w:val="single" w:sz="4" w:space="0" w:color="auto"/>
              <w:right w:val="single" w:sz="4" w:space="0" w:color="auto"/>
            </w:tcBorders>
            <w:vAlign w:val="center"/>
          </w:tcPr>
          <w:p w:rsidR="00DE1CAB" w:rsidRPr="0059188A" w:rsidRDefault="00DE1CAB" w:rsidP="00BC615F">
            <w:pPr>
              <w:pStyle w:val="C-TableText"/>
              <w:spacing w:before="0"/>
              <w:ind w:left="-91" w:right="-79"/>
              <w:jc w:val="center"/>
              <w:rPr>
                <w:sz w:val="18"/>
                <w:szCs w:val="18"/>
              </w:rPr>
            </w:pPr>
          </w:p>
        </w:tc>
        <w:tc>
          <w:tcPr>
            <w:tcW w:w="981" w:type="dxa"/>
            <w:tcBorders>
              <w:top w:val="nil"/>
              <w:left w:val="single" w:sz="4" w:space="0" w:color="auto"/>
              <w:bottom w:val="single" w:sz="4" w:space="0" w:color="auto"/>
              <w:right w:val="single" w:sz="4" w:space="0" w:color="auto"/>
            </w:tcBorders>
            <w:vAlign w:val="center"/>
          </w:tcPr>
          <w:p w:rsidR="00DE1CAB" w:rsidRPr="0059188A" w:rsidRDefault="00DE1CAB" w:rsidP="00BC615F">
            <w:pPr>
              <w:pStyle w:val="C-TableText"/>
              <w:spacing w:before="0"/>
              <w:ind w:left="-91" w:right="-79"/>
              <w:jc w:val="center"/>
              <w:rPr>
                <w:sz w:val="18"/>
                <w:szCs w:val="18"/>
              </w:rPr>
            </w:pPr>
            <w:r w:rsidRPr="0059188A">
              <w:rPr>
                <w:sz w:val="18"/>
                <w:szCs w:val="18"/>
              </w:rPr>
              <w:t>p &lt; 0.0001</w:t>
            </w:r>
          </w:p>
        </w:tc>
        <w:tc>
          <w:tcPr>
            <w:tcW w:w="980" w:type="dxa"/>
            <w:tcBorders>
              <w:top w:val="nil"/>
              <w:left w:val="single" w:sz="4" w:space="0" w:color="auto"/>
              <w:bottom w:val="single" w:sz="4" w:space="0" w:color="auto"/>
              <w:right w:val="single" w:sz="4" w:space="0" w:color="auto"/>
            </w:tcBorders>
            <w:vAlign w:val="center"/>
          </w:tcPr>
          <w:p w:rsidR="00DE1CAB" w:rsidRPr="0059188A" w:rsidRDefault="00DE1CAB" w:rsidP="00BC615F">
            <w:pPr>
              <w:pStyle w:val="C-TableText"/>
              <w:spacing w:before="0"/>
              <w:ind w:left="-108" w:right="-108"/>
              <w:jc w:val="center"/>
              <w:rPr>
                <w:sz w:val="18"/>
                <w:szCs w:val="18"/>
              </w:rPr>
            </w:pPr>
          </w:p>
        </w:tc>
        <w:tc>
          <w:tcPr>
            <w:tcW w:w="981" w:type="dxa"/>
            <w:tcBorders>
              <w:top w:val="nil"/>
              <w:left w:val="single" w:sz="4" w:space="0" w:color="auto"/>
              <w:bottom w:val="single" w:sz="4" w:space="0" w:color="auto"/>
              <w:right w:val="single" w:sz="4" w:space="0" w:color="auto"/>
            </w:tcBorders>
            <w:vAlign w:val="center"/>
          </w:tcPr>
          <w:p w:rsidR="00DE1CAB" w:rsidRPr="0059188A" w:rsidRDefault="00DE1CAB" w:rsidP="00BC615F">
            <w:pPr>
              <w:pStyle w:val="C-TableText"/>
              <w:spacing w:before="0"/>
              <w:ind w:left="-108" w:right="-108"/>
              <w:jc w:val="center"/>
              <w:rPr>
                <w:sz w:val="18"/>
                <w:szCs w:val="18"/>
              </w:rPr>
            </w:pPr>
            <w:r w:rsidRPr="0059188A">
              <w:rPr>
                <w:sz w:val="18"/>
                <w:szCs w:val="18"/>
              </w:rPr>
              <w:t>p &lt; 0.0001</w:t>
            </w:r>
          </w:p>
        </w:tc>
        <w:tc>
          <w:tcPr>
            <w:tcW w:w="980" w:type="dxa"/>
            <w:tcBorders>
              <w:top w:val="nil"/>
              <w:left w:val="single" w:sz="4" w:space="0" w:color="auto"/>
              <w:bottom w:val="single" w:sz="4" w:space="0" w:color="auto"/>
              <w:right w:val="single" w:sz="4" w:space="0" w:color="auto"/>
            </w:tcBorders>
          </w:tcPr>
          <w:p w:rsidR="00DE1CAB" w:rsidRPr="0059188A" w:rsidRDefault="00DE1CAB" w:rsidP="00F8008D">
            <w:pPr>
              <w:pStyle w:val="C-TableText"/>
              <w:spacing w:before="0"/>
              <w:ind w:left="-91" w:right="-79"/>
              <w:jc w:val="center"/>
              <w:rPr>
                <w:sz w:val="18"/>
                <w:szCs w:val="18"/>
              </w:rPr>
            </w:pPr>
          </w:p>
        </w:tc>
        <w:tc>
          <w:tcPr>
            <w:tcW w:w="981" w:type="dxa"/>
            <w:tcBorders>
              <w:top w:val="nil"/>
              <w:left w:val="single" w:sz="4" w:space="0" w:color="auto"/>
              <w:bottom w:val="single" w:sz="4" w:space="0" w:color="auto"/>
              <w:right w:val="single" w:sz="4" w:space="0" w:color="auto"/>
            </w:tcBorders>
            <w:vAlign w:val="center"/>
          </w:tcPr>
          <w:p w:rsidR="00DE1CAB" w:rsidRPr="0059188A" w:rsidRDefault="00DE1CAB" w:rsidP="00F8008D">
            <w:pPr>
              <w:pStyle w:val="C-TableText"/>
              <w:spacing w:before="0"/>
              <w:ind w:left="-91" w:right="-79"/>
              <w:jc w:val="center"/>
              <w:rPr>
                <w:sz w:val="18"/>
                <w:szCs w:val="18"/>
              </w:rPr>
            </w:pPr>
            <w:r w:rsidRPr="0059188A">
              <w:rPr>
                <w:sz w:val="18"/>
                <w:szCs w:val="18"/>
              </w:rPr>
              <w:t>p = 0.1122</w:t>
            </w:r>
          </w:p>
        </w:tc>
      </w:tr>
    </w:tbl>
    <w:p w:rsidR="00014C78" w:rsidRPr="0059188A" w:rsidRDefault="00014C78" w:rsidP="00014C78">
      <w:pPr>
        <w:pStyle w:val="BayerBodyTextFull"/>
        <w:tabs>
          <w:tab w:val="left" w:pos="240"/>
        </w:tabs>
        <w:spacing w:after="0"/>
        <w:rPr>
          <w:sz w:val="20"/>
        </w:rPr>
      </w:pPr>
      <w:r w:rsidRPr="0059188A">
        <w:rPr>
          <w:sz w:val="20"/>
          <w:vertAlign w:val="superscript"/>
        </w:rPr>
        <w:t>a)</w:t>
      </w:r>
      <w:r w:rsidRPr="0059188A">
        <w:rPr>
          <w:sz w:val="20"/>
          <w:vertAlign w:val="superscript"/>
        </w:rPr>
        <w:tab/>
      </w:r>
      <w:r w:rsidRPr="0059188A">
        <w:rPr>
          <w:sz w:val="20"/>
        </w:rPr>
        <w:t>Difference is EYLEA 2 mg Q4 minus control</w:t>
      </w:r>
    </w:p>
    <w:p w:rsidR="00014C78" w:rsidRPr="00872D2E" w:rsidRDefault="00014C78" w:rsidP="00014C78">
      <w:pPr>
        <w:pStyle w:val="BayerBodyTextFull"/>
        <w:spacing w:before="0" w:after="0"/>
        <w:ind w:left="240" w:hanging="240"/>
        <w:rPr>
          <w:sz w:val="20"/>
        </w:rPr>
      </w:pPr>
      <w:r w:rsidRPr="0059188A">
        <w:rPr>
          <w:sz w:val="20"/>
          <w:vertAlign w:val="superscript"/>
        </w:rPr>
        <w:t>b)</w:t>
      </w:r>
      <w:r w:rsidRPr="0059188A">
        <w:rPr>
          <w:sz w:val="20"/>
          <w:vertAlign w:val="superscript"/>
        </w:rPr>
        <w:tab/>
      </w:r>
      <w:r w:rsidRPr="0059188A">
        <w:rPr>
          <w:sz w:val="20"/>
        </w:rPr>
        <w:t>LS: Least square mean difference a</w:t>
      </w:r>
      <w:r w:rsidRPr="00872D2E">
        <w:rPr>
          <w:sz w:val="20"/>
        </w:rPr>
        <w:t>nd confidence interval (CI) based on an ANCOVA model with baseline value as covariate and factors treatment group, region (America vs. rest of the world for COPERNICUS and Europe vs. Asia/Pacific for GALILEO) and baseline BCVA category (&gt; 20/200 and ≤ 20/200)</w:t>
      </w:r>
    </w:p>
    <w:p w:rsidR="00872D2E" w:rsidRDefault="00014C78" w:rsidP="00DE1CAB">
      <w:pPr>
        <w:pStyle w:val="BayerBodyTextFull"/>
        <w:spacing w:before="0" w:after="0"/>
        <w:ind w:left="240" w:right="-133" w:hanging="240"/>
        <w:rPr>
          <w:sz w:val="20"/>
        </w:rPr>
      </w:pPr>
      <w:r w:rsidRPr="00872D2E">
        <w:rPr>
          <w:sz w:val="20"/>
          <w:vertAlign w:val="superscript"/>
        </w:rPr>
        <w:t>c)</w:t>
      </w:r>
      <w:r w:rsidRPr="00872D2E">
        <w:rPr>
          <w:sz w:val="20"/>
          <w:vertAlign w:val="superscript"/>
        </w:rPr>
        <w:tab/>
      </w:r>
      <w:r w:rsidRPr="00872D2E">
        <w:rPr>
          <w:sz w:val="20"/>
        </w:rPr>
        <w:t>In COPERNICUS study, control group patients</w:t>
      </w:r>
      <w:r w:rsidR="003D5366" w:rsidRPr="00872D2E">
        <w:rPr>
          <w:sz w:val="20"/>
        </w:rPr>
        <w:t xml:space="preserve"> could</w:t>
      </w:r>
      <w:r w:rsidRPr="00872D2E">
        <w:rPr>
          <w:sz w:val="20"/>
        </w:rPr>
        <w:t xml:space="preserve"> receive EYLEA on an as-needed basis</w:t>
      </w:r>
      <w:r w:rsidR="003D5366" w:rsidRPr="00872D2E">
        <w:rPr>
          <w:sz w:val="20"/>
        </w:rPr>
        <w:t xml:space="preserve"> as frequently as every 4 weeks</w:t>
      </w:r>
      <w:r w:rsidRPr="00872D2E">
        <w:rPr>
          <w:sz w:val="20"/>
        </w:rPr>
        <w:t xml:space="preserve"> during week 24 to week 52</w:t>
      </w:r>
      <w:r w:rsidR="00872D2E">
        <w:rPr>
          <w:sz w:val="20"/>
        </w:rPr>
        <w:t>; patients had visits every 4 weeks</w:t>
      </w:r>
    </w:p>
    <w:p w:rsidR="00DE1CAB" w:rsidRPr="00872D2E" w:rsidRDefault="00DE1CAB" w:rsidP="00DE1CAB">
      <w:pPr>
        <w:pStyle w:val="BayerBodyTextFull"/>
        <w:spacing w:before="0" w:after="0"/>
        <w:ind w:left="240" w:right="-133" w:hanging="240"/>
        <w:rPr>
          <w:sz w:val="20"/>
          <w:lang w:eastAsia="zh-CN"/>
        </w:rPr>
      </w:pPr>
      <w:r w:rsidRPr="00872D2E">
        <w:rPr>
          <w:sz w:val="20"/>
          <w:vertAlign w:val="superscript"/>
          <w:lang w:eastAsia="zh-CN"/>
        </w:rPr>
        <w:t>d</w:t>
      </w:r>
      <w:r w:rsidRPr="00872D2E">
        <w:rPr>
          <w:sz w:val="20"/>
          <w:vertAlign w:val="superscript"/>
        </w:rPr>
        <w:t xml:space="preserve">)   </w:t>
      </w:r>
      <w:r w:rsidRPr="00872D2E">
        <w:rPr>
          <w:rFonts w:hint="eastAsia"/>
          <w:sz w:val="20"/>
          <w:lang w:eastAsia="zh-CN"/>
        </w:rPr>
        <w:t xml:space="preserve">In </w:t>
      </w:r>
      <w:r w:rsidRPr="00872D2E">
        <w:rPr>
          <w:sz w:val="20"/>
          <w:lang w:eastAsia="zh-CN"/>
        </w:rPr>
        <w:t xml:space="preserve">COPERNICUS </w:t>
      </w:r>
      <w:r w:rsidRPr="00872D2E">
        <w:rPr>
          <w:rFonts w:hint="eastAsia"/>
          <w:sz w:val="20"/>
          <w:lang w:eastAsia="zh-CN"/>
        </w:rPr>
        <w:t xml:space="preserve">study, </w:t>
      </w:r>
      <w:r w:rsidRPr="00872D2E">
        <w:rPr>
          <w:sz w:val="20"/>
          <w:lang w:eastAsia="zh-CN"/>
        </w:rPr>
        <w:t xml:space="preserve">both </w:t>
      </w:r>
      <w:r w:rsidRPr="00872D2E">
        <w:rPr>
          <w:rFonts w:hint="eastAsia"/>
          <w:sz w:val="20"/>
          <w:lang w:eastAsia="zh-CN"/>
        </w:rPr>
        <w:t xml:space="preserve">control group </w:t>
      </w:r>
      <w:r w:rsidRPr="00872D2E">
        <w:rPr>
          <w:sz w:val="20"/>
          <w:lang w:eastAsia="zh-CN"/>
        </w:rPr>
        <w:t xml:space="preserve">and EYLEA 2 mg </w:t>
      </w:r>
      <w:r w:rsidRPr="00872D2E">
        <w:rPr>
          <w:rFonts w:hint="eastAsia"/>
          <w:sz w:val="20"/>
          <w:lang w:eastAsia="zh-CN"/>
        </w:rPr>
        <w:t>patients</w:t>
      </w:r>
      <w:r w:rsidRPr="00872D2E">
        <w:rPr>
          <w:sz w:val="20"/>
          <w:lang w:eastAsia="zh-CN"/>
        </w:rPr>
        <w:t xml:space="preserve"> received EYLEA 2 mg on an as-needed basis as frequently as every 4 weeks starting</w:t>
      </w:r>
      <w:r w:rsidRPr="00872D2E">
        <w:rPr>
          <w:rFonts w:hint="eastAsia"/>
          <w:sz w:val="20"/>
          <w:lang w:eastAsia="zh-CN"/>
        </w:rPr>
        <w:t xml:space="preserve"> </w:t>
      </w:r>
      <w:r w:rsidRPr="00872D2E">
        <w:rPr>
          <w:sz w:val="20"/>
          <w:lang w:eastAsia="zh-CN"/>
        </w:rPr>
        <w:t xml:space="preserve">from Week 52 to Week </w:t>
      </w:r>
      <w:r w:rsidR="0059188A" w:rsidRPr="00872D2E">
        <w:rPr>
          <w:sz w:val="20"/>
          <w:lang w:eastAsia="zh-CN"/>
        </w:rPr>
        <w:t>96</w:t>
      </w:r>
      <w:r w:rsidR="00872D2E">
        <w:rPr>
          <w:sz w:val="20"/>
          <w:lang w:eastAsia="zh-CN"/>
        </w:rPr>
        <w:t>; patients had mandatory quarterly visits but may have been seen as frequently as every 4 weeks if necessary</w:t>
      </w:r>
    </w:p>
    <w:p w:rsidR="00DE1CAB" w:rsidRPr="00872D2E" w:rsidRDefault="00DE1CAB" w:rsidP="00DE1CAB">
      <w:pPr>
        <w:pStyle w:val="BayerBodyTextFull"/>
        <w:spacing w:before="0" w:after="0"/>
        <w:ind w:left="240" w:right="-133" w:hanging="240"/>
        <w:rPr>
          <w:sz w:val="20"/>
          <w:lang w:eastAsia="zh-CN"/>
        </w:rPr>
        <w:sectPr w:rsidR="00DE1CAB" w:rsidRPr="00872D2E" w:rsidSect="007C3358">
          <w:pgSz w:w="16840" w:h="11907" w:orient="landscape" w:code="9"/>
          <w:pgMar w:top="1797" w:right="1588" w:bottom="1797" w:left="1588" w:header="709" w:footer="709" w:gutter="0"/>
          <w:cols w:space="708"/>
          <w:docGrid w:linePitch="360"/>
        </w:sectPr>
      </w:pPr>
      <w:r w:rsidRPr="00872D2E">
        <w:rPr>
          <w:sz w:val="20"/>
          <w:vertAlign w:val="superscript"/>
          <w:lang w:eastAsia="zh-CN"/>
        </w:rPr>
        <w:t>e</w:t>
      </w:r>
      <w:r w:rsidRPr="00872D2E">
        <w:rPr>
          <w:sz w:val="20"/>
          <w:vertAlign w:val="superscript"/>
        </w:rPr>
        <w:t xml:space="preserve">)   </w:t>
      </w:r>
      <w:r w:rsidRPr="00872D2E">
        <w:rPr>
          <w:rFonts w:hint="eastAsia"/>
          <w:sz w:val="20"/>
          <w:lang w:eastAsia="zh-CN"/>
        </w:rPr>
        <w:t xml:space="preserve">In </w:t>
      </w:r>
      <w:r w:rsidRPr="00872D2E">
        <w:rPr>
          <w:sz w:val="20"/>
          <w:lang w:eastAsia="zh-CN"/>
        </w:rPr>
        <w:t xml:space="preserve">GALILEO </w:t>
      </w:r>
      <w:r w:rsidRPr="00872D2E">
        <w:rPr>
          <w:rFonts w:hint="eastAsia"/>
          <w:sz w:val="20"/>
          <w:lang w:eastAsia="zh-CN"/>
        </w:rPr>
        <w:t xml:space="preserve">study, </w:t>
      </w:r>
      <w:r w:rsidRPr="00872D2E">
        <w:rPr>
          <w:sz w:val="20"/>
          <w:lang w:eastAsia="zh-CN"/>
        </w:rPr>
        <w:t xml:space="preserve">both </w:t>
      </w:r>
      <w:r w:rsidRPr="00872D2E">
        <w:rPr>
          <w:rFonts w:hint="eastAsia"/>
          <w:sz w:val="20"/>
          <w:lang w:eastAsia="zh-CN"/>
        </w:rPr>
        <w:t>control group</w:t>
      </w:r>
      <w:r w:rsidRPr="0059188A">
        <w:rPr>
          <w:rFonts w:hint="eastAsia"/>
          <w:sz w:val="20"/>
          <w:lang w:eastAsia="zh-CN"/>
        </w:rPr>
        <w:t xml:space="preserve"> </w:t>
      </w:r>
      <w:r w:rsidRPr="0059188A">
        <w:rPr>
          <w:sz w:val="20"/>
          <w:lang w:eastAsia="zh-CN"/>
        </w:rPr>
        <w:t xml:space="preserve">and EYLEA 2 mg </w:t>
      </w:r>
      <w:r w:rsidRPr="0059188A">
        <w:rPr>
          <w:rFonts w:hint="eastAsia"/>
          <w:sz w:val="20"/>
          <w:lang w:eastAsia="zh-CN"/>
        </w:rPr>
        <w:t>patients received E</w:t>
      </w:r>
      <w:r w:rsidRPr="0059188A">
        <w:rPr>
          <w:sz w:val="20"/>
          <w:lang w:eastAsia="zh-CN"/>
        </w:rPr>
        <w:t>YLEA 2 mg on an as-needed basis every 8 weeks starting from Week 52 to Week 68</w:t>
      </w:r>
      <w:r w:rsidR="00872D2E">
        <w:rPr>
          <w:sz w:val="20"/>
          <w:lang w:eastAsia="zh-CN"/>
        </w:rPr>
        <w:t xml:space="preserve">; </w:t>
      </w:r>
      <w:r w:rsidR="00630191">
        <w:rPr>
          <w:sz w:val="20"/>
          <w:lang w:eastAsia="zh-CN"/>
        </w:rPr>
        <w:t>patients</w:t>
      </w:r>
      <w:r w:rsidR="00872D2E">
        <w:rPr>
          <w:sz w:val="20"/>
          <w:lang w:eastAsia="zh-CN"/>
        </w:rPr>
        <w:t xml:space="preserve"> had mandatory visits every 8 weeks</w:t>
      </w:r>
    </w:p>
    <w:p w:rsidR="004A2828" w:rsidRPr="004A2828" w:rsidRDefault="004A2828" w:rsidP="00B872CE">
      <w:pPr>
        <w:pStyle w:val="PIheading3"/>
        <w:outlineLvl w:val="3"/>
        <w:rPr>
          <w:u w:val="single"/>
          <w:lang w:val="en-AU"/>
        </w:rPr>
      </w:pPr>
      <w:r w:rsidRPr="004A2828">
        <w:rPr>
          <w:u w:val="single"/>
          <w:lang w:val="en-AU"/>
        </w:rPr>
        <w:lastRenderedPageBreak/>
        <w:t xml:space="preserve">Diabetic macular oedema (DME) </w:t>
      </w:r>
    </w:p>
    <w:p w:rsidR="004A2828" w:rsidRDefault="004A2828" w:rsidP="004A2828">
      <w:pPr>
        <w:jc w:val="both"/>
        <w:rPr>
          <w:lang w:val="en-AU"/>
        </w:rPr>
      </w:pPr>
    </w:p>
    <w:p w:rsidR="004A2828" w:rsidRDefault="004A2828" w:rsidP="004A2828">
      <w:pPr>
        <w:jc w:val="both"/>
        <w:rPr>
          <w:lang w:val="en-AU"/>
        </w:rPr>
      </w:pPr>
      <w:r w:rsidRPr="00CB5383">
        <w:rPr>
          <w:lang w:val="en-AU"/>
        </w:rPr>
        <w:t>Diabe</w:t>
      </w:r>
      <w:r>
        <w:rPr>
          <w:lang w:val="en-AU"/>
        </w:rPr>
        <w:t>tic macular oedema is characteris</w:t>
      </w:r>
      <w:r w:rsidRPr="00CB5383">
        <w:rPr>
          <w:lang w:val="en-AU"/>
        </w:rPr>
        <w:t xml:space="preserve">ed by increased </w:t>
      </w:r>
      <w:proofErr w:type="spellStart"/>
      <w:r w:rsidRPr="00CB5383">
        <w:rPr>
          <w:lang w:val="en-AU"/>
        </w:rPr>
        <w:t>vasopermeability</w:t>
      </w:r>
      <w:proofErr w:type="spellEnd"/>
      <w:r w:rsidRPr="00CB5383">
        <w:rPr>
          <w:lang w:val="en-AU"/>
        </w:rPr>
        <w:t xml:space="preserve"> and damage to the retinal capillaries which may result in loss of visual acuity. </w:t>
      </w:r>
    </w:p>
    <w:p w:rsidR="004A2828" w:rsidRPr="00CB5383" w:rsidRDefault="004A2828" w:rsidP="004A2828">
      <w:pPr>
        <w:jc w:val="both"/>
        <w:rPr>
          <w:lang w:val="en-AU"/>
        </w:rPr>
      </w:pPr>
    </w:p>
    <w:p w:rsidR="004A2828" w:rsidRDefault="004A2828" w:rsidP="004A2828">
      <w:pPr>
        <w:jc w:val="both"/>
        <w:rPr>
          <w:lang w:val="en-AU"/>
        </w:rPr>
      </w:pPr>
      <w:r w:rsidRPr="00CB5383">
        <w:rPr>
          <w:lang w:val="en-AU"/>
        </w:rPr>
        <w:t>In patients treated with EYLEA, rapid and robust response in morphology (central retinal thickness [CRT]) as assessed by OCT was seen soon after treatment initiation. The mean change in CRT from baseline to week 52 was statistically significant favo</w:t>
      </w:r>
      <w:r>
        <w:rPr>
          <w:lang w:val="en-AU"/>
        </w:rPr>
        <w:t>u</w:t>
      </w:r>
      <w:r w:rsidRPr="00CB5383">
        <w:rPr>
          <w:lang w:val="en-AU"/>
        </w:rPr>
        <w:t>ring EYLEA</w:t>
      </w:r>
      <w:r w:rsidR="00C75015">
        <w:rPr>
          <w:lang w:val="en-AU"/>
        </w:rPr>
        <w:t xml:space="preserve"> and was maintained through week 100</w:t>
      </w:r>
      <w:r w:rsidRPr="00CB5383">
        <w:rPr>
          <w:lang w:val="en-AU"/>
        </w:rPr>
        <w:t>.</w:t>
      </w:r>
    </w:p>
    <w:p w:rsidR="004A2828" w:rsidRDefault="004A2828" w:rsidP="004A2828">
      <w:pPr>
        <w:jc w:val="both"/>
        <w:rPr>
          <w:lang w:val="en-AU"/>
        </w:rPr>
      </w:pPr>
    </w:p>
    <w:p w:rsidR="001A4B90" w:rsidRPr="001A4B90" w:rsidRDefault="004A2828" w:rsidP="001A4B90">
      <w:pPr>
        <w:keepNext/>
        <w:spacing w:after="240"/>
        <w:jc w:val="both"/>
        <w:rPr>
          <w:b/>
          <w:lang w:val="en-AU"/>
        </w:rPr>
      </w:pPr>
      <w:r w:rsidRPr="00CB5383">
        <w:rPr>
          <w:b/>
          <w:lang w:val="en-AU"/>
        </w:rPr>
        <w:t xml:space="preserve">Table </w:t>
      </w:r>
      <w:r w:rsidR="00EC27BE">
        <w:rPr>
          <w:b/>
          <w:lang w:val="en-AU"/>
        </w:rPr>
        <w:t>2</w:t>
      </w:r>
      <w:r w:rsidRPr="00CB5383">
        <w:rPr>
          <w:b/>
          <w:lang w:val="en-AU"/>
        </w:rPr>
        <w:t xml:space="preserve">: </w:t>
      </w:r>
      <w:proofErr w:type="spellStart"/>
      <w:r w:rsidRPr="00CB5383">
        <w:rPr>
          <w:b/>
          <w:lang w:val="en-AU"/>
        </w:rPr>
        <w:t>Pharmacodynamic</w:t>
      </w:r>
      <w:proofErr w:type="spellEnd"/>
      <w:r w:rsidRPr="00CB5383">
        <w:rPr>
          <w:b/>
          <w:lang w:val="en-AU"/>
        </w:rPr>
        <w:t xml:space="preserve"> parameter (Full Analysis Set with LOCF) in VIVID</w:t>
      </w:r>
      <w:r w:rsidRPr="00CB5383">
        <w:rPr>
          <w:b/>
          <w:vertAlign w:val="superscript"/>
          <w:lang w:val="en-AU"/>
        </w:rPr>
        <w:t>DME</w:t>
      </w:r>
      <w:r w:rsidRPr="00CB5383">
        <w:rPr>
          <w:b/>
          <w:lang w:val="en-AU"/>
        </w:rPr>
        <w:t xml:space="preserve"> </w:t>
      </w:r>
      <w:r w:rsidR="004F5FA4">
        <w:rPr>
          <w:b/>
          <w:lang w:val="en-AU"/>
        </w:rPr>
        <w:t xml:space="preserve">study (at week 52) </w:t>
      </w:r>
      <w:r w:rsidRPr="00CB5383">
        <w:rPr>
          <w:b/>
          <w:lang w:val="en-AU"/>
        </w:rPr>
        <w:t>and VISTA</w:t>
      </w:r>
      <w:r w:rsidRPr="00CB5383">
        <w:rPr>
          <w:b/>
          <w:vertAlign w:val="superscript"/>
          <w:lang w:val="en-AU"/>
        </w:rPr>
        <w:t>DME</w:t>
      </w:r>
      <w:r w:rsidRPr="00CB5383">
        <w:rPr>
          <w:b/>
          <w:lang w:val="en-AU"/>
        </w:rPr>
        <w:t xml:space="preserve"> stud</w:t>
      </w:r>
      <w:r w:rsidR="004F5FA4">
        <w:rPr>
          <w:b/>
          <w:lang w:val="en-AU"/>
        </w:rPr>
        <w:t>y (at week 52 and week 100)</w:t>
      </w: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
        <w:gridCol w:w="913"/>
        <w:gridCol w:w="914"/>
        <w:gridCol w:w="913"/>
        <w:gridCol w:w="914"/>
        <w:gridCol w:w="913"/>
        <w:gridCol w:w="914"/>
        <w:gridCol w:w="913"/>
        <w:gridCol w:w="914"/>
        <w:gridCol w:w="914"/>
      </w:tblGrid>
      <w:tr w:rsidR="001A4B90" w:rsidRPr="00CB5383" w:rsidTr="001A4B90">
        <w:tc>
          <w:tcPr>
            <w:tcW w:w="1314" w:type="dxa"/>
            <w:vMerge w:val="restart"/>
            <w:shd w:val="clear" w:color="auto" w:fill="auto"/>
            <w:vAlign w:val="center"/>
          </w:tcPr>
          <w:p w:rsidR="001A4B90" w:rsidRPr="00CB5383" w:rsidRDefault="001A4B90" w:rsidP="001A4B90">
            <w:pPr>
              <w:keepNext/>
              <w:keepLines/>
              <w:spacing w:before="40" w:after="40"/>
              <w:rPr>
                <w:sz w:val="18"/>
                <w:szCs w:val="18"/>
                <w:lang w:bidi="or-IN"/>
              </w:rPr>
            </w:pPr>
            <w:r w:rsidRPr="005830B7">
              <w:rPr>
                <w:b/>
              </w:rPr>
              <w:t>Efficacy Outcomes</w:t>
            </w:r>
          </w:p>
        </w:tc>
        <w:tc>
          <w:tcPr>
            <w:tcW w:w="2740" w:type="dxa"/>
            <w:gridSpan w:val="3"/>
            <w:shd w:val="clear" w:color="auto" w:fill="auto"/>
            <w:vAlign w:val="center"/>
          </w:tcPr>
          <w:p w:rsidR="001A4B90" w:rsidRPr="00CB5383" w:rsidRDefault="001A4B90" w:rsidP="001A4B90">
            <w:pPr>
              <w:keepNext/>
              <w:keepLines/>
              <w:spacing w:before="40" w:after="40"/>
              <w:jc w:val="center"/>
              <w:rPr>
                <w:b/>
                <w:sz w:val="18"/>
                <w:szCs w:val="18"/>
              </w:rPr>
            </w:pPr>
            <w:r w:rsidRPr="00CB5383">
              <w:rPr>
                <w:b/>
                <w:bCs/>
              </w:rPr>
              <w:t>VIVID</w:t>
            </w:r>
            <w:r w:rsidRPr="00CB5383">
              <w:rPr>
                <w:b/>
                <w:bCs/>
                <w:vertAlign w:val="superscript"/>
              </w:rPr>
              <w:t>DME</w:t>
            </w:r>
          </w:p>
        </w:tc>
        <w:tc>
          <w:tcPr>
            <w:tcW w:w="5482" w:type="dxa"/>
            <w:gridSpan w:val="6"/>
            <w:vAlign w:val="center"/>
          </w:tcPr>
          <w:p w:rsidR="001A4B90" w:rsidRPr="00C75015" w:rsidRDefault="001A4B90" w:rsidP="001A4B90">
            <w:pPr>
              <w:keepNext/>
              <w:keepLines/>
              <w:spacing w:before="40" w:after="40"/>
              <w:jc w:val="center"/>
              <w:rPr>
                <w:sz w:val="18"/>
                <w:szCs w:val="18"/>
              </w:rPr>
            </w:pPr>
            <w:r w:rsidRPr="00CB5383">
              <w:rPr>
                <w:b/>
                <w:bCs/>
              </w:rPr>
              <w:t>VISTA</w:t>
            </w:r>
            <w:r w:rsidRPr="00CB5383">
              <w:rPr>
                <w:b/>
                <w:bCs/>
                <w:vertAlign w:val="superscript"/>
              </w:rPr>
              <w:t>DME</w:t>
            </w:r>
          </w:p>
        </w:tc>
      </w:tr>
      <w:tr w:rsidR="001A4B90" w:rsidRPr="00CB5383" w:rsidTr="007C698D">
        <w:tc>
          <w:tcPr>
            <w:tcW w:w="1314" w:type="dxa"/>
            <w:vMerge/>
            <w:shd w:val="clear" w:color="auto" w:fill="auto"/>
          </w:tcPr>
          <w:p w:rsidR="001A4B90" w:rsidRPr="00CB5383" w:rsidRDefault="001A4B90" w:rsidP="007C698D">
            <w:pPr>
              <w:keepNext/>
              <w:keepLines/>
              <w:spacing w:before="40" w:after="40"/>
              <w:rPr>
                <w:sz w:val="18"/>
                <w:szCs w:val="18"/>
                <w:lang w:bidi="or-IN"/>
              </w:rPr>
            </w:pPr>
          </w:p>
        </w:tc>
        <w:tc>
          <w:tcPr>
            <w:tcW w:w="2740" w:type="dxa"/>
            <w:gridSpan w:val="3"/>
            <w:shd w:val="clear" w:color="auto" w:fill="auto"/>
            <w:vAlign w:val="center"/>
          </w:tcPr>
          <w:p w:rsidR="001A4B90" w:rsidRPr="00CB5383" w:rsidRDefault="001A4B90" w:rsidP="001A4B90">
            <w:pPr>
              <w:keepNext/>
              <w:keepLines/>
              <w:spacing w:before="40" w:after="40"/>
              <w:jc w:val="center"/>
              <w:rPr>
                <w:b/>
                <w:sz w:val="18"/>
                <w:szCs w:val="18"/>
              </w:rPr>
            </w:pPr>
            <w:r w:rsidRPr="00CB5383">
              <w:rPr>
                <w:b/>
                <w:sz w:val="18"/>
                <w:szCs w:val="18"/>
              </w:rPr>
              <w:t>52 Weeks</w:t>
            </w:r>
          </w:p>
        </w:tc>
        <w:tc>
          <w:tcPr>
            <w:tcW w:w="2741" w:type="dxa"/>
            <w:gridSpan w:val="3"/>
          </w:tcPr>
          <w:p w:rsidR="001A4B90" w:rsidRPr="00CB5383" w:rsidRDefault="001A4B90" w:rsidP="007C698D">
            <w:pPr>
              <w:keepNext/>
              <w:keepLines/>
              <w:spacing w:before="40" w:after="40"/>
              <w:jc w:val="center"/>
              <w:rPr>
                <w:b/>
                <w:sz w:val="18"/>
                <w:szCs w:val="18"/>
              </w:rPr>
            </w:pPr>
            <w:r w:rsidRPr="00CB5383">
              <w:rPr>
                <w:b/>
                <w:sz w:val="18"/>
                <w:szCs w:val="18"/>
              </w:rPr>
              <w:t>52 Weeks</w:t>
            </w:r>
          </w:p>
        </w:tc>
        <w:tc>
          <w:tcPr>
            <w:tcW w:w="2741" w:type="dxa"/>
            <w:gridSpan w:val="3"/>
          </w:tcPr>
          <w:p w:rsidR="001A4B90" w:rsidRPr="00CB5383" w:rsidRDefault="001A4B90" w:rsidP="007C698D">
            <w:pPr>
              <w:keepNext/>
              <w:keepLines/>
              <w:spacing w:before="40" w:after="40"/>
              <w:jc w:val="center"/>
              <w:rPr>
                <w:b/>
                <w:sz w:val="18"/>
                <w:szCs w:val="18"/>
              </w:rPr>
            </w:pPr>
            <w:r>
              <w:rPr>
                <w:b/>
                <w:sz w:val="18"/>
                <w:szCs w:val="18"/>
              </w:rPr>
              <w:t>100</w:t>
            </w:r>
            <w:r w:rsidRPr="00CB5383">
              <w:rPr>
                <w:b/>
                <w:sz w:val="18"/>
                <w:szCs w:val="18"/>
              </w:rPr>
              <w:t xml:space="preserve"> Weeks</w:t>
            </w:r>
          </w:p>
        </w:tc>
      </w:tr>
      <w:tr w:rsidR="001A4B90" w:rsidRPr="00CB5383" w:rsidTr="007C698D">
        <w:tc>
          <w:tcPr>
            <w:tcW w:w="1314" w:type="dxa"/>
            <w:vMerge/>
            <w:shd w:val="clear" w:color="auto" w:fill="auto"/>
          </w:tcPr>
          <w:p w:rsidR="001A4B90" w:rsidRPr="00CB5383" w:rsidRDefault="001A4B90" w:rsidP="00481943">
            <w:pPr>
              <w:keepNext/>
              <w:keepLines/>
              <w:spacing w:before="40" w:after="40"/>
              <w:rPr>
                <w:sz w:val="18"/>
                <w:szCs w:val="18"/>
                <w:lang w:bidi="or-IN"/>
              </w:rPr>
            </w:pPr>
          </w:p>
        </w:tc>
        <w:tc>
          <w:tcPr>
            <w:tcW w:w="913" w:type="dxa"/>
            <w:shd w:val="clear" w:color="auto" w:fill="auto"/>
          </w:tcPr>
          <w:p w:rsidR="001A4B90" w:rsidRPr="00CB5383" w:rsidRDefault="001A4B90" w:rsidP="001A4B90">
            <w:pPr>
              <w:keepNext/>
              <w:keepLines/>
              <w:spacing w:before="40" w:after="40"/>
              <w:ind w:left="-93" w:right="-46"/>
              <w:jc w:val="center"/>
              <w:rPr>
                <w:b/>
                <w:sz w:val="18"/>
                <w:szCs w:val="18"/>
              </w:rPr>
            </w:pPr>
            <w:r w:rsidRPr="00CB5383">
              <w:rPr>
                <w:b/>
                <w:sz w:val="18"/>
                <w:szCs w:val="18"/>
              </w:rPr>
              <w:t>EYLEA</w:t>
            </w:r>
          </w:p>
          <w:p w:rsidR="001A4B90" w:rsidRPr="00CB5383" w:rsidRDefault="001A4B90" w:rsidP="001A4B90">
            <w:pPr>
              <w:keepNext/>
              <w:keepLines/>
              <w:spacing w:before="40" w:after="40"/>
              <w:ind w:left="-93" w:right="-46"/>
              <w:jc w:val="center"/>
              <w:rPr>
                <w:b/>
                <w:sz w:val="18"/>
                <w:szCs w:val="18"/>
              </w:rPr>
            </w:pPr>
            <w:r w:rsidRPr="00CB5383">
              <w:rPr>
                <w:b/>
                <w:sz w:val="18"/>
                <w:szCs w:val="18"/>
              </w:rPr>
              <w:t xml:space="preserve">2 mg Q8 </w:t>
            </w:r>
            <w:r w:rsidRPr="00CB5383">
              <w:rPr>
                <w:sz w:val="18"/>
                <w:szCs w:val="18"/>
                <w:vertAlign w:val="superscript"/>
              </w:rPr>
              <w:t>a</w:t>
            </w:r>
          </w:p>
          <w:p w:rsidR="001A4B90" w:rsidRPr="00CB5383" w:rsidRDefault="001A4B90" w:rsidP="001A4B90">
            <w:pPr>
              <w:keepNext/>
              <w:keepLines/>
              <w:spacing w:before="40" w:after="40"/>
              <w:ind w:left="-93" w:right="-46"/>
              <w:jc w:val="center"/>
              <w:rPr>
                <w:b/>
                <w:sz w:val="18"/>
                <w:szCs w:val="18"/>
              </w:rPr>
            </w:pPr>
            <w:r w:rsidRPr="00CB5383">
              <w:rPr>
                <w:b/>
                <w:sz w:val="18"/>
                <w:szCs w:val="18"/>
              </w:rPr>
              <w:t>(</w:t>
            </w:r>
            <w:r>
              <w:rPr>
                <w:b/>
                <w:sz w:val="18"/>
                <w:szCs w:val="18"/>
              </w:rPr>
              <w:t>N</w:t>
            </w:r>
            <w:r w:rsidRPr="00CB5383">
              <w:rPr>
                <w:b/>
                <w:sz w:val="18"/>
                <w:szCs w:val="18"/>
              </w:rPr>
              <w:t xml:space="preserve"> = 135)</w:t>
            </w:r>
          </w:p>
        </w:tc>
        <w:tc>
          <w:tcPr>
            <w:tcW w:w="914" w:type="dxa"/>
            <w:shd w:val="clear" w:color="auto" w:fill="auto"/>
          </w:tcPr>
          <w:p w:rsidR="001A4B90" w:rsidRPr="00CB5383" w:rsidRDefault="001A4B90" w:rsidP="001A4B90">
            <w:pPr>
              <w:keepNext/>
              <w:keepLines/>
              <w:spacing w:before="40" w:after="40"/>
              <w:ind w:left="-93" w:right="-124"/>
              <w:jc w:val="center"/>
              <w:rPr>
                <w:b/>
                <w:sz w:val="18"/>
                <w:szCs w:val="18"/>
              </w:rPr>
            </w:pPr>
            <w:r w:rsidRPr="00CB5383">
              <w:rPr>
                <w:b/>
                <w:sz w:val="18"/>
                <w:szCs w:val="18"/>
              </w:rPr>
              <w:t>EYLEA</w:t>
            </w:r>
          </w:p>
          <w:p w:rsidR="001A4B90" w:rsidRPr="00CB5383" w:rsidRDefault="001A4B90" w:rsidP="001A4B90">
            <w:pPr>
              <w:keepNext/>
              <w:keepLines/>
              <w:spacing w:before="40" w:after="40"/>
              <w:ind w:left="-93" w:right="-124"/>
              <w:jc w:val="center"/>
              <w:rPr>
                <w:b/>
                <w:sz w:val="18"/>
                <w:szCs w:val="18"/>
              </w:rPr>
            </w:pPr>
            <w:r w:rsidRPr="00CB5383">
              <w:rPr>
                <w:b/>
                <w:sz w:val="18"/>
                <w:szCs w:val="18"/>
              </w:rPr>
              <w:t>2 mg Q4</w:t>
            </w:r>
          </w:p>
          <w:p w:rsidR="001A4B90" w:rsidRPr="00CB5383" w:rsidRDefault="001A4B90" w:rsidP="001A4B90">
            <w:pPr>
              <w:keepNext/>
              <w:keepLines/>
              <w:spacing w:before="40" w:after="40"/>
              <w:ind w:left="-93" w:right="-124"/>
              <w:jc w:val="center"/>
              <w:rPr>
                <w:b/>
                <w:sz w:val="18"/>
                <w:szCs w:val="18"/>
              </w:rPr>
            </w:pPr>
            <w:r w:rsidRPr="00CB5383">
              <w:rPr>
                <w:b/>
                <w:sz w:val="18"/>
                <w:szCs w:val="18"/>
              </w:rPr>
              <w:t>(</w:t>
            </w:r>
            <w:r>
              <w:rPr>
                <w:b/>
                <w:sz w:val="18"/>
                <w:szCs w:val="18"/>
              </w:rPr>
              <w:t>N</w:t>
            </w:r>
            <w:r w:rsidRPr="00CB5383">
              <w:rPr>
                <w:b/>
                <w:sz w:val="18"/>
                <w:szCs w:val="18"/>
              </w:rPr>
              <w:t xml:space="preserve"> = 136)</w:t>
            </w:r>
          </w:p>
        </w:tc>
        <w:tc>
          <w:tcPr>
            <w:tcW w:w="913" w:type="dxa"/>
            <w:shd w:val="clear" w:color="auto" w:fill="auto"/>
          </w:tcPr>
          <w:p w:rsidR="001A4B90" w:rsidRPr="00CB5383" w:rsidRDefault="001A4B90" w:rsidP="001A4B90">
            <w:pPr>
              <w:keepNext/>
              <w:keepLines/>
              <w:spacing w:before="40" w:after="40"/>
              <w:ind w:left="-108" w:right="-108"/>
              <w:jc w:val="center"/>
              <w:rPr>
                <w:b/>
                <w:sz w:val="18"/>
                <w:szCs w:val="18"/>
              </w:rPr>
            </w:pPr>
            <w:r w:rsidRPr="00CB5383">
              <w:rPr>
                <w:b/>
                <w:sz w:val="18"/>
                <w:szCs w:val="18"/>
              </w:rPr>
              <w:t>Active Control</w:t>
            </w:r>
            <w:r>
              <w:rPr>
                <w:b/>
                <w:sz w:val="18"/>
                <w:szCs w:val="18"/>
              </w:rPr>
              <w:br/>
            </w:r>
            <w:r w:rsidRPr="00CB5383">
              <w:rPr>
                <w:b/>
                <w:sz w:val="18"/>
                <w:szCs w:val="18"/>
              </w:rPr>
              <w:t>(laser)</w:t>
            </w:r>
          </w:p>
          <w:p w:rsidR="001A4B90" w:rsidRPr="00CB5383" w:rsidRDefault="001A4B90" w:rsidP="001A4B90">
            <w:pPr>
              <w:keepNext/>
              <w:keepLines/>
              <w:spacing w:before="40" w:after="40"/>
              <w:ind w:left="-108" w:right="-108"/>
              <w:jc w:val="center"/>
              <w:rPr>
                <w:b/>
                <w:sz w:val="18"/>
                <w:szCs w:val="18"/>
              </w:rPr>
            </w:pPr>
            <w:r w:rsidRPr="00CB5383">
              <w:rPr>
                <w:b/>
                <w:sz w:val="18"/>
                <w:szCs w:val="18"/>
              </w:rPr>
              <w:t>(</w:t>
            </w:r>
            <w:r>
              <w:rPr>
                <w:b/>
                <w:sz w:val="18"/>
                <w:szCs w:val="18"/>
              </w:rPr>
              <w:t>N</w:t>
            </w:r>
            <w:r w:rsidRPr="00CB5383">
              <w:rPr>
                <w:b/>
                <w:sz w:val="18"/>
                <w:szCs w:val="18"/>
              </w:rPr>
              <w:t xml:space="preserve"> = 132)</w:t>
            </w:r>
          </w:p>
        </w:tc>
        <w:tc>
          <w:tcPr>
            <w:tcW w:w="914" w:type="dxa"/>
          </w:tcPr>
          <w:p w:rsidR="001A4B90" w:rsidRPr="00CB5383" w:rsidRDefault="001A4B90" w:rsidP="001A4B90">
            <w:pPr>
              <w:keepNext/>
              <w:keepLines/>
              <w:spacing w:before="40" w:after="40"/>
              <w:ind w:left="-93" w:right="-140"/>
              <w:jc w:val="center"/>
              <w:rPr>
                <w:b/>
                <w:sz w:val="18"/>
                <w:szCs w:val="18"/>
              </w:rPr>
            </w:pPr>
            <w:r w:rsidRPr="00CB5383">
              <w:rPr>
                <w:b/>
                <w:sz w:val="18"/>
                <w:szCs w:val="18"/>
              </w:rPr>
              <w:t>EYLEA</w:t>
            </w:r>
          </w:p>
          <w:p w:rsidR="001A4B90" w:rsidRPr="00CB5383" w:rsidRDefault="001A4B90" w:rsidP="001A4B90">
            <w:pPr>
              <w:keepNext/>
              <w:keepLines/>
              <w:spacing w:before="40" w:after="40"/>
              <w:ind w:left="-93" w:right="-140"/>
              <w:jc w:val="center"/>
              <w:rPr>
                <w:b/>
                <w:sz w:val="18"/>
                <w:szCs w:val="18"/>
              </w:rPr>
            </w:pPr>
            <w:r w:rsidRPr="00CB5383">
              <w:rPr>
                <w:b/>
                <w:sz w:val="18"/>
                <w:szCs w:val="18"/>
              </w:rPr>
              <w:t xml:space="preserve">2 mg Q8 </w:t>
            </w:r>
            <w:r w:rsidRPr="00CB5383">
              <w:rPr>
                <w:sz w:val="18"/>
                <w:szCs w:val="18"/>
                <w:vertAlign w:val="superscript"/>
              </w:rPr>
              <w:t>a</w:t>
            </w:r>
          </w:p>
          <w:p w:rsidR="001A4B90" w:rsidRPr="00CB5383" w:rsidRDefault="001A4B90" w:rsidP="001A4B90">
            <w:pPr>
              <w:keepNext/>
              <w:keepLines/>
              <w:spacing w:before="40" w:after="40"/>
              <w:ind w:left="-93" w:right="-140"/>
              <w:jc w:val="center"/>
              <w:rPr>
                <w:b/>
                <w:sz w:val="18"/>
                <w:szCs w:val="18"/>
              </w:rPr>
            </w:pPr>
            <w:r w:rsidRPr="00CB5383">
              <w:rPr>
                <w:b/>
                <w:sz w:val="18"/>
                <w:szCs w:val="18"/>
              </w:rPr>
              <w:t>(</w:t>
            </w:r>
            <w:r>
              <w:rPr>
                <w:b/>
                <w:sz w:val="18"/>
                <w:szCs w:val="18"/>
              </w:rPr>
              <w:t>N</w:t>
            </w:r>
            <w:r w:rsidRPr="00CB5383">
              <w:rPr>
                <w:b/>
                <w:sz w:val="18"/>
                <w:szCs w:val="18"/>
              </w:rPr>
              <w:t xml:space="preserve"> =</w:t>
            </w:r>
            <w:r>
              <w:rPr>
                <w:b/>
                <w:sz w:val="18"/>
                <w:szCs w:val="18"/>
              </w:rPr>
              <w:t xml:space="preserve"> 151</w:t>
            </w:r>
            <w:r w:rsidRPr="00CB5383">
              <w:rPr>
                <w:b/>
                <w:sz w:val="18"/>
                <w:szCs w:val="18"/>
              </w:rPr>
              <w:t>)</w:t>
            </w:r>
          </w:p>
        </w:tc>
        <w:tc>
          <w:tcPr>
            <w:tcW w:w="913" w:type="dxa"/>
          </w:tcPr>
          <w:p w:rsidR="001A4B90" w:rsidRPr="00CB5383" w:rsidRDefault="001A4B90" w:rsidP="001A4B90">
            <w:pPr>
              <w:keepNext/>
              <w:keepLines/>
              <w:spacing w:before="40" w:after="40"/>
              <w:ind w:left="-93" w:right="-77"/>
              <w:jc w:val="center"/>
              <w:rPr>
                <w:b/>
                <w:sz w:val="18"/>
                <w:szCs w:val="18"/>
              </w:rPr>
            </w:pPr>
            <w:r w:rsidRPr="00CB5383">
              <w:rPr>
                <w:b/>
                <w:sz w:val="18"/>
                <w:szCs w:val="18"/>
              </w:rPr>
              <w:t>EYLEA</w:t>
            </w:r>
          </w:p>
          <w:p w:rsidR="001A4B90" w:rsidRPr="00CB5383" w:rsidRDefault="001A4B90" w:rsidP="001A4B90">
            <w:pPr>
              <w:keepNext/>
              <w:keepLines/>
              <w:spacing w:before="40" w:after="40"/>
              <w:ind w:left="-93" w:right="-77"/>
              <w:jc w:val="center"/>
              <w:rPr>
                <w:b/>
                <w:sz w:val="18"/>
                <w:szCs w:val="18"/>
              </w:rPr>
            </w:pPr>
            <w:r w:rsidRPr="00CB5383">
              <w:rPr>
                <w:b/>
                <w:sz w:val="18"/>
                <w:szCs w:val="18"/>
              </w:rPr>
              <w:t>2 mg Q4</w:t>
            </w:r>
          </w:p>
          <w:p w:rsidR="001A4B90" w:rsidRPr="00CB5383" w:rsidRDefault="001A4B90" w:rsidP="001A4B90">
            <w:pPr>
              <w:keepNext/>
              <w:keepLines/>
              <w:spacing w:before="40" w:after="40"/>
              <w:ind w:left="-93" w:right="-77"/>
              <w:jc w:val="center"/>
              <w:rPr>
                <w:b/>
                <w:sz w:val="18"/>
                <w:szCs w:val="18"/>
              </w:rPr>
            </w:pPr>
            <w:r w:rsidRPr="00CB5383">
              <w:rPr>
                <w:b/>
                <w:sz w:val="18"/>
                <w:szCs w:val="18"/>
              </w:rPr>
              <w:t>(</w:t>
            </w:r>
            <w:r>
              <w:rPr>
                <w:b/>
                <w:sz w:val="18"/>
                <w:szCs w:val="18"/>
              </w:rPr>
              <w:t>N</w:t>
            </w:r>
            <w:r w:rsidRPr="00CB5383">
              <w:rPr>
                <w:b/>
                <w:sz w:val="18"/>
                <w:szCs w:val="18"/>
              </w:rPr>
              <w:t xml:space="preserve"> =</w:t>
            </w:r>
            <w:r>
              <w:rPr>
                <w:b/>
                <w:sz w:val="18"/>
                <w:szCs w:val="18"/>
              </w:rPr>
              <w:t xml:space="preserve"> 154</w:t>
            </w:r>
            <w:r w:rsidRPr="00CB5383">
              <w:rPr>
                <w:b/>
                <w:sz w:val="18"/>
                <w:szCs w:val="18"/>
              </w:rPr>
              <w:t>)</w:t>
            </w:r>
          </w:p>
        </w:tc>
        <w:tc>
          <w:tcPr>
            <w:tcW w:w="914" w:type="dxa"/>
          </w:tcPr>
          <w:p w:rsidR="001A4B90" w:rsidRPr="00CB5383" w:rsidRDefault="001A4B90" w:rsidP="001A4B90">
            <w:pPr>
              <w:keepNext/>
              <w:keepLines/>
              <w:spacing w:before="40" w:after="40"/>
              <w:ind w:left="-108" w:right="-108"/>
              <w:jc w:val="center"/>
              <w:rPr>
                <w:b/>
                <w:sz w:val="18"/>
                <w:szCs w:val="18"/>
              </w:rPr>
            </w:pPr>
            <w:r w:rsidRPr="00CB5383">
              <w:rPr>
                <w:b/>
                <w:sz w:val="18"/>
                <w:szCs w:val="18"/>
              </w:rPr>
              <w:t>Active Control</w:t>
            </w:r>
            <w:r>
              <w:rPr>
                <w:b/>
                <w:sz w:val="18"/>
                <w:szCs w:val="18"/>
              </w:rPr>
              <w:br/>
            </w:r>
            <w:r w:rsidRPr="00CB5383">
              <w:rPr>
                <w:b/>
                <w:sz w:val="18"/>
                <w:szCs w:val="18"/>
              </w:rPr>
              <w:t>(laser)</w:t>
            </w:r>
          </w:p>
          <w:p w:rsidR="001A4B90" w:rsidRPr="00CB5383" w:rsidRDefault="001A4B90" w:rsidP="001A4B90">
            <w:pPr>
              <w:keepNext/>
              <w:keepLines/>
              <w:spacing w:before="40" w:after="40"/>
              <w:ind w:left="-108" w:right="-108"/>
              <w:jc w:val="center"/>
              <w:rPr>
                <w:b/>
                <w:sz w:val="18"/>
                <w:szCs w:val="18"/>
              </w:rPr>
            </w:pPr>
            <w:r w:rsidRPr="00CB5383">
              <w:rPr>
                <w:b/>
                <w:sz w:val="18"/>
                <w:szCs w:val="18"/>
              </w:rPr>
              <w:t>(</w:t>
            </w:r>
            <w:r>
              <w:rPr>
                <w:b/>
                <w:sz w:val="18"/>
                <w:szCs w:val="18"/>
              </w:rPr>
              <w:t>N</w:t>
            </w:r>
            <w:r w:rsidRPr="00CB5383">
              <w:rPr>
                <w:b/>
                <w:sz w:val="18"/>
                <w:szCs w:val="18"/>
              </w:rPr>
              <w:t xml:space="preserve"> = 154)</w:t>
            </w:r>
          </w:p>
        </w:tc>
        <w:tc>
          <w:tcPr>
            <w:tcW w:w="913" w:type="dxa"/>
          </w:tcPr>
          <w:p w:rsidR="001A4B90" w:rsidRPr="00CB5383" w:rsidRDefault="001A4B90" w:rsidP="001A4B90">
            <w:pPr>
              <w:keepNext/>
              <w:keepLines/>
              <w:spacing w:before="40" w:after="40"/>
              <w:ind w:left="-93" w:right="-93"/>
              <w:jc w:val="center"/>
              <w:rPr>
                <w:b/>
                <w:sz w:val="18"/>
                <w:szCs w:val="18"/>
              </w:rPr>
            </w:pPr>
            <w:r w:rsidRPr="00CB5383">
              <w:rPr>
                <w:b/>
                <w:sz w:val="18"/>
                <w:szCs w:val="18"/>
              </w:rPr>
              <w:t>EYLEA</w:t>
            </w:r>
          </w:p>
          <w:p w:rsidR="001A4B90" w:rsidRPr="00CB5383" w:rsidRDefault="001A4B90" w:rsidP="001A4B90">
            <w:pPr>
              <w:keepNext/>
              <w:keepLines/>
              <w:spacing w:before="40" w:after="40"/>
              <w:ind w:left="-93" w:right="-93"/>
              <w:jc w:val="center"/>
              <w:rPr>
                <w:b/>
                <w:sz w:val="18"/>
                <w:szCs w:val="18"/>
              </w:rPr>
            </w:pPr>
            <w:r w:rsidRPr="00CB5383">
              <w:rPr>
                <w:b/>
                <w:sz w:val="18"/>
                <w:szCs w:val="18"/>
              </w:rPr>
              <w:t xml:space="preserve">2 mg Q8 </w:t>
            </w:r>
            <w:r w:rsidRPr="00CB5383">
              <w:rPr>
                <w:sz w:val="18"/>
                <w:szCs w:val="18"/>
                <w:vertAlign w:val="superscript"/>
              </w:rPr>
              <w:t>a</w:t>
            </w:r>
          </w:p>
          <w:p w:rsidR="001A4B90" w:rsidRPr="00CB5383" w:rsidRDefault="001A4B90" w:rsidP="001A4B90">
            <w:pPr>
              <w:keepNext/>
              <w:keepLines/>
              <w:spacing w:before="40" w:after="40"/>
              <w:ind w:left="-93" w:right="-93"/>
              <w:jc w:val="center"/>
              <w:rPr>
                <w:b/>
                <w:sz w:val="18"/>
                <w:szCs w:val="18"/>
              </w:rPr>
            </w:pPr>
            <w:r w:rsidRPr="00CB5383">
              <w:rPr>
                <w:b/>
                <w:sz w:val="18"/>
                <w:szCs w:val="18"/>
              </w:rPr>
              <w:t>(</w:t>
            </w:r>
            <w:r>
              <w:rPr>
                <w:b/>
                <w:sz w:val="18"/>
                <w:szCs w:val="18"/>
              </w:rPr>
              <w:t>N</w:t>
            </w:r>
            <w:r w:rsidRPr="00CB5383">
              <w:rPr>
                <w:b/>
                <w:sz w:val="18"/>
                <w:szCs w:val="18"/>
              </w:rPr>
              <w:t xml:space="preserve"> =</w:t>
            </w:r>
            <w:r>
              <w:rPr>
                <w:b/>
                <w:sz w:val="18"/>
                <w:szCs w:val="18"/>
              </w:rPr>
              <w:t xml:space="preserve"> 151</w:t>
            </w:r>
            <w:r w:rsidRPr="00CB5383">
              <w:rPr>
                <w:b/>
                <w:sz w:val="18"/>
                <w:szCs w:val="18"/>
              </w:rPr>
              <w:t>)</w:t>
            </w:r>
          </w:p>
        </w:tc>
        <w:tc>
          <w:tcPr>
            <w:tcW w:w="914" w:type="dxa"/>
          </w:tcPr>
          <w:p w:rsidR="001A4B90" w:rsidRPr="00CB5383" w:rsidRDefault="001A4B90" w:rsidP="001A4B90">
            <w:pPr>
              <w:keepNext/>
              <w:keepLines/>
              <w:spacing w:before="40" w:after="40"/>
              <w:ind w:left="-93" w:right="-171"/>
              <w:jc w:val="center"/>
              <w:rPr>
                <w:b/>
                <w:sz w:val="18"/>
                <w:szCs w:val="18"/>
              </w:rPr>
            </w:pPr>
            <w:r w:rsidRPr="00CB5383">
              <w:rPr>
                <w:b/>
                <w:sz w:val="18"/>
                <w:szCs w:val="18"/>
              </w:rPr>
              <w:t>EYLEA</w:t>
            </w:r>
          </w:p>
          <w:p w:rsidR="001A4B90" w:rsidRPr="00CB5383" w:rsidRDefault="001A4B90" w:rsidP="001A4B90">
            <w:pPr>
              <w:keepNext/>
              <w:keepLines/>
              <w:spacing w:before="40" w:after="40"/>
              <w:ind w:left="-93" w:right="-171"/>
              <w:jc w:val="center"/>
              <w:rPr>
                <w:b/>
                <w:sz w:val="18"/>
                <w:szCs w:val="18"/>
              </w:rPr>
            </w:pPr>
            <w:r w:rsidRPr="00CB5383">
              <w:rPr>
                <w:b/>
                <w:sz w:val="18"/>
                <w:szCs w:val="18"/>
              </w:rPr>
              <w:t>2 mg Q4</w:t>
            </w:r>
          </w:p>
          <w:p w:rsidR="001A4B90" w:rsidRPr="00CB5383" w:rsidRDefault="001A4B90" w:rsidP="001A4B90">
            <w:pPr>
              <w:keepNext/>
              <w:keepLines/>
              <w:spacing w:before="40" w:after="40"/>
              <w:ind w:left="-93" w:right="-171"/>
              <w:jc w:val="center"/>
              <w:rPr>
                <w:b/>
                <w:sz w:val="18"/>
                <w:szCs w:val="18"/>
              </w:rPr>
            </w:pPr>
            <w:r w:rsidRPr="00CB5383">
              <w:rPr>
                <w:b/>
                <w:sz w:val="18"/>
                <w:szCs w:val="18"/>
              </w:rPr>
              <w:t>(</w:t>
            </w:r>
            <w:r>
              <w:rPr>
                <w:b/>
                <w:sz w:val="18"/>
                <w:szCs w:val="18"/>
              </w:rPr>
              <w:t>N</w:t>
            </w:r>
            <w:r w:rsidRPr="00CB5383">
              <w:rPr>
                <w:b/>
                <w:sz w:val="18"/>
                <w:szCs w:val="18"/>
              </w:rPr>
              <w:t xml:space="preserve"> =</w:t>
            </w:r>
            <w:r>
              <w:rPr>
                <w:b/>
                <w:sz w:val="18"/>
                <w:szCs w:val="18"/>
              </w:rPr>
              <w:t xml:space="preserve"> 154</w:t>
            </w:r>
            <w:r w:rsidRPr="00CB5383">
              <w:rPr>
                <w:b/>
                <w:sz w:val="18"/>
                <w:szCs w:val="18"/>
              </w:rPr>
              <w:t>)</w:t>
            </w:r>
          </w:p>
        </w:tc>
        <w:tc>
          <w:tcPr>
            <w:tcW w:w="914" w:type="dxa"/>
          </w:tcPr>
          <w:p w:rsidR="001A4B90" w:rsidRPr="00CB5383" w:rsidRDefault="001A4B90" w:rsidP="001A4B90">
            <w:pPr>
              <w:keepNext/>
              <w:keepLines/>
              <w:spacing w:before="40" w:after="40"/>
              <w:ind w:left="-108" w:right="-108"/>
              <w:jc w:val="center"/>
              <w:rPr>
                <w:b/>
                <w:sz w:val="18"/>
                <w:szCs w:val="18"/>
              </w:rPr>
            </w:pPr>
            <w:r w:rsidRPr="00CB5383">
              <w:rPr>
                <w:b/>
                <w:sz w:val="18"/>
                <w:szCs w:val="18"/>
              </w:rPr>
              <w:t>Active Control</w:t>
            </w:r>
            <w:r>
              <w:rPr>
                <w:b/>
                <w:sz w:val="18"/>
                <w:szCs w:val="18"/>
              </w:rPr>
              <w:br/>
            </w:r>
            <w:r w:rsidRPr="00CB5383">
              <w:rPr>
                <w:b/>
                <w:sz w:val="18"/>
                <w:szCs w:val="18"/>
              </w:rPr>
              <w:t>(laser)</w:t>
            </w:r>
          </w:p>
          <w:p w:rsidR="001A4B90" w:rsidRPr="00CB5383" w:rsidRDefault="001A4B90" w:rsidP="001A4B90">
            <w:pPr>
              <w:keepNext/>
              <w:keepLines/>
              <w:spacing w:before="40" w:after="40"/>
              <w:ind w:left="-108" w:right="-108"/>
              <w:jc w:val="center"/>
              <w:rPr>
                <w:b/>
                <w:sz w:val="18"/>
                <w:szCs w:val="18"/>
              </w:rPr>
            </w:pPr>
            <w:r w:rsidRPr="00CB5383">
              <w:rPr>
                <w:b/>
                <w:sz w:val="18"/>
                <w:szCs w:val="18"/>
              </w:rPr>
              <w:t>(</w:t>
            </w:r>
            <w:r>
              <w:rPr>
                <w:b/>
                <w:sz w:val="18"/>
                <w:szCs w:val="18"/>
              </w:rPr>
              <w:t>N</w:t>
            </w:r>
            <w:r w:rsidRPr="00CB5383">
              <w:rPr>
                <w:b/>
                <w:sz w:val="18"/>
                <w:szCs w:val="18"/>
              </w:rPr>
              <w:t xml:space="preserve"> = 154)</w:t>
            </w:r>
          </w:p>
        </w:tc>
      </w:tr>
      <w:tr w:rsidR="001A4B90" w:rsidRPr="00CB5383" w:rsidTr="007C698D">
        <w:tc>
          <w:tcPr>
            <w:tcW w:w="1314" w:type="dxa"/>
            <w:shd w:val="clear" w:color="auto" w:fill="auto"/>
          </w:tcPr>
          <w:p w:rsidR="001A4B90" w:rsidRPr="00CB5383" w:rsidRDefault="001A4B90" w:rsidP="00481943">
            <w:pPr>
              <w:keepNext/>
              <w:keepLines/>
              <w:spacing w:before="40" w:after="40"/>
              <w:rPr>
                <w:b/>
                <w:sz w:val="18"/>
                <w:szCs w:val="18"/>
              </w:rPr>
            </w:pPr>
            <w:r w:rsidRPr="00CB5383">
              <w:rPr>
                <w:sz w:val="18"/>
                <w:szCs w:val="18"/>
                <w:lang w:bidi="or-IN"/>
              </w:rPr>
              <w:t>Mean change in CRT score from Baseline (SD)</w:t>
            </w:r>
          </w:p>
        </w:tc>
        <w:tc>
          <w:tcPr>
            <w:tcW w:w="913" w:type="dxa"/>
            <w:shd w:val="clear" w:color="auto" w:fill="auto"/>
            <w:vAlign w:val="center"/>
          </w:tcPr>
          <w:p w:rsidR="001A4B90" w:rsidRPr="00CB5383" w:rsidRDefault="001A4B90" w:rsidP="001A4B90">
            <w:pPr>
              <w:keepNext/>
              <w:keepLines/>
              <w:spacing w:before="40" w:after="40"/>
              <w:ind w:left="-93" w:right="-46"/>
              <w:jc w:val="center"/>
              <w:rPr>
                <w:sz w:val="18"/>
                <w:szCs w:val="18"/>
              </w:rPr>
            </w:pPr>
            <w:r w:rsidRPr="00CB5383">
              <w:rPr>
                <w:sz w:val="18"/>
                <w:szCs w:val="18"/>
              </w:rPr>
              <w:t xml:space="preserve">-192.4 </w:t>
            </w:r>
            <w:r>
              <w:rPr>
                <w:sz w:val="18"/>
                <w:szCs w:val="18"/>
              </w:rPr>
              <w:br/>
            </w:r>
            <w:r w:rsidRPr="00CB5383">
              <w:rPr>
                <w:sz w:val="18"/>
                <w:szCs w:val="18"/>
              </w:rPr>
              <w:t>(149.89)</w:t>
            </w:r>
          </w:p>
        </w:tc>
        <w:tc>
          <w:tcPr>
            <w:tcW w:w="914" w:type="dxa"/>
            <w:shd w:val="clear" w:color="auto" w:fill="auto"/>
            <w:vAlign w:val="center"/>
          </w:tcPr>
          <w:p w:rsidR="001A4B90" w:rsidRPr="00CB5383" w:rsidRDefault="001A4B90" w:rsidP="001A4B90">
            <w:pPr>
              <w:keepNext/>
              <w:keepLines/>
              <w:spacing w:before="40" w:after="40"/>
              <w:ind w:left="-93" w:right="-124"/>
              <w:jc w:val="center"/>
              <w:rPr>
                <w:sz w:val="18"/>
                <w:szCs w:val="18"/>
              </w:rPr>
            </w:pPr>
            <w:r w:rsidRPr="00CB5383">
              <w:rPr>
                <w:sz w:val="18"/>
                <w:szCs w:val="18"/>
              </w:rPr>
              <w:t>-195.0 (146.59)</w:t>
            </w:r>
          </w:p>
        </w:tc>
        <w:tc>
          <w:tcPr>
            <w:tcW w:w="913" w:type="dxa"/>
            <w:shd w:val="clear" w:color="auto" w:fill="auto"/>
            <w:vAlign w:val="center"/>
          </w:tcPr>
          <w:p w:rsidR="001A4B90" w:rsidRPr="00CB5383" w:rsidRDefault="001A4B90" w:rsidP="001A4B90">
            <w:pPr>
              <w:keepNext/>
              <w:keepLines/>
              <w:spacing w:before="40" w:after="40"/>
              <w:ind w:left="-108" w:right="-108"/>
              <w:jc w:val="center"/>
              <w:rPr>
                <w:sz w:val="18"/>
                <w:szCs w:val="18"/>
              </w:rPr>
            </w:pPr>
            <w:r w:rsidRPr="00CB5383">
              <w:rPr>
                <w:sz w:val="18"/>
                <w:szCs w:val="18"/>
              </w:rPr>
              <w:t xml:space="preserve">-66.2  </w:t>
            </w:r>
            <w:r w:rsidRPr="00CB5383">
              <w:rPr>
                <w:sz w:val="18"/>
                <w:szCs w:val="18"/>
              </w:rPr>
              <w:br/>
              <w:t>(138.99)</w:t>
            </w:r>
          </w:p>
        </w:tc>
        <w:tc>
          <w:tcPr>
            <w:tcW w:w="914" w:type="dxa"/>
            <w:vAlign w:val="center"/>
          </w:tcPr>
          <w:p w:rsidR="001A4B90" w:rsidRPr="00CB5383" w:rsidRDefault="001A4B90" w:rsidP="001A4B90">
            <w:pPr>
              <w:keepNext/>
              <w:keepLines/>
              <w:spacing w:before="40" w:after="40"/>
              <w:ind w:left="-93" w:right="-140"/>
              <w:jc w:val="center"/>
              <w:rPr>
                <w:sz w:val="18"/>
                <w:szCs w:val="18"/>
              </w:rPr>
            </w:pPr>
            <w:r w:rsidRPr="00CB5383">
              <w:rPr>
                <w:sz w:val="18"/>
                <w:szCs w:val="18"/>
              </w:rPr>
              <w:t>-183.1 (153.50)</w:t>
            </w:r>
          </w:p>
        </w:tc>
        <w:tc>
          <w:tcPr>
            <w:tcW w:w="913" w:type="dxa"/>
            <w:vAlign w:val="center"/>
          </w:tcPr>
          <w:p w:rsidR="001A4B90" w:rsidRPr="00CB5383" w:rsidRDefault="001A4B90" w:rsidP="001A4B90">
            <w:pPr>
              <w:keepNext/>
              <w:keepLines/>
              <w:spacing w:before="40" w:after="40"/>
              <w:ind w:left="-93" w:right="-77"/>
              <w:jc w:val="center"/>
              <w:rPr>
                <w:sz w:val="18"/>
                <w:szCs w:val="18"/>
              </w:rPr>
            </w:pPr>
            <w:r w:rsidRPr="00CB5383">
              <w:rPr>
                <w:sz w:val="18"/>
                <w:szCs w:val="18"/>
              </w:rPr>
              <w:t>-185.9 (150.68)</w:t>
            </w:r>
          </w:p>
        </w:tc>
        <w:tc>
          <w:tcPr>
            <w:tcW w:w="914" w:type="dxa"/>
            <w:vAlign w:val="center"/>
          </w:tcPr>
          <w:p w:rsidR="001A4B90" w:rsidRPr="00CB5383" w:rsidRDefault="001A4B90" w:rsidP="001A4B90">
            <w:pPr>
              <w:keepNext/>
              <w:keepLines/>
              <w:spacing w:before="40" w:after="40"/>
              <w:ind w:left="-108" w:right="-108"/>
              <w:jc w:val="center"/>
              <w:rPr>
                <w:sz w:val="18"/>
                <w:szCs w:val="18"/>
              </w:rPr>
            </w:pPr>
            <w:r w:rsidRPr="00CB5383">
              <w:rPr>
                <w:sz w:val="18"/>
                <w:szCs w:val="18"/>
              </w:rPr>
              <w:t xml:space="preserve">-73.3 </w:t>
            </w:r>
            <w:r w:rsidRPr="00CB5383">
              <w:rPr>
                <w:sz w:val="18"/>
                <w:szCs w:val="18"/>
              </w:rPr>
              <w:br/>
              <w:t>(176.72)</w:t>
            </w:r>
          </w:p>
        </w:tc>
        <w:tc>
          <w:tcPr>
            <w:tcW w:w="913" w:type="dxa"/>
            <w:vAlign w:val="center"/>
          </w:tcPr>
          <w:p w:rsidR="001A4B90" w:rsidRPr="00C75015" w:rsidRDefault="001A4B90" w:rsidP="001A4B90">
            <w:pPr>
              <w:keepNext/>
              <w:keepLines/>
              <w:spacing w:before="40" w:after="40"/>
              <w:ind w:left="-93" w:right="-93"/>
              <w:jc w:val="center"/>
              <w:rPr>
                <w:sz w:val="18"/>
                <w:szCs w:val="18"/>
              </w:rPr>
            </w:pPr>
            <w:r w:rsidRPr="00C75015">
              <w:rPr>
                <w:sz w:val="18"/>
                <w:szCs w:val="18"/>
              </w:rPr>
              <w:t>-191.1 (160.66)</w:t>
            </w:r>
          </w:p>
        </w:tc>
        <w:tc>
          <w:tcPr>
            <w:tcW w:w="914" w:type="dxa"/>
            <w:vAlign w:val="center"/>
          </w:tcPr>
          <w:p w:rsidR="001A4B90" w:rsidRPr="00C75015" w:rsidRDefault="001A4B90" w:rsidP="001A4B90">
            <w:pPr>
              <w:keepNext/>
              <w:keepLines/>
              <w:spacing w:before="40" w:after="40"/>
              <w:ind w:left="-93" w:right="-171"/>
              <w:jc w:val="center"/>
              <w:rPr>
                <w:sz w:val="18"/>
                <w:szCs w:val="18"/>
              </w:rPr>
            </w:pPr>
            <w:r w:rsidRPr="00C75015">
              <w:rPr>
                <w:sz w:val="18"/>
                <w:szCs w:val="18"/>
              </w:rPr>
              <w:t>-191.4 (180.01)</w:t>
            </w:r>
          </w:p>
        </w:tc>
        <w:tc>
          <w:tcPr>
            <w:tcW w:w="914" w:type="dxa"/>
            <w:vAlign w:val="center"/>
          </w:tcPr>
          <w:p w:rsidR="001A4B90" w:rsidRDefault="001A4B90" w:rsidP="001A4B90">
            <w:pPr>
              <w:keepNext/>
              <w:keepLines/>
              <w:spacing w:before="40" w:after="40"/>
              <w:ind w:left="-108" w:right="-108"/>
              <w:jc w:val="center"/>
              <w:rPr>
                <w:sz w:val="18"/>
                <w:szCs w:val="18"/>
              </w:rPr>
            </w:pPr>
            <w:r w:rsidRPr="00C75015">
              <w:rPr>
                <w:sz w:val="18"/>
                <w:szCs w:val="18"/>
              </w:rPr>
              <w:t xml:space="preserve">-83.9 </w:t>
            </w:r>
          </w:p>
          <w:p w:rsidR="001A4B90" w:rsidRPr="00C75015" w:rsidRDefault="001A4B90" w:rsidP="001A4B90">
            <w:pPr>
              <w:keepNext/>
              <w:keepLines/>
              <w:spacing w:before="40" w:after="40"/>
              <w:ind w:left="-108" w:right="-108"/>
              <w:jc w:val="center"/>
              <w:rPr>
                <w:sz w:val="18"/>
                <w:szCs w:val="18"/>
              </w:rPr>
            </w:pPr>
            <w:r w:rsidRPr="00C75015">
              <w:rPr>
                <w:sz w:val="18"/>
                <w:szCs w:val="18"/>
              </w:rPr>
              <w:t>(179.29)</w:t>
            </w:r>
          </w:p>
        </w:tc>
      </w:tr>
      <w:tr w:rsidR="001A4B90" w:rsidRPr="00CB5383" w:rsidTr="007C698D">
        <w:tc>
          <w:tcPr>
            <w:tcW w:w="1314" w:type="dxa"/>
            <w:shd w:val="clear" w:color="auto" w:fill="auto"/>
          </w:tcPr>
          <w:p w:rsidR="001A4B90" w:rsidRPr="00CB5383" w:rsidRDefault="001A4B90" w:rsidP="00481943">
            <w:pPr>
              <w:keepLines/>
              <w:spacing w:before="40" w:after="40"/>
              <w:ind w:left="113" w:right="-161"/>
              <w:rPr>
                <w:sz w:val="18"/>
                <w:szCs w:val="18"/>
                <w:lang w:bidi="or-IN"/>
              </w:rPr>
            </w:pPr>
            <w:r w:rsidRPr="00CB5383">
              <w:rPr>
                <w:sz w:val="18"/>
                <w:szCs w:val="18"/>
                <w:lang w:bidi="or-IN"/>
              </w:rPr>
              <w:t xml:space="preserve">Difference in LS mean </w:t>
            </w:r>
            <w:r w:rsidRPr="00CB5383">
              <w:rPr>
                <w:sz w:val="20"/>
                <w:vertAlign w:val="superscript"/>
              </w:rPr>
              <w:t>a</w:t>
            </w:r>
            <w:r>
              <w:rPr>
                <w:sz w:val="20"/>
                <w:vertAlign w:val="superscript"/>
              </w:rPr>
              <w:t>,</w:t>
            </w:r>
            <w:r w:rsidRPr="00CB5383">
              <w:rPr>
                <w:sz w:val="20"/>
                <w:vertAlign w:val="superscript"/>
              </w:rPr>
              <w:t xml:space="preserve"> b</w:t>
            </w:r>
            <w:r w:rsidRPr="00CB5383">
              <w:rPr>
                <w:sz w:val="18"/>
                <w:szCs w:val="18"/>
                <w:lang w:bidi="or-IN"/>
              </w:rPr>
              <w:br/>
              <w:t>(97.5% CI)</w:t>
            </w:r>
          </w:p>
          <w:p w:rsidR="001A4B90" w:rsidRPr="00CB5383" w:rsidRDefault="001A4B90" w:rsidP="00481943">
            <w:pPr>
              <w:keepLines/>
              <w:spacing w:before="40" w:after="40"/>
              <w:ind w:left="113"/>
              <w:rPr>
                <w:sz w:val="18"/>
                <w:szCs w:val="18"/>
                <w:lang w:bidi="or-IN"/>
              </w:rPr>
            </w:pPr>
            <w:r w:rsidRPr="00CB5383">
              <w:rPr>
                <w:sz w:val="18"/>
                <w:szCs w:val="18"/>
                <w:lang w:bidi="or-IN"/>
              </w:rPr>
              <w:t>p-value</w:t>
            </w:r>
          </w:p>
        </w:tc>
        <w:tc>
          <w:tcPr>
            <w:tcW w:w="913" w:type="dxa"/>
            <w:shd w:val="clear" w:color="auto" w:fill="auto"/>
            <w:vAlign w:val="center"/>
          </w:tcPr>
          <w:p w:rsidR="001A4B90" w:rsidRPr="00CB5383" w:rsidRDefault="001A4B90" w:rsidP="001A4B90">
            <w:pPr>
              <w:keepLines/>
              <w:spacing w:before="40" w:after="40"/>
              <w:ind w:left="-93" w:right="-46"/>
              <w:jc w:val="center"/>
              <w:rPr>
                <w:sz w:val="18"/>
                <w:szCs w:val="18"/>
              </w:rPr>
            </w:pPr>
            <w:r w:rsidRPr="00CB5383">
              <w:rPr>
                <w:sz w:val="18"/>
                <w:szCs w:val="18"/>
              </w:rPr>
              <w:t>-142.8</w:t>
            </w:r>
            <w:r w:rsidRPr="00CB5383">
              <w:rPr>
                <w:sz w:val="18"/>
                <w:szCs w:val="18"/>
              </w:rPr>
              <w:br/>
              <w:t xml:space="preserve">(-179.3, </w:t>
            </w:r>
            <w:r w:rsidRPr="00CB5383">
              <w:rPr>
                <w:sz w:val="18"/>
                <w:szCs w:val="18"/>
              </w:rPr>
              <w:br/>
              <w:t>-106.3)</w:t>
            </w:r>
          </w:p>
          <w:p w:rsidR="001A4B90" w:rsidRPr="00CB5383" w:rsidRDefault="001A4B90" w:rsidP="001A4B90">
            <w:pPr>
              <w:keepLines/>
              <w:spacing w:before="40" w:after="40"/>
              <w:ind w:left="-93" w:right="-46"/>
              <w:jc w:val="center"/>
              <w:rPr>
                <w:sz w:val="18"/>
                <w:szCs w:val="18"/>
              </w:rPr>
            </w:pPr>
            <w:r w:rsidRPr="00CB5383">
              <w:rPr>
                <w:sz w:val="18"/>
                <w:szCs w:val="18"/>
              </w:rPr>
              <w:t>p &lt; 0.0001</w:t>
            </w:r>
          </w:p>
        </w:tc>
        <w:tc>
          <w:tcPr>
            <w:tcW w:w="914" w:type="dxa"/>
            <w:shd w:val="clear" w:color="auto" w:fill="auto"/>
            <w:vAlign w:val="center"/>
          </w:tcPr>
          <w:p w:rsidR="001A4B90" w:rsidRPr="00CB5383" w:rsidRDefault="001A4B90" w:rsidP="001A4B90">
            <w:pPr>
              <w:keepLines/>
              <w:spacing w:before="40" w:after="40"/>
              <w:ind w:left="-93" w:right="-124"/>
              <w:jc w:val="center"/>
              <w:rPr>
                <w:sz w:val="18"/>
                <w:szCs w:val="18"/>
              </w:rPr>
            </w:pPr>
            <w:r w:rsidRPr="00CB5383">
              <w:rPr>
                <w:sz w:val="18"/>
                <w:szCs w:val="18"/>
              </w:rPr>
              <w:t xml:space="preserve">-157.0 </w:t>
            </w:r>
            <w:r w:rsidRPr="00CB5383">
              <w:rPr>
                <w:sz w:val="18"/>
                <w:szCs w:val="18"/>
              </w:rPr>
              <w:br/>
              <w:t xml:space="preserve">(-190.9, </w:t>
            </w:r>
            <w:r w:rsidRPr="00CB5383">
              <w:rPr>
                <w:sz w:val="18"/>
                <w:szCs w:val="18"/>
              </w:rPr>
              <w:br/>
              <w:t>-123.1)</w:t>
            </w:r>
          </w:p>
          <w:p w:rsidR="001A4B90" w:rsidRPr="00CB5383" w:rsidRDefault="001A4B90" w:rsidP="001A4B90">
            <w:pPr>
              <w:keepLines/>
              <w:spacing w:before="40" w:after="40"/>
              <w:ind w:left="-93" w:right="-124"/>
              <w:jc w:val="center"/>
              <w:rPr>
                <w:sz w:val="18"/>
                <w:szCs w:val="18"/>
              </w:rPr>
            </w:pPr>
            <w:r w:rsidRPr="00CB5383">
              <w:rPr>
                <w:sz w:val="18"/>
                <w:szCs w:val="18"/>
              </w:rPr>
              <w:t>p &lt; 0.0001</w:t>
            </w:r>
          </w:p>
        </w:tc>
        <w:tc>
          <w:tcPr>
            <w:tcW w:w="913" w:type="dxa"/>
            <w:shd w:val="clear" w:color="auto" w:fill="auto"/>
            <w:vAlign w:val="center"/>
          </w:tcPr>
          <w:p w:rsidR="001A4B90" w:rsidRPr="00CB5383" w:rsidRDefault="001A4B90" w:rsidP="001A4B90">
            <w:pPr>
              <w:keepLines/>
              <w:spacing w:before="40" w:after="40"/>
              <w:ind w:left="-108" w:right="-108"/>
              <w:jc w:val="center"/>
              <w:rPr>
                <w:sz w:val="18"/>
                <w:szCs w:val="18"/>
              </w:rPr>
            </w:pPr>
          </w:p>
        </w:tc>
        <w:tc>
          <w:tcPr>
            <w:tcW w:w="914" w:type="dxa"/>
            <w:vAlign w:val="center"/>
          </w:tcPr>
          <w:p w:rsidR="001A4B90" w:rsidRPr="00CB5383" w:rsidRDefault="001A4B90" w:rsidP="001A4B90">
            <w:pPr>
              <w:keepLines/>
              <w:spacing w:before="40" w:after="40"/>
              <w:ind w:left="-93" w:right="-140"/>
              <w:jc w:val="center"/>
              <w:rPr>
                <w:sz w:val="18"/>
                <w:szCs w:val="18"/>
              </w:rPr>
            </w:pPr>
            <w:r w:rsidRPr="00CB5383">
              <w:rPr>
                <w:sz w:val="18"/>
                <w:szCs w:val="18"/>
              </w:rPr>
              <w:t>-113.47</w:t>
            </w:r>
            <w:r w:rsidRPr="00CB5383">
              <w:rPr>
                <w:sz w:val="18"/>
                <w:szCs w:val="18"/>
              </w:rPr>
              <w:br/>
              <w:t>(-144.19,</w:t>
            </w:r>
            <w:r w:rsidRPr="00CB5383">
              <w:rPr>
                <w:sz w:val="18"/>
                <w:szCs w:val="18"/>
              </w:rPr>
              <w:br/>
              <w:t>-82.75)</w:t>
            </w:r>
          </w:p>
          <w:p w:rsidR="001A4B90" w:rsidRPr="00CB5383" w:rsidRDefault="001A4B90" w:rsidP="001A4B90">
            <w:pPr>
              <w:keepLines/>
              <w:spacing w:before="40" w:after="40"/>
              <w:ind w:left="-93" w:right="-140"/>
              <w:jc w:val="center"/>
              <w:rPr>
                <w:sz w:val="18"/>
                <w:szCs w:val="18"/>
              </w:rPr>
            </w:pPr>
            <w:r w:rsidRPr="00CB5383">
              <w:rPr>
                <w:sz w:val="18"/>
                <w:szCs w:val="18"/>
              </w:rPr>
              <w:t>p &lt; 0.0001</w:t>
            </w:r>
          </w:p>
        </w:tc>
        <w:tc>
          <w:tcPr>
            <w:tcW w:w="913" w:type="dxa"/>
            <w:vAlign w:val="center"/>
          </w:tcPr>
          <w:p w:rsidR="001A4B90" w:rsidRPr="00CB5383" w:rsidRDefault="001A4B90" w:rsidP="001A4B90">
            <w:pPr>
              <w:keepLines/>
              <w:spacing w:before="40" w:after="40"/>
              <w:ind w:left="-93" w:right="-77"/>
              <w:jc w:val="center"/>
              <w:rPr>
                <w:sz w:val="18"/>
                <w:szCs w:val="18"/>
              </w:rPr>
            </w:pPr>
            <w:r w:rsidRPr="00CB5383">
              <w:rPr>
                <w:sz w:val="18"/>
                <w:szCs w:val="18"/>
              </w:rPr>
              <w:t>-110.78</w:t>
            </w:r>
            <w:r w:rsidRPr="00CB5383">
              <w:rPr>
                <w:sz w:val="18"/>
                <w:szCs w:val="18"/>
              </w:rPr>
              <w:br/>
              <w:t>(-141.34,</w:t>
            </w:r>
            <w:r w:rsidRPr="00CB5383">
              <w:rPr>
                <w:sz w:val="18"/>
                <w:szCs w:val="18"/>
              </w:rPr>
              <w:br/>
              <w:t>-80.22)</w:t>
            </w:r>
          </w:p>
          <w:p w:rsidR="001A4B90" w:rsidRPr="00CB5383" w:rsidRDefault="001A4B90" w:rsidP="001A4B90">
            <w:pPr>
              <w:keepLines/>
              <w:spacing w:before="40" w:after="40"/>
              <w:ind w:left="-93" w:right="-77"/>
              <w:jc w:val="center"/>
              <w:rPr>
                <w:sz w:val="18"/>
                <w:szCs w:val="18"/>
              </w:rPr>
            </w:pPr>
            <w:r w:rsidRPr="00CB5383">
              <w:rPr>
                <w:sz w:val="18"/>
                <w:szCs w:val="18"/>
              </w:rPr>
              <w:t>p &lt; 0.0001</w:t>
            </w:r>
          </w:p>
        </w:tc>
        <w:tc>
          <w:tcPr>
            <w:tcW w:w="914" w:type="dxa"/>
            <w:vAlign w:val="center"/>
          </w:tcPr>
          <w:p w:rsidR="001A4B90" w:rsidRPr="00CB5383" w:rsidRDefault="001A4B90" w:rsidP="001A4B90">
            <w:pPr>
              <w:keepLines/>
              <w:spacing w:before="40" w:after="40"/>
              <w:ind w:left="-108" w:right="-108"/>
              <w:jc w:val="center"/>
              <w:rPr>
                <w:sz w:val="18"/>
                <w:szCs w:val="18"/>
              </w:rPr>
            </w:pPr>
          </w:p>
        </w:tc>
        <w:tc>
          <w:tcPr>
            <w:tcW w:w="913" w:type="dxa"/>
            <w:vAlign w:val="center"/>
          </w:tcPr>
          <w:p w:rsidR="001A4B90" w:rsidRPr="00C75015" w:rsidRDefault="001A4B90" w:rsidP="001A4B90">
            <w:pPr>
              <w:keepNext/>
              <w:keepLines/>
              <w:spacing w:before="40" w:after="40"/>
              <w:ind w:left="-93" w:right="-93"/>
              <w:jc w:val="center"/>
              <w:rPr>
                <w:sz w:val="18"/>
                <w:szCs w:val="18"/>
              </w:rPr>
            </w:pPr>
            <w:r w:rsidRPr="00C75015">
              <w:rPr>
                <w:sz w:val="18"/>
                <w:szCs w:val="18"/>
              </w:rPr>
              <w:t>-110.99</w:t>
            </w:r>
          </w:p>
          <w:p w:rsidR="001A4B90" w:rsidRPr="00C75015" w:rsidRDefault="001A4B90" w:rsidP="001A4B90">
            <w:pPr>
              <w:keepNext/>
              <w:keepLines/>
              <w:spacing w:before="40" w:after="40"/>
              <w:ind w:left="-93" w:right="-93"/>
              <w:jc w:val="center"/>
              <w:rPr>
                <w:sz w:val="18"/>
                <w:szCs w:val="18"/>
              </w:rPr>
            </w:pPr>
            <w:r w:rsidRPr="00C75015">
              <w:rPr>
                <w:sz w:val="18"/>
                <w:szCs w:val="18"/>
              </w:rPr>
              <w:t>(-142.94</w:t>
            </w:r>
            <w:r>
              <w:rPr>
                <w:sz w:val="18"/>
                <w:szCs w:val="18"/>
              </w:rPr>
              <w:t>,</w:t>
            </w:r>
            <w:r>
              <w:rPr>
                <w:sz w:val="18"/>
                <w:szCs w:val="18"/>
              </w:rPr>
              <w:br/>
            </w:r>
            <w:r w:rsidRPr="00C75015">
              <w:rPr>
                <w:sz w:val="18"/>
                <w:szCs w:val="18"/>
              </w:rPr>
              <w:t>-79.04)</w:t>
            </w:r>
          </w:p>
          <w:p w:rsidR="001A4B90" w:rsidRPr="00C75015" w:rsidRDefault="001A4B90" w:rsidP="001A4B90">
            <w:pPr>
              <w:keepLines/>
              <w:spacing w:before="40" w:after="40"/>
              <w:ind w:left="-93" w:right="-93"/>
              <w:jc w:val="center"/>
              <w:rPr>
                <w:sz w:val="18"/>
                <w:szCs w:val="18"/>
              </w:rPr>
            </w:pPr>
            <w:r w:rsidRPr="00C75015">
              <w:rPr>
                <w:sz w:val="18"/>
                <w:szCs w:val="18"/>
              </w:rPr>
              <w:t>p &lt; 0.0001</w:t>
            </w:r>
          </w:p>
        </w:tc>
        <w:tc>
          <w:tcPr>
            <w:tcW w:w="914" w:type="dxa"/>
            <w:vAlign w:val="center"/>
          </w:tcPr>
          <w:p w:rsidR="001A4B90" w:rsidRPr="00C75015" w:rsidRDefault="001A4B90" w:rsidP="001A4B90">
            <w:pPr>
              <w:keepNext/>
              <w:keepLines/>
              <w:spacing w:before="40" w:after="40"/>
              <w:ind w:left="-93" w:right="-171"/>
              <w:jc w:val="center"/>
              <w:rPr>
                <w:sz w:val="18"/>
                <w:szCs w:val="18"/>
              </w:rPr>
            </w:pPr>
            <w:r w:rsidRPr="00C75015">
              <w:rPr>
                <w:sz w:val="18"/>
                <w:szCs w:val="18"/>
              </w:rPr>
              <w:t>-104.89</w:t>
            </w:r>
          </w:p>
          <w:p w:rsidR="001A4B90" w:rsidRPr="00C75015" w:rsidRDefault="001A4B90" w:rsidP="001A4B90">
            <w:pPr>
              <w:keepNext/>
              <w:keepLines/>
              <w:spacing w:before="40" w:after="40"/>
              <w:ind w:left="-93" w:right="-171"/>
              <w:jc w:val="center"/>
              <w:rPr>
                <w:sz w:val="18"/>
                <w:szCs w:val="18"/>
              </w:rPr>
            </w:pPr>
            <w:r w:rsidRPr="00C75015">
              <w:rPr>
                <w:sz w:val="18"/>
                <w:szCs w:val="18"/>
              </w:rPr>
              <w:t>(-139.58</w:t>
            </w:r>
            <w:r>
              <w:rPr>
                <w:sz w:val="18"/>
                <w:szCs w:val="18"/>
              </w:rPr>
              <w:t>,</w:t>
            </w:r>
            <w:r>
              <w:rPr>
                <w:sz w:val="18"/>
                <w:szCs w:val="18"/>
              </w:rPr>
              <w:br/>
            </w:r>
            <w:r w:rsidRPr="00C75015">
              <w:rPr>
                <w:sz w:val="18"/>
                <w:szCs w:val="18"/>
              </w:rPr>
              <w:t>-70.21)</w:t>
            </w:r>
          </w:p>
          <w:p w:rsidR="001A4B90" w:rsidRPr="00C75015" w:rsidRDefault="001A4B90" w:rsidP="001A4B90">
            <w:pPr>
              <w:keepLines/>
              <w:spacing w:before="40" w:after="40"/>
              <w:ind w:left="-93" w:right="-171"/>
              <w:jc w:val="center"/>
              <w:rPr>
                <w:sz w:val="18"/>
                <w:szCs w:val="18"/>
              </w:rPr>
            </w:pPr>
            <w:r w:rsidRPr="00C75015">
              <w:rPr>
                <w:sz w:val="18"/>
                <w:szCs w:val="18"/>
              </w:rPr>
              <w:t>p &lt; 0.0001</w:t>
            </w:r>
          </w:p>
        </w:tc>
        <w:tc>
          <w:tcPr>
            <w:tcW w:w="914" w:type="dxa"/>
            <w:vAlign w:val="center"/>
          </w:tcPr>
          <w:p w:rsidR="001A4B90" w:rsidRPr="00C75015" w:rsidRDefault="001A4B90" w:rsidP="001A4B90">
            <w:pPr>
              <w:keepLines/>
              <w:spacing w:before="40" w:after="40"/>
              <w:ind w:left="-108" w:right="-108"/>
              <w:jc w:val="center"/>
              <w:rPr>
                <w:sz w:val="18"/>
                <w:szCs w:val="18"/>
              </w:rPr>
            </w:pPr>
          </w:p>
        </w:tc>
      </w:tr>
    </w:tbl>
    <w:p w:rsidR="004A2828" w:rsidRPr="00CB5383" w:rsidRDefault="004A2828" w:rsidP="004A2828">
      <w:pPr>
        <w:tabs>
          <w:tab w:val="left" w:pos="284"/>
        </w:tabs>
        <w:spacing w:before="60"/>
        <w:ind w:left="284" w:hanging="284"/>
        <w:jc w:val="both"/>
        <w:rPr>
          <w:sz w:val="20"/>
          <w:szCs w:val="20"/>
        </w:rPr>
      </w:pPr>
      <w:r w:rsidRPr="001B5410">
        <w:rPr>
          <w:sz w:val="20"/>
          <w:szCs w:val="20"/>
          <w:vertAlign w:val="superscript"/>
        </w:rPr>
        <w:t>a</w:t>
      </w:r>
      <w:r w:rsidR="001B5410">
        <w:rPr>
          <w:sz w:val="20"/>
          <w:szCs w:val="20"/>
          <w:vertAlign w:val="superscript"/>
        </w:rPr>
        <w:t>)</w:t>
      </w:r>
      <w:r>
        <w:rPr>
          <w:sz w:val="20"/>
          <w:szCs w:val="20"/>
        </w:rPr>
        <w:tab/>
      </w:r>
      <w:r w:rsidRPr="00CB5383">
        <w:rPr>
          <w:sz w:val="20"/>
          <w:szCs w:val="20"/>
        </w:rPr>
        <w:t xml:space="preserve">LS mean and CI based on an ANCOVA model with baseline BCVA measurement as a covariate and a factor for treatment group. Additionally, region (Europe/Australia vs. Japan) had been included as factor for </w:t>
      </w:r>
      <w:proofErr w:type="gramStart"/>
      <w:r w:rsidRPr="00CB5383">
        <w:rPr>
          <w:sz w:val="20"/>
          <w:szCs w:val="20"/>
        </w:rPr>
        <w:t>VIVID</w:t>
      </w:r>
      <w:r w:rsidRPr="005830B7">
        <w:rPr>
          <w:sz w:val="20"/>
          <w:szCs w:val="20"/>
          <w:vertAlign w:val="superscript"/>
        </w:rPr>
        <w:t>DME</w:t>
      </w:r>
      <w:r w:rsidRPr="00CB5383">
        <w:rPr>
          <w:sz w:val="20"/>
          <w:szCs w:val="20"/>
        </w:rPr>
        <w:t>,</w:t>
      </w:r>
      <w:proofErr w:type="gramEnd"/>
      <w:r w:rsidRPr="00CB5383">
        <w:rPr>
          <w:sz w:val="20"/>
          <w:szCs w:val="20"/>
        </w:rPr>
        <w:t xml:space="preserve"> and history of MI and/or CVA as a factor for VISTA</w:t>
      </w:r>
      <w:r w:rsidRPr="005830B7">
        <w:rPr>
          <w:sz w:val="20"/>
          <w:szCs w:val="20"/>
          <w:vertAlign w:val="superscript"/>
        </w:rPr>
        <w:t>DME</w:t>
      </w:r>
      <w:r w:rsidRPr="00CB5383">
        <w:rPr>
          <w:sz w:val="20"/>
          <w:szCs w:val="20"/>
        </w:rPr>
        <w:t>).</w:t>
      </w:r>
    </w:p>
    <w:p w:rsidR="004A2828" w:rsidRDefault="004A2828" w:rsidP="004A2828">
      <w:pPr>
        <w:tabs>
          <w:tab w:val="left" w:pos="284"/>
        </w:tabs>
        <w:jc w:val="both"/>
        <w:rPr>
          <w:sz w:val="20"/>
          <w:szCs w:val="20"/>
        </w:rPr>
      </w:pPr>
      <w:r w:rsidRPr="001B5410">
        <w:rPr>
          <w:sz w:val="20"/>
          <w:szCs w:val="20"/>
          <w:vertAlign w:val="superscript"/>
        </w:rPr>
        <w:t>b</w:t>
      </w:r>
      <w:r w:rsidR="001B5410">
        <w:rPr>
          <w:sz w:val="20"/>
          <w:szCs w:val="20"/>
          <w:vertAlign w:val="superscript"/>
        </w:rPr>
        <w:t>)</w:t>
      </w:r>
      <w:r>
        <w:rPr>
          <w:sz w:val="20"/>
          <w:szCs w:val="20"/>
        </w:rPr>
        <w:tab/>
      </w:r>
      <w:r w:rsidRPr="00CB5383">
        <w:rPr>
          <w:sz w:val="20"/>
          <w:szCs w:val="20"/>
        </w:rPr>
        <w:t>Difference is EYLEA group minus active control (laser) group</w:t>
      </w:r>
    </w:p>
    <w:p w:rsidR="004A2828" w:rsidRPr="004A2828" w:rsidRDefault="004A2828" w:rsidP="004A2828">
      <w:pPr>
        <w:tabs>
          <w:tab w:val="left" w:pos="284"/>
        </w:tabs>
        <w:jc w:val="both"/>
        <w:rPr>
          <w:sz w:val="20"/>
          <w:szCs w:val="20"/>
        </w:rPr>
      </w:pPr>
    </w:p>
    <w:p w:rsidR="00A05589" w:rsidRPr="0059188A" w:rsidRDefault="00A05589" w:rsidP="00D4671A">
      <w:pPr>
        <w:pStyle w:val="Heading2"/>
        <w:rPr>
          <w:rFonts w:ascii="Times New Roman Bold" w:hAnsi="Times New Roman Bold"/>
          <w:i w:val="0"/>
          <w:lang w:val="en-AU"/>
        </w:rPr>
      </w:pPr>
      <w:r w:rsidRPr="0059188A">
        <w:rPr>
          <w:rFonts w:ascii="Times New Roman Bold" w:hAnsi="Times New Roman Bold"/>
          <w:i w:val="0"/>
          <w:lang w:val="en-AU"/>
        </w:rPr>
        <w:t>Pharmacokinetic properties</w:t>
      </w:r>
    </w:p>
    <w:p w:rsidR="00A05589" w:rsidRPr="0059188A" w:rsidRDefault="00A05589" w:rsidP="00A05589">
      <w:pPr>
        <w:jc w:val="both"/>
        <w:rPr>
          <w:lang w:val="en-AU"/>
        </w:rPr>
      </w:pPr>
    </w:p>
    <w:p w:rsidR="00A05589" w:rsidRPr="0059188A" w:rsidRDefault="00A05589" w:rsidP="00A05589">
      <w:pPr>
        <w:jc w:val="both"/>
        <w:rPr>
          <w:lang w:val="en-AU"/>
        </w:rPr>
      </w:pPr>
      <w:r w:rsidRPr="0059188A">
        <w:rPr>
          <w:lang w:val="en-AU"/>
        </w:rPr>
        <w:t>EYLEA is administered directly into the vitreous to exert local effects in the eye.</w:t>
      </w:r>
    </w:p>
    <w:p w:rsidR="00A05589" w:rsidRPr="0059188A" w:rsidRDefault="00925208" w:rsidP="009C236B">
      <w:pPr>
        <w:pStyle w:val="Heading3"/>
        <w:keepLines/>
        <w:rPr>
          <w:rFonts w:ascii="Times New Roman Bold" w:hAnsi="Times New Roman Bold"/>
          <w:i/>
          <w:sz w:val="28"/>
          <w:szCs w:val="28"/>
          <w:lang w:val="en-AU"/>
        </w:rPr>
      </w:pPr>
      <w:r w:rsidRPr="0059188A">
        <w:rPr>
          <w:rFonts w:ascii="Times New Roman Bold" w:hAnsi="Times New Roman Bold"/>
          <w:i/>
          <w:sz w:val="28"/>
          <w:szCs w:val="28"/>
          <w:lang w:val="en-AU"/>
        </w:rPr>
        <w:t xml:space="preserve">Absorption / </w:t>
      </w:r>
      <w:r w:rsidR="00A05589" w:rsidRPr="0059188A">
        <w:rPr>
          <w:rFonts w:ascii="Times New Roman Bold" w:hAnsi="Times New Roman Bold"/>
          <w:i/>
          <w:sz w:val="28"/>
          <w:szCs w:val="28"/>
          <w:lang w:val="en-AU"/>
        </w:rPr>
        <w:t>Distribution</w:t>
      </w:r>
    </w:p>
    <w:p w:rsidR="00A05589" w:rsidRPr="0059188A" w:rsidRDefault="00A05589" w:rsidP="009C236B">
      <w:pPr>
        <w:keepNext/>
        <w:keepLines/>
        <w:jc w:val="both"/>
        <w:rPr>
          <w:lang w:val="en-AU"/>
        </w:rPr>
      </w:pPr>
    </w:p>
    <w:p w:rsidR="00A05589" w:rsidRPr="0059188A" w:rsidRDefault="00A05589" w:rsidP="009C236B">
      <w:pPr>
        <w:keepNext/>
        <w:keepLines/>
        <w:jc w:val="both"/>
        <w:rPr>
          <w:lang w:val="en-AU"/>
        </w:rPr>
      </w:pPr>
      <w:proofErr w:type="spellStart"/>
      <w:r w:rsidRPr="0059188A">
        <w:rPr>
          <w:lang w:val="en-AU"/>
        </w:rPr>
        <w:t>Aflibercept</w:t>
      </w:r>
      <w:proofErr w:type="spellEnd"/>
      <w:r w:rsidRPr="0059188A">
        <w:rPr>
          <w:lang w:val="en-AU"/>
        </w:rPr>
        <w:t xml:space="preserve"> is slowly absorbed from the eye into the systemic circulation after </w:t>
      </w:r>
      <w:proofErr w:type="spellStart"/>
      <w:r w:rsidRPr="0059188A">
        <w:rPr>
          <w:lang w:val="en-AU"/>
        </w:rPr>
        <w:t>intravitreal</w:t>
      </w:r>
      <w:proofErr w:type="spellEnd"/>
      <w:r w:rsidRPr="0059188A">
        <w:rPr>
          <w:lang w:val="en-AU"/>
        </w:rPr>
        <w:t xml:space="preserve"> administration and is predominately observed in the systemic circulation as an inactive, stable c</w:t>
      </w:r>
      <w:r w:rsidR="00925208" w:rsidRPr="0059188A">
        <w:rPr>
          <w:lang w:val="en-AU"/>
        </w:rPr>
        <w:t xml:space="preserve">omplex with VEGF; however only free </w:t>
      </w:r>
      <w:proofErr w:type="spellStart"/>
      <w:r w:rsidR="00925208" w:rsidRPr="0059188A">
        <w:rPr>
          <w:lang w:val="en-AU"/>
        </w:rPr>
        <w:t>aflibercept</w:t>
      </w:r>
      <w:proofErr w:type="spellEnd"/>
      <w:r w:rsidRPr="0059188A">
        <w:rPr>
          <w:lang w:val="en-AU"/>
        </w:rPr>
        <w:t xml:space="preserve"> is able to bind endogenous VEGF.</w:t>
      </w:r>
    </w:p>
    <w:p w:rsidR="00A05589" w:rsidRPr="0059188A" w:rsidRDefault="00A05589" w:rsidP="009C236B">
      <w:pPr>
        <w:keepNext/>
        <w:keepLines/>
        <w:jc w:val="both"/>
        <w:rPr>
          <w:lang w:val="en-AU"/>
        </w:rPr>
      </w:pPr>
    </w:p>
    <w:p w:rsidR="00A05589" w:rsidRPr="0059188A" w:rsidRDefault="00A05589" w:rsidP="00A05589">
      <w:pPr>
        <w:jc w:val="both"/>
        <w:rPr>
          <w:lang w:val="en-AU"/>
        </w:rPr>
      </w:pPr>
      <w:r w:rsidRPr="0059188A">
        <w:rPr>
          <w:lang w:val="en-AU"/>
        </w:rPr>
        <w:t>In a pharmacokinetic sub</w:t>
      </w:r>
      <w:r w:rsidR="00925208" w:rsidRPr="0059188A">
        <w:rPr>
          <w:lang w:val="en-AU"/>
        </w:rPr>
        <w:t>-</w:t>
      </w:r>
      <w:r w:rsidRPr="0059188A">
        <w:rPr>
          <w:lang w:val="en-AU"/>
        </w:rPr>
        <w:t>study with frequent sampling</w:t>
      </w:r>
      <w:r w:rsidR="009B301C">
        <w:rPr>
          <w:lang w:val="en-AU"/>
        </w:rPr>
        <w:t xml:space="preserve"> in wet AMD patients</w:t>
      </w:r>
      <w:r w:rsidRPr="0059188A">
        <w:rPr>
          <w:lang w:val="en-AU"/>
        </w:rPr>
        <w:t xml:space="preserve">, maximum plasma concentrations of free </w:t>
      </w:r>
      <w:proofErr w:type="spellStart"/>
      <w:r w:rsidRPr="0059188A">
        <w:rPr>
          <w:lang w:val="en-AU"/>
        </w:rPr>
        <w:t>aflibercept</w:t>
      </w:r>
      <w:proofErr w:type="spellEnd"/>
      <w:r w:rsidRPr="0059188A">
        <w:rPr>
          <w:lang w:val="en-AU"/>
        </w:rPr>
        <w:t xml:space="preserve"> (systemic </w:t>
      </w:r>
      <w:proofErr w:type="spellStart"/>
      <w:r w:rsidRPr="0059188A">
        <w:rPr>
          <w:lang w:val="en-AU"/>
        </w:rPr>
        <w:t>C</w:t>
      </w:r>
      <w:r w:rsidRPr="0059188A">
        <w:rPr>
          <w:vertAlign w:val="subscript"/>
          <w:lang w:val="en-AU"/>
        </w:rPr>
        <w:t>max</w:t>
      </w:r>
      <w:proofErr w:type="spellEnd"/>
      <w:r w:rsidRPr="0059188A">
        <w:rPr>
          <w:lang w:val="en-AU"/>
        </w:rPr>
        <w:t>) were low, wi</w:t>
      </w:r>
      <w:r w:rsidR="00925208" w:rsidRPr="0059188A">
        <w:rPr>
          <w:lang w:val="en-AU"/>
        </w:rPr>
        <w:t>th a mean of approximately 0.02 µg</w:t>
      </w:r>
      <w:r w:rsidRPr="0059188A">
        <w:rPr>
          <w:lang w:val="en-AU"/>
        </w:rPr>
        <w:t>/m</w:t>
      </w:r>
      <w:r w:rsidR="00925208" w:rsidRPr="0059188A">
        <w:rPr>
          <w:lang w:val="en-AU"/>
        </w:rPr>
        <w:t xml:space="preserve">L </w:t>
      </w:r>
      <w:r w:rsidRPr="0059188A">
        <w:rPr>
          <w:lang w:val="en-AU"/>
        </w:rPr>
        <w:t>(range 0</w:t>
      </w:r>
      <w:r w:rsidR="00925208" w:rsidRPr="0059188A">
        <w:rPr>
          <w:lang w:val="en-AU"/>
        </w:rPr>
        <w:t xml:space="preserve"> to </w:t>
      </w:r>
      <w:r w:rsidRPr="0059188A">
        <w:rPr>
          <w:lang w:val="en-AU"/>
        </w:rPr>
        <w:t>0.05</w:t>
      </w:r>
      <w:r w:rsidR="00925208" w:rsidRPr="0059188A">
        <w:rPr>
          <w:lang w:val="en-AU"/>
        </w:rPr>
        <w:t xml:space="preserve">4) within 1 to 3 days after 2 </w:t>
      </w:r>
      <w:r w:rsidRPr="0059188A">
        <w:rPr>
          <w:lang w:val="en-AU"/>
        </w:rPr>
        <w:t xml:space="preserve">mg </w:t>
      </w:r>
      <w:proofErr w:type="spellStart"/>
      <w:r w:rsidRPr="0059188A">
        <w:rPr>
          <w:lang w:val="en-AU"/>
        </w:rPr>
        <w:t>intravitreal</w:t>
      </w:r>
      <w:proofErr w:type="spellEnd"/>
      <w:r w:rsidRPr="0059188A">
        <w:rPr>
          <w:lang w:val="en-AU"/>
        </w:rPr>
        <w:t xml:space="preserve"> injection, and were undetectable two weeks following </w:t>
      </w:r>
      <w:r w:rsidR="00925208" w:rsidRPr="0059188A">
        <w:rPr>
          <w:lang w:val="en-AU"/>
        </w:rPr>
        <w:t xml:space="preserve">dosage in almost all patients. </w:t>
      </w:r>
      <w:proofErr w:type="spellStart"/>
      <w:r w:rsidRPr="0059188A">
        <w:rPr>
          <w:lang w:val="en-AU"/>
        </w:rPr>
        <w:t>Aflibercept</w:t>
      </w:r>
      <w:proofErr w:type="spellEnd"/>
      <w:r w:rsidRPr="0059188A">
        <w:rPr>
          <w:lang w:val="en-AU"/>
        </w:rPr>
        <w:t xml:space="preserve"> does not accumulate in the plasma when administered </w:t>
      </w:r>
      <w:proofErr w:type="spellStart"/>
      <w:r w:rsidRPr="0059188A">
        <w:rPr>
          <w:lang w:val="en-AU"/>
        </w:rPr>
        <w:t>intravitreally</w:t>
      </w:r>
      <w:proofErr w:type="spellEnd"/>
      <w:r w:rsidRPr="0059188A">
        <w:rPr>
          <w:lang w:val="en-AU"/>
        </w:rPr>
        <w:t xml:space="preserve"> every 4 weeks.</w:t>
      </w:r>
    </w:p>
    <w:p w:rsidR="00A05589" w:rsidRPr="0059188A" w:rsidRDefault="00A05589" w:rsidP="00A05589">
      <w:pPr>
        <w:jc w:val="both"/>
        <w:rPr>
          <w:lang w:val="en-AU"/>
        </w:rPr>
      </w:pPr>
    </w:p>
    <w:p w:rsidR="00A05589" w:rsidRPr="0059188A" w:rsidRDefault="00A05589" w:rsidP="00A05589">
      <w:pPr>
        <w:jc w:val="both"/>
        <w:rPr>
          <w:lang w:val="en-AU"/>
        </w:rPr>
      </w:pPr>
      <w:r w:rsidRPr="0059188A">
        <w:rPr>
          <w:lang w:val="en-AU"/>
        </w:rPr>
        <w:t>T</w:t>
      </w:r>
      <w:r w:rsidR="00925208" w:rsidRPr="0059188A">
        <w:rPr>
          <w:lang w:val="en-AU"/>
        </w:rPr>
        <w:t xml:space="preserve">he </w:t>
      </w:r>
      <w:r w:rsidR="00937AC6" w:rsidRPr="0059188A">
        <w:rPr>
          <w:lang w:val="en-AU"/>
        </w:rPr>
        <w:t xml:space="preserve">mean </w:t>
      </w:r>
      <w:r w:rsidR="00925208" w:rsidRPr="0059188A">
        <w:rPr>
          <w:lang w:val="en-AU"/>
        </w:rPr>
        <w:t>maximum plasma concentration</w:t>
      </w:r>
      <w:r w:rsidRPr="0059188A">
        <w:rPr>
          <w:lang w:val="en-AU"/>
        </w:rPr>
        <w:t xml:space="preserve"> of free </w:t>
      </w:r>
      <w:proofErr w:type="spellStart"/>
      <w:r w:rsidRPr="0059188A">
        <w:rPr>
          <w:lang w:val="en-AU"/>
        </w:rPr>
        <w:t>aflibercept</w:t>
      </w:r>
      <w:proofErr w:type="spellEnd"/>
      <w:r w:rsidRPr="0059188A">
        <w:rPr>
          <w:lang w:val="en-AU"/>
        </w:rPr>
        <w:t xml:space="preserve"> is approximately 50 to 500 times below the </w:t>
      </w:r>
      <w:proofErr w:type="spellStart"/>
      <w:r w:rsidRPr="0059188A">
        <w:rPr>
          <w:lang w:val="en-AU"/>
        </w:rPr>
        <w:t>aflibercept</w:t>
      </w:r>
      <w:proofErr w:type="spellEnd"/>
      <w:r w:rsidRPr="0059188A">
        <w:rPr>
          <w:lang w:val="en-AU"/>
        </w:rPr>
        <w:t xml:space="preserve"> concentration required to inhibit</w:t>
      </w:r>
      <w:r w:rsidR="00A52797" w:rsidRPr="0059188A">
        <w:rPr>
          <w:lang w:val="en-AU"/>
        </w:rPr>
        <w:t xml:space="preserve"> </w:t>
      </w:r>
      <w:r w:rsidRPr="0059188A">
        <w:rPr>
          <w:lang w:val="en-AU"/>
        </w:rPr>
        <w:t xml:space="preserve">the biologic activity of systemic VEGF by 50% in animal models. It is estimated that after </w:t>
      </w:r>
      <w:proofErr w:type="spellStart"/>
      <w:r w:rsidRPr="0059188A">
        <w:rPr>
          <w:lang w:val="en-AU"/>
        </w:rPr>
        <w:t>i</w:t>
      </w:r>
      <w:r w:rsidR="00925208" w:rsidRPr="0059188A">
        <w:rPr>
          <w:lang w:val="en-AU"/>
        </w:rPr>
        <w:t>ntravitreal</w:t>
      </w:r>
      <w:proofErr w:type="spellEnd"/>
      <w:r w:rsidR="00925208" w:rsidRPr="0059188A">
        <w:rPr>
          <w:lang w:val="en-AU"/>
        </w:rPr>
        <w:t xml:space="preserve"> administration of 2 </w:t>
      </w:r>
      <w:r w:rsidRPr="0059188A">
        <w:rPr>
          <w:lang w:val="en-AU"/>
        </w:rPr>
        <w:t>mg to patients, the mean maximum plasma concentration o</w:t>
      </w:r>
      <w:r w:rsidR="00925208" w:rsidRPr="0059188A">
        <w:rPr>
          <w:lang w:val="en-AU"/>
        </w:rPr>
        <w:t xml:space="preserve">f free </w:t>
      </w:r>
      <w:proofErr w:type="spellStart"/>
      <w:r w:rsidR="00925208" w:rsidRPr="0059188A">
        <w:rPr>
          <w:lang w:val="en-AU"/>
        </w:rPr>
        <w:t>aflibercept</w:t>
      </w:r>
      <w:proofErr w:type="spellEnd"/>
      <w:r w:rsidR="00925208" w:rsidRPr="0059188A">
        <w:rPr>
          <w:lang w:val="en-AU"/>
        </w:rPr>
        <w:t xml:space="preserve"> is more than 100-</w:t>
      </w:r>
      <w:r w:rsidRPr="0059188A">
        <w:rPr>
          <w:lang w:val="en-AU"/>
        </w:rPr>
        <w:t xml:space="preserve">fold lower than the concentration of </w:t>
      </w:r>
      <w:proofErr w:type="spellStart"/>
      <w:r w:rsidRPr="0059188A">
        <w:rPr>
          <w:lang w:val="en-AU"/>
        </w:rPr>
        <w:t>aflibercept</w:t>
      </w:r>
      <w:proofErr w:type="spellEnd"/>
      <w:r w:rsidRPr="0059188A">
        <w:rPr>
          <w:lang w:val="en-AU"/>
        </w:rPr>
        <w:t xml:space="preserve"> required to half-m</w:t>
      </w:r>
      <w:r w:rsidR="00925208" w:rsidRPr="0059188A">
        <w:rPr>
          <w:lang w:val="en-AU"/>
        </w:rPr>
        <w:t xml:space="preserve">aximally bind systemic VEGF. </w:t>
      </w:r>
      <w:r w:rsidRPr="0059188A">
        <w:rPr>
          <w:lang w:val="en-AU"/>
        </w:rPr>
        <w:t xml:space="preserve">Therefore, systemic </w:t>
      </w:r>
      <w:proofErr w:type="spellStart"/>
      <w:r w:rsidRPr="0059188A">
        <w:rPr>
          <w:lang w:val="en-AU"/>
        </w:rPr>
        <w:t>pharmacodynamic</w:t>
      </w:r>
      <w:proofErr w:type="spellEnd"/>
      <w:r w:rsidRPr="0059188A">
        <w:rPr>
          <w:lang w:val="en-AU"/>
        </w:rPr>
        <w:t xml:space="preserve"> effects are unlikely.</w:t>
      </w:r>
    </w:p>
    <w:p w:rsidR="00901E1A" w:rsidRPr="0059188A" w:rsidRDefault="00901E1A" w:rsidP="00A05589">
      <w:pPr>
        <w:jc w:val="both"/>
        <w:rPr>
          <w:lang w:val="en-AU"/>
        </w:rPr>
      </w:pPr>
    </w:p>
    <w:p w:rsidR="00BA7679" w:rsidRDefault="00943E79" w:rsidP="00A05589">
      <w:pPr>
        <w:jc w:val="both"/>
      </w:pPr>
      <w:r w:rsidRPr="0059188A">
        <w:t xml:space="preserve">The pharmacokinetics of </w:t>
      </w:r>
      <w:proofErr w:type="spellStart"/>
      <w:r w:rsidRPr="0059188A">
        <w:t>aflibercept</w:t>
      </w:r>
      <w:proofErr w:type="spellEnd"/>
      <w:r w:rsidRPr="0059188A">
        <w:t xml:space="preserve"> in patients with CRVO </w:t>
      </w:r>
      <w:proofErr w:type="gramStart"/>
      <w:r w:rsidRPr="0059188A">
        <w:t>are</w:t>
      </w:r>
      <w:proofErr w:type="gramEnd"/>
      <w:r w:rsidRPr="0059188A">
        <w:t xml:space="preserve"> similar to those in patients with wet AMD. </w:t>
      </w:r>
      <w:proofErr w:type="spellStart"/>
      <w:r w:rsidRPr="0059188A">
        <w:t>Aflibercept</w:t>
      </w:r>
      <w:proofErr w:type="spellEnd"/>
      <w:r w:rsidRPr="0059188A">
        <w:t xml:space="preserve"> is slowly absorbed into the systemic circulation following </w:t>
      </w:r>
      <w:proofErr w:type="spellStart"/>
      <w:r w:rsidRPr="0059188A">
        <w:t>intravitreal</w:t>
      </w:r>
      <w:proofErr w:type="spellEnd"/>
      <w:r w:rsidRPr="0059188A">
        <w:t xml:space="preserve"> injection in patients with CRVO.  </w:t>
      </w:r>
      <w:r w:rsidR="008A3D6E" w:rsidRPr="0059188A">
        <w:t>With dense pharmacokinetic sampling</w:t>
      </w:r>
      <w:r w:rsidRPr="0059188A">
        <w:t xml:space="preserve">, following the first 2 mg </w:t>
      </w:r>
      <w:proofErr w:type="spellStart"/>
      <w:r w:rsidRPr="0059188A">
        <w:t>intravitreal</w:t>
      </w:r>
      <w:proofErr w:type="spellEnd"/>
      <w:r w:rsidRPr="0059188A">
        <w:t xml:space="preserve"> injection the geometric mean systemic </w:t>
      </w:r>
      <w:proofErr w:type="spellStart"/>
      <w:r w:rsidRPr="0059188A">
        <w:t>C</w:t>
      </w:r>
      <w:r w:rsidRPr="0059188A">
        <w:rPr>
          <w:vertAlign w:val="subscript"/>
        </w:rPr>
        <w:t>max</w:t>
      </w:r>
      <w:proofErr w:type="spellEnd"/>
      <w:r w:rsidRPr="0059188A">
        <w:t xml:space="preserve"> of free </w:t>
      </w:r>
      <w:proofErr w:type="spellStart"/>
      <w:r w:rsidRPr="0059188A">
        <w:t>aflibercept</w:t>
      </w:r>
      <w:proofErr w:type="spellEnd"/>
      <w:r w:rsidRPr="0059188A">
        <w:t xml:space="preserve"> was 0.046 </w:t>
      </w:r>
      <w:proofErr w:type="spellStart"/>
      <w:r w:rsidRPr="0059188A">
        <w:t>μg</w:t>
      </w:r>
      <w:proofErr w:type="spellEnd"/>
      <w:r w:rsidRPr="0059188A">
        <w:t xml:space="preserve">/ml (range 0.024 to 0.081 </w:t>
      </w:r>
      <w:proofErr w:type="spellStart"/>
      <w:r w:rsidRPr="0059188A">
        <w:t>μg</w:t>
      </w:r>
      <w:proofErr w:type="spellEnd"/>
      <w:r w:rsidRPr="0059188A">
        <w:t xml:space="preserve">/mL) and occurred at approximately </w:t>
      </w:r>
      <w:r w:rsidR="008A3D6E" w:rsidRPr="0059188A">
        <w:t>1 day</w:t>
      </w:r>
      <w:r w:rsidRPr="0059188A">
        <w:t xml:space="preserve"> (</w:t>
      </w:r>
      <w:proofErr w:type="spellStart"/>
      <w:r w:rsidRPr="0059188A">
        <w:t>t</w:t>
      </w:r>
      <w:r w:rsidRPr="0059188A">
        <w:rPr>
          <w:vertAlign w:val="subscript"/>
        </w:rPr>
        <w:t>max</w:t>
      </w:r>
      <w:proofErr w:type="spellEnd"/>
      <w:r w:rsidRPr="0059188A">
        <w:t xml:space="preserve">) after administration. After reaching </w:t>
      </w:r>
      <w:proofErr w:type="spellStart"/>
      <w:r w:rsidRPr="0059188A">
        <w:t>C</w:t>
      </w:r>
      <w:r w:rsidRPr="0059188A">
        <w:rPr>
          <w:vertAlign w:val="subscript"/>
        </w:rPr>
        <w:t>max</w:t>
      </w:r>
      <w:proofErr w:type="spellEnd"/>
      <w:r w:rsidRPr="0059188A">
        <w:t xml:space="preserve">, </w:t>
      </w:r>
      <w:proofErr w:type="spellStart"/>
      <w:r w:rsidRPr="0059188A">
        <w:t>aflibercept</w:t>
      </w:r>
      <w:proofErr w:type="spellEnd"/>
      <w:r w:rsidRPr="0059188A">
        <w:t xml:space="preserve"> concentrations decline rapidly to levels below the level of quantification at approximately 4 days after administration. No systemic accumulation of free </w:t>
      </w:r>
      <w:proofErr w:type="spellStart"/>
      <w:r w:rsidRPr="0059188A">
        <w:t>aflibercept</w:t>
      </w:r>
      <w:proofErr w:type="spellEnd"/>
      <w:r w:rsidRPr="0059188A">
        <w:t xml:space="preserve"> was observed following 2 mg </w:t>
      </w:r>
      <w:proofErr w:type="spellStart"/>
      <w:r w:rsidRPr="0059188A">
        <w:t>intravitreal</w:t>
      </w:r>
      <w:proofErr w:type="spellEnd"/>
      <w:r w:rsidRPr="0059188A">
        <w:t xml:space="preserve"> injections administered every 4 weeks in patients with CRVO</w:t>
      </w:r>
      <w:r w:rsidR="00DE1CAB" w:rsidRPr="0059188A">
        <w:t xml:space="preserve">.  </w:t>
      </w:r>
    </w:p>
    <w:p w:rsidR="004A2828" w:rsidRDefault="004A2828" w:rsidP="00A05589">
      <w:pPr>
        <w:jc w:val="both"/>
      </w:pPr>
    </w:p>
    <w:p w:rsidR="004A2828" w:rsidRPr="004A2828" w:rsidRDefault="004A2828" w:rsidP="004A2828">
      <w:pPr>
        <w:pStyle w:val="PIheading3"/>
        <w:rPr>
          <w:lang w:val="en-AU"/>
        </w:rPr>
      </w:pPr>
      <w:r w:rsidRPr="0091394D">
        <w:rPr>
          <w:b w:val="0"/>
          <w:bCs w:val="0"/>
          <w:i w:val="0"/>
          <w:iCs w:val="0"/>
          <w:sz w:val="24"/>
          <w:szCs w:val="24"/>
          <w:lang w:val="en-AU"/>
        </w:rPr>
        <w:t>These pharmacokinetic results were confirmed in a pharmacokinetic sub-study in patients with DME</w:t>
      </w:r>
      <w:r>
        <w:rPr>
          <w:b w:val="0"/>
          <w:bCs w:val="0"/>
          <w:i w:val="0"/>
          <w:iCs w:val="0"/>
          <w:sz w:val="24"/>
          <w:szCs w:val="24"/>
          <w:lang w:val="en-AU"/>
        </w:rPr>
        <w:t xml:space="preserve"> (</w:t>
      </w:r>
      <w:r w:rsidRPr="0091394D">
        <w:rPr>
          <w:b w:val="0"/>
          <w:bCs w:val="0"/>
          <w:i w:val="0"/>
          <w:iCs w:val="0"/>
          <w:sz w:val="24"/>
          <w:szCs w:val="24"/>
          <w:lang w:val="en-AU"/>
        </w:rPr>
        <w:t xml:space="preserve">mean </w:t>
      </w:r>
      <w:proofErr w:type="spellStart"/>
      <w:r w:rsidRPr="0091394D">
        <w:rPr>
          <w:b w:val="0"/>
          <w:bCs w:val="0"/>
          <w:i w:val="0"/>
          <w:iCs w:val="0"/>
          <w:sz w:val="24"/>
          <w:szCs w:val="24"/>
          <w:lang w:val="en-AU"/>
        </w:rPr>
        <w:t>C</w:t>
      </w:r>
      <w:r w:rsidRPr="001B5410">
        <w:rPr>
          <w:b w:val="0"/>
          <w:bCs w:val="0"/>
          <w:i w:val="0"/>
          <w:iCs w:val="0"/>
          <w:sz w:val="24"/>
          <w:szCs w:val="24"/>
          <w:vertAlign w:val="subscript"/>
          <w:lang w:val="en-AU"/>
        </w:rPr>
        <w:t>max</w:t>
      </w:r>
      <w:proofErr w:type="spellEnd"/>
      <w:r w:rsidRPr="0091394D">
        <w:rPr>
          <w:b w:val="0"/>
          <w:bCs w:val="0"/>
          <w:i w:val="0"/>
          <w:iCs w:val="0"/>
          <w:sz w:val="24"/>
          <w:szCs w:val="24"/>
          <w:lang w:val="en-AU"/>
        </w:rPr>
        <w:t xml:space="preserve"> of free </w:t>
      </w:r>
      <w:proofErr w:type="spellStart"/>
      <w:r w:rsidRPr="0091394D">
        <w:rPr>
          <w:b w:val="0"/>
          <w:bCs w:val="0"/>
          <w:i w:val="0"/>
          <w:iCs w:val="0"/>
          <w:sz w:val="24"/>
          <w:szCs w:val="24"/>
          <w:lang w:val="en-AU"/>
        </w:rPr>
        <w:t>aflibercept</w:t>
      </w:r>
      <w:proofErr w:type="spellEnd"/>
      <w:r w:rsidRPr="0091394D">
        <w:rPr>
          <w:b w:val="0"/>
          <w:bCs w:val="0"/>
          <w:i w:val="0"/>
          <w:iCs w:val="0"/>
          <w:sz w:val="24"/>
          <w:szCs w:val="24"/>
          <w:lang w:val="en-AU"/>
        </w:rPr>
        <w:t xml:space="preserve"> in plasma 0.032</w:t>
      </w:r>
      <w:r>
        <w:rPr>
          <w:b w:val="0"/>
          <w:bCs w:val="0"/>
          <w:i w:val="0"/>
          <w:iCs w:val="0"/>
          <w:sz w:val="24"/>
          <w:szCs w:val="24"/>
          <w:lang w:val="en-AU"/>
        </w:rPr>
        <w:t> µg</w:t>
      </w:r>
      <w:r w:rsidRPr="0091394D">
        <w:rPr>
          <w:b w:val="0"/>
          <w:bCs w:val="0"/>
          <w:i w:val="0"/>
          <w:iCs w:val="0"/>
          <w:sz w:val="24"/>
          <w:szCs w:val="24"/>
          <w:lang w:val="en-AU"/>
        </w:rPr>
        <w:t>/mL (range: 0 to 0.076</w:t>
      </w:r>
      <w:r>
        <w:rPr>
          <w:b w:val="0"/>
          <w:bCs w:val="0"/>
          <w:i w:val="0"/>
          <w:iCs w:val="0"/>
          <w:sz w:val="24"/>
          <w:szCs w:val="24"/>
          <w:lang w:val="en-AU"/>
        </w:rPr>
        <w:t> µg</w:t>
      </w:r>
      <w:r w:rsidRPr="0091394D">
        <w:rPr>
          <w:b w:val="0"/>
          <w:bCs w:val="0"/>
          <w:i w:val="0"/>
          <w:iCs w:val="0"/>
          <w:sz w:val="24"/>
          <w:szCs w:val="24"/>
          <w:lang w:val="en-AU"/>
        </w:rPr>
        <w:t>/mL); undetectable concentrations reached within 1 week).</w:t>
      </w:r>
    </w:p>
    <w:p w:rsidR="00A05589" w:rsidRPr="0059188A" w:rsidRDefault="00A05589" w:rsidP="00D4671A">
      <w:pPr>
        <w:pStyle w:val="Heading3"/>
        <w:rPr>
          <w:rFonts w:ascii="Times New Roman Bold" w:hAnsi="Times New Roman Bold"/>
          <w:i/>
          <w:sz w:val="28"/>
          <w:szCs w:val="28"/>
          <w:lang w:val="en-AU"/>
        </w:rPr>
      </w:pPr>
      <w:r w:rsidRPr="0059188A">
        <w:rPr>
          <w:rFonts w:ascii="Times New Roman Bold" w:hAnsi="Times New Roman Bold"/>
          <w:i/>
          <w:sz w:val="28"/>
          <w:szCs w:val="28"/>
          <w:lang w:val="en-AU"/>
        </w:rPr>
        <w:t>Elimination</w:t>
      </w:r>
    </w:p>
    <w:p w:rsidR="00A05589" w:rsidRPr="0059188A" w:rsidRDefault="00A05589" w:rsidP="00A05589">
      <w:pPr>
        <w:jc w:val="both"/>
        <w:rPr>
          <w:lang w:val="en-AU"/>
        </w:rPr>
      </w:pPr>
    </w:p>
    <w:p w:rsidR="00925208" w:rsidRPr="0059188A" w:rsidRDefault="00A05589" w:rsidP="00A05589">
      <w:pPr>
        <w:jc w:val="both"/>
        <w:rPr>
          <w:lang w:val="en-AU"/>
        </w:rPr>
      </w:pPr>
      <w:r w:rsidRPr="0059188A">
        <w:rPr>
          <w:lang w:val="en-AU"/>
        </w:rPr>
        <w:t>As EYLEA is a protein-based therapeutic, no metabolism studies have been conducted.</w:t>
      </w:r>
      <w:r w:rsidR="00925208" w:rsidRPr="0059188A">
        <w:rPr>
          <w:lang w:val="en-AU"/>
        </w:rPr>
        <w:t xml:space="preserve"> </w:t>
      </w:r>
    </w:p>
    <w:p w:rsidR="00925208" w:rsidRPr="0059188A" w:rsidRDefault="00925208" w:rsidP="00A05589">
      <w:pPr>
        <w:jc w:val="both"/>
        <w:rPr>
          <w:lang w:val="en-AU"/>
        </w:rPr>
      </w:pPr>
    </w:p>
    <w:p w:rsidR="00A05589" w:rsidRPr="0059188A" w:rsidRDefault="00A05589" w:rsidP="00A05589">
      <w:pPr>
        <w:jc w:val="both"/>
        <w:rPr>
          <w:lang w:val="en-AU"/>
        </w:rPr>
      </w:pPr>
      <w:r w:rsidRPr="0059188A">
        <w:rPr>
          <w:lang w:val="en-AU"/>
        </w:rPr>
        <w:t xml:space="preserve">Free </w:t>
      </w:r>
      <w:proofErr w:type="spellStart"/>
      <w:r w:rsidRPr="0059188A">
        <w:rPr>
          <w:lang w:val="en-AU"/>
        </w:rPr>
        <w:t>aflibercept</w:t>
      </w:r>
      <w:proofErr w:type="spellEnd"/>
      <w:r w:rsidRPr="0059188A">
        <w:rPr>
          <w:lang w:val="en-AU"/>
        </w:rPr>
        <w:t xml:space="preserve"> binds VEGF to form a stable, inert complex. As with other large proteins, both free and bound </w:t>
      </w:r>
      <w:proofErr w:type="spellStart"/>
      <w:r w:rsidRPr="0059188A">
        <w:rPr>
          <w:lang w:val="en-AU"/>
        </w:rPr>
        <w:t>aflibercept</w:t>
      </w:r>
      <w:proofErr w:type="spellEnd"/>
      <w:r w:rsidRPr="0059188A">
        <w:rPr>
          <w:lang w:val="en-AU"/>
        </w:rPr>
        <w:t xml:space="preserve"> are expected to be cleared by proteolytic catabolism. </w:t>
      </w:r>
    </w:p>
    <w:p w:rsidR="00A05589" w:rsidRPr="0059188A" w:rsidRDefault="00A05589" w:rsidP="00872D2E">
      <w:pPr>
        <w:pStyle w:val="Heading3"/>
        <w:keepLines/>
        <w:rPr>
          <w:rFonts w:ascii="Times New Roman Bold" w:hAnsi="Times New Roman Bold"/>
          <w:i/>
          <w:sz w:val="28"/>
          <w:szCs w:val="28"/>
          <w:lang w:val="en-AU"/>
        </w:rPr>
      </w:pPr>
      <w:r w:rsidRPr="0059188A">
        <w:rPr>
          <w:rFonts w:ascii="Times New Roman Bold" w:hAnsi="Times New Roman Bold"/>
          <w:i/>
          <w:sz w:val="28"/>
          <w:szCs w:val="28"/>
          <w:lang w:val="en-AU"/>
        </w:rPr>
        <w:t>Patients with renal impairment</w:t>
      </w:r>
    </w:p>
    <w:p w:rsidR="00AD0B2F" w:rsidRPr="0059188A" w:rsidRDefault="00AD0B2F" w:rsidP="00872D2E">
      <w:pPr>
        <w:keepNext/>
        <w:keepLines/>
        <w:jc w:val="both"/>
        <w:rPr>
          <w:lang w:val="en-AU"/>
        </w:rPr>
      </w:pPr>
    </w:p>
    <w:p w:rsidR="00A05589" w:rsidRPr="0059188A" w:rsidRDefault="00A05589" w:rsidP="00872D2E">
      <w:pPr>
        <w:keepNext/>
        <w:keepLines/>
        <w:jc w:val="both"/>
        <w:rPr>
          <w:lang w:val="en-AU"/>
        </w:rPr>
      </w:pPr>
      <w:r w:rsidRPr="0059188A">
        <w:rPr>
          <w:lang w:val="en-AU"/>
        </w:rPr>
        <w:t>No special studies in patients with renal impair</w:t>
      </w:r>
      <w:r w:rsidR="00925208" w:rsidRPr="0059188A">
        <w:rPr>
          <w:lang w:val="en-AU"/>
        </w:rPr>
        <w:t xml:space="preserve">ment were conducted with EYLEA. </w:t>
      </w:r>
      <w:r w:rsidRPr="0059188A">
        <w:rPr>
          <w:lang w:val="en-AU"/>
        </w:rPr>
        <w:t>Pharmacokinetic analysis of patients in the VIEW</w:t>
      </w:r>
      <w:r w:rsidR="00925208" w:rsidRPr="0059188A">
        <w:rPr>
          <w:lang w:val="en-AU"/>
        </w:rPr>
        <w:t xml:space="preserve"> </w:t>
      </w:r>
      <w:r w:rsidRPr="0059188A">
        <w:rPr>
          <w:lang w:val="en-AU"/>
        </w:rPr>
        <w:t xml:space="preserve">2 study, of which 40% had renal impairment (24% mild, 15% moderate, and 1% severe), revealed no differences with respect to plasma concentrations of active drug after </w:t>
      </w:r>
      <w:proofErr w:type="spellStart"/>
      <w:r w:rsidRPr="0059188A">
        <w:rPr>
          <w:lang w:val="en-AU"/>
        </w:rPr>
        <w:t>intravitreal</w:t>
      </w:r>
      <w:proofErr w:type="spellEnd"/>
      <w:r w:rsidRPr="0059188A">
        <w:rPr>
          <w:lang w:val="en-AU"/>
        </w:rPr>
        <w:t xml:space="preserve"> administration every 4 or 8 weeks.</w:t>
      </w:r>
    </w:p>
    <w:p w:rsidR="00901E1A" w:rsidRPr="0059188A" w:rsidRDefault="00901E1A" w:rsidP="00872D2E">
      <w:pPr>
        <w:jc w:val="both"/>
        <w:rPr>
          <w:lang w:val="en-AU"/>
        </w:rPr>
      </w:pPr>
    </w:p>
    <w:p w:rsidR="00901E1A" w:rsidRDefault="00901E1A" w:rsidP="00872D2E">
      <w:pPr>
        <w:jc w:val="both"/>
        <w:rPr>
          <w:lang w:val="en-AU"/>
        </w:rPr>
      </w:pPr>
      <w:r w:rsidRPr="0059188A">
        <w:rPr>
          <w:lang w:val="en-AU"/>
        </w:rPr>
        <w:t>Similar results were seen in patients with CRVO in the GALILEO study.</w:t>
      </w:r>
    </w:p>
    <w:p w:rsidR="004A2828" w:rsidRDefault="004A2828" w:rsidP="00872D2E">
      <w:pPr>
        <w:jc w:val="both"/>
        <w:rPr>
          <w:lang w:val="en-AU"/>
        </w:rPr>
      </w:pPr>
    </w:p>
    <w:p w:rsidR="004A2828" w:rsidRPr="0091394D" w:rsidRDefault="004A2828" w:rsidP="004A2828">
      <w:pPr>
        <w:jc w:val="both"/>
      </w:pPr>
      <w:r w:rsidRPr="0091394D">
        <w:t>Similar results were seen in patients with DME in the VIVID</w:t>
      </w:r>
      <w:r w:rsidRPr="0091394D">
        <w:rPr>
          <w:vertAlign w:val="superscript"/>
        </w:rPr>
        <w:t>DME</w:t>
      </w:r>
      <w:r w:rsidRPr="0091394D">
        <w:t xml:space="preserve"> study.</w:t>
      </w:r>
    </w:p>
    <w:p w:rsidR="00AD0B2F" w:rsidRPr="0059188A" w:rsidRDefault="00AD0B2F" w:rsidP="00872D2E">
      <w:pPr>
        <w:jc w:val="both"/>
        <w:rPr>
          <w:lang w:val="en-AU"/>
        </w:rPr>
      </w:pPr>
    </w:p>
    <w:p w:rsidR="00A1753F" w:rsidRPr="0059188A" w:rsidRDefault="00A1753F" w:rsidP="001A4B90">
      <w:pPr>
        <w:pStyle w:val="Heading1"/>
        <w:keepLines/>
        <w:rPr>
          <w:rFonts w:ascii="Times New Roman Bold" w:hAnsi="Times New Roman Bold"/>
          <w:lang w:val="en-AU"/>
        </w:rPr>
      </w:pPr>
      <w:r w:rsidRPr="0059188A">
        <w:rPr>
          <w:rFonts w:ascii="Times New Roman Bold" w:hAnsi="Times New Roman Bold"/>
          <w:lang w:val="en-AU"/>
        </w:rPr>
        <w:lastRenderedPageBreak/>
        <w:t>CLINICAL TRIALS</w:t>
      </w:r>
    </w:p>
    <w:p w:rsidR="00A11AB0" w:rsidRPr="0059188A" w:rsidRDefault="00A11AB0" w:rsidP="001A4B90">
      <w:pPr>
        <w:pStyle w:val="Heading2"/>
        <w:keepLines/>
        <w:rPr>
          <w:rFonts w:ascii="Times New Roman Bold" w:hAnsi="Times New Roman Bold"/>
          <w:i w:val="0"/>
          <w:lang w:val="en-AU"/>
        </w:rPr>
      </w:pPr>
      <w:proofErr w:type="spellStart"/>
      <w:r w:rsidRPr="0059188A">
        <w:rPr>
          <w:rFonts w:ascii="Times New Roman Bold" w:hAnsi="Times New Roman Bold"/>
          <w:i w:val="0"/>
          <w:lang w:val="en-AU"/>
        </w:rPr>
        <w:t>Neovascular</w:t>
      </w:r>
      <w:proofErr w:type="spellEnd"/>
      <w:r w:rsidRPr="0059188A">
        <w:rPr>
          <w:rFonts w:ascii="Times New Roman Bold" w:hAnsi="Times New Roman Bold"/>
          <w:i w:val="0"/>
          <w:lang w:val="en-AU"/>
        </w:rPr>
        <w:t xml:space="preserve"> (wet) age-related macular degeneration (wet AMD)</w:t>
      </w:r>
    </w:p>
    <w:p w:rsidR="00AD0B2F" w:rsidRPr="0059188A" w:rsidRDefault="00AD0B2F" w:rsidP="001A4B90">
      <w:pPr>
        <w:keepNext/>
        <w:keepLines/>
        <w:jc w:val="both"/>
        <w:rPr>
          <w:lang w:val="en-AU"/>
        </w:rPr>
      </w:pPr>
    </w:p>
    <w:p w:rsidR="00925208" w:rsidRPr="0059188A" w:rsidRDefault="00925208" w:rsidP="00925208">
      <w:pPr>
        <w:jc w:val="both"/>
        <w:rPr>
          <w:lang w:val="en-AU"/>
        </w:rPr>
      </w:pPr>
      <w:r w:rsidRPr="0059188A">
        <w:rPr>
          <w:lang w:val="en-AU"/>
        </w:rPr>
        <w:t>The safety and efficacy of EYLEA were assessed in two pivotal phase III randomi</w:t>
      </w:r>
      <w:r w:rsidR="003B18C6" w:rsidRPr="0059188A">
        <w:rPr>
          <w:lang w:val="en-AU"/>
        </w:rPr>
        <w:t>s</w:t>
      </w:r>
      <w:r w:rsidRPr="0059188A">
        <w:rPr>
          <w:lang w:val="en-AU"/>
        </w:rPr>
        <w:t>ed, multi-</w:t>
      </w:r>
      <w:r w:rsidR="008C6690" w:rsidRPr="0059188A">
        <w:rPr>
          <w:lang w:val="en-AU"/>
        </w:rPr>
        <w:t>centre</w:t>
      </w:r>
      <w:r w:rsidRPr="0059188A">
        <w:rPr>
          <w:lang w:val="en-AU"/>
        </w:rPr>
        <w:t>, double-masked, active-controlled studies in patients with wet AMD. A total of 2412 patients were treated and evaluable for efficacy (1817 with EYLEA) in the two studies (VIEW</w:t>
      </w:r>
      <w:r w:rsidR="008C6690" w:rsidRPr="0059188A">
        <w:rPr>
          <w:lang w:val="en-AU"/>
        </w:rPr>
        <w:t xml:space="preserve"> </w:t>
      </w:r>
      <w:r w:rsidRPr="0059188A">
        <w:rPr>
          <w:lang w:val="en-AU"/>
        </w:rPr>
        <w:t>1 and VIEW</w:t>
      </w:r>
      <w:r w:rsidR="008C6690" w:rsidRPr="0059188A">
        <w:rPr>
          <w:lang w:val="en-AU"/>
        </w:rPr>
        <w:t xml:space="preserve"> </w:t>
      </w:r>
      <w:r w:rsidRPr="0059188A">
        <w:rPr>
          <w:lang w:val="en-AU"/>
        </w:rPr>
        <w:t>2). In each study, patients were randomly assigned in a 1:1:1:1 ratio to 1 of 4 dosing regimens:</w:t>
      </w:r>
    </w:p>
    <w:p w:rsidR="008C6690" w:rsidRPr="0059188A" w:rsidRDefault="008C6690" w:rsidP="00925208">
      <w:pPr>
        <w:jc w:val="both"/>
        <w:rPr>
          <w:lang w:val="en-AU"/>
        </w:rPr>
      </w:pPr>
    </w:p>
    <w:p w:rsidR="008C6690" w:rsidRPr="0059188A" w:rsidRDefault="00925208" w:rsidP="008C6690">
      <w:pPr>
        <w:numPr>
          <w:ilvl w:val="0"/>
          <w:numId w:val="6"/>
        </w:numPr>
        <w:jc w:val="both"/>
        <w:rPr>
          <w:lang w:val="en-AU"/>
        </w:rPr>
      </w:pPr>
      <w:r w:rsidRPr="0059188A">
        <w:rPr>
          <w:lang w:val="en-AU"/>
        </w:rPr>
        <w:t>EYLEA administered at 2 mg every 8 weeks fo</w:t>
      </w:r>
      <w:r w:rsidR="008C6690" w:rsidRPr="0059188A">
        <w:rPr>
          <w:lang w:val="en-AU"/>
        </w:rPr>
        <w:t>llowing 3 initial monthly doses</w:t>
      </w:r>
      <w:r w:rsidR="002E6217">
        <w:rPr>
          <w:lang w:val="en-AU"/>
        </w:rPr>
        <w:t xml:space="preserve"> </w:t>
      </w:r>
      <w:r w:rsidR="002E6217" w:rsidRPr="0059188A">
        <w:rPr>
          <w:lang w:val="en-AU"/>
        </w:rPr>
        <w:t>(EYLEA 2Q8)</w:t>
      </w:r>
    </w:p>
    <w:p w:rsidR="008C6690" w:rsidRPr="0059188A" w:rsidRDefault="00925208" w:rsidP="008C6690">
      <w:pPr>
        <w:numPr>
          <w:ilvl w:val="0"/>
          <w:numId w:val="6"/>
        </w:numPr>
        <w:jc w:val="both"/>
        <w:rPr>
          <w:lang w:val="en-AU"/>
        </w:rPr>
      </w:pPr>
      <w:r w:rsidRPr="0059188A">
        <w:rPr>
          <w:lang w:val="en-AU"/>
        </w:rPr>
        <w:t>EYLEA administered at</w:t>
      </w:r>
      <w:r w:rsidR="008C6690" w:rsidRPr="0059188A">
        <w:rPr>
          <w:lang w:val="en-AU"/>
        </w:rPr>
        <w:t xml:space="preserve"> 2 mg every 4 weeks (EYLEA 2Q4)</w:t>
      </w:r>
    </w:p>
    <w:p w:rsidR="008C6690" w:rsidRPr="0059188A" w:rsidRDefault="00925208" w:rsidP="008C6690">
      <w:pPr>
        <w:numPr>
          <w:ilvl w:val="0"/>
          <w:numId w:val="6"/>
        </w:numPr>
        <w:jc w:val="both"/>
        <w:rPr>
          <w:lang w:val="en-AU"/>
        </w:rPr>
      </w:pPr>
      <w:r w:rsidRPr="0059188A">
        <w:rPr>
          <w:lang w:val="en-AU"/>
        </w:rPr>
        <w:t xml:space="preserve">EYLEA administered at 0.5 mg </w:t>
      </w:r>
      <w:r w:rsidR="008C6690" w:rsidRPr="0059188A">
        <w:rPr>
          <w:lang w:val="en-AU"/>
        </w:rPr>
        <w:t>every 4 weeks (EYLEA 0.5Q4)</w:t>
      </w:r>
    </w:p>
    <w:p w:rsidR="00925208" w:rsidRPr="0059188A" w:rsidRDefault="00925208" w:rsidP="008C6690">
      <w:pPr>
        <w:numPr>
          <w:ilvl w:val="0"/>
          <w:numId w:val="6"/>
        </w:numPr>
        <w:jc w:val="both"/>
        <w:rPr>
          <w:lang w:val="en-AU"/>
        </w:rPr>
      </w:pPr>
      <w:proofErr w:type="spellStart"/>
      <w:r w:rsidRPr="0059188A">
        <w:rPr>
          <w:lang w:val="en-AU"/>
        </w:rPr>
        <w:t>Ranibizumab</w:t>
      </w:r>
      <w:proofErr w:type="spellEnd"/>
      <w:r w:rsidRPr="0059188A">
        <w:rPr>
          <w:lang w:val="en-AU"/>
        </w:rPr>
        <w:t xml:space="preserve"> administered at 0.5 mg ev</w:t>
      </w:r>
      <w:r w:rsidR="008C6690" w:rsidRPr="0059188A">
        <w:rPr>
          <w:lang w:val="en-AU"/>
        </w:rPr>
        <w:t>ery 4 weeks (</w:t>
      </w:r>
      <w:proofErr w:type="spellStart"/>
      <w:r w:rsidR="008C6690" w:rsidRPr="0059188A">
        <w:rPr>
          <w:lang w:val="en-AU"/>
        </w:rPr>
        <w:t>Ranibizumab</w:t>
      </w:r>
      <w:proofErr w:type="spellEnd"/>
      <w:r w:rsidR="008C6690" w:rsidRPr="0059188A">
        <w:rPr>
          <w:lang w:val="en-AU"/>
        </w:rPr>
        <w:t xml:space="preserve"> 0.5Q4)</w:t>
      </w:r>
    </w:p>
    <w:p w:rsidR="008C6690" w:rsidRPr="0059188A" w:rsidRDefault="008C6690" w:rsidP="00925208">
      <w:pPr>
        <w:jc w:val="both"/>
        <w:rPr>
          <w:lang w:val="en-AU"/>
        </w:rPr>
      </w:pPr>
    </w:p>
    <w:p w:rsidR="00925208" w:rsidRPr="0059188A" w:rsidRDefault="00925208" w:rsidP="00925208">
      <w:pPr>
        <w:jc w:val="both"/>
        <w:rPr>
          <w:lang w:val="en-AU"/>
        </w:rPr>
      </w:pPr>
      <w:r w:rsidRPr="0059188A">
        <w:rPr>
          <w:lang w:val="en-AU"/>
        </w:rPr>
        <w:t>Patient ages ranged from 49 to 99 years with a mean of 76 years.</w:t>
      </w:r>
      <w:r w:rsidR="00AC42BD" w:rsidRPr="0059188A">
        <w:rPr>
          <w:lang w:val="en-AU"/>
        </w:rPr>
        <w:t xml:space="preserve"> Approximately 89% (161</w:t>
      </w:r>
      <w:r w:rsidR="003B18C6" w:rsidRPr="0059188A">
        <w:rPr>
          <w:lang w:val="en-AU"/>
        </w:rPr>
        <w:t>6/1817) of the patients randomis</w:t>
      </w:r>
      <w:r w:rsidR="00AC42BD" w:rsidRPr="0059188A">
        <w:rPr>
          <w:lang w:val="en-AU"/>
        </w:rPr>
        <w:t>ed to treatment with EYLEA were 65 years of age or older and approximately 63% (1139/1817) were 75 years of age or older.</w:t>
      </w:r>
    </w:p>
    <w:p w:rsidR="003B4AEF" w:rsidRPr="0059188A" w:rsidRDefault="003B4AEF" w:rsidP="00925208">
      <w:pPr>
        <w:jc w:val="both"/>
        <w:rPr>
          <w:lang w:val="en-AU"/>
        </w:rPr>
      </w:pPr>
    </w:p>
    <w:p w:rsidR="009D733C" w:rsidRPr="0059188A" w:rsidRDefault="009B301C" w:rsidP="00D8471B">
      <w:pPr>
        <w:jc w:val="both"/>
        <w:rPr>
          <w:lang w:val="en-AU"/>
        </w:rPr>
      </w:pPr>
      <w:r>
        <w:rPr>
          <w:lang w:val="en-AU"/>
        </w:rPr>
        <w:t>In the follow-up exploratory phase of the studies (i.e. from week 52 onwards to week 96), patients continued to receive the dosage strength to which they were initially randomised but on a modified dosing schedule where injections were given as frequently as every 4 weeks, but no less frequently than every 12 weeks based upon pre-specified retreatment criteria guided by assessment of visual and</w:t>
      </w:r>
      <w:r w:rsidR="00A43BC6">
        <w:rPr>
          <w:lang w:val="en-AU"/>
        </w:rPr>
        <w:t>/or</w:t>
      </w:r>
      <w:r>
        <w:rPr>
          <w:lang w:val="en-AU"/>
        </w:rPr>
        <w:t xml:space="preserve"> anatomic outcomes.  After the first year of the studies, 90% of patients originally treated with EYLEA 2Q8 received 6 doses or less and 72% received 4 doses or less among the patients completing the follow-up exploratory phase of the studies.</w:t>
      </w:r>
    </w:p>
    <w:p w:rsidR="00D8471B" w:rsidRPr="0059188A" w:rsidRDefault="00D8471B" w:rsidP="00925208">
      <w:pPr>
        <w:jc w:val="both"/>
        <w:rPr>
          <w:lang w:val="en-AU"/>
        </w:rPr>
      </w:pPr>
    </w:p>
    <w:p w:rsidR="00925208" w:rsidRPr="0059188A" w:rsidRDefault="00925208" w:rsidP="00925208">
      <w:pPr>
        <w:jc w:val="both"/>
        <w:rPr>
          <w:lang w:val="en-AU"/>
        </w:rPr>
      </w:pPr>
      <w:r w:rsidRPr="0059188A">
        <w:rPr>
          <w:lang w:val="en-AU"/>
        </w:rPr>
        <w:t xml:space="preserve">In both studies, the primary efficacy endpoint was the proportion of patients in the Per Protocol Set who maintained vision, defined as losing fewer than 15 letters of visual acuity at week 52 compared to baseline. </w:t>
      </w:r>
      <w:r w:rsidR="00B44582" w:rsidRPr="0059188A">
        <w:rPr>
          <w:lang w:val="en-AU"/>
        </w:rPr>
        <w:t xml:space="preserve">The studies were intended to test for non-inferiority against </w:t>
      </w:r>
      <w:proofErr w:type="spellStart"/>
      <w:r w:rsidR="00B44582" w:rsidRPr="0059188A">
        <w:rPr>
          <w:lang w:val="en-AU"/>
        </w:rPr>
        <w:t>ranibizumab</w:t>
      </w:r>
      <w:proofErr w:type="spellEnd"/>
      <w:r w:rsidR="00B44582" w:rsidRPr="0059188A">
        <w:rPr>
          <w:lang w:val="en-AU"/>
        </w:rPr>
        <w:t xml:space="preserve"> 0.5</w:t>
      </w:r>
      <w:r w:rsidR="003B4AEF" w:rsidRPr="0059188A">
        <w:rPr>
          <w:lang w:val="en-AU"/>
        </w:rPr>
        <w:t xml:space="preserve"> </w:t>
      </w:r>
      <w:r w:rsidR="00B44582" w:rsidRPr="0059188A">
        <w:rPr>
          <w:lang w:val="en-AU"/>
        </w:rPr>
        <w:t>mg given</w:t>
      </w:r>
      <w:r w:rsidR="002441BE" w:rsidRPr="0059188A">
        <w:rPr>
          <w:lang w:val="en-AU"/>
        </w:rPr>
        <w:t xml:space="preserve"> every 4 weeks</w:t>
      </w:r>
      <w:r w:rsidR="00B44582" w:rsidRPr="0059188A">
        <w:rPr>
          <w:lang w:val="en-AU"/>
        </w:rPr>
        <w:t>.</w:t>
      </w:r>
    </w:p>
    <w:p w:rsidR="008C6690" w:rsidRPr="0059188A" w:rsidRDefault="008C6690" w:rsidP="00925208">
      <w:pPr>
        <w:jc w:val="both"/>
        <w:rPr>
          <w:lang w:val="en-AU"/>
        </w:rPr>
      </w:pPr>
    </w:p>
    <w:p w:rsidR="00925208" w:rsidRPr="0059188A" w:rsidRDefault="00925208" w:rsidP="00925208">
      <w:pPr>
        <w:jc w:val="both"/>
        <w:rPr>
          <w:lang w:val="en-AU"/>
        </w:rPr>
      </w:pPr>
      <w:r w:rsidRPr="0059188A">
        <w:rPr>
          <w:lang w:val="en-AU"/>
        </w:rPr>
        <w:t>In the VIEW</w:t>
      </w:r>
      <w:r w:rsidR="008C6690" w:rsidRPr="0059188A">
        <w:rPr>
          <w:lang w:val="en-AU"/>
        </w:rPr>
        <w:t xml:space="preserve"> </w:t>
      </w:r>
      <w:r w:rsidRPr="0059188A">
        <w:rPr>
          <w:lang w:val="en-AU"/>
        </w:rPr>
        <w:t xml:space="preserve">1 study, at week 52, 95.1% of patients in the EYLEA 2Q8 treatment group maintained vision compared to 94.4% </w:t>
      </w:r>
      <w:r w:rsidR="003B18C6" w:rsidRPr="0059188A">
        <w:rPr>
          <w:lang w:val="en-AU"/>
        </w:rPr>
        <w:t xml:space="preserve">of </w:t>
      </w:r>
      <w:r w:rsidRPr="0059188A">
        <w:rPr>
          <w:lang w:val="en-AU"/>
        </w:rPr>
        <w:t xml:space="preserve">patients in the </w:t>
      </w:r>
      <w:proofErr w:type="spellStart"/>
      <w:r w:rsidRPr="0059188A">
        <w:rPr>
          <w:lang w:val="en-AU"/>
        </w:rPr>
        <w:t>ranibizumab</w:t>
      </w:r>
      <w:proofErr w:type="spellEnd"/>
      <w:r w:rsidRPr="0059188A">
        <w:rPr>
          <w:lang w:val="en-AU"/>
        </w:rPr>
        <w:t xml:space="preserve"> 0.5Q4 group. EYLEA treatment </w:t>
      </w:r>
      <w:r w:rsidR="00581A52" w:rsidRPr="0059188A">
        <w:rPr>
          <w:lang w:val="en-AU"/>
        </w:rPr>
        <w:t>was</w:t>
      </w:r>
      <w:r w:rsidRPr="0059188A">
        <w:rPr>
          <w:lang w:val="en-AU"/>
        </w:rPr>
        <w:t xml:space="preserve"> shown to be non-inferior to the </w:t>
      </w:r>
      <w:proofErr w:type="spellStart"/>
      <w:r w:rsidRPr="0059188A">
        <w:rPr>
          <w:lang w:val="en-AU"/>
        </w:rPr>
        <w:t>ranibizumab</w:t>
      </w:r>
      <w:proofErr w:type="spellEnd"/>
      <w:r w:rsidRPr="0059188A">
        <w:rPr>
          <w:lang w:val="en-AU"/>
        </w:rPr>
        <w:t xml:space="preserve"> 0.5Q4 group.</w:t>
      </w:r>
    </w:p>
    <w:p w:rsidR="008C6690" w:rsidRPr="0059188A" w:rsidRDefault="008C6690" w:rsidP="00925208">
      <w:pPr>
        <w:jc w:val="both"/>
        <w:rPr>
          <w:lang w:val="en-AU"/>
        </w:rPr>
      </w:pPr>
    </w:p>
    <w:p w:rsidR="00925208" w:rsidRPr="0059188A" w:rsidRDefault="00925208" w:rsidP="00925208">
      <w:pPr>
        <w:jc w:val="both"/>
        <w:rPr>
          <w:lang w:val="en-AU"/>
        </w:rPr>
      </w:pPr>
      <w:r w:rsidRPr="0059188A">
        <w:rPr>
          <w:lang w:val="en-AU"/>
        </w:rPr>
        <w:t>In the VIEW</w:t>
      </w:r>
      <w:r w:rsidR="008C6690" w:rsidRPr="0059188A">
        <w:rPr>
          <w:lang w:val="en-AU"/>
        </w:rPr>
        <w:t xml:space="preserve"> </w:t>
      </w:r>
      <w:r w:rsidRPr="0059188A">
        <w:rPr>
          <w:lang w:val="en-AU"/>
        </w:rPr>
        <w:t>2 study, at week 52, 95.6% of patients in the EYLEA 2Q8 treatment group maintained vision compared to 94.4%</w:t>
      </w:r>
      <w:r w:rsidR="003B18C6" w:rsidRPr="0059188A">
        <w:rPr>
          <w:lang w:val="en-AU"/>
        </w:rPr>
        <w:t xml:space="preserve"> of</w:t>
      </w:r>
      <w:r w:rsidRPr="0059188A">
        <w:rPr>
          <w:lang w:val="en-AU"/>
        </w:rPr>
        <w:t xml:space="preserve"> patients in the </w:t>
      </w:r>
      <w:proofErr w:type="spellStart"/>
      <w:r w:rsidRPr="0059188A">
        <w:rPr>
          <w:lang w:val="en-AU"/>
        </w:rPr>
        <w:t>ranibizumab</w:t>
      </w:r>
      <w:proofErr w:type="spellEnd"/>
      <w:r w:rsidRPr="0059188A">
        <w:rPr>
          <w:lang w:val="en-AU"/>
        </w:rPr>
        <w:t xml:space="preserve"> 0.5Q4 group. EYLEA treatment </w:t>
      </w:r>
      <w:r w:rsidR="00581A52" w:rsidRPr="0059188A">
        <w:rPr>
          <w:lang w:val="en-AU"/>
        </w:rPr>
        <w:t>was</w:t>
      </w:r>
      <w:r w:rsidRPr="0059188A">
        <w:rPr>
          <w:lang w:val="en-AU"/>
        </w:rPr>
        <w:t xml:space="preserve"> shown to be non-inferior to the </w:t>
      </w:r>
      <w:proofErr w:type="spellStart"/>
      <w:r w:rsidRPr="0059188A">
        <w:rPr>
          <w:lang w:val="en-AU"/>
        </w:rPr>
        <w:t>ranibizumab</w:t>
      </w:r>
      <w:proofErr w:type="spellEnd"/>
      <w:r w:rsidRPr="0059188A">
        <w:rPr>
          <w:lang w:val="en-AU"/>
        </w:rPr>
        <w:t xml:space="preserve"> 0.5Q4 group.</w:t>
      </w:r>
    </w:p>
    <w:p w:rsidR="008C6690" w:rsidRPr="0059188A" w:rsidRDefault="008C6690" w:rsidP="00925208">
      <w:pPr>
        <w:jc w:val="both"/>
        <w:rPr>
          <w:lang w:val="en-AU"/>
        </w:rPr>
      </w:pPr>
    </w:p>
    <w:p w:rsidR="001E10C4" w:rsidRPr="0059188A" w:rsidRDefault="001E10C4" w:rsidP="00AD0B2F">
      <w:pPr>
        <w:keepLines/>
        <w:jc w:val="both"/>
        <w:rPr>
          <w:lang w:val="en-AU"/>
        </w:rPr>
      </w:pPr>
      <w:r w:rsidRPr="0059188A">
        <w:rPr>
          <w:lang w:val="en-AU"/>
        </w:rPr>
        <w:t>The VIEW 1 and VIEW 2 studies included four secondary efficacy endpoints: mean change in Best Corrected Visual Acuity (BCVA), proportion of patients who gained ≥15 letters, change in the total National Eye Institute Visual Function Questionnaire (NEI VFQ-25) score, and change in CNV area.</w:t>
      </w:r>
      <w:r w:rsidR="00FB70C7" w:rsidRPr="0059188A">
        <w:rPr>
          <w:lang w:val="en-AU"/>
        </w:rPr>
        <w:t xml:space="preserve">   </w:t>
      </w:r>
    </w:p>
    <w:p w:rsidR="001E10C4" w:rsidRPr="0059188A" w:rsidRDefault="001E10C4" w:rsidP="00925208">
      <w:pPr>
        <w:jc w:val="both"/>
        <w:rPr>
          <w:lang w:val="en-AU"/>
        </w:rPr>
      </w:pPr>
    </w:p>
    <w:p w:rsidR="00A1753F" w:rsidRPr="0059188A" w:rsidRDefault="00925208" w:rsidP="00925208">
      <w:pPr>
        <w:jc w:val="both"/>
        <w:rPr>
          <w:lang w:val="en-AU"/>
        </w:rPr>
      </w:pPr>
      <w:r w:rsidRPr="0059188A">
        <w:rPr>
          <w:lang w:val="en-AU"/>
        </w:rPr>
        <w:t xml:space="preserve">Detailed results from the combined analysis of both studies </w:t>
      </w:r>
      <w:r w:rsidR="00337AED" w:rsidRPr="0059188A">
        <w:rPr>
          <w:lang w:val="en-AU"/>
        </w:rPr>
        <w:t>(primary</w:t>
      </w:r>
      <w:r w:rsidR="00FB70C7" w:rsidRPr="0059188A">
        <w:rPr>
          <w:vertAlign w:val="superscript"/>
          <w:lang w:val="en-AU"/>
        </w:rPr>
        <w:t>*</w:t>
      </w:r>
      <w:r w:rsidR="00337AED" w:rsidRPr="0059188A">
        <w:rPr>
          <w:lang w:val="en-AU"/>
        </w:rPr>
        <w:t xml:space="preserve"> and secondary</w:t>
      </w:r>
      <w:r w:rsidR="00FB70C7" w:rsidRPr="0059188A">
        <w:rPr>
          <w:b/>
          <w:vertAlign w:val="superscript"/>
          <w:lang w:val="en-AU"/>
        </w:rPr>
        <w:t>#</w:t>
      </w:r>
      <w:r w:rsidR="00337AED" w:rsidRPr="0059188A">
        <w:rPr>
          <w:lang w:val="en-AU"/>
        </w:rPr>
        <w:t xml:space="preserve"> endpoints) </w:t>
      </w:r>
      <w:r w:rsidRPr="0059188A">
        <w:rPr>
          <w:lang w:val="en-AU"/>
        </w:rPr>
        <w:t>are shown in Table</w:t>
      </w:r>
      <w:r w:rsidR="00EC27BE">
        <w:rPr>
          <w:lang w:val="en-AU"/>
        </w:rPr>
        <w:t xml:space="preserve"> 3</w:t>
      </w:r>
      <w:r w:rsidR="008C6690" w:rsidRPr="0059188A">
        <w:rPr>
          <w:lang w:val="en-AU"/>
        </w:rPr>
        <w:t xml:space="preserve"> </w:t>
      </w:r>
      <w:r w:rsidRPr="0059188A">
        <w:rPr>
          <w:lang w:val="en-AU"/>
        </w:rPr>
        <w:t>and Figure</w:t>
      </w:r>
      <w:r w:rsidR="008C6690" w:rsidRPr="0059188A">
        <w:rPr>
          <w:lang w:val="en-AU"/>
        </w:rPr>
        <w:t xml:space="preserve"> 3</w:t>
      </w:r>
      <w:r w:rsidRPr="0059188A">
        <w:rPr>
          <w:lang w:val="en-AU"/>
        </w:rPr>
        <w:t xml:space="preserve"> below.</w:t>
      </w:r>
    </w:p>
    <w:p w:rsidR="008C6690" w:rsidRPr="0059188A" w:rsidRDefault="008C6690" w:rsidP="00925208">
      <w:pPr>
        <w:jc w:val="both"/>
        <w:rPr>
          <w:lang w:val="en-AU"/>
        </w:rPr>
      </w:pPr>
    </w:p>
    <w:p w:rsidR="00A43BC6" w:rsidRPr="00A43BC6" w:rsidRDefault="008C6690" w:rsidP="00A43BC6">
      <w:pPr>
        <w:keepNext/>
        <w:spacing w:after="120"/>
        <w:jc w:val="both"/>
        <w:rPr>
          <w:b/>
          <w:vertAlign w:val="superscript"/>
          <w:lang w:val="en-AU"/>
        </w:rPr>
      </w:pPr>
      <w:r w:rsidRPr="0059188A">
        <w:rPr>
          <w:b/>
          <w:lang w:val="en-AU"/>
        </w:rPr>
        <w:t>Table</w:t>
      </w:r>
      <w:r w:rsidR="00EC27BE">
        <w:rPr>
          <w:b/>
          <w:lang w:val="en-AU"/>
        </w:rPr>
        <w:t xml:space="preserve"> 3</w:t>
      </w:r>
      <w:r w:rsidRPr="0059188A">
        <w:rPr>
          <w:b/>
          <w:lang w:val="en-AU"/>
        </w:rPr>
        <w:t>: Efficacy outcomes at week 52</w:t>
      </w:r>
      <w:r w:rsidR="009B301C">
        <w:rPr>
          <w:b/>
          <w:lang w:val="en-AU"/>
        </w:rPr>
        <w:t xml:space="preserve"> (primary analysis) and week 96</w:t>
      </w:r>
      <w:r w:rsidRPr="0059188A">
        <w:rPr>
          <w:b/>
          <w:lang w:val="en-AU"/>
        </w:rPr>
        <w:t>; combined data from the VIEW 1 and VIEW 2 studies</w:t>
      </w:r>
      <w:r w:rsidR="00C752C7" w:rsidRPr="0059188A">
        <w:rPr>
          <w:b/>
          <w:lang w:val="en-AU"/>
        </w:rPr>
        <w:t xml:space="preserve"> </w:t>
      </w:r>
      <w:r w:rsidR="00AD487B" w:rsidRPr="0059188A">
        <w:rPr>
          <w:b/>
          <w:vertAlign w:val="superscript"/>
          <w:lang w:val="en-AU"/>
        </w:rPr>
        <w:t>(</w:t>
      </w:r>
      <w:r w:rsidR="00894A6C" w:rsidRPr="0059188A">
        <w:rPr>
          <w:b/>
          <w:vertAlign w:val="superscript"/>
          <w:lang w:val="en-AU"/>
        </w:rPr>
        <w:t>b</w:t>
      </w:r>
      <w:r w:rsidRPr="0059188A">
        <w:rPr>
          <w:b/>
          <w:vertAlign w:val="superscript"/>
          <w:lang w:val="en-AU"/>
        </w:rPr>
        <w:t>)</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086"/>
        <w:gridCol w:w="1087"/>
        <w:gridCol w:w="1087"/>
        <w:gridCol w:w="1087"/>
        <w:gridCol w:w="1087"/>
        <w:gridCol w:w="1087"/>
      </w:tblGrid>
      <w:tr w:rsidR="00A43BC6" w:rsidTr="00A43BC6">
        <w:trPr>
          <w:trHeight w:val="409"/>
        </w:trPr>
        <w:tc>
          <w:tcPr>
            <w:tcW w:w="2376" w:type="dxa"/>
            <w:tcBorders>
              <w:top w:val="single" w:sz="4" w:space="0" w:color="auto"/>
              <w:left w:val="single" w:sz="4" w:space="0" w:color="auto"/>
              <w:bottom w:val="single" w:sz="4" w:space="0" w:color="auto"/>
              <w:right w:val="single" w:sz="4" w:space="0" w:color="auto"/>
            </w:tcBorders>
            <w:vAlign w:val="center"/>
          </w:tcPr>
          <w:p w:rsidR="00A43BC6" w:rsidRDefault="00A43BC6" w:rsidP="00A43BC6">
            <w:pPr>
              <w:rPr>
                <w:b/>
                <w:sz w:val="20"/>
                <w:szCs w:val="20"/>
                <w:lang w:val="en-AU"/>
              </w:rPr>
            </w:pPr>
            <w:r>
              <w:rPr>
                <w:b/>
                <w:sz w:val="20"/>
                <w:szCs w:val="20"/>
                <w:lang w:val="en-AU"/>
              </w:rPr>
              <w:t>Efficacy outcome</w:t>
            </w:r>
          </w:p>
          <w:p w:rsidR="00A43BC6" w:rsidRDefault="00A43BC6" w:rsidP="00A43BC6">
            <w:pPr>
              <w:rPr>
                <w:sz w:val="20"/>
                <w:szCs w:val="20"/>
              </w:rPr>
            </w:pPr>
          </w:p>
        </w:tc>
        <w:tc>
          <w:tcPr>
            <w:tcW w:w="2173" w:type="dxa"/>
            <w:gridSpan w:val="2"/>
            <w:tcBorders>
              <w:top w:val="single" w:sz="4" w:space="0" w:color="auto"/>
              <w:left w:val="single" w:sz="4" w:space="0" w:color="auto"/>
              <w:bottom w:val="single" w:sz="4" w:space="0" w:color="auto"/>
              <w:right w:val="single" w:sz="4" w:space="0" w:color="auto"/>
            </w:tcBorders>
          </w:tcPr>
          <w:p w:rsidR="00A43BC6" w:rsidRDefault="00A43BC6" w:rsidP="00A43BC6">
            <w:pPr>
              <w:jc w:val="center"/>
              <w:rPr>
                <w:b/>
                <w:sz w:val="20"/>
                <w:szCs w:val="20"/>
                <w:lang w:val="de-DE"/>
              </w:rPr>
            </w:pPr>
            <w:r>
              <w:rPr>
                <w:b/>
                <w:sz w:val="20"/>
                <w:szCs w:val="20"/>
                <w:lang w:val="de-DE"/>
              </w:rPr>
              <w:t>EYLEA</w:t>
            </w:r>
          </w:p>
          <w:p w:rsidR="00A43BC6" w:rsidRDefault="00A43BC6" w:rsidP="00A43BC6">
            <w:pPr>
              <w:jc w:val="center"/>
              <w:rPr>
                <w:b/>
                <w:sz w:val="20"/>
                <w:szCs w:val="20"/>
                <w:lang w:val="de-DE"/>
              </w:rPr>
            </w:pPr>
            <w:r>
              <w:rPr>
                <w:b/>
                <w:sz w:val="20"/>
                <w:szCs w:val="20"/>
                <w:lang w:val="de-DE"/>
              </w:rPr>
              <w:t>2 mg Q4</w:t>
            </w:r>
          </w:p>
          <w:p w:rsidR="00A43BC6" w:rsidRPr="00A43BC6" w:rsidRDefault="00843043" w:rsidP="00A43BC6">
            <w:pPr>
              <w:ind w:left="-108" w:right="-73"/>
              <w:jc w:val="center"/>
              <w:rPr>
                <w:b/>
                <w:sz w:val="20"/>
                <w:szCs w:val="20"/>
                <w:lang w:val="de-DE"/>
              </w:rPr>
            </w:pPr>
            <w:r>
              <w:rPr>
                <w:b/>
                <w:sz w:val="20"/>
                <w:szCs w:val="20"/>
                <w:lang w:val="de-DE"/>
              </w:rPr>
              <w:t>(n = 613</w:t>
            </w:r>
            <w:r w:rsidR="00A43BC6">
              <w:rPr>
                <w:b/>
                <w:sz w:val="20"/>
                <w:szCs w:val="20"/>
                <w:lang w:val="de-DE"/>
              </w:rPr>
              <w:t>)</w:t>
            </w:r>
          </w:p>
        </w:tc>
        <w:tc>
          <w:tcPr>
            <w:tcW w:w="2174" w:type="dxa"/>
            <w:gridSpan w:val="2"/>
            <w:tcBorders>
              <w:top w:val="single" w:sz="4" w:space="0" w:color="auto"/>
              <w:left w:val="single" w:sz="4" w:space="0" w:color="auto"/>
              <w:bottom w:val="single" w:sz="4" w:space="0" w:color="auto"/>
              <w:right w:val="single" w:sz="4" w:space="0" w:color="auto"/>
            </w:tcBorders>
            <w:vAlign w:val="center"/>
            <w:hideMark/>
          </w:tcPr>
          <w:p w:rsidR="00A43BC6" w:rsidRDefault="00A43BC6" w:rsidP="00A43BC6">
            <w:pPr>
              <w:jc w:val="center"/>
              <w:rPr>
                <w:b/>
                <w:sz w:val="20"/>
                <w:szCs w:val="20"/>
                <w:lang w:val="de-DE"/>
              </w:rPr>
            </w:pPr>
            <w:r w:rsidRPr="00A43BC6">
              <w:rPr>
                <w:b/>
                <w:sz w:val="20"/>
                <w:szCs w:val="20"/>
                <w:lang w:val="de-DE"/>
              </w:rPr>
              <w:t xml:space="preserve"> </w:t>
            </w:r>
            <w:r>
              <w:rPr>
                <w:b/>
                <w:sz w:val="20"/>
                <w:szCs w:val="20"/>
                <w:lang w:val="de-DE"/>
              </w:rPr>
              <w:t>EYLEA</w:t>
            </w:r>
          </w:p>
          <w:p w:rsidR="00A43BC6" w:rsidRDefault="00A43BC6" w:rsidP="00A43BC6">
            <w:pPr>
              <w:jc w:val="center"/>
              <w:rPr>
                <w:b/>
                <w:sz w:val="20"/>
                <w:szCs w:val="20"/>
                <w:lang w:val="de-DE"/>
              </w:rPr>
            </w:pPr>
            <w:r>
              <w:rPr>
                <w:b/>
                <w:sz w:val="20"/>
                <w:szCs w:val="20"/>
                <w:lang w:val="de-DE"/>
              </w:rPr>
              <w:t xml:space="preserve">2 mg Q8 </w:t>
            </w:r>
            <w:r>
              <w:rPr>
                <w:b/>
                <w:sz w:val="20"/>
                <w:szCs w:val="20"/>
                <w:vertAlign w:val="superscript"/>
                <w:lang w:val="de-DE"/>
              </w:rPr>
              <w:t>(e)</w:t>
            </w:r>
          </w:p>
          <w:p w:rsidR="00A43BC6" w:rsidRPr="00A43BC6" w:rsidRDefault="00A43BC6" w:rsidP="00A43BC6">
            <w:pPr>
              <w:ind w:left="-108" w:right="-73"/>
              <w:jc w:val="center"/>
              <w:rPr>
                <w:b/>
                <w:sz w:val="20"/>
                <w:szCs w:val="20"/>
              </w:rPr>
            </w:pPr>
            <w:r>
              <w:rPr>
                <w:b/>
                <w:sz w:val="20"/>
                <w:szCs w:val="20"/>
                <w:lang w:val="de-DE"/>
              </w:rPr>
              <w:t>(n = 607)</w:t>
            </w:r>
          </w:p>
        </w:tc>
        <w:tc>
          <w:tcPr>
            <w:tcW w:w="2174" w:type="dxa"/>
            <w:gridSpan w:val="2"/>
            <w:tcBorders>
              <w:top w:val="single" w:sz="4" w:space="0" w:color="auto"/>
              <w:left w:val="single" w:sz="4" w:space="0" w:color="auto"/>
              <w:bottom w:val="single" w:sz="4" w:space="0" w:color="auto"/>
              <w:right w:val="single" w:sz="4" w:space="0" w:color="auto"/>
            </w:tcBorders>
            <w:vAlign w:val="center"/>
            <w:hideMark/>
          </w:tcPr>
          <w:p w:rsidR="00A43BC6" w:rsidRDefault="00A43BC6" w:rsidP="00A43BC6">
            <w:pPr>
              <w:jc w:val="center"/>
              <w:rPr>
                <w:b/>
                <w:sz w:val="20"/>
                <w:szCs w:val="20"/>
                <w:lang w:val="de-DE"/>
              </w:rPr>
            </w:pPr>
            <w:r>
              <w:rPr>
                <w:b/>
                <w:sz w:val="20"/>
                <w:szCs w:val="20"/>
                <w:lang w:val="de-DE"/>
              </w:rPr>
              <w:t>Ranibizumab</w:t>
            </w:r>
          </w:p>
          <w:p w:rsidR="00A43BC6" w:rsidRDefault="00A43BC6" w:rsidP="00A43BC6">
            <w:pPr>
              <w:jc w:val="center"/>
              <w:rPr>
                <w:b/>
                <w:sz w:val="20"/>
                <w:szCs w:val="20"/>
                <w:lang w:val="de-DE"/>
              </w:rPr>
            </w:pPr>
            <w:r>
              <w:rPr>
                <w:b/>
                <w:sz w:val="20"/>
                <w:szCs w:val="20"/>
                <w:lang w:val="de-DE"/>
              </w:rPr>
              <w:t>0.5 mg Q4</w:t>
            </w:r>
          </w:p>
          <w:p w:rsidR="00A43BC6" w:rsidRPr="00A43BC6" w:rsidRDefault="00A43BC6" w:rsidP="00A43BC6">
            <w:pPr>
              <w:jc w:val="center"/>
              <w:rPr>
                <w:b/>
                <w:sz w:val="20"/>
                <w:szCs w:val="20"/>
              </w:rPr>
            </w:pPr>
            <w:r>
              <w:rPr>
                <w:b/>
                <w:sz w:val="20"/>
                <w:szCs w:val="20"/>
                <w:lang w:val="de-DE"/>
              </w:rPr>
              <w:t>(n = 595)</w:t>
            </w:r>
            <w:r>
              <w:rPr>
                <w:b/>
                <w:sz w:val="20"/>
                <w:szCs w:val="20"/>
              </w:rPr>
              <w:t xml:space="preserve"> </w:t>
            </w:r>
            <w:r>
              <w:rPr>
                <w:b/>
                <w:sz w:val="20"/>
                <w:szCs w:val="20"/>
                <w:vertAlign w:val="superscript"/>
              </w:rPr>
              <w:t xml:space="preserve"> </w:t>
            </w:r>
          </w:p>
        </w:tc>
      </w:tr>
      <w:tr w:rsidR="00843043" w:rsidTr="00843043">
        <w:trPr>
          <w:trHeight w:val="409"/>
        </w:trPr>
        <w:tc>
          <w:tcPr>
            <w:tcW w:w="2376" w:type="dxa"/>
            <w:tcBorders>
              <w:top w:val="single" w:sz="4" w:space="0" w:color="auto"/>
              <w:left w:val="single" w:sz="4" w:space="0" w:color="auto"/>
              <w:bottom w:val="single" w:sz="4" w:space="0" w:color="auto"/>
              <w:right w:val="single" w:sz="4" w:space="0" w:color="auto"/>
            </w:tcBorders>
          </w:tcPr>
          <w:p w:rsidR="00843043" w:rsidRDefault="00843043">
            <w:pPr>
              <w:rPr>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843043" w:rsidRDefault="00843043" w:rsidP="003501F8">
            <w:pPr>
              <w:ind w:left="-113" w:right="-113"/>
              <w:jc w:val="center"/>
              <w:rPr>
                <w:b/>
                <w:sz w:val="20"/>
                <w:szCs w:val="20"/>
              </w:rPr>
            </w:pPr>
            <w:r>
              <w:rPr>
                <w:b/>
                <w:sz w:val="20"/>
                <w:szCs w:val="20"/>
              </w:rPr>
              <w:t xml:space="preserve"> Week 52</w:t>
            </w:r>
          </w:p>
        </w:tc>
        <w:tc>
          <w:tcPr>
            <w:tcW w:w="1087" w:type="dxa"/>
            <w:tcBorders>
              <w:top w:val="single" w:sz="4" w:space="0" w:color="auto"/>
              <w:left w:val="single" w:sz="4" w:space="0" w:color="auto"/>
              <w:bottom w:val="single" w:sz="4" w:space="0" w:color="auto"/>
              <w:right w:val="single" w:sz="4" w:space="0" w:color="auto"/>
            </w:tcBorders>
            <w:vAlign w:val="center"/>
          </w:tcPr>
          <w:p w:rsidR="00843043" w:rsidRDefault="00843043">
            <w:pPr>
              <w:ind w:left="-108" w:right="-73"/>
              <w:jc w:val="center"/>
              <w:rPr>
                <w:b/>
                <w:sz w:val="20"/>
                <w:szCs w:val="20"/>
              </w:rPr>
            </w:pPr>
            <w:r w:rsidRPr="009A3E7A">
              <w:rPr>
                <w:b/>
                <w:sz w:val="20"/>
                <w:szCs w:val="20"/>
              </w:rPr>
              <w:t>Week 96</w:t>
            </w:r>
            <w:r w:rsidRPr="009A3E7A">
              <w:rPr>
                <w:b/>
                <w:sz w:val="20"/>
                <w:szCs w:val="20"/>
                <w:vertAlign w:val="superscript"/>
              </w:rPr>
              <w:t>(h)</w:t>
            </w:r>
          </w:p>
        </w:tc>
        <w:tc>
          <w:tcPr>
            <w:tcW w:w="1087" w:type="dxa"/>
            <w:tcBorders>
              <w:top w:val="single" w:sz="4" w:space="0" w:color="auto"/>
              <w:left w:val="single" w:sz="4" w:space="0" w:color="auto"/>
              <w:bottom w:val="single" w:sz="4" w:space="0" w:color="auto"/>
              <w:right w:val="single" w:sz="4" w:space="0" w:color="auto"/>
            </w:tcBorders>
            <w:vAlign w:val="center"/>
            <w:hideMark/>
          </w:tcPr>
          <w:p w:rsidR="00843043" w:rsidRDefault="00843043">
            <w:pPr>
              <w:ind w:left="-108" w:right="-73"/>
              <w:jc w:val="center"/>
              <w:rPr>
                <w:b/>
                <w:sz w:val="20"/>
                <w:szCs w:val="20"/>
              </w:rPr>
            </w:pPr>
            <w:r>
              <w:rPr>
                <w:b/>
                <w:sz w:val="20"/>
                <w:szCs w:val="20"/>
              </w:rPr>
              <w:t xml:space="preserve"> Week 52</w:t>
            </w:r>
          </w:p>
        </w:tc>
        <w:tc>
          <w:tcPr>
            <w:tcW w:w="1087" w:type="dxa"/>
            <w:tcBorders>
              <w:top w:val="single" w:sz="4" w:space="0" w:color="auto"/>
              <w:left w:val="single" w:sz="4" w:space="0" w:color="auto"/>
              <w:bottom w:val="single" w:sz="4" w:space="0" w:color="auto"/>
              <w:right w:val="single" w:sz="4" w:space="0" w:color="auto"/>
            </w:tcBorders>
            <w:vAlign w:val="center"/>
            <w:hideMark/>
          </w:tcPr>
          <w:p w:rsidR="00843043" w:rsidRDefault="00843043">
            <w:pPr>
              <w:ind w:left="-72" w:right="-37"/>
              <w:jc w:val="center"/>
              <w:rPr>
                <w:b/>
                <w:sz w:val="20"/>
                <w:szCs w:val="20"/>
                <w:vertAlign w:val="superscript"/>
              </w:rPr>
            </w:pPr>
            <w:r w:rsidRPr="009A3E7A">
              <w:rPr>
                <w:b/>
                <w:sz w:val="20"/>
                <w:szCs w:val="20"/>
              </w:rPr>
              <w:t>Week 96</w:t>
            </w:r>
            <w:r w:rsidRPr="009A3E7A">
              <w:rPr>
                <w:b/>
                <w:sz w:val="20"/>
                <w:szCs w:val="20"/>
                <w:vertAlign w:val="superscript"/>
              </w:rPr>
              <w:t>(h)</w:t>
            </w:r>
          </w:p>
        </w:tc>
        <w:tc>
          <w:tcPr>
            <w:tcW w:w="1087" w:type="dxa"/>
            <w:tcBorders>
              <w:top w:val="single" w:sz="4" w:space="0" w:color="auto"/>
              <w:left w:val="single" w:sz="4" w:space="0" w:color="auto"/>
              <w:bottom w:val="single" w:sz="4" w:space="0" w:color="auto"/>
              <w:right w:val="single" w:sz="4" w:space="0" w:color="auto"/>
            </w:tcBorders>
            <w:vAlign w:val="center"/>
            <w:hideMark/>
          </w:tcPr>
          <w:p w:rsidR="00843043" w:rsidRDefault="00843043">
            <w:pPr>
              <w:jc w:val="center"/>
              <w:rPr>
                <w:b/>
                <w:sz w:val="20"/>
                <w:szCs w:val="20"/>
              </w:rPr>
            </w:pPr>
            <w:r w:rsidRPr="009A3E7A">
              <w:rPr>
                <w:b/>
                <w:sz w:val="20"/>
                <w:szCs w:val="20"/>
              </w:rPr>
              <w:t>Week 52</w:t>
            </w:r>
          </w:p>
        </w:tc>
        <w:tc>
          <w:tcPr>
            <w:tcW w:w="1087" w:type="dxa"/>
            <w:tcBorders>
              <w:top w:val="single" w:sz="4" w:space="0" w:color="auto"/>
              <w:left w:val="single" w:sz="4" w:space="0" w:color="auto"/>
              <w:bottom w:val="single" w:sz="4" w:space="0" w:color="auto"/>
              <w:right w:val="single" w:sz="4" w:space="0" w:color="auto"/>
            </w:tcBorders>
            <w:vAlign w:val="center"/>
            <w:hideMark/>
          </w:tcPr>
          <w:p w:rsidR="00843043" w:rsidRDefault="00843043" w:rsidP="00843043">
            <w:pPr>
              <w:ind w:left="-155" w:right="-108"/>
              <w:jc w:val="center"/>
              <w:rPr>
                <w:b/>
                <w:sz w:val="20"/>
                <w:szCs w:val="20"/>
                <w:vertAlign w:val="superscript"/>
              </w:rPr>
            </w:pPr>
            <w:r w:rsidRPr="009A3E7A">
              <w:rPr>
                <w:b/>
                <w:sz w:val="20"/>
                <w:szCs w:val="20"/>
              </w:rPr>
              <w:t>Week 96</w:t>
            </w:r>
            <w:r w:rsidRPr="009A3E7A">
              <w:rPr>
                <w:b/>
                <w:sz w:val="20"/>
                <w:szCs w:val="20"/>
                <w:vertAlign w:val="superscript"/>
              </w:rPr>
              <w:t>(h)</w:t>
            </w:r>
          </w:p>
        </w:tc>
      </w:tr>
      <w:tr w:rsidR="00843043" w:rsidTr="00843043">
        <w:tc>
          <w:tcPr>
            <w:tcW w:w="2376" w:type="dxa"/>
            <w:tcBorders>
              <w:top w:val="single" w:sz="4" w:space="0" w:color="auto"/>
              <w:left w:val="single" w:sz="4" w:space="0" w:color="auto"/>
              <w:bottom w:val="single" w:sz="4" w:space="0" w:color="auto"/>
              <w:right w:val="single" w:sz="4" w:space="0" w:color="auto"/>
            </w:tcBorders>
            <w:hideMark/>
          </w:tcPr>
          <w:p w:rsidR="00843043" w:rsidRDefault="00843043" w:rsidP="00A43BC6">
            <w:pPr>
              <w:rPr>
                <w:sz w:val="20"/>
                <w:szCs w:val="20"/>
              </w:rPr>
            </w:pPr>
            <w:r w:rsidRPr="009B301C">
              <w:rPr>
                <w:sz w:val="20"/>
                <w:szCs w:val="20"/>
              </w:rPr>
              <w:t>Mean number of injections</w:t>
            </w:r>
            <w:r>
              <w:rPr>
                <w:sz w:val="20"/>
                <w:szCs w:val="20"/>
              </w:rPr>
              <w:t xml:space="preserve"> from baseline</w:t>
            </w:r>
          </w:p>
        </w:tc>
        <w:tc>
          <w:tcPr>
            <w:tcW w:w="1086" w:type="dxa"/>
            <w:tcBorders>
              <w:top w:val="single" w:sz="4" w:space="0" w:color="auto"/>
              <w:left w:val="single" w:sz="4" w:space="0" w:color="auto"/>
              <w:bottom w:val="single" w:sz="4" w:space="0" w:color="auto"/>
              <w:right w:val="single" w:sz="4" w:space="0" w:color="auto"/>
            </w:tcBorders>
            <w:vAlign w:val="center"/>
          </w:tcPr>
          <w:p w:rsidR="00843043" w:rsidRPr="00AF2A15" w:rsidRDefault="00843043" w:rsidP="003501F8">
            <w:pPr>
              <w:ind w:left="-113" w:right="-113"/>
              <w:jc w:val="center"/>
              <w:rPr>
                <w:sz w:val="20"/>
                <w:szCs w:val="20"/>
              </w:rPr>
            </w:pPr>
            <w:r w:rsidRPr="00AF2A15">
              <w:rPr>
                <w:sz w:val="20"/>
                <w:szCs w:val="20"/>
              </w:rPr>
              <w:t>12.3</w:t>
            </w:r>
          </w:p>
        </w:tc>
        <w:tc>
          <w:tcPr>
            <w:tcW w:w="1087" w:type="dxa"/>
            <w:tcBorders>
              <w:top w:val="single" w:sz="4" w:space="0" w:color="auto"/>
              <w:left w:val="single" w:sz="4" w:space="0" w:color="auto"/>
              <w:bottom w:val="single" w:sz="4" w:space="0" w:color="auto"/>
              <w:right w:val="single" w:sz="4" w:space="0" w:color="auto"/>
            </w:tcBorders>
            <w:vAlign w:val="center"/>
          </w:tcPr>
          <w:p w:rsidR="00843043" w:rsidRPr="00AF2A15" w:rsidRDefault="00843043">
            <w:pPr>
              <w:ind w:left="-108" w:right="-73"/>
              <w:jc w:val="center"/>
              <w:rPr>
                <w:sz w:val="20"/>
                <w:szCs w:val="20"/>
              </w:rPr>
            </w:pPr>
            <w:r w:rsidRPr="00AF2A15">
              <w:rPr>
                <w:sz w:val="20"/>
                <w:szCs w:val="20"/>
              </w:rPr>
              <w:t>16.0</w:t>
            </w:r>
          </w:p>
        </w:tc>
        <w:tc>
          <w:tcPr>
            <w:tcW w:w="1087" w:type="dxa"/>
            <w:tcBorders>
              <w:top w:val="single" w:sz="4" w:space="0" w:color="auto"/>
              <w:left w:val="single" w:sz="4" w:space="0" w:color="auto"/>
              <w:bottom w:val="single" w:sz="4" w:space="0" w:color="auto"/>
              <w:right w:val="single" w:sz="4" w:space="0" w:color="auto"/>
            </w:tcBorders>
            <w:vAlign w:val="center"/>
            <w:hideMark/>
          </w:tcPr>
          <w:p w:rsidR="00843043" w:rsidRDefault="00843043">
            <w:pPr>
              <w:ind w:left="-108" w:right="-73"/>
              <w:jc w:val="center"/>
              <w:rPr>
                <w:sz w:val="20"/>
                <w:szCs w:val="20"/>
              </w:rPr>
            </w:pPr>
            <w:r>
              <w:rPr>
                <w:sz w:val="20"/>
                <w:szCs w:val="20"/>
              </w:rPr>
              <w:t>7.6</w:t>
            </w:r>
          </w:p>
        </w:tc>
        <w:tc>
          <w:tcPr>
            <w:tcW w:w="1087" w:type="dxa"/>
            <w:tcBorders>
              <w:top w:val="single" w:sz="4" w:space="0" w:color="auto"/>
              <w:left w:val="single" w:sz="4" w:space="0" w:color="auto"/>
              <w:bottom w:val="single" w:sz="4" w:space="0" w:color="auto"/>
              <w:right w:val="single" w:sz="4" w:space="0" w:color="auto"/>
            </w:tcBorders>
            <w:vAlign w:val="center"/>
            <w:hideMark/>
          </w:tcPr>
          <w:p w:rsidR="00843043" w:rsidRDefault="00843043">
            <w:pPr>
              <w:ind w:left="-72" w:right="-37"/>
              <w:jc w:val="center"/>
              <w:rPr>
                <w:sz w:val="20"/>
                <w:szCs w:val="20"/>
              </w:rPr>
            </w:pPr>
            <w:r w:rsidRPr="009A3E7A">
              <w:rPr>
                <w:sz w:val="20"/>
                <w:szCs w:val="20"/>
              </w:rPr>
              <w:t>11.2</w:t>
            </w:r>
          </w:p>
        </w:tc>
        <w:tc>
          <w:tcPr>
            <w:tcW w:w="1087" w:type="dxa"/>
            <w:tcBorders>
              <w:top w:val="single" w:sz="4" w:space="0" w:color="auto"/>
              <w:left w:val="single" w:sz="4" w:space="0" w:color="auto"/>
              <w:bottom w:val="single" w:sz="4" w:space="0" w:color="auto"/>
              <w:right w:val="single" w:sz="4" w:space="0" w:color="auto"/>
            </w:tcBorders>
            <w:vAlign w:val="center"/>
            <w:hideMark/>
          </w:tcPr>
          <w:p w:rsidR="00843043" w:rsidRDefault="00843043">
            <w:pPr>
              <w:jc w:val="center"/>
              <w:rPr>
                <w:sz w:val="20"/>
                <w:szCs w:val="20"/>
              </w:rPr>
            </w:pPr>
            <w:r>
              <w:rPr>
                <w:sz w:val="20"/>
                <w:szCs w:val="20"/>
              </w:rPr>
              <w:t>12.3</w:t>
            </w:r>
          </w:p>
        </w:tc>
        <w:tc>
          <w:tcPr>
            <w:tcW w:w="1087" w:type="dxa"/>
            <w:tcBorders>
              <w:top w:val="single" w:sz="4" w:space="0" w:color="auto"/>
              <w:left w:val="single" w:sz="4" w:space="0" w:color="auto"/>
              <w:bottom w:val="single" w:sz="4" w:space="0" w:color="auto"/>
              <w:right w:val="single" w:sz="4" w:space="0" w:color="auto"/>
            </w:tcBorders>
            <w:vAlign w:val="center"/>
            <w:hideMark/>
          </w:tcPr>
          <w:p w:rsidR="00843043" w:rsidRDefault="00843043">
            <w:pPr>
              <w:jc w:val="center"/>
              <w:rPr>
                <w:sz w:val="20"/>
                <w:szCs w:val="20"/>
              </w:rPr>
            </w:pPr>
            <w:r w:rsidRPr="009A3E7A">
              <w:rPr>
                <w:sz w:val="20"/>
                <w:szCs w:val="20"/>
              </w:rPr>
              <w:t>16.5</w:t>
            </w:r>
          </w:p>
        </w:tc>
      </w:tr>
      <w:tr w:rsidR="00843043" w:rsidTr="00843043">
        <w:tc>
          <w:tcPr>
            <w:tcW w:w="2376" w:type="dxa"/>
            <w:tcBorders>
              <w:top w:val="single" w:sz="4" w:space="0" w:color="auto"/>
              <w:left w:val="single" w:sz="4" w:space="0" w:color="auto"/>
              <w:bottom w:val="single" w:sz="4" w:space="0" w:color="auto"/>
              <w:right w:val="single" w:sz="4" w:space="0" w:color="auto"/>
            </w:tcBorders>
            <w:hideMark/>
          </w:tcPr>
          <w:p w:rsidR="00843043" w:rsidRDefault="00843043">
            <w:pPr>
              <w:rPr>
                <w:sz w:val="20"/>
                <w:szCs w:val="20"/>
              </w:rPr>
            </w:pPr>
            <w:r>
              <w:rPr>
                <w:sz w:val="20"/>
                <w:szCs w:val="20"/>
              </w:rPr>
              <w:t xml:space="preserve">Mean number of injections during week 52 to week 96 </w:t>
            </w:r>
          </w:p>
        </w:tc>
        <w:tc>
          <w:tcPr>
            <w:tcW w:w="1086" w:type="dxa"/>
            <w:tcBorders>
              <w:top w:val="single" w:sz="4" w:space="0" w:color="auto"/>
              <w:left w:val="single" w:sz="4" w:space="0" w:color="auto"/>
              <w:bottom w:val="single" w:sz="4" w:space="0" w:color="auto"/>
              <w:right w:val="single" w:sz="4" w:space="0" w:color="auto"/>
            </w:tcBorders>
            <w:vAlign w:val="center"/>
          </w:tcPr>
          <w:p w:rsidR="00843043" w:rsidRPr="00AF2A15" w:rsidRDefault="00843043" w:rsidP="003501F8">
            <w:pPr>
              <w:ind w:left="-113" w:right="-113"/>
              <w:jc w:val="center"/>
              <w:rPr>
                <w:sz w:val="20"/>
                <w:szCs w:val="20"/>
              </w:rPr>
            </w:pPr>
            <w:r w:rsidRPr="00AF2A15">
              <w:rPr>
                <w:sz w:val="20"/>
                <w:szCs w:val="20"/>
              </w:rPr>
              <w:t>N/A</w:t>
            </w:r>
          </w:p>
        </w:tc>
        <w:tc>
          <w:tcPr>
            <w:tcW w:w="1087" w:type="dxa"/>
            <w:tcBorders>
              <w:top w:val="single" w:sz="4" w:space="0" w:color="auto"/>
              <w:left w:val="single" w:sz="4" w:space="0" w:color="auto"/>
              <w:bottom w:val="single" w:sz="4" w:space="0" w:color="auto"/>
              <w:right w:val="single" w:sz="4" w:space="0" w:color="auto"/>
            </w:tcBorders>
            <w:vAlign w:val="center"/>
          </w:tcPr>
          <w:p w:rsidR="00843043" w:rsidRPr="00AF2A15" w:rsidRDefault="00AD25C4" w:rsidP="00843043">
            <w:pPr>
              <w:ind w:left="-108" w:right="-73"/>
              <w:jc w:val="center"/>
              <w:rPr>
                <w:sz w:val="20"/>
                <w:szCs w:val="20"/>
              </w:rPr>
            </w:pPr>
            <w:r w:rsidRPr="00AF2A15">
              <w:rPr>
                <w:sz w:val="20"/>
                <w:szCs w:val="20"/>
              </w:rPr>
              <w:t>4.1</w:t>
            </w:r>
          </w:p>
        </w:tc>
        <w:tc>
          <w:tcPr>
            <w:tcW w:w="1087" w:type="dxa"/>
            <w:tcBorders>
              <w:top w:val="single" w:sz="4" w:space="0" w:color="auto"/>
              <w:left w:val="single" w:sz="4" w:space="0" w:color="auto"/>
              <w:bottom w:val="single" w:sz="4" w:space="0" w:color="auto"/>
              <w:right w:val="single" w:sz="4" w:space="0" w:color="auto"/>
            </w:tcBorders>
            <w:vAlign w:val="center"/>
            <w:hideMark/>
          </w:tcPr>
          <w:p w:rsidR="00843043" w:rsidRDefault="00843043" w:rsidP="00843043">
            <w:pPr>
              <w:ind w:left="-108" w:right="-73"/>
              <w:jc w:val="center"/>
              <w:rPr>
                <w:sz w:val="20"/>
                <w:szCs w:val="20"/>
              </w:rPr>
            </w:pPr>
            <w:r>
              <w:rPr>
                <w:sz w:val="20"/>
                <w:szCs w:val="20"/>
              </w:rPr>
              <w:t>N/A</w:t>
            </w:r>
          </w:p>
        </w:tc>
        <w:tc>
          <w:tcPr>
            <w:tcW w:w="1087" w:type="dxa"/>
            <w:tcBorders>
              <w:top w:val="single" w:sz="4" w:space="0" w:color="auto"/>
              <w:left w:val="single" w:sz="4" w:space="0" w:color="auto"/>
              <w:bottom w:val="single" w:sz="4" w:space="0" w:color="auto"/>
              <w:right w:val="single" w:sz="4" w:space="0" w:color="auto"/>
            </w:tcBorders>
            <w:vAlign w:val="center"/>
            <w:hideMark/>
          </w:tcPr>
          <w:p w:rsidR="00843043" w:rsidRDefault="00843043" w:rsidP="00843043">
            <w:pPr>
              <w:ind w:left="-72" w:right="-37"/>
              <w:jc w:val="center"/>
              <w:rPr>
                <w:sz w:val="20"/>
                <w:szCs w:val="20"/>
              </w:rPr>
            </w:pPr>
            <w:r w:rsidRPr="009A3E7A">
              <w:rPr>
                <w:sz w:val="20"/>
                <w:szCs w:val="20"/>
              </w:rPr>
              <w:t>4.2</w:t>
            </w:r>
          </w:p>
        </w:tc>
        <w:tc>
          <w:tcPr>
            <w:tcW w:w="1087" w:type="dxa"/>
            <w:tcBorders>
              <w:top w:val="single" w:sz="4" w:space="0" w:color="auto"/>
              <w:left w:val="single" w:sz="4" w:space="0" w:color="auto"/>
              <w:bottom w:val="single" w:sz="4" w:space="0" w:color="auto"/>
              <w:right w:val="single" w:sz="4" w:space="0" w:color="auto"/>
            </w:tcBorders>
            <w:vAlign w:val="center"/>
            <w:hideMark/>
          </w:tcPr>
          <w:p w:rsidR="00843043" w:rsidRDefault="00843043" w:rsidP="00843043">
            <w:pPr>
              <w:jc w:val="center"/>
              <w:rPr>
                <w:sz w:val="20"/>
                <w:szCs w:val="20"/>
              </w:rPr>
            </w:pPr>
            <w:r>
              <w:rPr>
                <w:sz w:val="20"/>
                <w:szCs w:val="20"/>
              </w:rPr>
              <w:t>N/A</w:t>
            </w:r>
          </w:p>
        </w:tc>
        <w:tc>
          <w:tcPr>
            <w:tcW w:w="1087" w:type="dxa"/>
            <w:tcBorders>
              <w:top w:val="single" w:sz="4" w:space="0" w:color="auto"/>
              <w:left w:val="single" w:sz="4" w:space="0" w:color="auto"/>
              <w:bottom w:val="single" w:sz="4" w:space="0" w:color="auto"/>
              <w:right w:val="single" w:sz="4" w:space="0" w:color="auto"/>
            </w:tcBorders>
            <w:vAlign w:val="center"/>
            <w:hideMark/>
          </w:tcPr>
          <w:p w:rsidR="00843043" w:rsidRDefault="00843043" w:rsidP="00843043">
            <w:pPr>
              <w:jc w:val="center"/>
              <w:rPr>
                <w:sz w:val="20"/>
                <w:szCs w:val="20"/>
              </w:rPr>
            </w:pPr>
            <w:r w:rsidRPr="009A3E7A">
              <w:rPr>
                <w:sz w:val="20"/>
                <w:szCs w:val="20"/>
              </w:rPr>
              <w:t>4.7</w:t>
            </w:r>
          </w:p>
        </w:tc>
      </w:tr>
      <w:tr w:rsidR="00843043" w:rsidTr="00843043">
        <w:tc>
          <w:tcPr>
            <w:tcW w:w="2376" w:type="dxa"/>
            <w:tcBorders>
              <w:top w:val="single" w:sz="4" w:space="0" w:color="auto"/>
              <w:left w:val="single" w:sz="4" w:space="0" w:color="auto"/>
              <w:bottom w:val="single" w:sz="4" w:space="0" w:color="auto"/>
              <w:right w:val="single" w:sz="4" w:space="0" w:color="auto"/>
            </w:tcBorders>
            <w:hideMark/>
          </w:tcPr>
          <w:p w:rsidR="00843043" w:rsidRDefault="00843043">
            <w:pPr>
              <w:rPr>
                <w:sz w:val="20"/>
                <w:szCs w:val="20"/>
              </w:rPr>
            </w:pPr>
            <w:r>
              <w:rPr>
                <w:sz w:val="20"/>
                <w:szCs w:val="20"/>
              </w:rPr>
              <w:t xml:space="preserve">Proportion of patients with maintained visual acuity (&lt;15 letters of BCVA </w:t>
            </w:r>
            <w:r>
              <w:rPr>
                <w:sz w:val="20"/>
                <w:szCs w:val="20"/>
                <w:vertAlign w:val="superscript"/>
              </w:rPr>
              <w:t>(a)</w:t>
            </w:r>
            <w:r>
              <w:rPr>
                <w:sz w:val="20"/>
                <w:szCs w:val="20"/>
              </w:rPr>
              <w:t xml:space="preserve"> loss) (Per Protocol Set) </w:t>
            </w:r>
            <w:r>
              <w:rPr>
                <w:sz w:val="20"/>
                <w:szCs w:val="20"/>
                <w:vertAlign w:val="superscript"/>
              </w:rPr>
              <w:t>*</w:t>
            </w:r>
          </w:p>
        </w:tc>
        <w:tc>
          <w:tcPr>
            <w:tcW w:w="1086" w:type="dxa"/>
            <w:tcBorders>
              <w:top w:val="single" w:sz="4" w:space="0" w:color="auto"/>
              <w:left w:val="single" w:sz="4" w:space="0" w:color="auto"/>
              <w:bottom w:val="single" w:sz="4" w:space="0" w:color="auto"/>
              <w:right w:val="single" w:sz="4" w:space="0" w:color="auto"/>
            </w:tcBorders>
            <w:vAlign w:val="center"/>
          </w:tcPr>
          <w:p w:rsidR="00843043" w:rsidRPr="00AF2A15" w:rsidRDefault="00843043" w:rsidP="003501F8">
            <w:pPr>
              <w:ind w:left="-113" w:right="-113"/>
              <w:jc w:val="center"/>
              <w:rPr>
                <w:sz w:val="20"/>
                <w:szCs w:val="20"/>
              </w:rPr>
            </w:pPr>
            <w:r w:rsidRPr="00AF2A15">
              <w:rPr>
                <w:sz w:val="20"/>
                <w:szCs w:val="20"/>
              </w:rPr>
              <w:t>95.35%</w:t>
            </w:r>
            <w:r w:rsidR="00AF2A15">
              <w:rPr>
                <w:sz w:val="20"/>
                <w:szCs w:val="20"/>
                <w:vertAlign w:val="superscript"/>
              </w:rPr>
              <w:t>(b</w:t>
            </w:r>
            <w:r w:rsidRPr="00AF2A15">
              <w:rPr>
                <w:sz w:val="20"/>
                <w:szCs w:val="20"/>
                <w:vertAlign w:val="superscript"/>
              </w:rPr>
              <w:t>)</w:t>
            </w:r>
          </w:p>
        </w:tc>
        <w:tc>
          <w:tcPr>
            <w:tcW w:w="1087" w:type="dxa"/>
            <w:tcBorders>
              <w:top w:val="single" w:sz="4" w:space="0" w:color="auto"/>
              <w:left w:val="single" w:sz="4" w:space="0" w:color="auto"/>
              <w:bottom w:val="single" w:sz="4" w:space="0" w:color="auto"/>
              <w:right w:val="single" w:sz="4" w:space="0" w:color="auto"/>
            </w:tcBorders>
            <w:vAlign w:val="center"/>
          </w:tcPr>
          <w:p w:rsidR="00843043" w:rsidRPr="00AF2A15" w:rsidRDefault="00843043">
            <w:pPr>
              <w:ind w:left="-108" w:right="-73"/>
              <w:jc w:val="center"/>
              <w:rPr>
                <w:sz w:val="20"/>
                <w:szCs w:val="20"/>
              </w:rPr>
            </w:pPr>
            <w:r w:rsidRPr="00AF2A15">
              <w:rPr>
                <w:sz w:val="20"/>
                <w:szCs w:val="20"/>
              </w:rPr>
              <w:t>92.17%</w:t>
            </w:r>
          </w:p>
        </w:tc>
        <w:tc>
          <w:tcPr>
            <w:tcW w:w="1087" w:type="dxa"/>
            <w:tcBorders>
              <w:top w:val="single" w:sz="4" w:space="0" w:color="auto"/>
              <w:left w:val="single" w:sz="4" w:space="0" w:color="auto"/>
              <w:bottom w:val="single" w:sz="4" w:space="0" w:color="auto"/>
              <w:right w:val="single" w:sz="4" w:space="0" w:color="auto"/>
            </w:tcBorders>
            <w:vAlign w:val="center"/>
            <w:hideMark/>
          </w:tcPr>
          <w:p w:rsidR="00843043" w:rsidRDefault="00843043">
            <w:pPr>
              <w:ind w:left="-108" w:right="-73"/>
              <w:jc w:val="center"/>
              <w:rPr>
                <w:sz w:val="20"/>
                <w:szCs w:val="20"/>
                <w:vertAlign w:val="superscript"/>
              </w:rPr>
            </w:pPr>
            <w:r>
              <w:rPr>
                <w:sz w:val="20"/>
                <w:szCs w:val="20"/>
              </w:rPr>
              <w:t>95.33%</w:t>
            </w:r>
            <w:r>
              <w:rPr>
                <w:sz w:val="20"/>
                <w:szCs w:val="20"/>
                <w:vertAlign w:val="superscript"/>
              </w:rPr>
              <w:t>(b)</w:t>
            </w:r>
          </w:p>
        </w:tc>
        <w:tc>
          <w:tcPr>
            <w:tcW w:w="1087" w:type="dxa"/>
            <w:tcBorders>
              <w:top w:val="single" w:sz="4" w:space="0" w:color="auto"/>
              <w:left w:val="single" w:sz="4" w:space="0" w:color="auto"/>
              <w:bottom w:val="single" w:sz="4" w:space="0" w:color="auto"/>
              <w:right w:val="single" w:sz="4" w:space="0" w:color="auto"/>
            </w:tcBorders>
            <w:vAlign w:val="center"/>
            <w:hideMark/>
          </w:tcPr>
          <w:p w:rsidR="00843043" w:rsidRDefault="00843043">
            <w:pPr>
              <w:ind w:left="-72" w:right="-37"/>
              <w:jc w:val="center"/>
              <w:rPr>
                <w:sz w:val="20"/>
                <w:szCs w:val="20"/>
              </w:rPr>
            </w:pPr>
            <w:r w:rsidRPr="009A3E7A">
              <w:rPr>
                <w:sz w:val="20"/>
                <w:szCs w:val="20"/>
              </w:rPr>
              <w:t>92.42%</w:t>
            </w:r>
          </w:p>
        </w:tc>
        <w:tc>
          <w:tcPr>
            <w:tcW w:w="1087" w:type="dxa"/>
            <w:tcBorders>
              <w:top w:val="single" w:sz="4" w:space="0" w:color="auto"/>
              <w:left w:val="single" w:sz="4" w:space="0" w:color="auto"/>
              <w:bottom w:val="single" w:sz="4" w:space="0" w:color="auto"/>
              <w:right w:val="single" w:sz="4" w:space="0" w:color="auto"/>
            </w:tcBorders>
            <w:vAlign w:val="center"/>
            <w:hideMark/>
          </w:tcPr>
          <w:p w:rsidR="00843043" w:rsidRDefault="00843043">
            <w:pPr>
              <w:jc w:val="center"/>
              <w:rPr>
                <w:sz w:val="20"/>
                <w:szCs w:val="20"/>
              </w:rPr>
            </w:pPr>
            <w:r>
              <w:rPr>
                <w:sz w:val="20"/>
                <w:szCs w:val="20"/>
              </w:rPr>
              <w:t>94.42%</w:t>
            </w:r>
            <w:r>
              <w:rPr>
                <w:sz w:val="20"/>
                <w:szCs w:val="20"/>
                <w:vertAlign w:val="superscript"/>
              </w:rPr>
              <w:t>(b)</w:t>
            </w:r>
          </w:p>
        </w:tc>
        <w:tc>
          <w:tcPr>
            <w:tcW w:w="1087" w:type="dxa"/>
            <w:tcBorders>
              <w:top w:val="single" w:sz="4" w:space="0" w:color="auto"/>
              <w:left w:val="single" w:sz="4" w:space="0" w:color="auto"/>
              <w:bottom w:val="single" w:sz="4" w:space="0" w:color="auto"/>
              <w:right w:val="single" w:sz="4" w:space="0" w:color="auto"/>
            </w:tcBorders>
            <w:vAlign w:val="center"/>
            <w:hideMark/>
          </w:tcPr>
          <w:p w:rsidR="00843043" w:rsidRDefault="00843043">
            <w:pPr>
              <w:jc w:val="center"/>
              <w:rPr>
                <w:sz w:val="20"/>
                <w:szCs w:val="20"/>
              </w:rPr>
            </w:pPr>
            <w:r w:rsidRPr="009A3E7A">
              <w:rPr>
                <w:sz w:val="20"/>
                <w:szCs w:val="20"/>
              </w:rPr>
              <w:t>91.60%</w:t>
            </w:r>
          </w:p>
        </w:tc>
      </w:tr>
      <w:tr w:rsidR="00843043" w:rsidTr="00843043">
        <w:tc>
          <w:tcPr>
            <w:tcW w:w="2376" w:type="dxa"/>
            <w:tcBorders>
              <w:top w:val="single" w:sz="4" w:space="0" w:color="auto"/>
              <w:left w:val="single" w:sz="4" w:space="0" w:color="auto"/>
              <w:bottom w:val="single" w:sz="4" w:space="0" w:color="auto"/>
              <w:right w:val="single" w:sz="4" w:space="0" w:color="auto"/>
            </w:tcBorders>
            <w:hideMark/>
          </w:tcPr>
          <w:p w:rsidR="00843043" w:rsidRDefault="00843043">
            <w:pPr>
              <w:ind w:left="142"/>
              <w:rPr>
                <w:sz w:val="20"/>
                <w:szCs w:val="20"/>
              </w:rPr>
            </w:pPr>
            <w:r>
              <w:rPr>
                <w:sz w:val="20"/>
                <w:szCs w:val="20"/>
              </w:rPr>
              <w:t xml:space="preserve">Difference </w:t>
            </w:r>
            <w:r>
              <w:rPr>
                <w:sz w:val="20"/>
                <w:szCs w:val="20"/>
                <w:vertAlign w:val="superscript"/>
              </w:rPr>
              <w:t>(c)</w:t>
            </w:r>
          </w:p>
          <w:p w:rsidR="00843043" w:rsidRDefault="00843043">
            <w:pPr>
              <w:ind w:left="142"/>
              <w:rPr>
                <w:sz w:val="20"/>
                <w:szCs w:val="20"/>
              </w:rPr>
            </w:pPr>
            <w:r>
              <w:rPr>
                <w:sz w:val="20"/>
                <w:szCs w:val="20"/>
              </w:rPr>
              <w:t xml:space="preserve">(95% CI) </w:t>
            </w:r>
            <w:r>
              <w:rPr>
                <w:sz w:val="20"/>
                <w:szCs w:val="20"/>
                <w:vertAlign w:val="superscript"/>
              </w:rPr>
              <w:t>(d)</w:t>
            </w:r>
          </w:p>
        </w:tc>
        <w:tc>
          <w:tcPr>
            <w:tcW w:w="1086" w:type="dxa"/>
            <w:tcBorders>
              <w:top w:val="single" w:sz="4" w:space="0" w:color="auto"/>
              <w:left w:val="single" w:sz="4" w:space="0" w:color="auto"/>
              <w:bottom w:val="single" w:sz="4" w:space="0" w:color="auto"/>
              <w:right w:val="single" w:sz="4" w:space="0" w:color="auto"/>
            </w:tcBorders>
            <w:vAlign w:val="center"/>
          </w:tcPr>
          <w:p w:rsidR="00843043" w:rsidRPr="00AF2A15" w:rsidRDefault="00843043" w:rsidP="003501F8">
            <w:pPr>
              <w:ind w:left="-113" w:right="-113"/>
              <w:jc w:val="center"/>
              <w:rPr>
                <w:sz w:val="20"/>
                <w:szCs w:val="20"/>
              </w:rPr>
            </w:pPr>
            <w:r w:rsidRPr="00AF2A15">
              <w:rPr>
                <w:sz w:val="20"/>
                <w:szCs w:val="20"/>
              </w:rPr>
              <w:t>0.9%</w:t>
            </w:r>
            <w:r w:rsidRPr="00AF2A15">
              <w:rPr>
                <w:sz w:val="20"/>
                <w:szCs w:val="20"/>
              </w:rPr>
              <w:br/>
              <w:t>(</w:t>
            </w:r>
            <w:r w:rsidRPr="00AF2A15">
              <w:rPr>
                <w:sz w:val="20"/>
                <w:szCs w:val="20"/>
              </w:rPr>
              <w:noBreakHyphen/>
              <w:t>1.7, 3.5)</w:t>
            </w:r>
            <w:r w:rsidRPr="00AF2A15">
              <w:rPr>
                <w:sz w:val="20"/>
                <w:szCs w:val="20"/>
                <w:vertAlign w:val="superscript"/>
              </w:rPr>
              <w:t>(f)</w:t>
            </w:r>
          </w:p>
        </w:tc>
        <w:tc>
          <w:tcPr>
            <w:tcW w:w="1087" w:type="dxa"/>
            <w:tcBorders>
              <w:top w:val="single" w:sz="4" w:space="0" w:color="auto"/>
              <w:left w:val="single" w:sz="4" w:space="0" w:color="auto"/>
              <w:bottom w:val="single" w:sz="4" w:space="0" w:color="auto"/>
              <w:right w:val="single" w:sz="4" w:space="0" w:color="auto"/>
            </w:tcBorders>
            <w:vAlign w:val="center"/>
          </w:tcPr>
          <w:p w:rsidR="00843043" w:rsidRPr="00AF2A15" w:rsidRDefault="00843043">
            <w:pPr>
              <w:ind w:left="-108" w:right="-73"/>
              <w:jc w:val="center"/>
              <w:rPr>
                <w:sz w:val="20"/>
                <w:szCs w:val="20"/>
              </w:rPr>
            </w:pPr>
            <w:r w:rsidRPr="00AF2A15">
              <w:rPr>
                <w:sz w:val="20"/>
                <w:szCs w:val="20"/>
              </w:rPr>
              <w:t>0.6%</w:t>
            </w:r>
            <w:r w:rsidRPr="00AF2A15">
              <w:rPr>
                <w:sz w:val="20"/>
                <w:szCs w:val="20"/>
              </w:rPr>
              <w:br/>
              <w:t>(</w:t>
            </w:r>
            <w:r w:rsidRPr="00AF2A15">
              <w:rPr>
                <w:sz w:val="20"/>
                <w:szCs w:val="20"/>
              </w:rPr>
              <w:noBreakHyphen/>
              <w:t>2.5, 3.6)</w:t>
            </w:r>
            <w:r w:rsidRPr="00AF2A15">
              <w:rPr>
                <w:sz w:val="20"/>
                <w:szCs w:val="20"/>
                <w:vertAlign w:val="superscript"/>
              </w:rPr>
              <w:t>(f)</w:t>
            </w:r>
          </w:p>
        </w:tc>
        <w:tc>
          <w:tcPr>
            <w:tcW w:w="1087" w:type="dxa"/>
            <w:tcBorders>
              <w:top w:val="single" w:sz="4" w:space="0" w:color="auto"/>
              <w:left w:val="single" w:sz="4" w:space="0" w:color="auto"/>
              <w:bottom w:val="single" w:sz="4" w:space="0" w:color="auto"/>
              <w:right w:val="single" w:sz="4" w:space="0" w:color="auto"/>
            </w:tcBorders>
            <w:vAlign w:val="center"/>
            <w:hideMark/>
          </w:tcPr>
          <w:p w:rsidR="00843043" w:rsidRDefault="00843043">
            <w:pPr>
              <w:ind w:left="-108" w:right="-73"/>
              <w:jc w:val="center"/>
              <w:rPr>
                <w:sz w:val="20"/>
                <w:szCs w:val="20"/>
              </w:rPr>
            </w:pPr>
            <w:r>
              <w:rPr>
                <w:sz w:val="20"/>
                <w:szCs w:val="20"/>
              </w:rPr>
              <w:t>0.9%</w:t>
            </w:r>
          </w:p>
          <w:p w:rsidR="00843043" w:rsidRDefault="00843043">
            <w:pPr>
              <w:ind w:left="-108" w:right="-73"/>
              <w:jc w:val="center"/>
              <w:rPr>
                <w:sz w:val="20"/>
                <w:szCs w:val="20"/>
              </w:rPr>
            </w:pPr>
            <w:r>
              <w:rPr>
                <w:sz w:val="20"/>
                <w:szCs w:val="20"/>
              </w:rPr>
              <w:t>(-1.7, 3.5)</w:t>
            </w:r>
            <w:r>
              <w:rPr>
                <w:sz w:val="20"/>
                <w:szCs w:val="20"/>
                <w:vertAlign w:val="superscript"/>
              </w:rPr>
              <w:t>(f)</w:t>
            </w:r>
          </w:p>
        </w:tc>
        <w:tc>
          <w:tcPr>
            <w:tcW w:w="1087" w:type="dxa"/>
            <w:tcBorders>
              <w:top w:val="single" w:sz="4" w:space="0" w:color="auto"/>
              <w:left w:val="single" w:sz="4" w:space="0" w:color="auto"/>
              <w:bottom w:val="single" w:sz="4" w:space="0" w:color="auto"/>
              <w:right w:val="single" w:sz="4" w:space="0" w:color="auto"/>
            </w:tcBorders>
            <w:vAlign w:val="center"/>
            <w:hideMark/>
          </w:tcPr>
          <w:p w:rsidR="00843043" w:rsidRDefault="00843043">
            <w:pPr>
              <w:ind w:left="-72" w:right="-37"/>
              <w:jc w:val="center"/>
              <w:rPr>
                <w:sz w:val="20"/>
                <w:szCs w:val="20"/>
                <w:vertAlign w:val="superscript"/>
              </w:rPr>
            </w:pPr>
            <w:r w:rsidRPr="009A3E7A">
              <w:rPr>
                <w:sz w:val="20"/>
                <w:szCs w:val="20"/>
              </w:rPr>
              <w:t>0.8%</w:t>
            </w:r>
            <w:r w:rsidRPr="009A3E7A">
              <w:rPr>
                <w:sz w:val="20"/>
                <w:szCs w:val="20"/>
              </w:rPr>
              <w:br/>
              <w:t>(-2.3, 3.8)</w:t>
            </w:r>
            <w:r w:rsidRPr="009A3E7A">
              <w:rPr>
                <w:sz w:val="20"/>
                <w:szCs w:val="20"/>
                <w:vertAlign w:val="superscript"/>
              </w:rPr>
              <w:t>(f)</w:t>
            </w:r>
          </w:p>
        </w:tc>
        <w:tc>
          <w:tcPr>
            <w:tcW w:w="1087" w:type="dxa"/>
            <w:tcBorders>
              <w:top w:val="single" w:sz="4" w:space="0" w:color="auto"/>
              <w:left w:val="single" w:sz="4" w:space="0" w:color="auto"/>
              <w:bottom w:val="single" w:sz="4" w:space="0" w:color="auto"/>
              <w:right w:val="single" w:sz="4" w:space="0" w:color="auto"/>
            </w:tcBorders>
            <w:vAlign w:val="center"/>
            <w:hideMark/>
          </w:tcPr>
          <w:p w:rsidR="00843043" w:rsidRDefault="00843043">
            <w:pPr>
              <w:jc w:val="center"/>
              <w:rPr>
                <w:sz w:val="20"/>
                <w:szCs w:val="20"/>
              </w:rPr>
            </w:pPr>
            <w:r>
              <w:rPr>
                <w:sz w:val="20"/>
                <w:szCs w:val="20"/>
              </w:rPr>
              <w:t>N/A</w:t>
            </w:r>
          </w:p>
        </w:tc>
        <w:tc>
          <w:tcPr>
            <w:tcW w:w="1087" w:type="dxa"/>
            <w:tcBorders>
              <w:top w:val="single" w:sz="4" w:space="0" w:color="auto"/>
              <w:left w:val="single" w:sz="4" w:space="0" w:color="auto"/>
              <w:bottom w:val="single" w:sz="4" w:space="0" w:color="auto"/>
              <w:right w:val="single" w:sz="4" w:space="0" w:color="auto"/>
            </w:tcBorders>
            <w:vAlign w:val="center"/>
            <w:hideMark/>
          </w:tcPr>
          <w:p w:rsidR="00843043" w:rsidRDefault="00843043">
            <w:pPr>
              <w:jc w:val="center"/>
              <w:rPr>
                <w:sz w:val="20"/>
                <w:szCs w:val="20"/>
              </w:rPr>
            </w:pPr>
            <w:r w:rsidRPr="009A3E7A">
              <w:rPr>
                <w:sz w:val="20"/>
                <w:szCs w:val="20"/>
              </w:rPr>
              <w:t>N/A</w:t>
            </w:r>
          </w:p>
        </w:tc>
      </w:tr>
      <w:tr w:rsidR="00843043" w:rsidTr="00843043">
        <w:tc>
          <w:tcPr>
            <w:tcW w:w="2376" w:type="dxa"/>
            <w:tcBorders>
              <w:top w:val="single" w:sz="4" w:space="0" w:color="auto"/>
              <w:left w:val="single" w:sz="4" w:space="0" w:color="auto"/>
              <w:bottom w:val="single" w:sz="4" w:space="0" w:color="auto"/>
              <w:right w:val="single" w:sz="4" w:space="0" w:color="auto"/>
            </w:tcBorders>
            <w:hideMark/>
          </w:tcPr>
          <w:p w:rsidR="00843043" w:rsidRDefault="00843043">
            <w:pPr>
              <w:rPr>
                <w:sz w:val="20"/>
                <w:szCs w:val="20"/>
              </w:rPr>
            </w:pPr>
            <w:r>
              <w:rPr>
                <w:sz w:val="20"/>
                <w:szCs w:val="20"/>
              </w:rPr>
              <w:t xml:space="preserve">Mean change in BCVA as measured by ETDRS </w:t>
            </w:r>
            <w:r>
              <w:rPr>
                <w:sz w:val="20"/>
                <w:szCs w:val="20"/>
                <w:vertAlign w:val="superscript"/>
              </w:rPr>
              <w:t>(a)</w:t>
            </w:r>
            <w:r>
              <w:rPr>
                <w:sz w:val="20"/>
                <w:szCs w:val="20"/>
              </w:rPr>
              <w:t xml:space="preserve"> letter score from baseline </w:t>
            </w:r>
            <w:r>
              <w:rPr>
                <w:sz w:val="20"/>
                <w:szCs w:val="20"/>
                <w:vertAlign w:val="superscript"/>
              </w:rPr>
              <w:t>#</w:t>
            </w:r>
            <w:r>
              <w:rPr>
                <w:sz w:val="20"/>
                <w:szCs w:val="20"/>
              </w:rPr>
              <w:t xml:space="preserve"> </w:t>
            </w:r>
          </w:p>
        </w:tc>
        <w:tc>
          <w:tcPr>
            <w:tcW w:w="1086" w:type="dxa"/>
            <w:tcBorders>
              <w:top w:val="single" w:sz="4" w:space="0" w:color="auto"/>
              <w:left w:val="single" w:sz="4" w:space="0" w:color="auto"/>
              <w:bottom w:val="single" w:sz="4" w:space="0" w:color="auto"/>
              <w:right w:val="single" w:sz="4" w:space="0" w:color="auto"/>
            </w:tcBorders>
            <w:vAlign w:val="center"/>
          </w:tcPr>
          <w:p w:rsidR="00843043" w:rsidRPr="00AF2A15" w:rsidRDefault="00843043" w:rsidP="003501F8">
            <w:pPr>
              <w:ind w:left="-113" w:right="-113"/>
              <w:jc w:val="center"/>
              <w:rPr>
                <w:sz w:val="20"/>
                <w:szCs w:val="20"/>
              </w:rPr>
            </w:pPr>
            <w:r w:rsidRPr="00AF2A15">
              <w:rPr>
                <w:sz w:val="20"/>
                <w:szCs w:val="20"/>
              </w:rPr>
              <w:t>9.26</w:t>
            </w:r>
          </w:p>
        </w:tc>
        <w:tc>
          <w:tcPr>
            <w:tcW w:w="1087" w:type="dxa"/>
            <w:tcBorders>
              <w:top w:val="single" w:sz="4" w:space="0" w:color="auto"/>
              <w:left w:val="single" w:sz="4" w:space="0" w:color="auto"/>
              <w:bottom w:val="single" w:sz="4" w:space="0" w:color="auto"/>
              <w:right w:val="single" w:sz="4" w:space="0" w:color="auto"/>
            </w:tcBorders>
            <w:vAlign w:val="center"/>
          </w:tcPr>
          <w:p w:rsidR="00843043" w:rsidRPr="00AF2A15" w:rsidRDefault="00843043">
            <w:pPr>
              <w:ind w:left="-108" w:right="-73"/>
              <w:jc w:val="center"/>
              <w:rPr>
                <w:sz w:val="20"/>
                <w:szCs w:val="20"/>
              </w:rPr>
            </w:pPr>
            <w:r w:rsidRPr="00AF2A15">
              <w:rPr>
                <w:sz w:val="20"/>
                <w:szCs w:val="20"/>
              </w:rPr>
              <w:t>7.60</w:t>
            </w:r>
          </w:p>
        </w:tc>
        <w:tc>
          <w:tcPr>
            <w:tcW w:w="1087" w:type="dxa"/>
            <w:tcBorders>
              <w:top w:val="single" w:sz="4" w:space="0" w:color="auto"/>
              <w:left w:val="single" w:sz="4" w:space="0" w:color="auto"/>
              <w:bottom w:val="single" w:sz="4" w:space="0" w:color="auto"/>
              <w:right w:val="single" w:sz="4" w:space="0" w:color="auto"/>
            </w:tcBorders>
            <w:vAlign w:val="center"/>
            <w:hideMark/>
          </w:tcPr>
          <w:p w:rsidR="00843043" w:rsidRDefault="00843043">
            <w:pPr>
              <w:ind w:left="-108" w:right="-73"/>
              <w:jc w:val="center"/>
              <w:rPr>
                <w:sz w:val="20"/>
                <w:szCs w:val="20"/>
              </w:rPr>
            </w:pPr>
            <w:r>
              <w:rPr>
                <w:sz w:val="20"/>
                <w:szCs w:val="20"/>
              </w:rPr>
              <w:t>8.40</w:t>
            </w:r>
          </w:p>
        </w:tc>
        <w:tc>
          <w:tcPr>
            <w:tcW w:w="1087" w:type="dxa"/>
            <w:tcBorders>
              <w:top w:val="single" w:sz="4" w:space="0" w:color="auto"/>
              <w:left w:val="single" w:sz="4" w:space="0" w:color="auto"/>
              <w:bottom w:val="single" w:sz="4" w:space="0" w:color="auto"/>
              <w:right w:val="single" w:sz="4" w:space="0" w:color="auto"/>
            </w:tcBorders>
            <w:vAlign w:val="center"/>
            <w:hideMark/>
          </w:tcPr>
          <w:p w:rsidR="00843043" w:rsidRDefault="00843043">
            <w:pPr>
              <w:ind w:left="-72" w:right="-37"/>
              <w:jc w:val="center"/>
              <w:rPr>
                <w:sz w:val="20"/>
                <w:szCs w:val="20"/>
              </w:rPr>
            </w:pPr>
            <w:r w:rsidRPr="009A3E7A">
              <w:rPr>
                <w:sz w:val="20"/>
                <w:szCs w:val="20"/>
              </w:rPr>
              <w:t>7.62</w:t>
            </w:r>
          </w:p>
        </w:tc>
        <w:tc>
          <w:tcPr>
            <w:tcW w:w="1087" w:type="dxa"/>
            <w:tcBorders>
              <w:top w:val="single" w:sz="4" w:space="0" w:color="auto"/>
              <w:left w:val="single" w:sz="4" w:space="0" w:color="auto"/>
              <w:bottom w:val="single" w:sz="4" w:space="0" w:color="auto"/>
              <w:right w:val="single" w:sz="4" w:space="0" w:color="auto"/>
            </w:tcBorders>
            <w:vAlign w:val="center"/>
            <w:hideMark/>
          </w:tcPr>
          <w:p w:rsidR="00843043" w:rsidRDefault="00843043">
            <w:pPr>
              <w:jc w:val="center"/>
              <w:rPr>
                <w:sz w:val="20"/>
                <w:szCs w:val="20"/>
              </w:rPr>
            </w:pPr>
            <w:r>
              <w:rPr>
                <w:sz w:val="20"/>
                <w:szCs w:val="20"/>
              </w:rPr>
              <w:t>8.74</w:t>
            </w:r>
          </w:p>
        </w:tc>
        <w:tc>
          <w:tcPr>
            <w:tcW w:w="1087" w:type="dxa"/>
            <w:tcBorders>
              <w:top w:val="single" w:sz="4" w:space="0" w:color="auto"/>
              <w:left w:val="single" w:sz="4" w:space="0" w:color="auto"/>
              <w:bottom w:val="single" w:sz="4" w:space="0" w:color="auto"/>
              <w:right w:val="single" w:sz="4" w:space="0" w:color="auto"/>
            </w:tcBorders>
            <w:vAlign w:val="center"/>
            <w:hideMark/>
          </w:tcPr>
          <w:p w:rsidR="00843043" w:rsidRDefault="00843043">
            <w:pPr>
              <w:jc w:val="center"/>
              <w:rPr>
                <w:sz w:val="20"/>
                <w:szCs w:val="20"/>
              </w:rPr>
            </w:pPr>
            <w:r w:rsidRPr="009A3E7A">
              <w:rPr>
                <w:sz w:val="20"/>
                <w:szCs w:val="20"/>
              </w:rPr>
              <w:t>7.89</w:t>
            </w:r>
          </w:p>
        </w:tc>
      </w:tr>
      <w:tr w:rsidR="00843043" w:rsidTr="00843043">
        <w:tc>
          <w:tcPr>
            <w:tcW w:w="2376" w:type="dxa"/>
            <w:tcBorders>
              <w:top w:val="single" w:sz="4" w:space="0" w:color="auto"/>
              <w:left w:val="single" w:sz="4" w:space="0" w:color="auto"/>
              <w:bottom w:val="single" w:sz="4" w:space="0" w:color="auto"/>
              <w:right w:val="single" w:sz="4" w:space="0" w:color="auto"/>
            </w:tcBorders>
            <w:hideMark/>
          </w:tcPr>
          <w:p w:rsidR="00843043" w:rsidRDefault="00843043">
            <w:pPr>
              <w:ind w:left="142"/>
              <w:rPr>
                <w:sz w:val="20"/>
                <w:szCs w:val="20"/>
              </w:rPr>
            </w:pPr>
            <w:r>
              <w:rPr>
                <w:sz w:val="20"/>
                <w:szCs w:val="20"/>
              </w:rPr>
              <w:t xml:space="preserve">Difference in LS </w:t>
            </w:r>
            <w:r>
              <w:rPr>
                <w:sz w:val="20"/>
                <w:szCs w:val="20"/>
                <w:vertAlign w:val="superscript"/>
              </w:rPr>
              <w:t>(a)</w:t>
            </w:r>
            <w:r>
              <w:rPr>
                <w:sz w:val="20"/>
                <w:szCs w:val="20"/>
              </w:rPr>
              <w:t xml:space="preserve"> mean (ETDRS letters) </w:t>
            </w:r>
            <w:r>
              <w:rPr>
                <w:sz w:val="20"/>
                <w:szCs w:val="20"/>
                <w:vertAlign w:val="superscript"/>
              </w:rPr>
              <w:t>(c)</w:t>
            </w:r>
          </w:p>
          <w:p w:rsidR="00843043" w:rsidRDefault="00843043">
            <w:pPr>
              <w:ind w:left="142"/>
              <w:rPr>
                <w:sz w:val="20"/>
                <w:szCs w:val="20"/>
              </w:rPr>
            </w:pPr>
            <w:r>
              <w:rPr>
                <w:sz w:val="20"/>
                <w:szCs w:val="20"/>
              </w:rPr>
              <w:t xml:space="preserve">(95% CI) </w:t>
            </w:r>
            <w:r>
              <w:rPr>
                <w:sz w:val="20"/>
                <w:szCs w:val="20"/>
                <w:vertAlign w:val="superscript"/>
              </w:rPr>
              <w:t>(d)</w:t>
            </w:r>
          </w:p>
        </w:tc>
        <w:tc>
          <w:tcPr>
            <w:tcW w:w="1086" w:type="dxa"/>
            <w:tcBorders>
              <w:top w:val="single" w:sz="4" w:space="0" w:color="auto"/>
              <w:left w:val="single" w:sz="4" w:space="0" w:color="auto"/>
              <w:bottom w:val="single" w:sz="4" w:space="0" w:color="auto"/>
              <w:right w:val="single" w:sz="4" w:space="0" w:color="auto"/>
            </w:tcBorders>
            <w:vAlign w:val="center"/>
          </w:tcPr>
          <w:p w:rsidR="00843043" w:rsidRPr="00AF2A15" w:rsidRDefault="00843043" w:rsidP="003501F8">
            <w:pPr>
              <w:ind w:left="-113" w:right="-113"/>
              <w:jc w:val="center"/>
              <w:rPr>
                <w:sz w:val="20"/>
                <w:szCs w:val="20"/>
              </w:rPr>
            </w:pPr>
            <w:r w:rsidRPr="00AF2A15">
              <w:rPr>
                <w:sz w:val="20"/>
                <w:szCs w:val="20"/>
              </w:rPr>
              <w:t>0.60</w:t>
            </w:r>
            <w:r w:rsidRPr="00AF2A15">
              <w:rPr>
                <w:sz w:val="20"/>
                <w:szCs w:val="20"/>
              </w:rPr>
              <w:br/>
              <w:t>(</w:t>
            </w:r>
            <w:r w:rsidRPr="00AF2A15">
              <w:rPr>
                <w:sz w:val="20"/>
                <w:szCs w:val="20"/>
              </w:rPr>
              <w:noBreakHyphen/>
              <w:t>0.94, 2.14)</w:t>
            </w:r>
          </w:p>
        </w:tc>
        <w:tc>
          <w:tcPr>
            <w:tcW w:w="1087" w:type="dxa"/>
            <w:tcBorders>
              <w:top w:val="single" w:sz="4" w:space="0" w:color="auto"/>
              <w:left w:val="single" w:sz="4" w:space="0" w:color="auto"/>
              <w:bottom w:val="single" w:sz="4" w:space="0" w:color="auto"/>
              <w:right w:val="single" w:sz="4" w:space="0" w:color="auto"/>
            </w:tcBorders>
            <w:vAlign w:val="center"/>
          </w:tcPr>
          <w:p w:rsidR="00843043" w:rsidRPr="00AF2A15" w:rsidRDefault="00843043">
            <w:pPr>
              <w:ind w:left="-108" w:right="-73"/>
              <w:jc w:val="center"/>
              <w:rPr>
                <w:sz w:val="20"/>
                <w:szCs w:val="20"/>
              </w:rPr>
            </w:pPr>
            <w:r w:rsidRPr="00AF2A15">
              <w:rPr>
                <w:sz w:val="20"/>
                <w:szCs w:val="20"/>
              </w:rPr>
              <w:noBreakHyphen/>
              <w:t>0.20</w:t>
            </w:r>
            <w:r w:rsidRPr="00AF2A15">
              <w:rPr>
                <w:sz w:val="20"/>
                <w:szCs w:val="20"/>
              </w:rPr>
              <w:br/>
              <w:t>(</w:t>
            </w:r>
            <w:r w:rsidRPr="00AF2A15">
              <w:rPr>
                <w:sz w:val="20"/>
                <w:szCs w:val="20"/>
              </w:rPr>
              <w:noBreakHyphen/>
              <w:t>1.93, 1.53)</w:t>
            </w:r>
          </w:p>
        </w:tc>
        <w:tc>
          <w:tcPr>
            <w:tcW w:w="1087" w:type="dxa"/>
            <w:tcBorders>
              <w:top w:val="single" w:sz="4" w:space="0" w:color="auto"/>
              <w:left w:val="single" w:sz="4" w:space="0" w:color="auto"/>
              <w:bottom w:val="single" w:sz="4" w:space="0" w:color="auto"/>
              <w:right w:val="single" w:sz="4" w:space="0" w:color="auto"/>
            </w:tcBorders>
            <w:vAlign w:val="center"/>
            <w:hideMark/>
          </w:tcPr>
          <w:p w:rsidR="00843043" w:rsidRDefault="00843043">
            <w:pPr>
              <w:ind w:left="-108" w:right="-73"/>
              <w:jc w:val="center"/>
              <w:rPr>
                <w:sz w:val="20"/>
                <w:szCs w:val="20"/>
              </w:rPr>
            </w:pPr>
            <w:r>
              <w:rPr>
                <w:sz w:val="20"/>
                <w:szCs w:val="20"/>
              </w:rPr>
              <w:t>-0.32</w:t>
            </w:r>
          </w:p>
          <w:p w:rsidR="00843043" w:rsidRDefault="00843043">
            <w:pPr>
              <w:ind w:left="-108" w:right="-73"/>
              <w:jc w:val="center"/>
              <w:rPr>
                <w:sz w:val="20"/>
                <w:szCs w:val="20"/>
              </w:rPr>
            </w:pPr>
            <w:r>
              <w:rPr>
                <w:sz w:val="20"/>
                <w:szCs w:val="20"/>
              </w:rPr>
              <w:t>(-1.87, 1.23)</w:t>
            </w:r>
          </w:p>
        </w:tc>
        <w:tc>
          <w:tcPr>
            <w:tcW w:w="1087" w:type="dxa"/>
            <w:tcBorders>
              <w:top w:val="single" w:sz="4" w:space="0" w:color="auto"/>
              <w:left w:val="single" w:sz="4" w:space="0" w:color="auto"/>
              <w:bottom w:val="single" w:sz="4" w:space="0" w:color="auto"/>
              <w:right w:val="single" w:sz="4" w:space="0" w:color="auto"/>
            </w:tcBorders>
            <w:vAlign w:val="center"/>
            <w:hideMark/>
          </w:tcPr>
          <w:p w:rsidR="00843043" w:rsidRDefault="00843043" w:rsidP="00AD25C4">
            <w:pPr>
              <w:ind w:left="-113" w:right="-113"/>
              <w:jc w:val="center"/>
              <w:rPr>
                <w:sz w:val="20"/>
                <w:szCs w:val="20"/>
              </w:rPr>
            </w:pPr>
            <w:r w:rsidRPr="009A3E7A">
              <w:rPr>
                <w:sz w:val="20"/>
                <w:szCs w:val="20"/>
              </w:rPr>
              <w:t>-0.25</w:t>
            </w:r>
            <w:r w:rsidRPr="009A3E7A">
              <w:rPr>
                <w:sz w:val="20"/>
                <w:szCs w:val="20"/>
              </w:rPr>
              <w:br/>
              <w:t>(-1.98, 1.49)</w:t>
            </w:r>
          </w:p>
        </w:tc>
        <w:tc>
          <w:tcPr>
            <w:tcW w:w="1087" w:type="dxa"/>
            <w:tcBorders>
              <w:top w:val="single" w:sz="4" w:space="0" w:color="auto"/>
              <w:left w:val="single" w:sz="4" w:space="0" w:color="auto"/>
              <w:bottom w:val="single" w:sz="4" w:space="0" w:color="auto"/>
              <w:right w:val="single" w:sz="4" w:space="0" w:color="auto"/>
            </w:tcBorders>
            <w:vAlign w:val="center"/>
            <w:hideMark/>
          </w:tcPr>
          <w:p w:rsidR="00843043" w:rsidRDefault="00843043">
            <w:pPr>
              <w:jc w:val="center"/>
              <w:rPr>
                <w:sz w:val="20"/>
                <w:szCs w:val="20"/>
              </w:rPr>
            </w:pPr>
            <w:r>
              <w:rPr>
                <w:sz w:val="20"/>
                <w:szCs w:val="20"/>
              </w:rPr>
              <w:t>N/A</w:t>
            </w:r>
          </w:p>
        </w:tc>
        <w:tc>
          <w:tcPr>
            <w:tcW w:w="1087" w:type="dxa"/>
            <w:tcBorders>
              <w:top w:val="single" w:sz="4" w:space="0" w:color="auto"/>
              <w:left w:val="single" w:sz="4" w:space="0" w:color="auto"/>
              <w:bottom w:val="single" w:sz="4" w:space="0" w:color="auto"/>
              <w:right w:val="single" w:sz="4" w:space="0" w:color="auto"/>
            </w:tcBorders>
            <w:vAlign w:val="center"/>
            <w:hideMark/>
          </w:tcPr>
          <w:p w:rsidR="00843043" w:rsidRDefault="00843043">
            <w:pPr>
              <w:jc w:val="center"/>
              <w:rPr>
                <w:sz w:val="20"/>
                <w:szCs w:val="20"/>
              </w:rPr>
            </w:pPr>
            <w:r w:rsidRPr="009A3E7A">
              <w:rPr>
                <w:sz w:val="20"/>
                <w:szCs w:val="20"/>
              </w:rPr>
              <w:t>N/A</w:t>
            </w:r>
          </w:p>
        </w:tc>
      </w:tr>
      <w:tr w:rsidR="00843043" w:rsidTr="00843043">
        <w:tc>
          <w:tcPr>
            <w:tcW w:w="2376" w:type="dxa"/>
            <w:tcBorders>
              <w:top w:val="single" w:sz="4" w:space="0" w:color="auto"/>
              <w:left w:val="single" w:sz="4" w:space="0" w:color="auto"/>
              <w:bottom w:val="single" w:sz="4" w:space="0" w:color="auto"/>
              <w:right w:val="single" w:sz="4" w:space="0" w:color="auto"/>
            </w:tcBorders>
            <w:hideMark/>
          </w:tcPr>
          <w:p w:rsidR="00843043" w:rsidRDefault="00843043">
            <w:pPr>
              <w:rPr>
                <w:sz w:val="20"/>
                <w:szCs w:val="20"/>
              </w:rPr>
            </w:pPr>
            <w:r>
              <w:rPr>
                <w:sz w:val="20"/>
                <w:szCs w:val="20"/>
              </w:rPr>
              <w:t xml:space="preserve">Proportion of patients who gained at least 15 letters of vision from baseline </w:t>
            </w:r>
            <w:r>
              <w:rPr>
                <w:sz w:val="20"/>
                <w:szCs w:val="20"/>
                <w:vertAlign w:val="superscript"/>
              </w:rPr>
              <w:t>#</w:t>
            </w:r>
            <w:r>
              <w:rPr>
                <w:sz w:val="20"/>
                <w:szCs w:val="20"/>
              </w:rPr>
              <w:t xml:space="preserve"> </w:t>
            </w:r>
          </w:p>
        </w:tc>
        <w:tc>
          <w:tcPr>
            <w:tcW w:w="1086" w:type="dxa"/>
            <w:tcBorders>
              <w:top w:val="single" w:sz="4" w:space="0" w:color="auto"/>
              <w:left w:val="single" w:sz="4" w:space="0" w:color="auto"/>
              <w:bottom w:val="single" w:sz="4" w:space="0" w:color="auto"/>
              <w:right w:val="single" w:sz="4" w:space="0" w:color="auto"/>
            </w:tcBorders>
            <w:vAlign w:val="center"/>
          </w:tcPr>
          <w:p w:rsidR="00843043" w:rsidRPr="00AF2A15" w:rsidRDefault="00843043" w:rsidP="003501F8">
            <w:pPr>
              <w:ind w:left="-113" w:right="-113"/>
              <w:jc w:val="center"/>
              <w:rPr>
                <w:sz w:val="20"/>
                <w:szCs w:val="20"/>
              </w:rPr>
            </w:pPr>
            <w:r w:rsidRPr="00AF2A15">
              <w:rPr>
                <w:sz w:val="20"/>
                <w:szCs w:val="20"/>
              </w:rPr>
              <w:t>33.44%</w:t>
            </w:r>
          </w:p>
        </w:tc>
        <w:tc>
          <w:tcPr>
            <w:tcW w:w="1087" w:type="dxa"/>
            <w:tcBorders>
              <w:top w:val="single" w:sz="4" w:space="0" w:color="auto"/>
              <w:left w:val="single" w:sz="4" w:space="0" w:color="auto"/>
              <w:bottom w:val="single" w:sz="4" w:space="0" w:color="auto"/>
              <w:right w:val="single" w:sz="4" w:space="0" w:color="auto"/>
            </w:tcBorders>
            <w:vAlign w:val="center"/>
          </w:tcPr>
          <w:p w:rsidR="00843043" w:rsidRPr="00AF2A15" w:rsidRDefault="00843043">
            <w:pPr>
              <w:ind w:left="-108" w:right="-73"/>
              <w:jc w:val="center"/>
              <w:rPr>
                <w:sz w:val="20"/>
                <w:szCs w:val="20"/>
              </w:rPr>
            </w:pPr>
            <w:r w:rsidRPr="00AF2A15">
              <w:rPr>
                <w:sz w:val="20"/>
                <w:szCs w:val="20"/>
              </w:rPr>
              <w:t>31.16%</w:t>
            </w:r>
          </w:p>
        </w:tc>
        <w:tc>
          <w:tcPr>
            <w:tcW w:w="1087" w:type="dxa"/>
            <w:tcBorders>
              <w:top w:val="single" w:sz="4" w:space="0" w:color="auto"/>
              <w:left w:val="single" w:sz="4" w:space="0" w:color="auto"/>
              <w:bottom w:val="single" w:sz="4" w:space="0" w:color="auto"/>
              <w:right w:val="single" w:sz="4" w:space="0" w:color="auto"/>
            </w:tcBorders>
            <w:vAlign w:val="center"/>
            <w:hideMark/>
          </w:tcPr>
          <w:p w:rsidR="00843043" w:rsidRDefault="00843043">
            <w:pPr>
              <w:ind w:left="-108" w:right="-73"/>
              <w:jc w:val="center"/>
              <w:rPr>
                <w:sz w:val="20"/>
                <w:szCs w:val="20"/>
              </w:rPr>
            </w:pPr>
            <w:r>
              <w:rPr>
                <w:sz w:val="20"/>
                <w:szCs w:val="20"/>
              </w:rPr>
              <w:t>30.97%</w:t>
            </w:r>
          </w:p>
        </w:tc>
        <w:tc>
          <w:tcPr>
            <w:tcW w:w="1087" w:type="dxa"/>
            <w:tcBorders>
              <w:top w:val="single" w:sz="4" w:space="0" w:color="auto"/>
              <w:left w:val="single" w:sz="4" w:space="0" w:color="auto"/>
              <w:bottom w:val="single" w:sz="4" w:space="0" w:color="auto"/>
              <w:right w:val="single" w:sz="4" w:space="0" w:color="auto"/>
            </w:tcBorders>
            <w:vAlign w:val="center"/>
            <w:hideMark/>
          </w:tcPr>
          <w:p w:rsidR="00843043" w:rsidRDefault="00843043">
            <w:pPr>
              <w:ind w:left="-72" w:right="-37"/>
              <w:jc w:val="center"/>
              <w:rPr>
                <w:sz w:val="20"/>
                <w:szCs w:val="20"/>
              </w:rPr>
            </w:pPr>
            <w:r w:rsidRPr="009A3E7A">
              <w:rPr>
                <w:sz w:val="20"/>
                <w:szCs w:val="20"/>
              </w:rPr>
              <w:t>33.44%</w:t>
            </w:r>
          </w:p>
        </w:tc>
        <w:tc>
          <w:tcPr>
            <w:tcW w:w="1087" w:type="dxa"/>
            <w:tcBorders>
              <w:top w:val="single" w:sz="4" w:space="0" w:color="auto"/>
              <w:left w:val="single" w:sz="4" w:space="0" w:color="auto"/>
              <w:bottom w:val="single" w:sz="4" w:space="0" w:color="auto"/>
              <w:right w:val="single" w:sz="4" w:space="0" w:color="auto"/>
            </w:tcBorders>
            <w:vAlign w:val="center"/>
            <w:hideMark/>
          </w:tcPr>
          <w:p w:rsidR="00843043" w:rsidRDefault="00843043">
            <w:pPr>
              <w:jc w:val="center"/>
              <w:rPr>
                <w:sz w:val="20"/>
                <w:szCs w:val="20"/>
              </w:rPr>
            </w:pPr>
            <w:r>
              <w:rPr>
                <w:sz w:val="20"/>
                <w:szCs w:val="20"/>
              </w:rPr>
              <w:t>32.44%</w:t>
            </w:r>
          </w:p>
        </w:tc>
        <w:tc>
          <w:tcPr>
            <w:tcW w:w="1087" w:type="dxa"/>
            <w:tcBorders>
              <w:top w:val="single" w:sz="4" w:space="0" w:color="auto"/>
              <w:left w:val="single" w:sz="4" w:space="0" w:color="auto"/>
              <w:bottom w:val="single" w:sz="4" w:space="0" w:color="auto"/>
              <w:right w:val="single" w:sz="4" w:space="0" w:color="auto"/>
            </w:tcBorders>
            <w:vAlign w:val="center"/>
            <w:hideMark/>
          </w:tcPr>
          <w:p w:rsidR="00843043" w:rsidRDefault="00843043">
            <w:pPr>
              <w:jc w:val="center"/>
              <w:rPr>
                <w:sz w:val="20"/>
                <w:szCs w:val="20"/>
              </w:rPr>
            </w:pPr>
            <w:r w:rsidRPr="009A3E7A">
              <w:rPr>
                <w:sz w:val="20"/>
                <w:szCs w:val="20"/>
              </w:rPr>
              <w:t>31.60%</w:t>
            </w:r>
          </w:p>
        </w:tc>
      </w:tr>
      <w:tr w:rsidR="00843043" w:rsidTr="00843043">
        <w:tc>
          <w:tcPr>
            <w:tcW w:w="2376" w:type="dxa"/>
            <w:tcBorders>
              <w:top w:val="single" w:sz="4" w:space="0" w:color="auto"/>
              <w:left w:val="single" w:sz="4" w:space="0" w:color="auto"/>
              <w:bottom w:val="single" w:sz="4" w:space="0" w:color="auto"/>
              <w:right w:val="single" w:sz="4" w:space="0" w:color="auto"/>
            </w:tcBorders>
            <w:hideMark/>
          </w:tcPr>
          <w:p w:rsidR="00843043" w:rsidRDefault="00843043" w:rsidP="00AD25C4">
            <w:pPr>
              <w:ind w:left="142"/>
              <w:rPr>
                <w:sz w:val="20"/>
                <w:szCs w:val="20"/>
              </w:rPr>
            </w:pPr>
            <w:r>
              <w:rPr>
                <w:sz w:val="20"/>
                <w:szCs w:val="20"/>
              </w:rPr>
              <w:t xml:space="preserve">Difference </w:t>
            </w:r>
            <w:r>
              <w:rPr>
                <w:sz w:val="20"/>
                <w:szCs w:val="20"/>
                <w:vertAlign w:val="superscript"/>
              </w:rPr>
              <w:t>(c)</w:t>
            </w:r>
          </w:p>
          <w:p w:rsidR="00843043" w:rsidRDefault="00843043" w:rsidP="00AD25C4">
            <w:pPr>
              <w:ind w:left="142"/>
              <w:rPr>
                <w:sz w:val="20"/>
                <w:szCs w:val="20"/>
              </w:rPr>
            </w:pPr>
            <w:r>
              <w:rPr>
                <w:sz w:val="20"/>
                <w:szCs w:val="20"/>
              </w:rPr>
              <w:t xml:space="preserve">(95% CI) </w:t>
            </w:r>
            <w:r>
              <w:rPr>
                <w:sz w:val="20"/>
                <w:szCs w:val="20"/>
                <w:vertAlign w:val="superscript"/>
              </w:rPr>
              <w:t>(d)</w:t>
            </w:r>
          </w:p>
        </w:tc>
        <w:tc>
          <w:tcPr>
            <w:tcW w:w="1086" w:type="dxa"/>
            <w:tcBorders>
              <w:top w:val="single" w:sz="4" w:space="0" w:color="auto"/>
              <w:left w:val="single" w:sz="4" w:space="0" w:color="auto"/>
              <w:bottom w:val="single" w:sz="4" w:space="0" w:color="auto"/>
              <w:right w:val="single" w:sz="4" w:space="0" w:color="auto"/>
            </w:tcBorders>
            <w:vAlign w:val="center"/>
          </w:tcPr>
          <w:p w:rsidR="00843043" w:rsidRPr="00AF2A15" w:rsidRDefault="00843043" w:rsidP="003501F8">
            <w:pPr>
              <w:ind w:left="-113" w:right="-113"/>
              <w:jc w:val="center"/>
              <w:rPr>
                <w:sz w:val="20"/>
                <w:szCs w:val="20"/>
              </w:rPr>
            </w:pPr>
            <w:r w:rsidRPr="00AF2A15">
              <w:rPr>
                <w:sz w:val="20"/>
                <w:szCs w:val="20"/>
              </w:rPr>
              <w:t>1.0%</w:t>
            </w:r>
            <w:r w:rsidRPr="00AF2A15">
              <w:rPr>
                <w:sz w:val="20"/>
                <w:szCs w:val="20"/>
              </w:rPr>
              <w:br/>
              <w:t>(</w:t>
            </w:r>
            <w:r w:rsidRPr="00AF2A15">
              <w:rPr>
                <w:sz w:val="20"/>
                <w:szCs w:val="20"/>
              </w:rPr>
              <w:noBreakHyphen/>
              <w:t>4.3, 6.3)</w:t>
            </w:r>
          </w:p>
        </w:tc>
        <w:tc>
          <w:tcPr>
            <w:tcW w:w="1087" w:type="dxa"/>
            <w:tcBorders>
              <w:top w:val="single" w:sz="4" w:space="0" w:color="auto"/>
              <w:left w:val="single" w:sz="4" w:space="0" w:color="auto"/>
              <w:bottom w:val="single" w:sz="4" w:space="0" w:color="auto"/>
              <w:right w:val="single" w:sz="4" w:space="0" w:color="auto"/>
            </w:tcBorders>
            <w:vAlign w:val="center"/>
          </w:tcPr>
          <w:p w:rsidR="00843043" w:rsidRPr="00AF2A15" w:rsidRDefault="00843043" w:rsidP="00AD25C4">
            <w:pPr>
              <w:ind w:left="-108" w:right="-73"/>
              <w:jc w:val="center"/>
              <w:rPr>
                <w:sz w:val="20"/>
                <w:szCs w:val="20"/>
              </w:rPr>
            </w:pPr>
            <w:r w:rsidRPr="00AF2A15">
              <w:rPr>
                <w:sz w:val="20"/>
                <w:szCs w:val="20"/>
              </w:rPr>
              <w:noBreakHyphen/>
              <w:t>0.4%</w:t>
            </w:r>
            <w:r w:rsidRPr="00AF2A15">
              <w:rPr>
                <w:sz w:val="20"/>
                <w:szCs w:val="20"/>
              </w:rPr>
              <w:br/>
              <w:t>(</w:t>
            </w:r>
            <w:r w:rsidRPr="00AF2A15">
              <w:rPr>
                <w:sz w:val="20"/>
                <w:szCs w:val="20"/>
              </w:rPr>
              <w:noBreakHyphen/>
              <w:t>5.6, 4.8)</w:t>
            </w:r>
          </w:p>
        </w:tc>
        <w:tc>
          <w:tcPr>
            <w:tcW w:w="1087" w:type="dxa"/>
            <w:tcBorders>
              <w:top w:val="single" w:sz="4" w:space="0" w:color="auto"/>
              <w:left w:val="single" w:sz="4" w:space="0" w:color="auto"/>
              <w:bottom w:val="single" w:sz="4" w:space="0" w:color="auto"/>
              <w:right w:val="single" w:sz="4" w:space="0" w:color="auto"/>
            </w:tcBorders>
            <w:vAlign w:val="center"/>
            <w:hideMark/>
          </w:tcPr>
          <w:p w:rsidR="00843043" w:rsidRDefault="00843043" w:rsidP="00AD25C4">
            <w:pPr>
              <w:ind w:left="-108" w:right="-73"/>
              <w:jc w:val="center"/>
              <w:rPr>
                <w:sz w:val="20"/>
                <w:szCs w:val="20"/>
              </w:rPr>
            </w:pPr>
            <w:r>
              <w:rPr>
                <w:sz w:val="20"/>
                <w:szCs w:val="20"/>
              </w:rPr>
              <w:t>-1.5%</w:t>
            </w:r>
          </w:p>
          <w:p w:rsidR="00843043" w:rsidRDefault="00843043" w:rsidP="00AD25C4">
            <w:pPr>
              <w:ind w:left="-108" w:right="-73"/>
              <w:jc w:val="center"/>
              <w:rPr>
                <w:sz w:val="20"/>
                <w:szCs w:val="20"/>
              </w:rPr>
            </w:pPr>
            <w:r>
              <w:rPr>
                <w:sz w:val="20"/>
                <w:szCs w:val="20"/>
              </w:rPr>
              <w:t>(-6.8, 3.8)</w:t>
            </w:r>
          </w:p>
        </w:tc>
        <w:tc>
          <w:tcPr>
            <w:tcW w:w="1087" w:type="dxa"/>
            <w:tcBorders>
              <w:top w:val="single" w:sz="4" w:space="0" w:color="auto"/>
              <w:left w:val="single" w:sz="4" w:space="0" w:color="auto"/>
              <w:bottom w:val="single" w:sz="4" w:space="0" w:color="auto"/>
              <w:right w:val="single" w:sz="4" w:space="0" w:color="auto"/>
            </w:tcBorders>
            <w:vAlign w:val="center"/>
            <w:hideMark/>
          </w:tcPr>
          <w:p w:rsidR="00843043" w:rsidRDefault="00843043" w:rsidP="00AD25C4">
            <w:pPr>
              <w:ind w:left="-72" w:right="-37"/>
              <w:jc w:val="center"/>
              <w:rPr>
                <w:sz w:val="20"/>
                <w:szCs w:val="20"/>
              </w:rPr>
            </w:pPr>
            <w:r w:rsidRPr="009A3E7A">
              <w:rPr>
                <w:sz w:val="20"/>
                <w:szCs w:val="20"/>
              </w:rPr>
              <w:t>1.8%</w:t>
            </w:r>
            <w:r w:rsidRPr="009A3E7A">
              <w:rPr>
                <w:sz w:val="20"/>
                <w:szCs w:val="20"/>
              </w:rPr>
              <w:br/>
              <w:t>(-3.5, 7.1)</w:t>
            </w:r>
          </w:p>
        </w:tc>
        <w:tc>
          <w:tcPr>
            <w:tcW w:w="1087" w:type="dxa"/>
            <w:tcBorders>
              <w:top w:val="single" w:sz="4" w:space="0" w:color="auto"/>
              <w:left w:val="single" w:sz="4" w:space="0" w:color="auto"/>
              <w:bottom w:val="single" w:sz="4" w:space="0" w:color="auto"/>
              <w:right w:val="single" w:sz="4" w:space="0" w:color="auto"/>
            </w:tcBorders>
            <w:vAlign w:val="center"/>
            <w:hideMark/>
          </w:tcPr>
          <w:p w:rsidR="00843043" w:rsidRDefault="00843043" w:rsidP="00AD25C4">
            <w:pPr>
              <w:jc w:val="center"/>
              <w:rPr>
                <w:sz w:val="20"/>
                <w:szCs w:val="20"/>
              </w:rPr>
            </w:pPr>
            <w:r>
              <w:rPr>
                <w:sz w:val="20"/>
                <w:szCs w:val="20"/>
              </w:rPr>
              <w:t>N/A</w:t>
            </w:r>
          </w:p>
        </w:tc>
        <w:tc>
          <w:tcPr>
            <w:tcW w:w="1087" w:type="dxa"/>
            <w:tcBorders>
              <w:top w:val="single" w:sz="4" w:space="0" w:color="auto"/>
              <w:left w:val="single" w:sz="4" w:space="0" w:color="auto"/>
              <w:bottom w:val="single" w:sz="4" w:space="0" w:color="auto"/>
              <w:right w:val="single" w:sz="4" w:space="0" w:color="auto"/>
            </w:tcBorders>
            <w:vAlign w:val="center"/>
            <w:hideMark/>
          </w:tcPr>
          <w:p w:rsidR="00843043" w:rsidRDefault="00843043" w:rsidP="00AD25C4">
            <w:pPr>
              <w:jc w:val="center"/>
              <w:rPr>
                <w:sz w:val="20"/>
                <w:szCs w:val="20"/>
              </w:rPr>
            </w:pPr>
            <w:r w:rsidRPr="009A3E7A">
              <w:rPr>
                <w:sz w:val="20"/>
                <w:szCs w:val="20"/>
              </w:rPr>
              <w:t>N/A</w:t>
            </w:r>
          </w:p>
        </w:tc>
      </w:tr>
      <w:tr w:rsidR="00843043" w:rsidTr="00AD25C4">
        <w:tc>
          <w:tcPr>
            <w:tcW w:w="2376" w:type="dxa"/>
            <w:tcBorders>
              <w:top w:val="single" w:sz="4" w:space="0" w:color="auto"/>
              <w:left w:val="single" w:sz="4" w:space="0" w:color="auto"/>
              <w:bottom w:val="single" w:sz="4" w:space="0" w:color="auto"/>
              <w:right w:val="single" w:sz="4" w:space="0" w:color="auto"/>
            </w:tcBorders>
            <w:hideMark/>
          </w:tcPr>
          <w:p w:rsidR="00843043" w:rsidRDefault="00843043" w:rsidP="00A77B23">
            <w:pPr>
              <w:rPr>
                <w:sz w:val="20"/>
                <w:szCs w:val="20"/>
              </w:rPr>
            </w:pPr>
            <w:r>
              <w:rPr>
                <w:sz w:val="20"/>
                <w:szCs w:val="20"/>
              </w:rPr>
              <w:t>Mean change in total score as measured by NEI VFQ</w:t>
            </w:r>
            <w:r w:rsidR="00A77B23">
              <w:rPr>
                <w:sz w:val="20"/>
                <w:szCs w:val="20"/>
              </w:rPr>
              <w:noBreakHyphen/>
            </w:r>
            <w:r>
              <w:rPr>
                <w:sz w:val="20"/>
                <w:szCs w:val="20"/>
              </w:rPr>
              <w:t xml:space="preserve">25 from baseline </w:t>
            </w:r>
            <w:r>
              <w:rPr>
                <w:sz w:val="20"/>
                <w:szCs w:val="20"/>
                <w:vertAlign w:val="superscript"/>
              </w:rPr>
              <w:t>#</w:t>
            </w:r>
          </w:p>
        </w:tc>
        <w:tc>
          <w:tcPr>
            <w:tcW w:w="1086" w:type="dxa"/>
            <w:tcBorders>
              <w:top w:val="single" w:sz="4" w:space="0" w:color="auto"/>
              <w:left w:val="single" w:sz="4" w:space="0" w:color="auto"/>
              <w:bottom w:val="single" w:sz="4" w:space="0" w:color="auto"/>
              <w:right w:val="single" w:sz="4" w:space="0" w:color="auto"/>
            </w:tcBorders>
            <w:vAlign w:val="center"/>
          </w:tcPr>
          <w:p w:rsidR="00843043" w:rsidRPr="00AF2A15" w:rsidRDefault="003501F8" w:rsidP="003501F8">
            <w:pPr>
              <w:ind w:left="-113" w:right="-113"/>
              <w:jc w:val="center"/>
              <w:rPr>
                <w:sz w:val="20"/>
                <w:szCs w:val="20"/>
              </w:rPr>
            </w:pPr>
            <w:r>
              <w:rPr>
                <w:sz w:val="20"/>
                <w:szCs w:val="20"/>
              </w:rPr>
              <w:t>5.60</w:t>
            </w:r>
          </w:p>
        </w:tc>
        <w:tc>
          <w:tcPr>
            <w:tcW w:w="1087" w:type="dxa"/>
            <w:tcBorders>
              <w:top w:val="single" w:sz="4" w:space="0" w:color="auto"/>
              <w:left w:val="single" w:sz="4" w:space="0" w:color="auto"/>
              <w:bottom w:val="single" w:sz="4" w:space="0" w:color="auto"/>
              <w:right w:val="single" w:sz="4" w:space="0" w:color="auto"/>
            </w:tcBorders>
            <w:vAlign w:val="center"/>
          </w:tcPr>
          <w:p w:rsidR="00843043" w:rsidRPr="00AF2A15" w:rsidRDefault="00AD25C4" w:rsidP="00AD25C4">
            <w:pPr>
              <w:ind w:left="-108" w:right="-73"/>
              <w:jc w:val="center"/>
              <w:rPr>
                <w:sz w:val="20"/>
                <w:szCs w:val="20"/>
              </w:rPr>
            </w:pPr>
            <w:r w:rsidRPr="00AF2A15">
              <w:rPr>
                <w:sz w:val="20"/>
                <w:szCs w:val="20"/>
              </w:rPr>
              <w:t>5.03</w:t>
            </w:r>
          </w:p>
        </w:tc>
        <w:tc>
          <w:tcPr>
            <w:tcW w:w="1087" w:type="dxa"/>
            <w:tcBorders>
              <w:top w:val="single" w:sz="4" w:space="0" w:color="auto"/>
              <w:left w:val="single" w:sz="4" w:space="0" w:color="auto"/>
              <w:bottom w:val="single" w:sz="4" w:space="0" w:color="auto"/>
              <w:right w:val="single" w:sz="4" w:space="0" w:color="auto"/>
            </w:tcBorders>
            <w:vAlign w:val="center"/>
            <w:hideMark/>
          </w:tcPr>
          <w:p w:rsidR="00843043" w:rsidRDefault="00843043">
            <w:pPr>
              <w:ind w:left="-108" w:right="-73"/>
              <w:jc w:val="center"/>
              <w:rPr>
                <w:sz w:val="20"/>
                <w:szCs w:val="20"/>
              </w:rPr>
            </w:pPr>
            <w:r>
              <w:rPr>
                <w:sz w:val="20"/>
                <w:szCs w:val="20"/>
              </w:rPr>
              <w:t>5.00</w:t>
            </w:r>
          </w:p>
        </w:tc>
        <w:tc>
          <w:tcPr>
            <w:tcW w:w="1087" w:type="dxa"/>
            <w:tcBorders>
              <w:top w:val="single" w:sz="4" w:space="0" w:color="auto"/>
              <w:left w:val="single" w:sz="4" w:space="0" w:color="auto"/>
              <w:bottom w:val="single" w:sz="4" w:space="0" w:color="auto"/>
              <w:right w:val="single" w:sz="4" w:space="0" w:color="auto"/>
            </w:tcBorders>
            <w:vAlign w:val="center"/>
            <w:hideMark/>
          </w:tcPr>
          <w:p w:rsidR="00843043" w:rsidRDefault="00843043">
            <w:pPr>
              <w:ind w:left="-72" w:right="-37"/>
              <w:jc w:val="center"/>
              <w:rPr>
                <w:sz w:val="20"/>
                <w:szCs w:val="20"/>
              </w:rPr>
            </w:pPr>
            <w:r w:rsidRPr="009A3E7A">
              <w:rPr>
                <w:sz w:val="20"/>
                <w:szCs w:val="20"/>
              </w:rPr>
              <w:t>5.31</w:t>
            </w:r>
          </w:p>
        </w:tc>
        <w:tc>
          <w:tcPr>
            <w:tcW w:w="1087" w:type="dxa"/>
            <w:tcBorders>
              <w:top w:val="single" w:sz="4" w:space="0" w:color="auto"/>
              <w:left w:val="single" w:sz="4" w:space="0" w:color="auto"/>
              <w:bottom w:val="single" w:sz="4" w:space="0" w:color="auto"/>
              <w:right w:val="single" w:sz="4" w:space="0" w:color="auto"/>
            </w:tcBorders>
            <w:vAlign w:val="center"/>
            <w:hideMark/>
          </w:tcPr>
          <w:p w:rsidR="00843043" w:rsidRDefault="00843043">
            <w:pPr>
              <w:jc w:val="center"/>
              <w:rPr>
                <w:sz w:val="20"/>
                <w:szCs w:val="20"/>
              </w:rPr>
            </w:pPr>
            <w:r>
              <w:rPr>
                <w:sz w:val="20"/>
                <w:szCs w:val="20"/>
              </w:rPr>
              <w:t>5.56</w:t>
            </w:r>
          </w:p>
        </w:tc>
        <w:tc>
          <w:tcPr>
            <w:tcW w:w="1087" w:type="dxa"/>
            <w:tcBorders>
              <w:top w:val="single" w:sz="4" w:space="0" w:color="auto"/>
              <w:left w:val="single" w:sz="4" w:space="0" w:color="auto"/>
              <w:bottom w:val="single" w:sz="4" w:space="0" w:color="auto"/>
              <w:right w:val="single" w:sz="4" w:space="0" w:color="auto"/>
            </w:tcBorders>
            <w:vAlign w:val="center"/>
            <w:hideMark/>
          </w:tcPr>
          <w:p w:rsidR="00843043" w:rsidRDefault="00843043">
            <w:pPr>
              <w:jc w:val="center"/>
              <w:rPr>
                <w:sz w:val="20"/>
                <w:szCs w:val="20"/>
              </w:rPr>
            </w:pPr>
            <w:r w:rsidRPr="009A3E7A">
              <w:rPr>
                <w:sz w:val="20"/>
                <w:szCs w:val="20"/>
              </w:rPr>
              <w:t>5.24</w:t>
            </w:r>
          </w:p>
        </w:tc>
      </w:tr>
      <w:tr w:rsidR="00843043" w:rsidTr="00AD25C4">
        <w:tc>
          <w:tcPr>
            <w:tcW w:w="2376" w:type="dxa"/>
            <w:tcBorders>
              <w:top w:val="single" w:sz="4" w:space="0" w:color="auto"/>
              <w:left w:val="single" w:sz="4" w:space="0" w:color="auto"/>
              <w:bottom w:val="single" w:sz="4" w:space="0" w:color="auto"/>
              <w:right w:val="single" w:sz="4" w:space="0" w:color="auto"/>
            </w:tcBorders>
            <w:hideMark/>
          </w:tcPr>
          <w:p w:rsidR="00843043" w:rsidRDefault="00843043">
            <w:pPr>
              <w:ind w:left="142" w:right="-108"/>
              <w:rPr>
                <w:sz w:val="20"/>
                <w:szCs w:val="20"/>
              </w:rPr>
            </w:pPr>
            <w:r>
              <w:rPr>
                <w:sz w:val="20"/>
                <w:szCs w:val="20"/>
              </w:rPr>
              <w:t xml:space="preserve">Difference in LS </w:t>
            </w:r>
            <w:r>
              <w:rPr>
                <w:sz w:val="20"/>
                <w:szCs w:val="20"/>
                <w:vertAlign w:val="superscript"/>
              </w:rPr>
              <w:t>(a)</w:t>
            </w:r>
            <w:r>
              <w:rPr>
                <w:sz w:val="20"/>
                <w:szCs w:val="20"/>
              </w:rPr>
              <w:t xml:space="preserve"> mean (NEI VFQ-25 score) </w:t>
            </w:r>
            <w:r>
              <w:rPr>
                <w:sz w:val="20"/>
                <w:szCs w:val="20"/>
                <w:vertAlign w:val="superscript"/>
              </w:rPr>
              <w:t>(c)</w:t>
            </w:r>
          </w:p>
          <w:p w:rsidR="00843043" w:rsidRDefault="00843043">
            <w:pPr>
              <w:ind w:left="142"/>
              <w:rPr>
                <w:sz w:val="20"/>
                <w:szCs w:val="20"/>
              </w:rPr>
            </w:pPr>
            <w:r>
              <w:rPr>
                <w:sz w:val="20"/>
                <w:szCs w:val="20"/>
              </w:rPr>
              <w:t xml:space="preserve">(95% CI) </w:t>
            </w:r>
            <w:r>
              <w:rPr>
                <w:sz w:val="20"/>
                <w:szCs w:val="20"/>
                <w:vertAlign w:val="superscript"/>
              </w:rPr>
              <w:t>(d)</w:t>
            </w:r>
          </w:p>
        </w:tc>
        <w:tc>
          <w:tcPr>
            <w:tcW w:w="1086" w:type="dxa"/>
            <w:tcBorders>
              <w:top w:val="single" w:sz="4" w:space="0" w:color="auto"/>
              <w:left w:val="single" w:sz="4" w:space="0" w:color="auto"/>
              <w:bottom w:val="single" w:sz="4" w:space="0" w:color="auto"/>
              <w:right w:val="single" w:sz="4" w:space="0" w:color="auto"/>
            </w:tcBorders>
            <w:vAlign w:val="center"/>
          </w:tcPr>
          <w:p w:rsidR="00843043" w:rsidRPr="00AF2A15" w:rsidRDefault="003501F8" w:rsidP="003501F8">
            <w:pPr>
              <w:ind w:left="-113" w:right="-113"/>
              <w:jc w:val="center"/>
              <w:rPr>
                <w:sz w:val="20"/>
                <w:szCs w:val="20"/>
              </w:rPr>
            </w:pPr>
            <w:r>
              <w:rPr>
                <w:sz w:val="20"/>
                <w:szCs w:val="20"/>
              </w:rPr>
              <w:t>-0.75</w:t>
            </w:r>
            <w:r>
              <w:rPr>
                <w:sz w:val="20"/>
                <w:szCs w:val="20"/>
              </w:rPr>
              <w:br/>
              <w:t>(-2.20, 0.71)</w:t>
            </w:r>
          </w:p>
        </w:tc>
        <w:tc>
          <w:tcPr>
            <w:tcW w:w="1087" w:type="dxa"/>
            <w:tcBorders>
              <w:top w:val="single" w:sz="4" w:space="0" w:color="auto"/>
              <w:left w:val="single" w:sz="4" w:space="0" w:color="auto"/>
              <w:bottom w:val="single" w:sz="4" w:space="0" w:color="auto"/>
              <w:right w:val="single" w:sz="4" w:space="0" w:color="auto"/>
            </w:tcBorders>
            <w:vAlign w:val="center"/>
          </w:tcPr>
          <w:p w:rsidR="00843043" w:rsidRPr="00AF2A15" w:rsidRDefault="00AD25C4" w:rsidP="00AD25C4">
            <w:pPr>
              <w:pStyle w:val="Default"/>
              <w:ind w:left="-113" w:right="-113"/>
              <w:jc w:val="center"/>
              <w:rPr>
                <w:sz w:val="20"/>
                <w:szCs w:val="20"/>
              </w:rPr>
            </w:pPr>
            <w:r w:rsidRPr="00AF2A15">
              <w:rPr>
                <w:sz w:val="20"/>
                <w:szCs w:val="20"/>
              </w:rPr>
              <w:t xml:space="preserve">-0.99 </w:t>
            </w:r>
            <w:r w:rsidRPr="00AF2A15">
              <w:rPr>
                <w:sz w:val="20"/>
                <w:szCs w:val="20"/>
              </w:rPr>
              <w:br/>
              <w:t xml:space="preserve">(-2.56, 0.58) </w:t>
            </w:r>
          </w:p>
        </w:tc>
        <w:tc>
          <w:tcPr>
            <w:tcW w:w="1087" w:type="dxa"/>
            <w:tcBorders>
              <w:top w:val="single" w:sz="4" w:space="0" w:color="auto"/>
              <w:left w:val="single" w:sz="4" w:space="0" w:color="auto"/>
              <w:bottom w:val="single" w:sz="4" w:space="0" w:color="auto"/>
              <w:right w:val="single" w:sz="4" w:space="0" w:color="auto"/>
            </w:tcBorders>
            <w:vAlign w:val="center"/>
            <w:hideMark/>
          </w:tcPr>
          <w:p w:rsidR="00843043" w:rsidRDefault="00843043">
            <w:pPr>
              <w:ind w:left="-108" w:right="-73"/>
              <w:jc w:val="center"/>
              <w:rPr>
                <w:sz w:val="20"/>
                <w:szCs w:val="20"/>
              </w:rPr>
            </w:pPr>
            <w:r>
              <w:rPr>
                <w:sz w:val="20"/>
                <w:szCs w:val="20"/>
              </w:rPr>
              <w:t>-1.26</w:t>
            </w:r>
          </w:p>
          <w:p w:rsidR="00843043" w:rsidRDefault="00843043">
            <w:pPr>
              <w:ind w:left="-108" w:right="-73"/>
              <w:jc w:val="center"/>
              <w:rPr>
                <w:sz w:val="20"/>
                <w:szCs w:val="20"/>
              </w:rPr>
            </w:pPr>
            <w:r>
              <w:rPr>
                <w:sz w:val="20"/>
                <w:szCs w:val="20"/>
              </w:rPr>
              <w:t>(-2.72, 0.20)</w:t>
            </w:r>
          </w:p>
        </w:tc>
        <w:tc>
          <w:tcPr>
            <w:tcW w:w="1087" w:type="dxa"/>
            <w:tcBorders>
              <w:top w:val="single" w:sz="4" w:space="0" w:color="auto"/>
              <w:left w:val="single" w:sz="4" w:space="0" w:color="auto"/>
              <w:bottom w:val="single" w:sz="4" w:space="0" w:color="auto"/>
              <w:right w:val="single" w:sz="4" w:space="0" w:color="auto"/>
            </w:tcBorders>
            <w:vAlign w:val="center"/>
            <w:hideMark/>
          </w:tcPr>
          <w:p w:rsidR="00843043" w:rsidRPr="009A3E7A" w:rsidRDefault="00843043" w:rsidP="00995142">
            <w:pPr>
              <w:ind w:left="-72" w:right="-37"/>
              <w:jc w:val="center"/>
              <w:rPr>
                <w:sz w:val="20"/>
                <w:szCs w:val="20"/>
              </w:rPr>
            </w:pPr>
            <w:r w:rsidRPr="009A3E7A">
              <w:rPr>
                <w:sz w:val="20"/>
                <w:szCs w:val="20"/>
              </w:rPr>
              <w:t>-0.61</w:t>
            </w:r>
          </w:p>
          <w:p w:rsidR="00843043" w:rsidRDefault="00843043" w:rsidP="00AD25C4">
            <w:pPr>
              <w:ind w:left="-113" w:right="-113"/>
              <w:jc w:val="center"/>
              <w:rPr>
                <w:sz w:val="20"/>
                <w:szCs w:val="20"/>
              </w:rPr>
            </w:pPr>
            <w:r w:rsidRPr="009A3E7A">
              <w:rPr>
                <w:sz w:val="20"/>
                <w:szCs w:val="20"/>
              </w:rPr>
              <w:t>(-2.19, 0.97)</w:t>
            </w:r>
          </w:p>
        </w:tc>
        <w:tc>
          <w:tcPr>
            <w:tcW w:w="1087" w:type="dxa"/>
            <w:tcBorders>
              <w:top w:val="single" w:sz="4" w:space="0" w:color="auto"/>
              <w:left w:val="single" w:sz="4" w:space="0" w:color="auto"/>
              <w:bottom w:val="single" w:sz="4" w:space="0" w:color="auto"/>
              <w:right w:val="single" w:sz="4" w:space="0" w:color="auto"/>
            </w:tcBorders>
            <w:vAlign w:val="center"/>
            <w:hideMark/>
          </w:tcPr>
          <w:p w:rsidR="00843043" w:rsidRDefault="00843043">
            <w:pPr>
              <w:jc w:val="center"/>
              <w:rPr>
                <w:sz w:val="20"/>
                <w:szCs w:val="20"/>
              </w:rPr>
            </w:pPr>
            <w:r>
              <w:rPr>
                <w:sz w:val="20"/>
                <w:szCs w:val="20"/>
              </w:rPr>
              <w:t>N/A</w:t>
            </w:r>
          </w:p>
        </w:tc>
        <w:tc>
          <w:tcPr>
            <w:tcW w:w="1087" w:type="dxa"/>
            <w:tcBorders>
              <w:top w:val="single" w:sz="4" w:space="0" w:color="auto"/>
              <w:left w:val="single" w:sz="4" w:space="0" w:color="auto"/>
              <w:bottom w:val="single" w:sz="4" w:space="0" w:color="auto"/>
              <w:right w:val="single" w:sz="4" w:space="0" w:color="auto"/>
            </w:tcBorders>
            <w:vAlign w:val="center"/>
            <w:hideMark/>
          </w:tcPr>
          <w:p w:rsidR="00843043" w:rsidRDefault="00843043">
            <w:pPr>
              <w:jc w:val="center"/>
              <w:rPr>
                <w:sz w:val="20"/>
                <w:szCs w:val="20"/>
              </w:rPr>
            </w:pPr>
            <w:r w:rsidRPr="009A3E7A">
              <w:rPr>
                <w:sz w:val="20"/>
                <w:szCs w:val="20"/>
              </w:rPr>
              <w:t>N/A</w:t>
            </w:r>
          </w:p>
        </w:tc>
      </w:tr>
      <w:tr w:rsidR="00843043" w:rsidTr="00AD25C4">
        <w:tc>
          <w:tcPr>
            <w:tcW w:w="2376" w:type="dxa"/>
            <w:tcBorders>
              <w:top w:val="single" w:sz="4" w:space="0" w:color="auto"/>
              <w:left w:val="single" w:sz="4" w:space="0" w:color="auto"/>
              <w:bottom w:val="single" w:sz="4" w:space="0" w:color="auto"/>
              <w:right w:val="single" w:sz="4" w:space="0" w:color="auto"/>
            </w:tcBorders>
            <w:hideMark/>
          </w:tcPr>
          <w:p w:rsidR="00843043" w:rsidRDefault="00843043">
            <w:pPr>
              <w:keepNext/>
              <w:rPr>
                <w:sz w:val="20"/>
                <w:szCs w:val="20"/>
              </w:rPr>
            </w:pPr>
            <w:r>
              <w:rPr>
                <w:sz w:val="20"/>
                <w:szCs w:val="20"/>
              </w:rPr>
              <w:t xml:space="preserve">Mean change in CNV area as measured by FA </w:t>
            </w:r>
            <w:r>
              <w:rPr>
                <w:sz w:val="20"/>
                <w:szCs w:val="20"/>
                <w:vertAlign w:val="superscript"/>
              </w:rPr>
              <w:t>(a)</w:t>
            </w:r>
            <w:r>
              <w:rPr>
                <w:sz w:val="20"/>
                <w:szCs w:val="20"/>
              </w:rPr>
              <w:t xml:space="preserve"> from baseline </w:t>
            </w:r>
            <w:r>
              <w:rPr>
                <w:sz w:val="20"/>
                <w:szCs w:val="20"/>
                <w:vertAlign w:val="superscript"/>
              </w:rPr>
              <w:t>#</w:t>
            </w:r>
          </w:p>
        </w:tc>
        <w:tc>
          <w:tcPr>
            <w:tcW w:w="1086" w:type="dxa"/>
            <w:tcBorders>
              <w:top w:val="single" w:sz="4" w:space="0" w:color="auto"/>
              <w:left w:val="single" w:sz="4" w:space="0" w:color="auto"/>
              <w:bottom w:val="single" w:sz="4" w:space="0" w:color="auto"/>
              <w:right w:val="single" w:sz="4" w:space="0" w:color="auto"/>
            </w:tcBorders>
            <w:vAlign w:val="center"/>
          </w:tcPr>
          <w:p w:rsidR="00843043" w:rsidRPr="00AF2A15" w:rsidRDefault="00AF2A15" w:rsidP="003501F8">
            <w:pPr>
              <w:ind w:left="-113" w:right="-113"/>
              <w:jc w:val="center"/>
              <w:rPr>
                <w:sz w:val="20"/>
                <w:szCs w:val="20"/>
              </w:rPr>
            </w:pPr>
            <w:r w:rsidRPr="00AF2A15">
              <w:rPr>
                <w:sz w:val="20"/>
                <w:szCs w:val="20"/>
              </w:rPr>
              <w:t>-5.30</w:t>
            </w:r>
          </w:p>
        </w:tc>
        <w:tc>
          <w:tcPr>
            <w:tcW w:w="1087" w:type="dxa"/>
            <w:tcBorders>
              <w:top w:val="single" w:sz="4" w:space="0" w:color="auto"/>
              <w:left w:val="single" w:sz="4" w:space="0" w:color="auto"/>
              <w:bottom w:val="single" w:sz="4" w:space="0" w:color="auto"/>
              <w:right w:val="single" w:sz="4" w:space="0" w:color="auto"/>
            </w:tcBorders>
            <w:vAlign w:val="center"/>
          </w:tcPr>
          <w:p w:rsidR="00843043" w:rsidRPr="00AF2A15" w:rsidRDefault="00AD25C4" w:rsidP="00AD25C4">
            <w:pPr>
              <w:ind w:left="-108" w:right="-73"/>
              <w:jc w:val="center"/>
              <w:rPr>
                <w:sz w:val="20"/>
                <w:szCs w:val="20"/>
              </w:rPr>
            </w:pPr>
            <w:r w:rsidRPr="00AF2A15">
              <w:rPr>
                <w:sz w:val="20"/>
                <w:szCs w:val="20"/>
              </w:rPr>
              <w:t>-5.09</w:t>
            </w:r>
          </w:p>
        </w:tc>
        <w:tc>
          <w:tcPr>
            <w:tcW w:w="1087" w:type="dxa"/>
            <w:tcBorders>
              <w:top w:val="single" w:sz="4" w:space="0" w:color="auto"/>
              <w:left w:val="single" w:sz="4" w:space="0" w:color="auto"/>
              <w:bottom w:val="single" w:sz="4" w:space="0" w:color="auto"/>
              <w:right w:val="single" w:sz="4" w:space="0" w:color="auto"/>
            </w:tcBorders>
            <w:vAlign w:val="center"/>
            <w:hideMark/>
          </w:tcPr>
          <w:p w:rsidR="00843043" w:rsidRDefault="00843043">
            <w:pPr>
              <w:ind w:left="-108" w:right="-73"/>
              <w:jc w:val="center"/>
              <w:rPr>
                <w:sz w:val="20"/>
                <w:szCs w:val="20"/>
              </w:rPr>
            </w:pPr>
            <w:r>
              <w:rPr>
                <w:sz w:val="20"/>
                <w:szCs w:val="20"/>
              </w:rPr>
              <w:t>-4.28</w:t>
            </w:r>
          </w:p>
        </w:tc>
        <w:tc>
          <w:tcPr>
            <w:tcW w:w="1087" w:type="dxa"/>
            <w:tcBorders>
              <w:top w:val="single" w:sz="4" w:space="0" w:color="auto"/>
              <w:left w:val="single" w:sz="4" w:space="0" w:color="auto"/>
              <w:bottom w:val="single" w:sz="4" w:space="0" w:color="auto"/>
              <w:right w:val="single" w:sz="4" w:space="0" w:color="auto"/>
            </w:tcBorders>
            <w:vAlign w:val="center"/>
            <w:hideMark/>
          </w:tcPr>
          <w:p w:rsidR="00843043" w:rsidRDefault="00843043">
            <w:pPr>
              <w:ind w:left="-72" w:right="-37"/>
              <w:jc w:val="center"/>
              <w:rPr>
                <w:sz w:val="20"/>
                <w:szCs w:val="20"/>
              </w:rPr>
            </w:pPr>
            <w:r w:rsidRPr="009A3E7A">
              <w:rPr>
                <w:sz w:val="20"/>
                <w:szCs w:val="20"/>
              </w:rPr>
              <w:t>-4.26</w:t>
            </w:r>
          </w:p>
        </w:tc>
        <w:tc>
          <w:tcPr>
            <w:tcW w:w="1087" w:type="dxa"/>
            <w:tcBorders>
              <w:top w:val="single" w:sz="4" w:space="0" w:color="auto"/>
              <w:left w:val="single" w:sz="4" w:space="0" w:color="auto"/>
              <w:bottom w:val="single" w:sz="4" w:space="0" w:color="auto"/>
              <w:right w:val="single" w:sz="4" w:space="0" w:color="auto"/>
            </w:tcBorders>
            <w:vAlign w:val="center"/>
            <w:hideMark/>
          </w:tcPr>
          <w:p w:rsidR="00843043" w:rsidRDefault="00843043">
            <w:pPr>
              <w:jc w:val="center"/>
              <w:rPr>
                <w:sz w:val="20"/>
                <w:szCs w:val="20"/>
              </w:rPr>
            </w:pPr>
            <w:r>
              <w:rPr>
                <w:sz w:val="20"/>
                <w:szCs w:val="20"/>
              </w:rPr>
              <w:t>-4.21</w:t>
            </w:r>
          </w:p>
        </w:tc>
        <w:tc>
          <w:tcPr>
            <w:tcW w:w="1087" w:type="dxa"/>
            <w:tcBorders>
              <w:top w:val="single" w:sz="4" w:space="0" w:color="auto"/>
              <w:left w:val="single" w:sz="4" w:space="0" w:color="auto"/>
              <w:bottom w:val="single" w:sz="4" w:space="0" w:color="auto"/>
              <w:right w:val="single" w:sz="4" w:space="0" w:color="auto"/>
            </w:tcBorders>
            <w:vAlign w:val="center"/>
            <w:hideMark/>
          </w:tcPr>
          <w:p w:rsidR="00843043" w:rsidRDefault="00843043">
            <w:pPr>
              <w:jc w:val="center"/>
              <w:rPr>
                <w:sz w:val="20"/>
                <w:szCs w:val="20"/>
              </w:rPr>
            </w:pPr>
            <w:r w:rsidRPr="009A3E7A">
              <w:rPr>
                <w:sz w:val="20"/>
                <w:szCs w:val="20"/>
              </w:rPr>
              <w:t>-4.27</w:t>
            </w:r>
          </w:p>
        </w:tc>
      </w:tr>
      <w:tr w:rsidR="00843043" w:rsidTr="00AD25C4">
        <w:tc>
          <w:tcPr>
            <w:tcW w:w="2376" w:type="dxa"/>
            <w:tcBorders>
              <w:top w:val="single" w:sz="4" w:space="0" w:color="auto"/>
              <w:left w:val="single" w:sz="4" w:space="0" w:color="auto"/>
              <w:bottom w:val="single" w:sz="4" w:space="0" w:color="auto"/>
              <w:right w:val="single" w:sz="4" w:space="0" w:color="auto"/>
            </w:tcBorders>
            <w:hideMark/>
          </w:tcPr>
          <w:p w:rsidR="00843043" w:rsidRDefault="00843043">
            <w:pPr>
              <w:ind w:left="142"/>
              <w:rPr>
                <w:sz w:val="20"/>
                <w:szCs w:val="20"/>
              </w:rPr>
            </w:pPr>
            <w:r>
              <w:rPr>
                <w:sz w:val="20"/>
                <w:szCs w:val="20"/>
              </w:rPr>
              <w:t xml:space="preserve">Difference in LS </w:t>
            </w:r>
            <w:r>
              <w:rPr>
                <w:sz w:val="20"/>
                <w:szCs w:val="20"/>
                <w:vertAlign w:val="superscript"/>
              </w:rPr>
              <w:t>(a)</w:t>
            </w:r>
            <w:r>
              <w:rPr>
                <w:sz w:val="20"/>
                <w:szCs w:val="20"/>
              </w:rPr>
              <w:t xml:space="preserve"> mean (CNV area) </w:t>
            </w:r>
            <w:r>
              <w:rPr>
                <w:sz w:val="20"/>
                <w:szCs w:val="20"/>
                <w:vertAlign w:val="superscript"/>
              </w:rPr>
              <w:t>(g)</w:t>
            </w:r>
          </w:p>
          <w:p w:rsidR="00843043" w:rsidRDefault="00843043">
            <w:pPr>
              <w:ind w:left="142"/>
              <w:rPr>
                <w:sz w:val="20"/>
                <w:szCs w:val="20"/>
              </w:rPr>
            </w:pPr>
            <w:r>
              <w:rPr>
                <w:sz w:val="20"/>
                <w:szCs w:val="20"/>
              </w:rPr>
              <w:t xml:space="preserve">(95% CI) </w:t>
            </w:r>
            <w:r>
              <w:rPr>
                <w:sz w:val="20"/>
                <w:szCs w:val="20"/>
                <w:vertAlign w:val="superscript"/>
              </w:rPr>
              <w:t>(d)</w:t>
            </w:r>
          </w:p>
        </w:tc>
        <w:tc>
          <w:tcPr>
            <w:tcW w:w="1086" w:type="dxa"/>
            <w:tcBorders>
              <w:top w:val="single" w:sz="4" w:space="0" w:color="auto"/>
              <w:left w:val="single" w:sz="4" w:space="0" w:color="auto"/>
              <w:bottom w:val="single" w:sz="4" w:space="0" w:color="auto"/>
              <w:right w:val="single" w:sz="4" w:space="0" w:color="auto"/>
            </w:tcBorders>
            <w:vAlign w:val="center"/>
          </w:tcPr>
          <w:p w:rsidR="00843043" w:rsidRPr="00AF2A15" w:rsidRDefault="00AF2A15" w:rsidP="003501F8">
            <w:pPr>
              <w:pStyle w:val="Default"/>
              <w:ind w:left="-113" w:right="-113"/>
              <w:jc w:val="center"/>
              <w:rPr>
                <w:sz w:val="20"/>
                <w:szCs w:val="20"/>
              </w:rPr>
            </w:pPr>
            <w:r w:rsidRPr="00AF2A15">
              <w:rPr>
                <w:sz w:val="20"/>
                <w:szCs w:val="20"/>
              </w:rPr>
              <w:t>-0.74</w:t>
            </w:r>
            <w:r w:rsidRPr="00AF2A15">
              <w:rPr>
                <w:sz w:val="20"/>
                <w:szCs w:val="20"/>
              </w:rPr>
              <w:br/>
              <w:t>(-1.27, -0.21)</w:t>
            </w:r>
          </w:p>
        </w:tc>
        <w:tc>
          <w:tcPr>
            <w:tcW w:w="1087" w:type="dxa"/>
            <w:tcBorders>
              <w:top w:val="single" w:sz="4" w:space="0" w:color="auto"/>
              <w:left w:val="single" w:sz="4" w:space="0" w:color="auto"/>
              <w:bottom w:val="single" w:sz="4" w:space="0" w:color="auto"/>
              <w:right w:val="single" w:sz="4" w:space="0" w:color="auto"/>
            </w:tcBorders>
            <w:vAlign w:val="center"/>
          </w:tcPr>
          <w:p w:rsidR="00843043" w:rsidRPr="00AF2A15" w:rsidRDefault="00AD25C4" w:rsidP="00AD25C4">
            <w:pPr>
              <w:pStyle w:val="Default"/>
              <w:ind w:left="-113" w:right="-113"/>
              <w:jc w:val="center"/>
              <w:rPr>
                <w:sz w:val="20"/>
                <w:szCs w:val="20"/>
              </w:rPr>
            </w:pPr>
            <w:r w:rsidRPr="00AF2A15">
              <w:rPr>
                <w:sz w:val="20"/>
                <w:szCs w:val="20"/>
              </w:rPr>
              <w:t xml:space="preserve">-0.45 </w:t>
            </w:r>
            <w:r w:rsidRPr="00AF2A15">
              <w:rPr>
                <w:sz w:val="20"/>
                <w:szCs w:val="20"/>
              </w:rPr>
              <w:br/>
              <w:t xml:space="preserve">(-1.01, 0.10) </w:t>
            </w:r>
          </w:p>
        </w:tc>
        <w:tc>
          <w:tcPr>
            <w:tcW w:w="1087" w:type="dxa"/>
            <w:tcBorders>
              <w:top w:val="single" w:sz="4" w:space="0" w:color="auto"/>
              <w:left w:val="single" w:sz="4" w:space="0" w:color="auto"/>
              <w:bottom w:val="single" w:sz="4" w:space="0" w:color="auto"/>
              <w:right w:val="single" w:sz="4" w:space="0" w:color="auto"/>
            </w:tcBorders>
            <w:vAlign w:val="center"/>
            <w:hideMark/>
          </w:tcPr>
          <w:p w:rsidR="00843043" w:rsidRDefault="00843043">
            <w:pPr>
              <w:ind w:left="-108" w:right="-73"/>
              <w:jc w:val="center"/>
              <w:rPr>
                <w:sz w:val="20"/>
                <w:szCs w:val="20"/>
              </w:rPr>
            </w:pPr>
            <w:r>
              <w:rPr>
                <w:sz w:val="20"/>
                <w:szCs w:val="20"/>
              </w:rPr>
              <w:t>0.08</w:t>
            </w:r>
          </w:p>
          <w:p w:rsidR="00843043" w:rsidRDefault="00843043">
            <w:pPr>
              <w:ind w:left="-108" w:right="-73"/>
              <w:jc w:val="center"/>
              <w:rPr>
                <w:sz w:val="20"/>
                <w:szCs w:val="20"/>
              </w:rPr>
            </w:pPr>
            <w:r>
              <w:rPr>
                <w:sz w:val="20"/>
                <w:szCs w:val="20"/>
              </w:rPr>
              <w:t>(-0.46, 0.61)</w:t>
            </w:r>
          </w:p>
        </w:tc>
        <w:tc>
          <w:tcPr>
            <w:tcW w:w="1087" w:type="dxa"/>
            <w:tcBorders>
              <w:top w:val="single" w:sz="4" w:space="0" w:color="auto"/>
              <w:left w:val="single" w:sz="4" w:space="0" w:color="auto"/>
              <w:bottom w:val="single" w:sz="4" w:space="0" w:color="auto"/>
              <w:right w:val="single" w:sz="4" w:space="0" w:color="auto"/>
            </w:tcBorders>
            <w:vAlign w:val="center"/>
            <w:hideMark/>
          </w:tcPr>
          <w:p w:rsidR="00843043" w:rsidRPr="009A3E7A" w:rsidRDefault="00843043" w:rsidP="00995142">
            <w:pPr>
              <w:ind w:left="-72" w:right="-37"/>
              <w:jc w:val="center"/>
              <w:rPr>
                <w:sz w:val="20"/>
                <w:szCs w:val="20"/>
              </w:rPr>
            </w:pPr>
            <w:r w:rsidRPr="009A3E7A">
              <w:rPr>
                <w:sz w:val="20"/>
                <w:szCs w:val="20"/>
              </w:rPr>
              <w:t>0.11</w:t>
            </w:r>
          </w:p>
          <w:p w:rsidR="00843043" w:rsidRDefault="00843043" w:rsidP="003501F8">
            <w:pPr>
              <w:ind w:left="-72" w:right="-37"/>
              <w:jc w:val="center"/>
              <w:rPr>
                <w:sz w:val="20"/>
                <w:szCs w:val="20"/>
              </w:rPr>
            </w:pPr>
            <w:r w:rsidRPr="009A3E7A">
              <w:rPr>
                <w:sz w:val="20"/>
                <w:szCs w:val="20"/>
              </w:rPr>
              <w:t>(-</w:t>
            </w:r>
            <w:r w:rsidR="003501F8">
              <w:rPr>
                <w:sz w:val="20"/>
                <w:szCs w:val="20"/>
              </w:rPr>
              <w:t>4.4; 0.67</w:t>
            </w:r>
            <w:r w:rsidRPr="009A3E7A">
              <w:rPr>
                <w:sz w:val="20"/>
                <w:szCs w:val="20"/>
              </w:rPr>
              <w:t>)</w:t>
            </w:r>
          </w:p>
        </w:tc>
        <w:tc>
          <w:tcPr>
            <w:tcW w:w="1087" w:type="dxa"/>
            <w:tcBorders>
              <w:top w:val="single" w:sz="4" w:space="0" w:color="auto"/>
              <w:left w:val="single" w:sz="4" w:space="0" w:color="auto"/>
              <w:bottom w:val="single" w:sz="4" w:space="0" w:color="auto"/>
              <w:right w:val="single" w:sz="4" w:space="0" w:color="auto"/>
            </w:tcBorders>
            <w:vAlign w:val="center"/>
            <w:hideMark/>
          </w:tcPr>
          <w:p w:rsidR="00843043" w:rsidRDefault="00843043">
            <w:pPr>
              <w:jc w:val="center"/>
              <w:rPr>
                <w:sz w:val="20"/>
                <w:szCs w:val="20"/>
              </w:rPr>
            </w:pPr>
            <w:r>
              <w:rPr>
                <w:sz w:val="20"/>
                <w:szCs w:val="20"/>
              </w:rPr>
              <w:t>N/A</w:t>
            </w:r>
          </w:p>
        </w:tc>
        <w:tc>
          <w:tcPr>
            <w:tcW w:w="1087" w:type="dxa"/>
            <w:tcBorders>
              <w:top w:val="single" w:sz="4" w:space="0" w:color="auto"/>
              <w:left w:val="single" w:sz="4" w:space="0" w:color="auto"/>
              <w:bottom w:val="single" w:sz="4" w:space="0" w:color="auto"/>
              <w:right w:val="single" w:sz="4" w:space="0" w:color="auto"/>
            </w:tcBorders>
            <w:vAlign w:val="center"/>
            <w:hideMark/>
          </w:tcPr>
          <w:p w:rsidR="00843043" w:rsidRDefault="00843043">
            <w:pPr>
              <w:jc w:val="center"/>
              <w:rPr>
                <w:sz w:val="20"/>
                <w:szCs w:val="20"/>
              </w:rPr>
            </w:pPr>
            <w:r w:rsidRPr="009A3E7A">
              <w:rPr>
                <w:sz w:val="20"/>
                <w:szCs w:val="20"/>
              </w:rPr>
              <w:t>N/A</w:t>
            </w:r>
          </w:p>
        </w:tc>
      </w:tr>
    </w:tbl>
    <w:p w:rsidR="00C752C7" w:rsidRPr="0059188A" w:rsidRDefault="00894A6C" w:rsidP="005B32EF">
      <w:pPr>
        <w:tabs>
          <w:tab w:val="left" w:pos="397"/>
          <w:tab w:val="left" w:pos="567"/>
        </w:tabs>
        <w:spacing w:before="60"/>
        <w:ind w:right="-618"/>
        <w:rPr>
          <w:sz w:val="20"/>
          <w:szCs w:val="20"/>
        </w:rPr>
      </w:pPr>
      <w:r w:rsidRPr="0059188A">
        <w:rPr>
          <w:sz w:val="20"/>
          <w:szCs w:val="20"/>
        </w:rPr>
        <w:t>(a</w:t>
      </w:r>
      <w:r w:rsidR="00C752C7" w:rsidRPr="0059188A">
        <w:rPr>
          <w:sz w:val="20"/>
          <w:szCs w:val="20"/>
        </w:rPr>
        <w:t xml:space="preserve">) </w:t>
      </w:r>
      <w:r w:rsidR="0030535A" w:rsidRPr="0059188A">
        <w:rPr>
          <w:sz w:val="20"/>
          <w:szCs w:val="20"/>
        </w:rPr>
        <w:tab/>
      </w:r>
      <w:r w:rsidR="00C752C7" w:rsidRPr="0059188A">
        <w:rPr>
          <w:sz w:val="20"/>
          <w:szCs w:val="20"/>
        </w:rPr>
        <w:t>BCVA: Best Corrected Visual Acuity</w:t>
      </w:r>
      <w:r w:rsidR="005B32EF">
        <w:rPr>
          <w:sz w:val="20"/>
          <w:szCs w:val="20"/>
        </w:rPr>
        <w:t xml:space="preserve">; </w:t>
      </w:r>
      <w:r w:rsidR="00C752C7" w:rsidRPr="0059188A">
        <w:rPr>
          <w:sz w:val="20"/>
          <w:szCs w:val="20"/>
        </w:rPr>
        <w:t>ETDRS: Early Treatment Diabetic Retinopathy Study</w:t>
      </w:r>
      <w:r w:rsidR="005B32EF">
        <w:rPr>
          <w:sz w:val="20"/>
          <w:szCs w:val="20"/>
        </w:rPr>
        <w:t xml:space="preserve">; </w:t>
      </w:r>
    </w:p>
    <w:p w:rsidR="00F07282" w:rsidRPr="0059188A" w:rsidRDefault="0049176C" w:rsidP="005B32EF">
      <w:pPr>
        <w:tabs>
          <w:tab w:val="left" w:pos="397"/>
          <w:tab w:val="left" w:pos="567"/>
        </w:tabs>
        <w:ind w:right="-618"/>
        <w:rPr>
          <w:sz w:val="20"/>
          <w:szCs w:val="20"/>
        </w:rPr>
      </w:pPr>
      <w:r w:rsidRPr="0059188A">
        <w:rPr>
          <w:sz w:val="20"/>
          <w:szCs w:val="20"/>
        </w:rPr>
        <w:tab/>
        <w:t>LS mean: least square</w:t>
      </w:r>
      <w:r w:rsidR="0066626C" w:rsidRPr="0059188A">
        <w:rPr>
          <w:sz w:val="20"/>
          <w:szCs w:val="20"/>
        </w:rPr>
        <w:t>s</w:t>
      </w:r>
      <w:r w:rsidRPr="0059188A">
        <w:rPr>
          <w:sz w:val="20"/>
          <w:szCs w:val="20"/>
        </w:rPr>
        <w:t xml:space="preserve"> mean</w:t>
      </w:r>
      <w:r w:rsidR="005B32EF">
        <w:rPr>
          <w:sz w:val="20"/>
          <w:szCs w:val="20"/>
        </w:rPr>
        <w:t xml:space="preserve">; </w:t>
      </w:r>
      <w:r w:rsidR="00F07282" w:rsidRPr="0059188A">
        <w:rPr>
          <w:sz w:val="20"/>
          <w:szCs w:val="20"/>
        </w:rPr>
        <w:t xml:space="preserve">FA: Fluorescein angiography </w:t>
      </w:r>
    </w:p>
    <w:p w:rsidR="00C752C7" w:rsidRPr="0059188A" w:rsidRDefault="00894A6C" w:rsidP="005B32EF">
      <w:pPr>
        <w:tabs>
          <w:tab w:val="left" w:pos="397"/>
          <w:tab w:val="left" w:pos="567"/>
        </w:tabs>
        <w:ind w:left="390" w:right="-618" w:hanging="390"/>
        <w:rPr>
          <w:sz w:val="20"/>
          <w:szCs w:val="20"/>
        </w:rPr>
      </w:pPr>
      <w:r w:rsidRPr="0059188A">
        <w:rPr>
          <w:sz w:val="20"/>
          <w:szCs w:val="20"/>
        </w:rPr>
        <w:t>(b</w:t>
      </w:r>
      <w:r w:rsidR="00C752C7" w:rsidRPr="0059188A">
        <w:rPr>
          <w:sz w:val="20"/>
          <w:szCs w:val="20"/>
        </w:rPr>
        <w:t>)</w:t>
      </w:r>
      <w:r w:rsidR="00C752C7" w:rsidRPr="0059188A">
        <w:rPr>
          <w:sz w:val="20"/>
          <w:szCs w:val="20"/>
        </w:rPr>
        <w:tab/>
        <w:t>Full Analysis Set (FAS), Last Observation Carried Forward (LOCF)</w:t>
      </w:r>
      <w:r w:rsidR="009B301C">
        <w:rPr>
          <w:sz w:val="20"/>
          <w:szCs w:val="20"/>
        </w:rPr>
        <w:t xml:space="preserve"> for all analyses except</w:t>
      </w:r>
      <w:r w:rsidR="00AD487B" w:rsidRPr="0059188A">
        <w:rPr>
          <w:sz w:val="20"/>
          <w:szCs w:val="20"/>
        </w:rPr>
        <w:t xml:space="preserve"> proportion of patients with maintained visual acuity</w:t>
      </w:r>
      <w:r w:rsidR="009B301C">
        <w:rPr>
          <w:sz w:val="20"/>
          <w:szCs w:val="20"/>
        </w:rPr>
        <w:t xml:space="preserve"> at week 52 which</w:t>
      </w:r>
      <w:r w:rsidR="00AD487B" w:rsidRPr="0059188A">
        <w:rPr>
          <w:sz w:val="20"/>
          <w:szCs w:val="20"/>
        </w:rPr>
        <w:t xml:space="preserve"> is Per Protocol Set (PPS)</w:t>
      </w:r>
    </w:p>
    <w:p w:rsidR="00C752C7" w:rsidRPr="0059188A" w:rsidRDefault="00894A6C" w:rsidP="005B32EF">
      <w:pPr>
        <w:tabs>
          <w:tab w:val="left" w:pos="397"/>
          <w:tab w:val="left" w:pos="567"/>
        </w:tabs>
        <w:ind w:right="-618"/>
        <w:rPr>
          <w:sz w:val="20"/>
          <w:szCs w:val="20"/>
        </w:rPr>
      </w:pPr>
      <w:r w:rsidRPr="0059188A">
        <w:rPr>
          <w:sz w:val="20"/>
          <w:szCs w:val="20"/>
        </w:rPr>
        <w:t>(c</w:t>
      </w:r>
      <w:r w:rsidR="00C752C7" w:rsidRPr="0059188A">
        <w:rPr>
          <w:sz w:val="20"/>
          <w:szCs w:val="20"/>
        </w:rPr>
        <w:t>)</w:t>
      </w:r>
      <w:r w:rsidR="00C752C7" w:rsidRPr="0059188A">
        <w:rPr>
          <w:sz w:val="20"/>
          <w:szCs w:val="20"/>
        </w:rPr>
        <w:tab/>
        <w:t xml:space="preserve">The difference is the value of the EYLEA group minus the value of the </w:t>
      </w:r>
      <w:proofErr w:type="spellStart"/>
      <w:r w:rsidR="00C752C7" w:rsidRPr="0059188A">
        <w:rPr>
          <w:sz w:val="20"/>
          <w:szCs w:val="20"/>
        </w:rPr>
        <w:t>ranibizumab</w:t>
      </w:r>
      <w:proofErr w:type="spellEnd"/>
      <w:r w:rsidR="00C752C7" w:rsidRPr="0059188A">
        <w:rPr>
          <w:sz w:val="20"/>
          <w:szCs w:val="20"/>
        </w:rPr>
        <w:t xml:space="preserve"> group. </w:t>
      </w:r>
    </w:p>
    <w:p w:rsidR="00C752C7" w:rsidRPr="0059188A" w:rsidRDefault="0030535A" w:rsidP="005B32EF">
      <w:pPr>
        <w:tabs>
          <w:tab w:val="left" w:pos="397"/>
          <w:tab w:val="left" w:pos="567"/>
        </w:tabs>
        <w:ind w:right="-618"/>
        <w:rPr>
          <w:sz w:val="20"/>
          <w:szCs w:val="20"/>
        </w:rPr>
      </w:pPr>
      <w:r w:rsidRPr="0059188A">
        <w:rPr>
          <w:sz w:val="20"/>
          <w:szCs w:val="20"/>
        </w:rPr>
        <w:tab/>
      </w:r>
      <w:r w:rsidR="00C752C7" w:rsidRPr="0059188A">
        <w:rPr>
          <w:sz w:val="20"/>
          <w:szCs w:val="20"/>
        </w:rPr>
        <w:t xml:space="preserve">A positive value </w:t>
      </w:r>
      <w:r w:rsidR="00C752C7" w:rsidRPr="0059188A">
        <w:rPr>
          <w:sz w:val="20"/>
          <w:szCs w:val="20"/>
          <w:lang w:val="en-AU"/>
        </w:rPr>
        <w:t>favours</w:t>
      </w:r>
      <w:r w:rsidR="00C752C7" w:rsidRPr="0059188A">
        <w:rPr>
          <w:sz w:val="20"/>
          <w:szCs w:val="20"/>
        </w:rPr>
        <w:t xml:space="preserve"> EYLEA</w:t>
      </w:r>
      <w:r w:rsidRPr="0059188A">
        <w:rPr>
          <w:sz w:val="20"/>
          <w:szCs w:val="20"/>
        </w:rPr>
        <w:t>.</w:t>
      </w:r>
    </w:p>
    <w:p w:rsidR="00C752C7" w:rsidRPr="0059188A" w:rsidRDefault="00894A6C" w:rsidP="005B32EF">
      <w:pPr>
        <w:tabs>
          <w:tab w:val="left" w:pos="397"/>
          <w:tab w:val="left" w:pos="567"/>
        </w:tabs>
        <w:ind w:right="-618"/>
        <w:rPr>
          <w:sz w:val="20"/>
          <w:szCs w:val="20"/>
        </w:rPr>
      </w:pPr>
      <w:r w:rsidRPr="0059188A">
        <w:rPr>
          <w:sz w:val="20"/>
          <w:szCs w:val="20"/>
        </w:rPr>
        <w:t>(d</w:t>
      </w:r>
      <w:r w:rsidR="00C752C7" w:rsidRPr="0059188A">
        <w:rPr>
          <w:sz w:val="20"/>
          <w:szCs w:val="20"/>
        </w:rPr>
        <w:t>)</w:t>
      </w:r>
      <w:r w:rsidR="00C752C7" w:rsidRPr="0059188A">
        <w:rPr>
          <w:sz w:val="20"/>
          <w:szCs w:val="20"/>
        </w:rPr>
        <w:tab/>
      </w:r>
      <w:r w:rsidR="0030535A" w:rsidRPr="0059188A">
        <w:rPr>
          <w:sz w:val="20"/>
          <w:szCs w:val="20"/>
        </w:rPr>
        <w:t xml:space="preserve">Confidence Interval (CI) calculated by normal approximation </w:t>
      </w:r>
    </w:p>
    <w:p w:rsidR="0030535A" w:rsidRPr="0059188A" w:rsidRDefault="00894A6C" w:rsidP="005B32EF">
      <w:pPr>
        <w:tabs>
          <w:tab w:val="left" w:pos="397"/>
          <w:tab w:val="left" w:pos="567"/>
        </w:tabs>
        <w:ind w:right="-618"/>
        <w:rPr>
          <w:sz w:val="20"/>
          <w:szCs w:val="20"/>
        </w:rPr>
      </w:pPr>
      <w:r w:rsidRPr="0059188A">
        <w:rPr>
          <w:sz w:val="20"/>
          <w:szCs w:val="20"/>
        </w:rPr>
        <w:t>(e</w:t>
      </w:r>
      <w:r w:rsidR="0030535A" w:rsidRPr="0059188A">
        <w:rPr>
          <w:sz w:val="20"/>
          <w:szCs w:val="20"/>
        </w:rPr>
        <w:t>)</w:t>
      </w:r>
      <w:r w:rsidR="0030535A" w:rsidRPr="0059188A">
        <w:rPr>
          <w:sz w:val="20"/>
          <w:szCs w:val="20"/>
        </w:rPr>
        <w:tab/>
        <w:t xml:space="preserve">After treatment initiation with three monthly doses </w:t>
      </w:r>
    </w:p>
    <w:p w:rsidR="00F07282" w:rsidRPr="0059188A" w:rsidRDefault="00894A6C" w:rsidP="005B32EF">
      <w:pPr>
        <w:tabs>
          <w:tab w:val="left" w:pos="397"/>
          <w:tab w:val="left" w:pos="567"/>
        </w:tabs>
        <w:ind w:left="426" w:right="-618" w:hanging="426"/>
        <w:rPr>
          <w:sz w:val="20"/>
          <w:szCs w:val="20"/>
        </w:rPr>
      </w:pPr>
      <w:r w:rsidRPr="0059188A">
        <w:rPr>
          <w:sz w:val="20"/>
          <w:szCs w:val="20"/>
        </w:rPr>
        <w:t>(f</w:t>
      </w:r>
      <w:r w:rsidR="00AD487B" w:rsidRPr="0059188A">
        <w:rPr>
          <w:sz w:val="20"/>
          <w:szCs w:val="20"/>
        </w:rPr>
        <w:t>)</w:t>
      </w:r>
      <w:r w:rsidR="00AD487B" w:rsidRPr="0059188A">
        <w:rPr>
          <w:sz w:val="20"/>
          <w:szCs w:val="20"/>
        </w:rPr>
        <w:tab/>
        <w:t xml:space="preserve">A confidence interval lying entirely above -10% indicates a non-inferiority of EYLEA to </w:t>
      </w:r>
      <w:proofErr w:type="spellStart"/>
      <w:r w:rsidR="00AD487B" w:rsidRPr="0059188A">
        <w:rPr>
          <w:sz w:val="20"/>
          <w:szCs w:val="20"/>
        </w:rPr>
        <w:t>ranibizumab</w:t>
      </w:r>
      <w:proofErr w:type="spellEnd"/>
    </w:p>
    <w:p w:rsidR="004A638C" w:rsidRDefault="004A638C" w:rsidP="005B32EF">
      <w:pPr>
        <w:tabs>
          <w:tab w:val="left" w:pos="397"/>
          <w:tab w:val="left" w:pos="567"/>
        </w:tabs>
        <w:ind w:right="-618"/>
        <w:rPr>
          <w:sz w:val="20"/>
          <w:szCs w:val="20"/>
        </w:rPr>
      </w:pPr>
      <w:r w:rsidRPr="0059188A">
        <w:rPr>
          <w:sz w:val="20"/>
          <w:szCs w:val="20"/>
        </w:rPr>
        <w:t>(g)</w:t>
      </w:r>
      <w:r w:rsidRPr="0059188A">
        <w:rPr>
          <w:sz w:val="20"/>
          <w:szCs w:val="20"/>
        </w:rPr>
        <w:tab/>
        <w:t xml:space="preserve">The difference is the value of the EYLEA group minus the value of the </w:t>
      </w:r>
      <w:proofErr w:type="spellStart"/>
      <w:r w:rsidRPr="0059188A">
        <w:rPr>
          <w:sz w:val="20"/>
          <w:szCs w:val="20"/>
        </w:rPr>
        <w:t>ranibizumab</w:t>
      </w:r>
      <w:proofErr w:type="spellEnd"/>
      <w:r w:rsidRPr="0059188A">
        <w:rPr>
          <w:sz w:val="20"/>
          <w:szCs w:val="20"/>
        </w:rPr>
        <w:t xml:space="preserve"> group</w:t>
      </w:r>
    </w:p>
    <w:p w:rsidR="009B301C" w:rsidRPr="0059188A" w:rsidRDefault="009B301C" w:rsidP="005B32EF">
      <w:pPr>
        <w:tabs>
          <w:tab w:val="left" w:pos="397"/>
          <w:tab w:val="left" w:pos="567"/>
        </w:tabs>
        <w:ind w:left="390" w:right="-618" w:hanging="390"/>
        <w:rPr>
          <w:sz w:val="20"/>
          <w:szCs w:val="20"/>
        </w:rPr>
      </w:pPr>
      <w:r>
        <w:rPr>
          <w:sz w:val="20"/>
          <w:szCs w:val="20"/>
        </w:rPr>
        <w:lastRenderedPageBreak/>
        <w:t xml:space="preserve">(h) </w:t>
      </w:r>
      <w:r>
        <w:rPr>
          <w:sz w:val="20"/>
          <w:szCs w:val="20"/>
        </w:rPr>
        <w:tab/>
        <w:t>Beginning at week 52, all groups were treated using a modified quarterly treatment paradigm where patients could be dosed as frequently as every 4 weeks but not less frequently than every 12 weeks based upon pre-specified retreatment criteria</w:t>
      </w:r>
    </w:p>
    <w:p w:rsidR="00193BD5" w:rsidRPr="0059188A" w:rsidRDefault="00193BD5" w:rsidP="0030535A">
      <w:pPr>
        <w:tabs>
          <w:tab w:val="left" w:pos="397"/>
          <w:tab w:val="left" w:pos="567"/>
        </w:tabs>
        <w:rPr>
          <w:sz w:val="20"/>
          <w:szCs w:val="20"/>
        </w:rPr>
      </w:pPr>
      <w:r w:rsidRPr="0059188A">
        <w:rPr>
          <w:sz w:val="20"/>
          <w:szCs w:val="20"/>
        </w:rPr>
        <w:t>*</w:t>
      </w:r>
      <w:r w:rsidRPr="0059188A">
        <w:rPr>
          <w:sz w:val="20"/>
          <w:szCs w:val="20"/>
        </w:rPr>
        <w:tab/>
        <w:t>Primary endpoint</w:t>
      </w:r>
    </w:p>
    <w:p w:rsidR="00193BD5" w:rsidRDefault="00193BD5" w:rsidP="0030535A">
      <w:pPr>
        <w:tabs>
          <w:tab w:val="left" w:pos="397"/>
          <w:tab w:val="left" w:pos="567"/>
        </w:tabs>
        <w:rPr>
          <w:sz w:val="20"/>
          <w:szCs w:val="20"/>
        </w:rPr>
      </w:pPr>
      <w:r w:rsidRPr="0059188A">
        <w:rPr>
          <w:sz w:val="20"/>
          <w:szCs w:val="20"/>
        </w:rPr>
        <w:t xml:space="preserve"># </w:t>
      </w:r>
      <w:r w:rsidRPr="0059188A">
        <w:rPr>
          <w:sz w:val="20"/>
          <w:szCs w:val="20"/>
        </w:rPr>
        <w:tab/>
        <w:t>Secondary endpoint – see statistical comment below</w:t>
      </w:r>
    </w:p>
    <w:p w:rsidR="00502C50" w:rsidRPr="0059188A" w:rsidRDefault="00502C50" w:rsidP="0030535A">
      <w:pPr>
        <w:tabs>
          <w:tab w:val="left" w:pos="397"/>
          <w:tab w:val="left" w:pos="567"/>
        </w:tabs>
        <w:rPr>
          <w:sz w:val="20"/>
          <w:szCs w:val="20"/>
        </w:rPr>
      </w:pPr>
    </w:p>
    <w:p w:rsidR="00AC42BD" w:rsidRPr="0059188A" w:rsidRDefault="00AC42BD" w:rsidP="004A2828">
      <w:pPr>
        <w:keepNext/>
        <w:jc w:val="both"/>
        <w:rPr>
          <w:lang w:val="en-AU"/>
        </w:rPr>
      </w:pPr>
      <w:r w:rsidRPr="0059188A">
        <w:rPr>
          <w:b/>
          <w:lang w:val="en-AU"/>
        </w:rPr>
        <w:t>Figure 3: Mean change in visual acuity from baseline to</w:t>
      </w:r>
      <w:r w:rsidR="009B301C">
        <w:rPr>
          <w:b/>
          <w:lang w:val="en-AU"/>
        </w:rPr>
        <w:t xml:space="preserve"> week 96</w:t>
      </w:r>
      <w:r w:rsidR="005A4B95">
        <w:rPr>
          <w:b/>
          <w:lang w:val="en-AU"/>
        </w:rPr>
        <w:t>*</w:t>
      </w:r>
      <w:r w:rsidRPr="0059188A">
        <w:rPr>
          <w:b/>
          <w:lang w:val="en-AU"/>
        </w:rPr>
        <w:t>; combined data from the VIEW1 and VIEW2 studies</w:t>
      </w:r>
    </w:p>
    <w:p w:rsidR="00843043" w:rsidRPr="0059188A" w:rsidRDefault="003E56D2" w:rsidP="00925208">
      <w:pPr>
        <w:jc w:val="both"/>
        <w:rPr>
          <w:lang w:val="en-GB"/>
        </w:rPr>
      </w:pPr>
      <w:r>
        <w:rPr>
          <w:noProof/>
          <w:lang w:val="en-AU" w:eastAsia="en-AU"/>
        </w:rPr>
        <w:pict>
          <v:shape id="_x0000_i1027" type="#_x0000_t75" style="width:415.5pt;height:193.5pt;visibility:visible">
            <v:imagedata r:id="rId13" o:title=""/>
          </v:shape>
        </w:pict>
      </w:r>
      <w:r w:rsidR="00A25A1F">
        <w:rPr>
          <w:rStyle w:val="CommentReference"/>
        </w:rPr>
        <w:t xml:space="preserve"> </w:t>
      </w:r>
    </w:p>
    <w:p w:rsidR="009B301C" w:rsidRDefault="009B301C" w:rsidP="00502C50">
      <w:pPr>
        <w:keepNext/>
        <w:keepLines/>
        <w:tabs>
          <w:tab w:val="left" w:pos="426"/>
        </w:tabs>
        <w:spacing w:before="240"/>
        <w:ind w:left="426" w:hanging="426"/>
        <w:jc w:val="both"/>
        <w:rPr>
          <w:sz w:val="20"/>
        </w:rPr>
      </w:pPr>
      <w:r>
        <w:rPr>
          <w:sz w:val="20"/>
        </w:rPr>
        <w:t xml:space="preserve">*)  </w:t>
      </w:r>
      <w:r>
        <w:rPr>
          <w:sz w:val="20"/>
        </w:rPr>
        <w:tab/>
        <w:t>From Baseline to Week 52, EYLEA was dosed every 8 weeks following 3 initial monthly doses</w:t>
      </w:r>
      <w:r w:rsidR="005A4B95">
        <w:rPr>
          <w:sz w:val="20"/>
        </w:rPr>
        <w:t xml:space="preserve"> (EYLEA 2 mg Q8 weeks) or every 4 weeks (EYLEA 2 mg Q4 weeks)</w:t>
      </w:r>
      <w:r>
        <w:rPr>
          <w:sz w:val="20"/>
        </w:rPr>
        <w:t>.  From Baseline to Week</w:t>
      </w:r>
      <w:r w:rsidR="005A4B95">
        <w:rPr>
          <w:sz w:val="20"/>
        </w:rPr>
        <w:t> </w:t>
      </w:r>
      <w:r>
        <w:rPr>
          <w:sz w:val="20"/>
        </w:rPr>
        <w:t xml:space="preserve">52, </w:t>
      </w:r>
      <w:proofErr w:type="spellStart"/>
      <w:r>
        <w:rPr>
          <w:sz w:val="20"/>
        </w:rPr>
        <w:t>ranibizumab</w:t>
      </w:r>
      <w:proofErr w:type="spellEnd"/>
      <w:r>
        <w:rPr>
          <w:sz w:val="20"/>
        </w:rPr>
        <w:t xml:space="preserve"> 0.5 mg was dosed every 4 weeks</w:t>
      </w:r>
      <w:r w:rsidR="005A4B95">
        <w:rPr>
          <w:sz w:val="20"/>
        </w:rPr>
        <w:t xml:space="preserve"> (</w:t>
      </w:r>
      <w:proofErr w:type="spellStart"/>
      <w:r w:rsidR="005A4B95">
        <w:rPr>
          <w:sz w:val="20"/>
        </w:rPr>
        <w:t>Ranibizumab</w:t>
      </w:r>
      <w:proofErr w:type="spellEnd"/>
      <w:r w:rsidR="005A4B95">
        <w:rPr>
          <w:sz w:val="20"/>
        </w:rPr>
        <w:t xml:space="preserve"> 0.5 mg Q4 weeks)</w:t>
      </w:r>
      <w:r>
        <w:rPr>
          <w:sz w:val="20"/>
        </w:rPr>
        <w:t>.  Beginning at Week 52, all groups were treated using a modified quarterly treatment paradigm where patients could be dosed as frequently as every 4 weeks but not less frequently than every 12 weeks based upon pre-specified retreatment criteria.</w:t>
      </w:r>
    </w:p>
    <w:p w:rsidR="00A11671" w:rsidRPr="009B301C" w:rsidRDefault="00A11671" w:rsidP="00AC42BD">
      <w:pPr>
        <w:jc w:val="both"/>
      </w:pPr>
    </w:p>
    <w:p w:rsidR="003F003E" w:rsidRPr="0059188A" w:rsidRDefault="00FC7937" w:rsidP="003B4AEF">
      <w:pPr>
        <w:autoSpaceDE w:val="0"/>
        <w:autoSpaceDN w:val="0"/>
        <w:adjustRightInd w:val="0"/>
        <w:jc w:val="both"/>
        <w:rPr>
          <w:lang w:val="en-AU" w:eastAsia="en-AU"/>
        </w:rPr>
      </w:pPr>
      <w:r w:rsidRPr="0059188A">
        <w:rPr>
          <w:lang w:val="en-AU"/>
        </w:rPr>
        <w:t xml:space="preserve">While there were small differences between EYLEA and </w:t>
      </w:r>
      <w:proofErr w:type="spellStart"/>
      <w:r w:rsidRPr="0059188A">
        <w:rPr>
          <w:lang w:val="en-AU"/>
        </w:rPr>
        <w:t>ranibizumab</w:t>
      </w:r>
      <w:proofErr w:type="spellEnd"/>
      <w:r w:rsidRPr="0059188A">
        <w:rPr>
          <w:lang w:val="en-AU"/>
        </w:rPr>
        <w:t>, n</w:t>
      </w:r>
      <w:r w:rsidR="00B27ACB" w:rsidRPr="0059188A">
        <w:rPr>
          <w:lang w:val="en-AU"/>
        </w:rPr>
        <w:t>o clinically relevant differences were seen between the</w:t>
      </w:r>
      <w:r w:rsidR="003F003E" w:rsidRPr="0059188A">
        <w:rPr>
          <w:lang w:val="en-AU"/>
        </w:rPr>
        <w:t xml:space="preserve"> </w:t>
      </w:r>
      <w:r w:rsidR="00B27ACB" w:rsidRPr="0059188A">
        <w:rPr>
          <w:lang w:val="en-AU"/>
        </w:rPr>
        <w:t xml:space="preserve">treatment groups across all four secondary efficacy endpoints, </w:t>
      </w:r>
      <w:r w:rsidR="00532473" w:rsidRPr="0059188A">
        <w:rPr>
          <w:lang w:val="en-AU"/>
        </w:rPr>
        <w:t xml:space="preserve">based on the confidence intervals for the differences between EYLEA and </w:t>
      </w:r>
      <w:proofErr w:type="spellStart"/>
      <w:r w:rsidR="00532473" w:rsidRPr="0059188A">
        <w:rPr>
          <w:lang w:val="en-AU"/>
        </w:rPr>
        <w:t>ranibizumab</w:t>
      </w:r>
      <w:proofErr w:type="spellEnd"/>
      <w:r w:rsidR="00B27ACB" w:rsidRPr="0059188A">
        <w:rPr>
          <w:lang w:val="en-AU"/>
        </w:rPr>
        <w:t xml:space="preserve">. </w:t>
      </w:r>
      <w:r w:rsidR="003F003E" w:rsidRPr="0059188A">
        <w:rPr>
          <w:lang w:val="en-AU"/>
        </w:rPr>
        <w:t xml:space="preserve">All statistical tests on secondary efficacy endpoints were considered to be exploratory </w:t>
      </w:r>
      <w:r w:rsidR="004F2D0A" w:rsidRPr="0059188A">
        <w:rPr>
          <w:lang w:val="en-AU"/>
        </w:rPr>
        <w:t>in the combined analysis of both studies</w:t>
      </w:r>
      <w:r w:rsidR="004301F9" w:rsidRPr="0059188A">
        <w:rPr>
          <w:lang w:val="en-AU" w:eastAsia="en-AU"/>
        </w:rPr>
        <w:t xml:space="preserve">. </w:t>
      </w:r>
      <w:r w:rsidR="00D826FA" w:rsidRPr="0059188A">
        <w:rPr>
          <w:lang w:val="en-AU" w:eastAsia="en-AU"/>
        </w:rPr>
        <w:t>All secondary endpoint analyses supported the comparability of the efficacy of all 3 EYLEA treatment schedules</w:t>
      </w:r>
      <w:r w:rsidR="002575B3" w:rsidRPr="0059188A">
        <w:rPr>
          <w:lang w:val="en-AU" w:eastAsia="en-AU"/>
        </w:rPr>
        <w:t xml:space="preserve"> and </w:t>
      </w:r>
      <w:proofErr w:type="spellStart"/>
      <w:r w:rsidR="002575B3" w:rsidRPr="0059188A">
        <w:rPr>
          <w:lang w:val="en-AU" w:eastAsia="en-AU"/>
        </w:rPr>
        <w:t>ranibizumab</w:t>
      </w:r>
      <w:proofErr w:type="spellEnd"/>
      <w:r w:rsidR="003F003E" w:rsidRPr="0059188A">
        <w:rPr>
          <w:lang w:val="en-AU"/>
        </w:rPr>
        <w:t>.</w:t>
      </w:r>
      <w:r w:rsidR="00D826FA" w:rsidRPr="0059188A">
        <w:rPr>
          <w:lang w:val="en-AU"/>
        </w:rPr>
        <w:t xml:space="preserve"> </w:t>
      </w:r>
    </w:p>
    <w:p w:rsidR="001278C5" w:rsidRPr="0059188A" w:rsidRDefault="00B27ACB" w:rsidP="000328D0">
      <w:pPr>
        <w:jc w:val="both"/>
        <w:rPr>
          <w:lang w:val="en-AU"/>
        </w:rPr>
      </w:pPr>
      <w:r w:rsidRPr="0059188A">
        <w:rPr>
          <w:lang w:val="en-AU"/>
        </w:rPr>
        <w:t xml:space="preserve"> </w:t>
      </w:r>
    </w:p>
    <w:p w:rsidR="00CF7ADA" w:rsidRPr="0059188A" w:rsidRDefault="0057161C" w:rsidP="000328D0">
      <w:pPr>
        <w:jc w:val="both"/>
        <w:rPr>
          <w:lang w:val="en-AU"/>
        </w:rPr>
      </w:pPr>
      <w:r w:rsidRPr="0059188A">
        <w:rPr>
          <w:lang w:val="en-AU"/>
        </w:rPr>
        <w:t>I</w:t>
      </w:r>
      <w:r w:rsidR="00AC42BD" w:rsidRPr="0059188A">
        <w:rPr>
          <w:lang w:val="en-AU"/>
        </w:rPr>
        <w:t>n combined data analysis of the VIEW 1 and VIEW 2 studies EYLEA demonstrated clinically meaningful changes from baseline in NEI VFQ-25</w:t>
      </w:r>
      <w:r w:rsidR="000328D0" w:rsidRPr="0059188A">
        <w:rPr>
          <w:lang w:val="en-AU"/>
        </w:rPr>
        <w:t xml:space="preserve"> scores and subscales (near activities, distance activities, and vision-specific dependency</w:t>
      </w:r>
      <w:r w:rsidR="00AC42BD" w:rsidRPr="0059188A">
        <w:rPr>
          <w:lang w:val="en-AU"/>
        </w:rPr>
        <w:t>). The magnitude of these changes was similar to that seen in published studies, which corresponded to a 15-letter gain in BCVA.</w:t>
      </w:r>
      <w:r w:rsidR="001278C5" w:rsidRPr="0059188A">
        <w:rPr>
          <w:lang w:val="en-AU"/>
        </w:rPr>
        <w:t xml:space="preserve"> </w:t>
      </w:r>
    </w:p>
    <w:p w:rsidR="009B301C" w:rsidRDefault="009B301C" w:rsidP="009B301C">
      <w:pPr>
        <w:autoSpaceDE w:val="0"/>
        <w:autoSpaceDN w:val="0"/>
        <w:adjustRightInd w:val="0"/>
        <w:jc w:val="both"/>
        <w:rPr>
          <w:lang w:val="en-AU"/>
        </w:rPr>
      </w:pPr>
    </w:p>
    <w:p w:rsidR="009B301C" w:rsidRDefault="009B301C" w:rsidP="009B301C">
      <w:pPr>
        <w:autoSpaceDE w:val="0"/>
        <w:autoSpaceDN w:val="0"/>
        <w:adjustRightInd w:val="0"/>
        <w:jc w:val="both"/>
        <w:rPr>
          <w:lang w:val="en-AU"/>
        </w:rPr>
      </w:pPr>
      <w:r>
        <w:rPr>
          <w:lang w:val="en-AU"/>
        </w:rPr>
        <w:t xml:space="preserve">After the first year of the studies, efficacy was generally maintained through the last assessment at week 96.  Over the 96 weeks period, patients in the EYLEA 2Q8 group received an average of 11.2 doses and patients in the </w:t>
      </w:r>
      <w:proofErr w:type="spellStart"/>
      <w:r>
        <w:rPr>
          <w:lang w:val="en-AU"/>
        </w:rPr>
        <w:t>ranibizumab</w:t>
      </w:r>
      <w:proofErr w:type="spellEnd"/>
      <w:r>
        <w:rPr>
          <w:lang w:val="en-AU"/>
        </w:rPr>
        <w:t xml:space="preserve"> group received an average of 16.5 doses.</w:t>
      </w:r>
    </w:p>
    <w:p w:rsidR="00CF7ADA" w:rsidRPr="0059188A" w:rsidRDefault="00CF7ADA" w:rsidP="00A11671">
      <w:pPr>
        <w:jc w:val="both"/>
        <w:rPr>
          <w:lang w:val="en-AU"/>
        </w:rPr>
      </w:pPr>
    </w:p>
    <w:p w:rsidR="00CF7ADA" w:rsidRPr="0059188A" w:rsidRDefault="00CF7ADA" w:rsidP="00CF7ADA">
      <w:pPr>
        <w:jc w:val="both"/>
        <w:rPr>
          <w:lang w:val="en-AU"/>
        </w:rPr>
      </w:pPr>
      <w:r w:rsidRPr="0059188A">
        <w:rPr>
          <w:lang w:val="en-AU"/>
        </w:rPr>
        <w:lastRenderedPageBreak/>
        <w:t>E</w:t>
      </w:r>
      <w:r w:rsidR="00FB70C7" w:rsidRPr="0059188A">
        <w:rPr>
          <w:lang w:val="en-AU"/>
        </w:rPr>
        <w:t>xploratory analyses of e</w:t>
      </w:r>
      <w:r w:rsidRPr="0059188A">
        <w:rPr>
          <w:lang w:val="en-AU"/>
        </w:rPr>
        <w:t>fficacy results in all evaluable subgroups (e.g. age, gender, race, baseline visual acuity, lesion type, lesion size) in each study and in the combined analysis were consistent with the results in the overall populations.</w:t>
      </w:r>
    </w:p>
    <w:p w:rsidR="00A1753F" w:rsidRPr="0059188A" w:rsidRDefault="00A1753F" w:rsidP="00C010BA">
      <w:pPr>
        <w:jc w:val="both"/>
        <w:rPr>
          <w:lang w:val="en-AU"/>
        </w:rPr>
      </w:pPr>
    </w:p>
    <w:p w:rsidR="00A11AB0" w:rsidRPr="0059188A" w:rsidRDefault="00A11AB0" w:rsidP="001B5410">
      <w:pPr>
        <w:pStyle w:val="Heading2"/>
        <w:keepLines/>
        <w:rPr>
          <w:rFonts w:ascii="Times New Roman Bold" w:hAnsi="Times New Roman Bold"/>
          <w:i w:val="0"/>
          <w:lang w:val="en-AU"/>
        </w:rPr>
      </w:pPr>
      <w:r w:rsidRPr="0059188A">
        <w:rPr>
          <w:rFonts w:ascii="Times New Roman Bold" w:hAnsi="Times New Roman Bold"/>
          <w:i w:val="0"/>
          <w:lang w:val="en-AU"/>
        </w:rPr>
        <w:t>Macular oedema</w:t>
      </w:r>
      <w:r w:rsidR="002A1B18" w:rsidRPr="0059188A">
        <w:rPr>
          <w:rFonts w:ascii="Times New Roman Bold" w:hAnsi="Times New Roman Bold"/>
          <w:i w:val="0"/>
          <w:lang w:val="en-AU"/>
        </w:rPr>
        <w:t xml:space="preserve"> secondary to</w:t>
      </w:r>
      <w:r w:rsidRPr="0059188A">
        <w:rPr>
          <w:rFonts w:ascii="Times New Roman Bold" w:hAnsi="Times New Roman Bold"/>
          <w:i w:val="0"/>
          <w:lang w:val="en-AU"/>
        </w:rPr>
        <w:t xml:space="preserve"> central retinal vein occlusion (CRVO)</w:t>
      </w:r>
    </w:p>
    <w:p w:rsidR="00A11AB0" w:rsidRPr="0059188A" w:rsidRDefault="00A11AB0" w:rsidP="001B5410">
      <w:pPr>
        <w:keepNext/>
        <w:keepLines/>
        <w:jc w:val="both"/>
        <w:rPr>
          <w:lang w:val="en-AU"/>
        </w:rPr>
      </w:pPr>
    </w:p>
    <w:p w:rsidR="00A11AB0" w:rsidRPr="0059188A" w:rsidRDefault="00A11AB0" w:rsidP="001B5410">
      <w:pPr>
        <w:pStyle w:val="BayerBodyTextFull"/>
        <w:keepNext/>
        <w:keepLines/>
        <w:spacing w:before="0" w:after="0"/>
        <w:jc w:val="both"/>
      </w:pPr>
      <w:r w:rsidRPr="0059188A">
        <w:t xml:space="preserve">The safety and efficacy of EYLEA were assessed in two </w:t>
      </w:r>
      <w:proofErr w:type="spellStart"/>
      <w:r w:rsidRPr="0059188A">
        <w:t>randomised</w:t>
      </w:r>
      <w:proofErr w:type="spellEnd"/>
      <w:r w:rsidRPr="0059188A">
        <w:t>, multi-</w:t>
      </w:r>
      <w:proofErr w:type="spellStart"/>
      <w:r w:rsidRPr="0059188A">
        <w:t>centre</w:t>
      </w:r>
      <w:proofErr w:type="spellEnd"/>
      <w:r w:rsidRPr="0059188A">
        <w:t xml:space="preserve">, double-masked, sham-controlled studies in patients with macular </w:t>
      </w:r>
      <w:proofErr w:type="spellStart"/>
      <w:r w:rsidRPr="0059188A">
        <w:t>oedema</w:t>
      </w:r>
      <w:proofErr w:type="spellEnd"/>
      <w:r w:rsidR="002A1B18" w:rsidRPr="0059188A">
        <w:t xml:space="preserve"> secondary to</w:t>
      </w:r>
      <w:r w:rsidRPr="0059188A">
        <w:t xml:space="preserve"> CRVO. A total of 358 patients were treated and evaluable for efficacy (217 with EYLEA) in the two studies (COPERNICUS and GALILEO). In both studies, patients were randomly assigned </w:t>
      </w:r>
      <w:proofErr w:type="gramStart"/>
      <w:r w:rsidRPr="0059188A">
        <w:t>in a 3:2 ratio to either 2 mg E</w:t>
      </w:r>
      <w:r w:rsidR="007A72B5" w:rsidRPr="0059188A">
        <w:t xml:space="preserve">YLEA administered every 4 weeks </w:t>
      </w:r>
      <w:r w:rsidRPr="0059188A">
        <w:t>(2Q4) or the control group receiving sham injections</w:t>
      </w:r>
      <w:r w:rsidR="007A72B5" w:rsidRPr="0059188A">
        <w:t xml:space="preserve"> every 4 weeks for a total of 6 </w:t>
      </w:r>
      <w:r w:rsidRPr="0059188A">
        <w:t>injections</w:t>
      </w:r>
      <w:proofErr w:type="gramEnd"/>
      <w:r w:rsidRPr="0059188A">
        <w:t>.</w:t>
      </w:r>
    </w:p>
    <w:p w:rsidR="00A11AB0" w:rsidRPr="0059188A" w:rsidRDefault="00A11AB0" w:rsidP="00A11AB0">
      <w:pPr>
        <w:pStyle w:val="BayerBodyTextFull"/>
        <w:spacing w:before="0" w:after="0"/>
        <w:jc w:val="both"/>
      </w:pPr>
    </w:p>
    <w:p w:rsidR="009D7C43" w:rsidRPr="0059188A" w:rsidRDefault="009D7C43" w:rsidP="00A11AB0">
      <w:pPr>
        <w:pStyle w:val="BayerBodyTextFull"/>
        <w:spacing w:before="0" w:after="0"/>
        <w:jc w:val="both"/>
      </w:pPr>
      <w:r w:rsidRPr="0059188A">
        <w:t xml:space="preserve">After 6 </w:t>
      </w:r>
      <w:r w:rsidR="00D54855" w:rsidRPr="0059188A">
        <w:t xml:space="preserve">monthly </w:t>
      </w:r>
      <w:r w:rsidRPr="0059188A">
        <w:t>injections, patients received treatment only if they met pre-specified retreatment criteria, except for patients in the control group in the GALILEO study who continued to receive sham (control to control)</w:t>
      </w:r>
      <w:r w:rsidR="002A1B18" w:rsidRPr="0059188A">
        <w:t xml:space="preserve"> until week 52</w:t>
      </w:r>
      <w:r w:rsidRPr="0059188A">
        <w:t>.</w:t>
      </w:r>
      <w:r w:rsidR="002A1B18" w:rsidRPr="0059188A">
        <w:t xml:space="preserve">  Starting from this time point, all patients were offered treatment if they met pre-specified criteria.</w:t>
      </w:r>
    </w:p>
    <w:p w:rsidR="009D7C43" w:rsidRPr="0059188A" w:rsidRDefault="009D7C43" w:rsidP="00A11AB0">
      <w:pPr>
        <w:pStyle w:val="BayerBodyTextFull"/>
        <w:spacing w:before="0" w:after="0"/>
        <w:jc w:val="both"/>
      </w:pPr>
    </w:p>
    <w:p w:rsidR="00A11AB0" w:rsidRPr="0059188A" w:rsidRDefault="00A11AB0" w:rsidP="00A11AB0">
      <w:pPr>
        <w:pStyle w:val="BayerBodyTextFull"/>
        <w:spacing w:before="0" w:after="0"/>
        <w:jc w:val="both"/>
      </w:pPr>
      <w:r w:rsidRPr="0059188A">
        <w:t>Patient ages ranged from 22 to 89 years with a mean of 64 years.</w:t>
      </w:r>
      <w:r w:rsidR="007A72B5" w:rsidRPr="0059188A">
        <w:t xml:space="preserve"> Approximately 52% (112/217) of the patients </w:t>
      </w:r>
      <w:proofErr w:type="spellStart"/>
      <w:r w:rsidR="007A72B5" w:rsidRPr="0059188A">
        <w:t>randomised</w:t>
      </w:r>
      <w:proofErr w:type="spellEnd"/>
      <w:r w:rsidR="007A72B5" w:rsidRPr="0059188A">
        <w:t xml:space="preserve"> to treatment with EYLEA were 65 years of age or older and approximately 18% (38/217) were 75 years of age or older</w:t>
      </w:r>
      <w:r w:rsidR="002A1B18" w:rsidRPr="0059188A">
        <w:t>.</w:t>
      </w:r>
    </w:p>
    <w:p w:rsidR="00A11AB0" w:rsidRPr="0059188A" w:rsidRDefault="00A11AB0" w:rsidP="00A11AB0">
      <w:pPr>
        <w:pStyle w:val="BayerBodyTextFull"/>
        <w:spacing w:before="0" w:after="0"/>
        <w:jc w:val="both"/>
      </w:pPr>
    </w:p>
    <w:p w:rsidR="00A11AB0" w:rsidRPr="0059188A" w:rsidRDefault="00A11AB0" w:rsidP="00A11AB0">
      <w:pPr>
        <w:pStyle w:val="BayerBodyTextFull"/>
        <w:spacing w:before="0" w:after="0"/>
        <w:jc w:val="both"/>
      </w:pPr>
      <w:r w:rsidRPr="0059188A">
        <w:t>In both studies, the primary efficacy endpoint was the proportion of patients who gained at least 15 letters in BCVA at week 24 compared to baseline.</w:t>
      </w:r>
      <w:r w:rsidR="007A72B5" w:rsidRPr="0059188A">
        <w:t xml:space="preserve"> The studies were designed to evaluate superiority against the control group (receiving sham injections).</w:t>
      </w:r>
    </w:p>
    <w:p w:rsidR="00A11AB0" w:rsidRPr="0059188A" w:rsidRDefault="00A11AB0" w:rsidP="00A11AB0">
      <w:pPr>
        <w:pStyle w:val="BayerBodyTextFull"/>
        <w:spacing w:before="0" w:after="0"/>
        <w:jc w:val="both"/>
      </w:pPr>
    </w:p>
    <w:p w:rsidR="00604ED0" w:rsidRPr="0059188A" w:rsidRDefault="0042173E" w:rsidP="0070498D">
      <w:pPr>
        <w:pStyle w:val="BayerBodyTextFull"/>
        <w:spacing w:before="0" w:after="0"/>
        <w:jc w:val="both"/>
      </w:pPr>
      <w:r w:rsidRPr="0059188A">
        <w:t>C</w:t>
      </w:r>
      <w:r w:rsidR="00604ED0" w:rsidRPr="0059188A">
        <w:t xml:space="preserve">hange in visual acuity at week 24 compared to baseline was </w:t>
      </w:r>
      <w:r w:rsidR="00C27A01" w:rsidRPr="0059188A">
        <w:t xml:space="preserve">an important </w:t>
      </w:r>
      <w:r w:rsidR="00604ED0" w:rsidRPr="0059188A">
        <w:t xml:space="preserve">secondary </w:t>
      </w:r>
      <w:r w:rsidR="00390367" w:rsidRPr="0059188A">
        <w:t>endpoint</w:t>
      </w:r>
      <w:r w:rsidR="00604ED0" w:rsidRPr="0059188A">
        <w:t xml:space="preserve"> in both </w:t>
      </w:r>
      <w:r w:rsidR="00B70934" w:rsidRPr="0059188A">
        <w:t xml:space="preserve">COPERNICUS and GALILEO </w:t>
      </w:r>
      <w:r w:rsidR="00604ED0" w:rsidRPr="0059188A">
        <w:t>studies.</w:t>
      </w:r>
    </w:p>
    <w:p w:rsidR="00604ED0" w:rsidRPr="0059188A" w:rsidRDefault="00604ED0" w:rsidP="0070498D">
      <w:pPr>
        <w:pStyle w:val="BayerBodyTextFull"/>
        <w:spacing w:before="0" w:after="0"/>
        <w:jc w:val="both"/>
      </w:pPr>
    </w:p>
    <w:p w:rsidR="009D7C43" w:rsidRPr="00872D2E" w:rsidRDefault="009D7C43" w:rsidP="0070498D">
      <w:pPr>
        <w:pStyle w:val="BayerBodyTextFull"/>
        <w:spacing w:before="0" w:after="0"/>
        <w:jc w:val="both"/>
      </w:pPr>
      <w:r w:rsidRPr="0059188A">
        <w:t xml:space="preserve">The difference between </w:t>
      </w:r>
      <w:r w:rsidR="00644285" w:rsidRPr="0059188A">
        <w:t>treatment</w:t>
      </w:r>
      <w:r w:rsidRPr="0059188A">
        <w:t xml:space="preserve"> groups</w:t>
      </w:r>
      <w:r w:rsidR="00644285" w:rsidRPr="0059188A">
        <w:t xml:space="preserve"> </w:t>
      </w:r>
      <w:r w:rsidRPr="0059188A">
        <w:t xml:space="preserve">was statistically significant in </w:t>
      </w:r>
      <w:proofErr w:type="spellStart"/>
      <w:r w:rsidRPr="0059188A">
        <w:t>favour</w:t>
      </w:r>
      <w:proofErr w:type="spellEnd"/>
      <w:r w:rsidRPr="0059188A">
        <w:t xml:space="preserve"> of EYLEA in both studies</w:t>
      </w:r>
      <w:r w:rsidR="00644285" w:rsidRPr="0059188A">
        <w:t xml:space="preserve">, for the </w:t>
      </w:r>
      <w:r w:rsidR="00C27A01" w:rsidRPr="0059188A">
        <w:t>proportion of pa</w:t>
      </w:r>
      <w:r w:rsidR="00C27A01" w:rsidRPr="00872D2E">
        <w:t xml:space="preserve">tients who gained at least 15 letters in BCVA and for </w:t>
      </w:r>
      <w:r w:rsidR="00217474" w:rsidRPr="00872D2E">
        <w:t xml:space="preserve">mean </w:t>
      </w:r>
      <w:r w:rsidR="00C27A01" w:rsidRPr="00872D2E">
        <w:t>change in visual acuity, at week 24 compared to baseline</w:t>
      </w:r>
      <w:r w:rsidRPr="00872D2E">
        <w:t xml:space="preserve">. </w:t>
      </w:r>
      <w:r w:rsidR="0059188A" w:rsidRPr="00872D2E">
        <w:t>In both</w:t>
      </w:r>
      <w:r w:rsidR="00B53D8A" w:rsidRPr="00872D2E">
        <w:t xml:space="preserve"> pivotal studies, the maximal improvement in visual acuity </w:t>
      </w:r>
      <w:r w:rsidR="00E83573" w:rsidRPr="00872D2E">
        <w:t>was</w:t>
      </w:r>
      <w:r w:rsidR="00B53D8A" w:rsidRPr="00872D2E">
        <w:t xml:space="preserve"> achieved at month 3 with subsequent </w:t>
      </w:r>
      <w:proofErr w:type="spellStart"/>
      <w:r w:rsidR="00B53D8A" w:rsidRPr="00872D2E">
        <w:t>stabili</w:t>
      </w:r>
      <w:r w:rsidR="00B13B15" w:rsidRPr="00872D2E">
        <w:t>s</w:t>
      </w:r>
      <w:r w:rsidR="00B53D8A" w:rsidRPr="00872D2E">
        <w:t>ation</w:t>
      </w:r>
      <w:proofErr w:type="spellEnd"/>
      <w:r w:rsidR="00B53D8A" w:rsidRPr="00872D2E">
        <w:t xml:space="preserve"> of the effect on visual acuity and central retinal thickness until month 6.</w:t>
      </w:r>
      <w:r w:rsidR="0059188A" w:rsidRPr="00872D2E">
        <w:t xml:space="preserve"> </w:t>
      </w:r>
      <w:r w:rsidR="00B53D8A" w:rsidRPr="00872D2E">
        <w:t xml:space="preserve"> </w:t>
      </w:r>
      <w:r w:rsidRPr="00872D2E">
        <w:t>The statistically significant difference was maintained through week 52.</w:t>
      </w:r>
      <w:r w:rsidR="00872D2E">
        <w:t xml:space="preserve">  A difference was maintained through week 76/100.</w:t>
      </w:r>
    </w:p>
    <w:p w:rsidR="009D7C43" w:rsidRPr="00872D2E" w:rsidRDefault="009D7C43" w:rsidP="0070498D">
      <w:pPr>
        <w:pStyle w:val="BayerBodyTextFull"/>
        <w:spacing w:before="0" w:after="0"/>
        <w:jc w:val="both"/>
      </w:pPr>
    </w:p>
    <w:p w:rsidR="007A72B5" w:rsidRPr="0059188A" w:rsidRDefault="00644285" w:rsidP="0070498D">
      <w:pPr>
        <w:pStyle w:val="BayerBodyTextFull"/>
        <w:spacing w:before="0" w:after="0"/>
        <w:jc w:val="both"/>
      </w:pPr>
      <w:r w:rsidRPr="00872D2E">
        <w:t>Three other</w:t>
      </w:r>
      <w:r w:rsidR="007A72B5" w:rsidRPr="00872D2E">
        <w:t xml:space="preserve"> secondary endpoints were included in </w:t>
      </w:r>
      <w:r w:rsidR="009D7C43" w:rsidRPr="00872D2E">
        <w:t>the</w:t>
      </w:r>
      <w:r w:rsidR="007A72B5" w:rsidRPr="00872D2E">
        <w:t xml:space="preserve"> studies: c</w:t>
      </w:r>
      <w:r w:rsidR="007A72B5" w:rsidRPr="0059188A">
        <w:t>hange in central retinal thickness (CRT), as assessed by OCT, at week 24 compared to baseline</w:t>
      </w:r>
      <w:r w:rsidR="00057EFA" w:rsidRPr="0059188A">
        <w:t xml:space="preserve"> (see </w:t>
      </w:r>
      <w:r w:rsidR="00057EFA" w:rsidRPr="0059188A">
        <w:rPr>
          <w:b/>
        </w:rPr>
        <w:t xml:space="preserve">PHARMACOLOGY, </w:t>
      </w:r>
      <w:proofErr w:type="spellStart"/>
      <w:r w:rsidR="00057EFA" w:rsidRPr="0059188A">
        <w:rPr>
          <w:b/>
        </w:rPr>
        <w:t>Pharmacodynamic</w:t>
      </w:r>
      <w:proofErr w:type="spellEnd"/>
      <w:r w:rsidR="00057EFA" w:rsidRPr="0059188A">
        <w:rPr>
          <w:b/>
        </w:rPr>
        <w:t xml:space="preserve"> properties, </w:t>
      </w:r>
      <w:proofErr w:type="spellStart"/>
      <w:r w:rsidR="00057EFA" w:rsidRPr="0059188A">
        <w:rPr>
          <w:b/>
        </w:rPr>
        <w:t>Pharmacodynamic</w:t>
      </w:r>
      <w:proofErr w:type="spellEnd"/>
      <w:r w:rsidR="00057EFA" w:rsidRPr="0059188A">
        <w:rPr>
          <w:b/>
        </w:rPr>
        <w:t xml:space="preserve"> effects</w:t>
      </w:r>
      <w:r w:rsidR="00057EFA" w:rsidRPr="0059188A">
        <w:t>)</w:t>
      </w:r>
      <w:r w:rsidR="007A72B5" w:rsidRPr="0059188A">
        <w:t>; proportion of patients progressing</w:t>
      </w:r>
      <w:r w:rsidR="00A91F36" w:rsidRPr="0059188A">
        <w:t xml:space="preserve"> to </w:t>
      </w:r>
      <w:proofErr w:type="spellStart"/>
      <w:r w:rsidR="00A91F36" w:rsidRPr="0059188A">
        <w:t>neovascularisation</w:t>
      </w:r>
      <w:proofErr w:type="spellEnd"/>
      <w:r w:rsidR="007A72B5" w:rsidRPr="0059188A">
        <w:t xml:space="preserve"> </w:t>
      </w:r>
      <w:r w:rsidR="00A91F36" w:rsidRPr="0059188A">
        <w:t>(</w:t>
      </w:r>
      <w:r w:rsidR="007A72B5" w:rsidRPr="0059188A">
        <w:t xml:space="preserve">anterior segment </w:t>
      </w:r>
      <w:proofErr w:type="spellStart"/>
      <w:r w:rsidR="007A72B5" w:rsidRPr="0059188A">
        <w:t>neovascularisation</w:t>
      </w:r>
      <w:proofErr w:type="spellEnd"/>
      <w:r w:rsidR="007A72B5" w:rsidRPr="0059188A">
        <w:t xml:space="preserve">, </w:t>
      </w:r>
      <w:proofErr w:type="spellStart"/>
      <w:r w:rsidR="007A72B5" w:rsidRPr="0059188A">
        <w:t>neovascularisation</w:t>
      </w:r>
      <w:proofErr w:type="spellEnd"/>
      <w:r w:rsidR="007A72B5" w:rsidRPr="0059188A">
        <w:t xml:space="preserve"> of the opt</w:t>
      </w:r>
      <w:r w:rsidR="00A91F36" w:rsidRPr="0059188A">
        <w:t>ic disk</w:t>
      </w:r>
      <w:r w:rsidR="007A72B5" w:rsidRPr="0059188A">
        <w:t xml:space="preserve">, or </w:t>
      </w:r>
      <w:proofErr w:type="spellStart"/>
      <w:r w:rsidR="007A72B5" w:rsidRPr="0059188A">
        <w:t>neovascularisation</w:t>
      </w:r>
      <w:proofErr w:type="spellEnd"/>
      <w:r w:rsidR="007A72B5" w:rsidRPr="0059188A">
        <w:t xml:space="preserve"> of the retina elsew</w:t>
      </w:r>
      <w:r w:rsidR="00A91F36" w:rsidRPr="0059188A">
        <w:t>here)</w:t>
      </w:r>
      <w:r w:rsidR="007A72B5" w:rsidRPr="0059188A">
        <w:t xml:space="preserve"> at week 24; and </w:t>
      </w:r>
      <w:r w:rsidR="007A72B5" w:rsidRPr="0059188A">
        <w:rPr>
          <w:lang w:val="en-AU"/>
        </w:rPr>
        <w:t xml:space="preserve">change in the NEI VFQ-25 total score at week 24 </w:t>
      </w:r>
      <w:r w:rsidR="007A72B5" w:rsidRPr="0059188A">
        <w:t xml:space="preserve">compared to </w:t>
      </w:r>
      <w:r w:rsidR="007A72B5" w:rsidRPr="0059188A">
        <w:rPr>
          <w:lang w:val="en-AU"/>
        </w:rPr>
        <w:t>baseline.</w:t>
      </w:r>
    </w:p>
    <w:p w:rsidR="00CE3B9F" w:rsidRPr="0059188A" w:rsidRDefault="00CE3B9F" w:rsidP="00A11AB0">
      <w:pPr>
        <w:pStyle w:val="BayerBodyTextFull"/>
        <w:spacing w:before="0" w:after="0"/>
        <w:jc w:val="both"/>
      </w:pPr>
    </w:p>
    <w:p w:rsidR="00A11AB0" w:rsidRPr="0059188A" w:rsidRDefault="00A11AB0" w:rsidP="00A11AB0">
      <w:pPr>
        <w:pStyle w:val="BayerBodyTextFull"/>
        <w:spacing w:before="0" w:after="0"/>
        <w:jc w:val="both"/>
      </w:pPr>
      <w:r w:rsidRPr="0059188A">
        <w:lastRenderedPageBreak/>
        <w:t xml:space="preserve">Detailed results from the analysis of both studies </w:t>
      </w:r>
      <w:r w:rsidR="0070498D" w:rsidRPr="0059188A">
        <w:t>(</w:t>
      </w:r>
      <w:r w:rsidR="0070498D" w:rsidRPr="0059188A">
        <w:rPr>
          <w:lang w:val="en-AU"/>
        </w:rPr>
        <w:t>primary</w:t>
      </w:r>
      <w:r w:rsidR="0070498D" w:rsidRPr="0059188A">
        <w:rPr>
          <w:vertAlign w:val="superscript"/>
          <w:lang w:val="en-AU"/>
        </w:rPr>
        <w:t>*</w:t>
      </w:r>
      <w:r w:rsidR="0070498D" w:rsidRPr="0059188A">
        <w:rPr>
          <w:lang w:val="en-AU"/>
        </w:rPr>
        <w:t xml:space="preserve"> and secondary</w:t>
      </w:r>
      <w:r w:rsidR="0070498D" w:rsidRPr="0059188A">
        <w:rPr>
          <w:b/>
          <w:vertAlign w:val="superscript"/>
          <w:lang w:val="en-AU"/>
        </w:rPr>
        <w:t>#</w:t>
      </w:r>
      <w:r w:rsidR="0070498D" w:rsidRPr="0059188A">
        <w:rPr>
          <w:lang w:val="en-AU"/>
        </w:rPr>
        <w:t xml:space="preserve"> </w:t>
      </w:r>
      <w:r w:rsidR="0070498D" w:rsidRPr="0059188A">
        <w:t xml:space="preserve">endpoints) </w:t>
      </w:r>
      <w:r w:rsidRPr="0059188A">
        <w:t xml:space="preserve">are shown in </w:t>
      </w:r>
      <w:r w:rsidR="00C27A01" w:rsidRPr="0059188A">
        <w:t xml:space="preserve">Table 1 (see </w:t>
      </w:r>
      <w:r w:rsidR="00C27A01" w:rsidRPr="0059188A">
        <w:rPr>
          <w:b/>
        </w:rPr>
        <w:t>PHARMACOLOGY</w:t>
      </w:r>
      <w:r w:rsidR="00C27A01" w:rsidRPr="0059188A">
        <w:t xml:space="preserve">), </w:t>
      </w:r>
      <w:r w:rsidRPr="0059188A">
        <w:t>Table</w:t>
      </w:r>
      <w:r w:rsidR="00EC27BE">
        <w:t xml:space="preserve"> 4</w:t>
      </w:r>
      <w:r w:rsidRPr="0059188A">
        <w:t xml:space="preserve"> and Figure 4 below.</w:t>
      </w:r>
    </w:p>
    <w:p w:rsidR="007A72B5" w:rsidRPr="0059188A" w:rsidRDefault="007A72B5" w:rsidP="00A11AB0">
      <w:pPr>
        <w:jc w:val="both"/>
        <w:rPr>
          <w:b/>
          <w:lang w:val="en-AU"/>
        </w:rPr>
      </w:pPr>
    </w:p>
    <w:p w:rsidR="002A1B18" w:rsidRPr="0059188A" w:rsidRDefault="002A1B18" w:rsidP="00A11AB0">
      <w:pPr>
        <w:jc w:val="both"/>
        <w:rPr>
          <w:b/>
          <w:lang w:val="en-AU"/>
        </w:rPr>
        <w:sectPr w:rsidR="002A1B18" w:rsidRPr="0059188A" w:rsidSect="00EF6A1A">
          <w:pgSz w:w="11907" w:h="16840" w:code="9"/>
          <w:pgMar w:top="1247" w:right="1797" w:bottom="1418" w:left="1797" w:header="709" w:footer="709" w:gutter="0"/>
          <w:cols w:space="708"/>
          <w:docGrid w:linePitch="360"/>
        </w:sectPr>
      </w:pPr>
    </w:p>
    <w:p w:rsidR="00A11AB0" w:rsidRPr="0059188A" w:rsidRDefault="00A11AB0" w:rsidP="00A11AB0">
      <w:pPr>
        <w:jc w:val="both"/>
        <w:rPr>
          <w:b/>
          <w:lang w:val="en-AU"/>
        </w:rPr>
      </w:pPr>
      <w:r w:rsidRPr="0059188A">
        <w:rPr>
          <w:b/>
          <w:lang w:val="en-AU"/>
        </w:rPr>
        <w:lastRenderedPageBreak/>
        <w:t>Table</w:t>
      </w:r>
      <w:r w:rsidR="00EC27BE">
        <w:rPr>
          <w:b/>
          <w:lang w:val="en-AU"/>
        </w:rPr>
        <w:t xml:space="preserve"> 4</w:t>
      </w:r>
      <w:r w:rsidRPr="0059188A">
        <w:rPr>
          <w:b/>
          <w:lang w:val="en-AU"/>
        </w:rPr>
        <w:t xml:space="preserve">: </w:t>
      </w:r>
      <w:r w:rsidR="009D7C43" w:rsidRPr="0059188A">
        <w:rPr>
          <w:b/>
          <w:lang w:val="en-AU"/>
        </w:rPr>
        <w:t>Efficacy outcomes at week 24</w:t>
      </w:r>
      <w:r w:rsidR="000A305D" w:rsidRPr="0059188A">
        <w:rPr>
          <w:b/>
          <w:lang w:val="en-AU"/>
        </w:rPr>
        <w:t>,</w:t>
      </w:r>
      <w:r w:rsidR="009D7C43" w:rsidRPr="0059188A">
        <w:rPr>
          <w:b/>
          <w:lang w:val="en-AU"/>
        </w:rPr>
        <w:t xml:space="preserve"> week 52 </w:t>
      </w:r>
      <w:r w:rsidR="000A305D" w:rsidRPr="0059188A">
        <w:rPr>
          <w:b/>
          <w:lang w:val="en-AU"/>
        </w:rPr>
        <w:t xml:space="preserve">and week 76/100 </w:t>
      </w:r>
      <w:r w:rsidR="009D7C43" w:rsidRPr="0059188A">
        <w:rPr>
          <w:b/>
          <w:lang w:val="en-AU"/>
        </w:rPr>
        <w:t xml:space="preserve">(Full Analysis Set with </w:t>
      </w:r>
      <w:proofErr w:type="spellStart"/>
      <w:r w:rsidR="009D7C43" w:rsidRPr="0059188A">
        <w:rPr>
          <w:b/>
          <w:lang w:val="en-AU"/>
        </w:rPr>
        <w:t>LOCF</w:t>
      </w:r>
      <w:r w:rsidR="001A577E" w:rsidRPr="0059188A">
        <w:rPr>
          <w:b/>
          <w:vertAlign w:val="superscript"/>
          <w:lang w:val="en-AU"/>
        </w:rPr>
        <w:t>c</w:t>
      </w:r>
      <w:proofErr w:type="spellEnd"/>
      <w:r w:rsidR="009D7C43" w:rsidRPr="0059188A">
        <w:rPr>
          <w:b/>
          <w:vertAlign w:val="superscript"/>
          <w:lang w:val="en-AU"/>
        </w:rPr>
        <w:t>)</w:t>
      </w:r>
      <w:r w:rsidR="009D7C43" w:rsidRPr="0059188A">
        <w:rPr>
          <w:b/>
          <w:lang w:val="en-AU"/>
        </w:rPr>
        <w:t>) in COPERNICUS and GALILEO studies</w:t>
      </w:r>
    </w:p>
    <w:p w:rsidR="00A11AB0" w:rsidRPr="0059188A" w:rsidRDefault="00A11AB0" w:rsidP="00A11AB0">
      <w:pPr>
        <w:jc w:val="both"/>
        <w:rPr>
          <w:b/>
          <w:lang w:val="en-AU"/>
        </w:rPr>
      </w:pPr>
    </w:p>
    <w:tbl>
      <w:tblPr>
        <w:tblW w:w="13467" w:type="dxa"/>
        <w:jc w:val="center"/>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411"/>
        <w:gridCol w:w="921"/>
        <w:gridCol w:w="921"/>
        <w:gridCol w:w="922"/>
        <w:gridCol w:w="921"/>
        <w:gridCol w:w="921"/>
        <w:gridCol w:w="922"/>
        <w:gridCol w:w="921"/>
        <w:gridCol w:w="921"/>
        <w:gridCol w:w="922"/>
        <w:gridCol w:w="921"/>
        <w:gridCol w:w="921"/>
        <w:gridCol w:w="922"/>
      </w:tblGrid>
      <w:tr w:rsidR="009D7C43" w:rsidRPr="0059188A" w:rsidTr="007C3358">
        <w:trPr>
          <w:cantSplit/>
          <w:jc w:val="center"/>
        </w:trPr>
        <w:tc>
          <w:tcPr>
            <w:tcW w:w="2411" w:type="dxa"/>
            <w:tcBorders>
              <w:top w:val="single" w:sz="6" w:space="0" w:color="auto"/>
              <w:left w:val="single" w:sz="6" w:space="0" w:color="auto"/>
              <w:bottom w:val="single" w:sz="6" w:space="0" w:color="auto"/>
              <w:right w:val="single" w:sz="6" w:space="0" w:color="auto"/>
            </w:tcBorders>
            <w:hideMark/>
          </w:tcPr>
          <w:p w:rsidR="009D7C43" w:rsidRPr="0059188A" w:rsidRDefault="009D7C43">
            <w:pPr>
              <w:pStyle w:val="C-TableHeader"/>
              <w:rPr>
                <w:sz w:val="18"/>
                <w:szCs w:val="18"/>
              </w:rPr>
            </w:pPr>
            <w:r w:rsidRPr="0059188A">
              <w:rPr>
                <w:sz w:val="18"/>
                <w:szCs w:val="18"/>
              </w:rPr>
              <w:t>Efficacy Outcomes</w:t>
            </w:r>
          </w:p>
        </w:tc>
        <w:tc>
          <w:tcPr>
            <w:tcW w:w="5528" w:type="dxa"/>
            <w:gridSpan w:val="6"/>
            <w:tcBorders>
              <w:top w:val="single" w:sz="6" w:space="0" w:color="auto"/>
              <w:left w:val="single" w:sz="6" w:space="0" w:color="auto"/>
              <w:bottom w:val="single" w:sz="6" w:space="0" w:color="auto"/>
              <w:right w:val="single" w:sz="6" w:space="0" w:color="auto"/>
            </w:tcBorders>
            <w:hideMark/>
          </w:tcPr>
          <w:p w:rsidR="009D7C43" w:rsidRPr="0059188A" w:rsidRDefault="009D7C43">
            <w:pPr>
              <w:pStyle w:val="C-TableHeader"/>
              <w:jc w:val="center"/>
              <w:rPr>
                <w:sz w:val="18"/>
                <w:szCs w:val="18"/>
              </w:rPr>
            </w:pPr>
            <w:r w:rsidRPr="0059188A">
              <w:rPr>
                <w:sz w:val="18"/>
                <w:szCs w:val="18"/>
              </w:rPr>
              <w:t>COPERNICUS</w:t>
            </w:r>
          </w:p>
        </w:tc>
        <w:tc>
          <w:tcPr>
            <w:tcW w:w="5528" w:type="dxa"/>
            <w:gridSpan w:val="6"/>
            <w:tcBorders>
              <w:top w:val="single" w:sz="6" w:space="0" w:color="auto"/>
              <w:left w:val="single" w:sz="6" w:space="0" w:color="auto"/>
              <w:bottom w:val="single" w:sz="6" w:space="0" w:color="auto"/>
              <w:right w:val="single" w:sz="6" w:space="0" w:color="auto"/>
            </w:tcBorders>
            <w:hideMark/>
          </w:tcPr>
          <w:p w:rsidR="009D7C43" w:rsidRPr="0059188A" w:rsidRDefault="009D7C43">
            <w:pPr>
              <w:pStyle w:val="C-TableHeader"/>
              <w:jc w:val="center"/>
              <w:rPr>
                <w:sz w:val="18"/>
                <w:szCs w:val="18"/>
              </w:rPr>
            </w:pPr>
            <w:r w:rsidRPr="0059188A">
              <w:rPr>
                <w:sz w:val="18"/>
                <w:szCs w:val="18"/>
              </w:rPr>
              <w:t>GALILEO</w:t>
            </w:r>
          </w:p>
        </w:tc>
      </w:tr>
      <w:tr w:rsidR="002A1B18" w:rsidRPr="0059188A" w:rsidTr="007C3358">
        <w:trPr>
          <w:cantSplit/>
          <w:jc w:val="center"/>
        </w:trPr>
        <w:tc>
          <w:tcPr>
            <w:tcW w:w="2411" w:type="dxa"/>
            <w:tcBorders>
              <w:top w:val="single" w:sz="6" w:space="0" w:color="auto"/>
              <w:left w:val="single" w:sz="6" w:space="0" w:color="auto"/>
              <w:bottom w:val="single" w:sz="6" w:space="0" w:color="auto"/>
              <w:right w:val="single" w:sz="6" w:space="0" w:color="auto"/>
            </w:tcBorders>
            <w:vAlign w:val="center"/>
            <w:hideMark/>
          </w:tcPr>
          <w:p w:rsidR="002A1B18" w:rsidRPr="0059188A" w:rsidRDefault="002A1B18">
            <w:pPr>
              <w:rPr>
                <w:b/>
                <w:sz w:val="18"/>
                <w:szCs w:val="18"/>
              </w:rPr>
            </w:pPr>
          </w:p>
        </w:tc>
        <w:tc>
          <w:tcPr>
            <w:tcW w:w="1842" w:type="dxa"/>
            <w:gridSpan w:val="2"/>
            <w:tcBorders>
              <w:top w:val="single" w:sz="6" w:space="0" w:color="auto"/>
              <w:left w:val="single" w:sz="6" w:space="0" w:color="auto"/>
              <w:bottom w:val="single" w:sz="6" w:space="0" w:color="auto"/>
              <w:right w:val="single" w:sz="6" w:space="0" w:color="auto"/>
            </w:tcBorders>
            <w:hideMark/>
          </w:tcPr>
          <w:p w:rsidR="002A1B18" w:rsidRPr="0059188A" w:rsidRDefault="002A1B18">
            <w:pPr>
              <w:pStyle w:val="C-TableHeader"/>
              <w:jc w:val="center"/>
              <w:rPr>
                <w:sz w:val="18"/>
                <w:szCs w:val="18"/>
              </w:rPr>
            </w:pPr>
            <w:r w:rsidRPr="0059188A">
              <w:rPr>
                <w:sz w:val="18"/>
                <w:szCs w:val="18"/>
              </w:rPr>
              <w:t>24 Weeks</w:t>
            </w:r>
          </w:p>
        </w:tc>
        <w:tc>
          <w:tcPr>
            <w:tcW w:w="1843" w:type="dxa"/>
            <w:gridSpan w:val="2"/>
            <w:tcBorders>
              <w:top w:val="single" w:sz="6" w:space="0" w:color="auto"/>
              <w:left w:val="single" w:sz="6" w:space="0" w:color="auto"/>
              <w:bottom w:val="single" w:sz="6" w:space="0" w:color="auto"/>
              <w:right w:val="single" w:sz="6" w:space="0" w:color="auto"/>
            </w:tcBorders>
            <w:hideMark/>
          </w:tcPr>
          <w:p w:rsidR="002A1B18" w:rsidRPr="0059188A" w:rsidRDefault="002A1B18">
            <w:pPr>
              <w:pStyle w:val="C-TableHeader"/>
              <w:jc w:val="center"/>
              <w:rPr>
                <w:sz w:val="18"/>
                <w:szCs w:val="18"/>
              </w:rPr>
            </w:pPr>
            <w:r w:rsidRPr="0059188A">
              <w:rPr>
                <w:sz w:val="18"/>
                <w:szCs w:val="18"/>
              </w:rPr>
              <w:t>52 Weeks</w:t>
            </w:r>
          </w:p>
        </w:tc>
        <w:tc>
          <w:tcPr>
            <w:tcW w:w="1843" w:type="dxa"/>
            <w:gridSpan w:val="2"/>
            <w:tcBorders>
              <w:top w:val="single" w:sz="6" w:space="0" w:color="auto"/>
              <w:left w:val="single" w:sz="6" w:space="0" w:color="auto"/>
              <w:bottom w:val="single" w:sz="6" w:space="0" w:color="auto"/>
              <w:right w:val="single" w:sz="6" w:space="0" w:color="auto"/>
            </w:tcBorders>
          </w:tcPr>
          <w:p w:rsidR="002A1B18" w:rsidRPr="0059188A" w:rsidRDefault="002A1B18">
            <w:pPr>
              <w:pStyle w:val="C-TableHeader"/>
              <w:jc w:val="center"/>
              <w:rPr>
                <w:sz w:val="18"/>
                <w:szCs w:val="18"/>
              </w:rPr>
            </w:pPr>
            <w:r w:rsidRPr="0059188A">
              <w:rPr>
                <w:sz w:val="18"/>
                <w:szCs w:val="18"/>
              </w:rPr>
              <w:t>100 Weeks</w:t>
            </w:r>
          </w:p>
        </w:tc>
        <w:tc>
          <w:tcPr>
            <w:tcW w:w="1842" w:type="dxa"/>
            <w:gridSpan w:val="2"/>
            <w:tcBorders>
              <w:top w:val="single" w:sz="6" w:space="0" w:color="auto"/>
              <w:left w:val="single" w:sz="6" w:space="0" w:color="auto"/>
              <w:bottom w:val="single" w:sz="6" w:space="0" w:color="auto"/>
              <w:right w:val="single" w:sz="6" w:space="0" w:color="auto"/>
            </w:tcBorders>
            <w:hideMark/>
          </w:tcPr>
          <w:p w:rsidR="002A1B18" w:rsidRPr="0059188A" w:rsidRDefault="002A1B18">
            <w:pPr>
              <w:pStyle w:val="C-TableHeader"/>
              <w:jc w:val="center"/>
              <w:rPr>
                <w:sz w:val="18"/>
                <w:szCs w:val="18"/>
              </w:rPr>
            </w:pPr>
            <w:r w:rsidRPr="0059188A">
              <w:rPr>
                <w:sz w:val="18"/>
                <w:szCs w:val="18"/>
              </w:rPr>
              <w:t>24 Weeks</w:t>
            </w:r>
          </w:p>
        </w:tc>
        <w:tc>
          <w:tcPr>
            <w:tcW w:w="1843" w:type="dxa"/>
            <w:gridSpan w:val="2"/>
            <w:tcBorders>
              <w:top w:val="single" w:sz="6" w:space="0" w:color="auto"/>
              <w:left w:val="single" w:sz="6" w:space="0" w:color="auto"/>
              <w:bottom w:val="single" w:sz="6" w:space="0" w:color="auto"/>
              <w:right w:val="single" w:sz="6" w:space="0" w:color="auto"/>
            </w:tcBorders>
            <w:hideMark/>
          </w:tcPr>
          <w:p w:rsidR="002A1B18" w:rsidRPr="0059188A" w:rsidRDefault="002A1B18">
            <w:pPr>
              <w:pStyle w:val="C-TableHeader"/>
              <w:jc w:val="center"/>
              <w:rPr>
                <w:sz w:val="18"/>
                <w:szCs w:val="18"/>
              </w:rPr>
            </w:pPr>
            <w:r w:rsidRPr="0059188A">
              <w:rPr>
                <w:sz w:val="18"/>
                <w:szCs w:val="18"/>
              </w:rPr>
              <w:t>52 Weeks</w:t>
            </w:r>
          </w:p>
        </w:tc>
        <w:tc>
          <w:tcPr>
            <w:tcW w:w="1843" w:type="dxa"/>
            <w:gridSpan w:val="2"/>
            <w:tcBorders>
              <w:top w:val="single" w:sz="6" w:space="0" w:color="auto"/>
              <w:left w:val="single" w:sz="6" w:space="0" w:color="auto"/>
              <w:bottom w:val="single" w:sz="6" w:space="0" w:color="auto"/>
              <w:right w:val="single" w:sz="6" w:space="0" w:color="auto"/>
            </w:tcBorders>
          </w:tcPr>
          <w:p w:rsidR="002A1B18" w:rsidRPr="0059188A" w:rsidRDefault="002A1B18" w:rsidP="00F8008D">
            <w:pPr>
              <w:pStyle w:val="C-TableHeader"/>
              <w:jc w:val="center"/>
              <w:rPr>
                <w:sz w:val="18"/>
                <w:szCs w:val="18"/>
              </w:rPr>
            </w:pPr>
            <w:r w:rsidRPr="0059188A">
              <w:rPr>
                <w:sz w:val="18"/>
                <w:szCs w:val="18"/>
              </w:rPr>
              <w:t>76 Weeks</w:t>
            </w:r>
          </w:p>
        </w:tc>
      </w:tr>
      <w:tr w:rsidR="002A1B18" w:rsidRPr="0059188A" w:rsidTr="007C3358">
        <w:trPr>
          <w:cantSplit/>
          <w:jc w:val="center"/>
        </w:trPr>
        <w:tc>
          <w:tcPr>
            <w:tcW w:w="2411" w:type="dxa"/>
            <w:tcBorders>
              <w:top w:val="single" w:sz="6" w:space="0" w:color="auto"/>
              <w:left w:val="single" w:sz="6" w:space="0" w:color="auto"/>
              <w:bottom w:val="single" w:sz="6" w:space="0" w:color="auto"/>
              <w:right w:val="single" w:sz="6" w:space="0" w:color="auto"/>
            </w:tcBorders>
            <w:vAlign w:val="center"/>
            <w:hideMark/>
          </w:tcPr>
          <w:p w:rsidR="002A1B18" w:rsidRPr="0059188A" w:rsidRDefault="002A1B18">
            <w:pPr>
              <w:rPr>
                <w:b/>
                <w:sz w:val="18"/>
                <w:szCs w:val="18"/>
              </w:rPr>
            </w:pPr>
          </w:p>
        </w:tc>
        <w:tc>
          <w:tcPr>
            <w:tcW w:w="921" w:type="dxa"/>
            <w:tcBorders>
              <w:top w:val="single" w:sz="6" w:space="0" w:color="auto"/>
              <w:left w:val="single" w:sz="6" w:space="0" w:color="auto"/>
              <w:bottom w:val="single" w:sz="6" w:space="0" w:color="auto"/>
              <w:right w:val="single" w:sz="6" w:space="0" w:color="auto"/>
            </w:tcBorders>
            <w:vAlign w:val="center"/>
          </w:tcPr>
          <w:p w:rsidR="002A1B18" w:rsidRPr="0059188A" w:rsidRDefault="002A1B18" w:rsidP="002A1B18">
            <w:pPr>
              <w:pStyle w:val="C-TableText"/>
              <w:jc w:val="center"/>
              <w:rPr>
                <w:b/>
                <w:sz w:val="18"/>
                <w:szCs w:val="18"/>
              </w:rPr>
            </w:pPr>
            <w:r w:rsidRPr="0059188A">
              <w:rPr>
                <w:b/>
                <w:sz w:val="18"/>
                <w:szCs w:val="18"/>
              </w:rPr>
              <w:t>Control</w:t>
            </w:r>
          </w:p>
          <w:p w:rsidR="002A1B18" w:rsidRPr="0059188A" w:rsidRDefault="002A1B18" w:rsidP="002A1B18">
            <w:pPr>
              <w:pStyle w:val="C-TableText"/>
              <w:jc w:val="center"/>
              <w:rPr>
                <w:sz w:val="18"/>
                <w:szCs w:val="18"/>
              </w:rPr>
            </w:pPr>
          </w:p>
          <w:p w:rsidR="002A1B18" w:rsidRPr="0059188A" w:rsidRDefault="002A1B18" w:rsidP="002E6217">
            <w:pPr>
              <w:pStyle w:val="C-TableText"/>
              <w:jc w:val="center"/>
              <w:rPr>
                <w:b/>
                <w:sz w:val="18"/>
                <w:szCs w:val="18"/>
              </w:rPr>
            </w:pPr>
            <w:r w:rsidRPr="0059188A">
              <w:rPr>
                <w:b/>
                <w:sz w:val="18"/>
                <w:szCs w:val="18"/>
              </w:rPr>
              <w:t>(</w:t>
            </w:r>
            <w:r w:rsidR="002E6217">
              <w:rPr>
                <w:b/>
                <w:sz w:val="18"/>
                <w:szCs w:val="18"/>
              </w:rPr>
              <w:t>N</w:t>
            </w:r>
            <w:r w:rsidRPr="0059188A">
              <w:rPr>
                <w:b/>
                <w:sz w:val="18"/>
                <w:szCs w:val="18"/>
              </w:rPr>
              <w:t xml:space="preserve"> = 73)</w:t>
            </w:r>
          </w:p>
        </w:tc>
        <w:tc>
          <w:tcPr>
            <w:tcW w:w="921" w:type="dxa"/>
            <w:tcBorders>
              <w:top w:val="single" w:sz="6" w:space="0" w:color="auto"/>
              <w:left w:val="single" w:sz="6" w:space="0" w:color="auto"/>
              <w:bottom w:val="single" w:sz="6" w:space="0" w:color="auto"/>
              <w:right w:val="single" w:sz="6" w:space="0" w:color="auto"/>
            </w:tcBorders>
            <w:vAlign w:val="center"/>
            <w:hideMark/>
          </w:tcPr>
          <w:p w:rsidR="002A1B18" w:rsidRPr="0059188A" w:rsidRDefault="002A1B18" w:rsidP="002A1B18">
            <w:pPr>
              <w:pStyle w:val="C-TableHeader"/>
              <w:ind w:left="-93" w:right="-18"/>
              <w:jc w:val="center"/>
              <w:rPr>
                <w:sz w:val="18"/>
                <w:szCs w:val="18"/>
              </w:rPr>
            </w:pPr>
            <w:r w:rsidRPr="0059188A">
              <w:rPr>
                <w:sz w:val="18"/>
                <w:szCs w:val="18"/>
              </w:rPr>
              <w:t>EYLEA</w:t>
            </w:r>
          </w:p>
          <w:p w:rsidR="002A1B18" w:rsidRPr="0059188A" w:rsidRDefault="002A1B18" w:rsidP="002A1B18">
            <w:pPr>
              <w:pStyle w:val="C-TableHeader"/>
              <w:ind w:left="-93" w:right="-18"/>
              <w:jc w:val="center"/>
              <w:rPr>
                <w:sz w:val="18"/>
                <w:szCs w:val="18"/>
              </w:rPr>
            </w:pPr>
            <w:r w:rsidRPr="0059188A">
              <w:rPr>
                <w:sz w:val="18"/>
                <w:szCs w:val="18"/>
              </w:rPr>
              <w:t>2 mg Q4</w:t>
            </w:r>
          </w:p>
          <w:p w:rsidR="002A1B18" w:rsidRPr="0059188A" w:rsidRDefault="002A1B18" w:rsidP="002E6217">
            <w:pPr>
              <w:pStyle w:val="C-TableText"/>
              <w:ind w:left="-93" w:right="-18"/>
              <w:jc w:val="center"/>
              <w:rPr>
                <w:b/>
                <w:sz w:val="18"/>
                <w:szCs w:val="18"/>
              </w:rPr>
            </w:pPr>
            <w:r w:rsidRPr="0059188A">
              <w:rPr>
                <w:b/>
                <w:sz w:val="18"/>
                <w:szCs w:val="18"/>
              </w:rPr>
              <w:t>(</w:t>
            </w:r>
            <w:r w:rsidR="002E6217">
              <w:rPr>
                <w:b/>
                <w:sz w:val="18"/>
                <w:szCs w:val="18"/>
              </w:rPr>
              <w:t>N</w:t>
            </w:r>
            <w:r w:rsidRPr="0059188A">
              <w:rPr>
                <w:b/>
                <w:sz w:val="18"/>
                <w:szCs w:val="18"/>
              </w:rPr>
              <w:t xml:space="preserve"> = 114)</w:t>
            </w:r>
          </w:p>
        </w:tc>
        <w:tc>
          <w:tcPr>
            <w:tcW w:w="922" w:type="dxa"/>
            <w:tcBorders>
              <w:top w:val="single" w:sz="6" w:space="0" w:color="auto"/>
              <w:left w:val="single" w:sz="6" w:space="0" w:color="auto"/>
              <w:bottom w:val="single" w:sz="6" w:space="0" w:color="auto"/>
              <w:right w:val="single" w:sz="6" w:space="0" w:color="auto"/>
            </w:tcBorders>
            <w:vAlign w:val="center"/>
          </w:tcPr>
          <w:p w:rsidR="002A1B18" w:rsidRPr="0059188A" w:rsidRDefault="002A1B18" w:rsidP="002A1B18">
            <w:pPr>
              <w:pStyle w:val="C-TableText"/>
              <w:ind w:left="-78" w:right="-33"/>
              <w:jc w:val="center"/>
              <w:rPr>
                <w:b/>
                <w:sz w:val="18"/>
                <w:szCs w:val="18"/>
              </w:rPr>
            </w:pPr>
            <w:r w:rsidRPr="0059188A">
              <w:rPr>
                <w:b/>
                <w:sz w:val="18"/>
                <w:szCs w:val="18"/>
              </w:rPr>
              <w:t xml:space="preserve">Control </w:t>
            </w:r>
            <w:r w:rsidRPr="0059188A">
              <w:rPr>
                <w:sz w:val="18"/>
                <w:szCs w:val="18"/>
                <w:vertAlign w:val="superscript"/>
              </w:rPr>
              <w:t>e)</w:t>
            </w:r>
          </w:p>
          <w:p w:rsidR="002A1B18" w:rsidRPr="0059188A" w:rsidRDefault="002A1B18" w:rsidP="002A1B18">
            <w:pPr>
              <w:pStyle w:val="C-TableText"/>
              <w:jc w:val="center"/>
              <w:rPr>
                <w:sz w:val="18"/>
                <w:szCs w:val="18"/>
              </w:rPr>
            </w:pPr>
          </w:p>
          <w:p w:rsidR="002A1B18" w:rsidRPr="0059188A" w:rsidRDefault="002A1B18" w:rsidP="002E6217">
            <w:pPr>
              <w:pStyle w:val="C-TableText"/>
              <w:jc w:val="center"/>
              <w:rPr>
                <w:sz w:val="18"/>
                <w:szCs w:val="18"/>
              </w:rPr>
            </w:pPr>
            <w:r w:rsidRPr="0059188A">
              <w:rPr>
                <w:b/>
                <w:sz w:val="18"/>
                <w:szCs w:val="18"/>
              </w:rPr>
              <w:t>(</w:t>
            </w:r>
            <w:r w:rsidR="002E6217">
              <w:rPr>
                <w:b/>
                <w:sz w:val="18"/>
                <w:szCs w:val="18"/>
              </w:rPr>
              <w:t>N</w:t>
            </w:r>
            <w:r w:rsidRPr="0059188A">
              <w:rPr>
                <w:b/>
                <w:sz w:val="18"/>
                <w:szCs w:val="18"/>
              </w:rPr>
              <w:t xml:space="preserve"> = 73)</w:t>
            </w:r>
          </w:p>
        </w:tc>
        <w:tc>
          <w:tcPr>
            <w:tcW w:w="921" w:type="dxa"/>
            <w:tcBorders>
              <w:top w:val="single" w:sz="6" w:space="0" w:color="auto"/>
              <w:left w:val="single" w:sz="6" w:space="0" w:color="auto"/>
              <w:bottom w:val="single" w:sz="6" w:space="0" w:color="auto"/>
              <w:right w:val="single" w:sz="6" w:space="0" w:color="auto"/>
            </w:tcBorders>
            <w:vAlign w:val="center"/>
            <w:hideMark/>
          </w:tcPr>
          <w:p w:rsidR="002A1B18" w:rsidRPr="0059188A" w:rsidRDefault="002A1B18" w:rsidP="002A1B18">
            <w:pPr>
              <w:pStyle w:val="C-TableHeader"/>
              <w:ind w:left="-93" w:right="-18"/>
              <w:jc w:val="center"/>
              <w:rPr>
                <w:sz w:val="18"/>
                <w:szCs w:val="18"/>
              </w:rPr>
            </w:pPr>
            <w:r w:rsidRPr="0059188A">
              <w:rPr>
                <w:sz w:val="18"/>
                <w:szCs w:val="18"/>
              </w:rPr>
              <w:t>EYLEA</w:t>
            </w:r>
          </w:p>
          <w:p w:rsidR="002A1B18" w:rsidRPr="0059188A" w:rsidRDefault="002A1B18" w:rsidP="002A1B18">
            <w:pPr>
              <w:pStyle w:val="C-TableHeader"/>
              <w:ind w:left="-93" w:right="-18"/>
              <w:jc w:val="center"/>
              <w:rPr>
                <w:sz w:val="18"/>
                <w:szCs w:val="18"/>
              </w:rPr>
            </w:pPr>
            <w:r w:rsidRPr="0059188A">
              <w:rPr>
                <w:sz w:val="18"/>
                <w:szCs w:val="18"/>
              </w:rPr>
              <w:t>2 mg</w:t>
            </w:r>
          </w:p>
          <w:p w:rsidR="002A1B18" w:rsidRPr="0059188A" w:rsidRDefault="002A1B18" w:rsidP="002E6217">
            <w:pPr>
              <w:pStyle w:val="C-TableText"/>
              <w:ind w:left="-63"/>
              <w:jc w:val="center"/>
              <w:rPr>
                <w:sz w:val="18"/>
                <w:szCs w:val="18"/>
              </w:rPr>
            </w:pPr>
            <w:r w:rsidRPr="0059188A">
              <w:rPr>
                <w:b/>
                <w:sz w:val="18"/>
                <w:szCs w:val="18"/>
              </w:rPr>
              <w:t>(</w:t>
            </w:r>
            <w:r w:rsidR="002E6217">
              <w:rPr>
                <w:b/>
                <w:sz w:val="18"/>
                <w:szCs w:val="18"/>
              </w:rPr>
              <w:t>N</w:t>
            </w:r>
            <w:r w:rsidRPr="0059188A">
              <w:rPr>
                <w:b/>
                <w:sz w:val="18"/>
                <w:szCs w:val="18"/>
              </w:rPr>
              <w:t xml:space="preserve"> = 114)</w:t>
            </w:r>
          </w:p>
        </w:tc>
        <w:tc>
          <w:tcPr>
            <w:tcW w:w="921" w:type="dxa"/>
            <w:tcBorders>
              <w:top w:val="single" w:sz="6" w:space="0" w:color="auto"/>
              <w:left w:val="single" w:sz="6" w:space="0" w:color="auto"/>
              <w:bottom w:val="single" w:sz="6" w:space="0" w:color="auto"/>
              <w:right w:val="single" w:sz="6" w:space="0" w:color="auto"/>
            </w:tcBorders>
            <w:vAlign w:val="center"/>
          </w:tcPr>
          <w:p w:rsidR="002A1B18" w:rsidRPr="0059188A" w:rsidRDefault="002A1B18" w:rsidP="002A1B18">
            <w:pPr>
              <w:pStyle w:val="C-TableText"/>
              <w:ind w:left="-170" w:right="-181"/>
              <w:jc w:val="center"/>
              <w:rPr>
                <w:b/>
                <w:sz w:val="18"/>
                <w:szCs w:val="18"/>
              </w:rPr>
            </w:pPr>
            <w:r w:rsidRPr="0059188A">
              <w:rPr>
                <w:b/>
                <w:sz w:val="18"/>
                <w:szCs w:val="18"/>
              </w:rPr>
              <w:t xml:space="preserve">Control </w:t>
            </w:r>
            <w:proofErr w:type="spellStart"/>
            <w:r w:rsidRPr="0059188A">
              <w:rPr>
                <w:sz w:val="18"/>
                <w:szCs w:val="18"/>
                <w:vertAlign w:val="superscript"/>
              </w:rPr>
              <w:t>e,f</w:t>
            </w:r>
            <w:proofErr w:type="spellEnd"/>
            <w:r w:rsidRPr="0059188A">
              <w:rPr>
                <w:sz w:val="18"/>
                <w:szCs w:val="18"/>
                <w:vertAlign w:val="superscript"/>
              </w:rPr>
              <w:t>)</w:t>
            </w:r>
          </w:p>
          <w:p w:rsidR="002A1B18" w:rsidRPr="0059188A" w:rsidRDefault="002A1B18" w:rsidP="002A1B18">
            <w:pPr>
              <w:pStyle w:val="C-TableText"/>
              <w:ind w:left="-250" w:right="-179"/>
              <w:jc w:val="center"/>
              <w:rPr>
                <w:sz w:val="18"/>
                <w:szCs w:val="18"/>
              </w:rPr>
            </w:pPr>
          </w:p>
          <w:p w:rsidR="002A1B18" w:rsidRPr="0059188A" w:rsidRDefault="002A1B18" w:rsidP="002E6217">
            <w:pPr>
              <w:pStyle w:val="C-TableText"/>
              <w:ind w:left="-250" w:right="-179"/>
              <w:jc w:val="center"/>
              <w:rPr>
                <w:b/>
                <w:sz w:val="18"/>
                <w:szCs w:val="18"/>
              </w:rPr>
            </w:pPr>
            <w:r w:rsidRPr="0059188A">
              <w:rPr>
                <w:b/>
                <w:sz w:val="18"/>
                <w:szCs w:val="18"/>
              </w:rPr>
              <w:t>(</w:t>
            </w:r>
            <w:r w:rsidR="002E6217">
              <w:rPr>
                <w:b/>
                <w:sz w:val="18"/>
                <w:szCs w:val="18"/>
              </w:rPr>
              <w:t>N</w:t>
            </w:r>
            <w:r w:rsidRPr="0059188A">
              <w:rPr>
                <w:b/>
                <w:sz w:val="18"/>
                <w:szCs w:val="18"/>
              </w:rPr>
              <w:t xml:space="preserve"> = 73)</w:t>
            </w:r>
          </w:p>
        </w:tc>
        <w:tc>
          <w:tcPr>
            <w:tcW w:w="922" w:type="dxa"/>
            <w:tcBorders>
              <w:top w:val="single" w:sz="6" w:space="0" w:color="auto"/>
              <w:left w:val="single" w:sz="6" w:space="0" w:color="auto"/>
              <w:bottom w:val="single" w:sz="6" w:space="0" w:color="auto"/>
              <w:right w:val="single" w:sz="6" w:space="0" w:color="auto"/>
            </w:tcBorders>
            <w:vAlign w:val="center"/>
          </w:tcPr>
          <w:p w:rsidR="002A1B18" w:rsidRPr="0059188A" w:rsidRDefault="002A1B18" w:rsidP="002A1B18">
            <w:pPr>
              <w:pStyle w:val="C-TableHeader"/>
              <w:ind w:left="-93" w:right="-108"/>
              <w:jc w:val="center"/>
              <w:rPr>
                <w:sz w:val="18"/>
                <w:szCs w:val="18"/>
              </w:rPr>
            </w:pPr>
            <w:r w:rsidRPr="0059188A">
              <w:rPr>
                <w:sz w:val="18"/>
                <w:szCs w:val="18"/>
              </w:rPr>
              <w:t>EYLEA</w:t>
            </w:r>
            <w:r w:rsidRPr="0059188A">
              <w:rPr>
                <w:sz w:val="18"/>
                <w:szCs w:val="18"/>
                <w:vertAlign w:val="superscript"/>
              </w:rPr>
              <w:t xml:space="preserve"> </w:t>
            </w:r>
            <w:r w:rsidRPr="0059188A">
              <w:rPr>
                <w:b w:val="0"/>
                <w:sz w:val="18"/>
                <w:szCs w:val="18"/>
                <w:vertAlign w:val="superscript"/>
              </w:rPr>
              <w:t>f)</w:t>
            </w:r>
          </w:p>
          <w:p w:rsidR="002A1B18" w:rsidRPr="0059188A" w:rsidRDefault="002A1B18" w:rsidP="002A1B18">
            <w:pPr>
              <w:pStyle w:val="C-TableHeader"/>
              <w:ind w:left="-93" w:right="-108"/>
              <w:jc w:val="center"/>
              <w:rPr>
                <w:sz w:val="18"/>
                <w:szCs w:val="18"/>
              </w:rPr>
            </w:pPr>
            <w:r w:rsidRPr="0059188A">
              <w:rPr>
                <w:sz w:val="18"/>
                <w:szCs w:val="18"/>
              </w:rPr>
              <w:t>2 mg</w:t>
            </w:r>
          </w:p>
          <w:p w:rsidR="002A1B18" w:rsidRPr="0059188A" w:rsidRDefault="002A1B18" w:rsidP="002E6217">
            <w:pPr>
              <w:pStyle w:val="C-TableText"/>
              <w:ind w:left="-93" w:right="-108"/>
              <w:jc w:val="center"/>
              <w:rPr>
                <w:b/>
                <w:sz w:val="18"/>
                <w:szCs w:val="18"/>
              </w:rPr>
            </w:pPr>
            <w:r w:rsidRPr="0059188A">
              <w:rPr>
                <w:b/>
                <w:sz w:val="18"/>
                <w:szCs w:val="18"/>
              </w:rPr>
              <w:t>(</w:t>
            </w:r>
            <w:r w:rsidR="002E6217">
              <w:rPr>
                <w:b/>
                <w:sz w:val="18"/>
                <w:szCs w:val="18"/>
              </w:rPr>
              <w:t>N</w:t>
            </w:r>
            <w:r w:rsidRPr="0059188A">
              <w:rPr>
                <w:b/>
                <w:sz w:val="18"/>
                <w:szCs w:val="18"/>
              </w:rPr>
              <w:t xml:space="preserve"> = 114)</w:t>
            </w:r>
          </w:p>
        </w:tc>
        <w:tc>
          <w:tcPr>
            <w:tcW w:w="921" w:type="dxa"/>
            <w:tcBorders>
              <w:top w:val="single" w:sz="6" w:space="0" w:color="auto"/>
              <w:left w:val="single" w:sz="6" w:space="0" w:color="auto"/>
              <w:bottom w:val="single" w:sz="6" w:space="0" w:color="auto"/>
              <w:right w:val="single" w:sz="6" w:space="0" w:color="auto"/>
            </w:tcBorders>
            <w:vAlign w:val="center"/>
          </w:tcPr>
          <w:p w:rsidR="002A1B18" w:rsidRPr="0059188A" w:rsidRDefault="002A1B18" w:rsidP="002A1B18">
            <w:pPr>
              <w:pStyle w:val="C-TableText"/>
              <w:jc w:val="center"/>
              <w:rPr>
                <w:b/>
                <w:sz w:val="18"/>
                <w:szCs w:val="18"/>
              </w:rPr>
            </w:pPr>
            <w:r w:rsidRPr="0059188A">
              <w:rPr>
                <w:b/>
                <w:sz w:val="18"/>
                <w:szCs w:val="18"/>
              </w:rPr>
              <w:t>Control</w:t>
            </w:r>
          </w:p>
          <w:p w:rsidR="002A1B18" w:rsidRPr="0059188A" w:rsidRDefault="002A1B18" w:rsidP="002A1B18">
            <w:pPr>
              <w:pStyle w:val="C-TableText"/>
              <w:jc w:val="center"/>
              <w:rPr>
                <w:sz w:val="18"/>
                <w:szCs w:val="18"/>
              </w:rPr>
            </w:pPr>
          </w:p>
          <w:p w:rsidR="002A1B18" w:rsidRPr="0059188A" w:rsidRDefault="002A1B18" w:rsidP="002E6217">
            <w:pPr>
              <w:pStyle w:val="C-TableText"/>
              <w:jc w:val="center"/>
              <w:rPr>
                <w:sz w:val="18"/>
                <w:szCs w:val="18"/>
              </w:rPr>
            </w:pPr>
            <w:r w:rsidRPr="0059188A">
              <w:rPr>
                <w:b/>
                <w:sz w:val="18"/>
                <w:szCs w:val="18"/>
              </w:rPr>
              <w:t>(</w:t>
            </w:r>
            <w:r w:rsidR="002E6217">
              <w:rPr>
                <w:b/>
                <w:sz w:val="18"/>
                <w:szCs w:val="18"/>
              </w:rPr>
              <w:t>N</w:t>
            </w:r>
            <w:r w:rsidRPr="0059188A">
              <w:rPr>
                <w:b/>
                <w:sz w:val="18"/>
                <w:szCs w:val="18"/>
              </w:rPr>
              <w:t xml:space="preserve"> = 68)</w:t>
            </w:r>
          </w:p>
        </w:tc>
        <w:tc>
          <w:tcPr>
            <w:tcW w:w="921" w:type="dxa"/>
            <w:tcBorders>
              <w:top w:val="single" w:sz="6" w:space="0" w:color="auto"/>
              <w:left w:val="single" w:sz="6" w:space="0" w:color="auto"/>
              <w:bottom w:val="single" w:sz="6" w:space="0" w:color="auto"/>
              <w:right w:val="single" w:sz="6" w:space="0" w:color="auto"/>
            </w:tcBorders>
            <w:vAlign w:val="center"/>
            <w:hideMark/>
          </w:tcPr>
          <w:p w:rsidR="002A1B18" w:rsidRPr="0059188A" w:rsidRDefault="002A1B18" w:rsidP="002A1B18">
            <w:pPr>
              <w:pStyle w:val="C-TableHeader"/>
              <w:ind w:left="-93" w:right="-18"/>
              <w:jc w:val="center"/>
              <w:rPr>
                <w:sz w:val="18"/>
                <w:szCs w:val="18"/>
              </w:rPr>
            </w:pPr>
            <w:r w:rsidRPr="0059188A">
              <w:rPr>
                <w:sz w:val="18"/>
                <w:szCs w:val="18"/>
              </w:rPr>
              <w:t>EYLEA</w:t>
            </w:r>
          </w:p>
          <w:p w:rsidR="002A1B18" w:rsidRPr="0059188A" w:rsidRDefault="002A1B18" w:rsidP="002A1B18">
            <w:pPr>
              <w:pStyle w:val="C-TableHeader"/>
              <w:ind w:left="-93" w:right="-18"/>
              <w:jc w:val="center"/>
              <w:rPr>
                <w:sz w:val="18"/>
                <w:szCs w:val="18"/>
              </w:rPr>
            </w:pPr>
            <w:r w:rsidRPr="0059188A">
              <w:rPr>
                <w:sz w:val="18"/>
                <w:szCs w:val="18"/>
              </w:rPr>
              <w:t>2 mg Q4</w:t>
            </w:r>
          </w:p>
          <w:p w:rsidR="002A1B18" w:rsidRPr="0059188A" w:rsidRDefault="002A1B18" w:rsidP="002E6217">
            <w:pPr>
              <w:pStyle w:val="C-TableText"/>
              <w:ind w:left="-33"/>
              <w:jc w:val="center"/>
              <w:rPr>
                <w:sz w:val="18"/>
                <w:szCs w:val="18"/>
              </w:rPr>
            </w:pPr>
            <w:r w:rsidRPr="0059188A">
              <w:rPr>
                <w:b/>
                <w:sz w:val="18"/>
                <w:szCs w:val="18"/>
              </w:rPr>
              <w:t>(</w:t>
            </w:r>
            <w:r w:rsidR="002E6217">
              <w:rPr>
                <w:b/>
                <w:sz w:val="18"/>
                <w:szCs w:val="18"/>
              </w:rPr>
              <w:t>N</w:t>
            </w:r>
            <w:r w:rsidRPr="0059188A">
              <w:rPr>
                <w:b/>
                <w:sz w:val="18"/>
                <w:szCs w:val="18"/>
              </w:rPr>
              <w:t xml:space="preserve"> = 103)</w:t>
            </w:r>
          </w:p>
        </w:tc>
        <w:tc>
          <w:tcPr>
            <w:tcW w:w="922" w:type="dxa"/>
            <w:tcBorders>
              <w:top w:val="single" w:sz="6" w:space="0" w:color="auto"/>
              <w:left w:val="single" w:sz="6" w:space="0" w:color="auto"/>
              <w:bottom w:val="single" w:sz="6" w:space="0" w:color="auto"/>
              <w:right w:val="single" w:sz="6" w:space="0" w:color="auto"/>
            </w:tcBorders>
            <w:vAlign w:val="center"/>
          </w:tcPr>
          <w:p w:rsidR="002A1B18" w:rsidRPr="0059188A" w:rsidRDefault="002A1B18" w:rsidP="002A1B18">
            <w:pPr>
              <w:pStyle w:val="C-TableText"/>
              <w:jc w:val="center"/>
              <w:rPr>
                <w:b/>
                <w:sz w:val="18"/>
                <w:szCs w:val="18"/>
              </w:rPr>
            </w:pPr>
            <w:r w:rsidRPr="0059188A">
              <w:rPr>
                <w:b/>
                <w:sz w:val="18"/>
                <w:szCs w:val="18"/>
              </w:rPr>
              <w:t>Control</w:t>
            </w:r>
          </w:p>
          <w:p w:rsidR="002A1B18" w:rsidRPr="0059188A" w:rsidRDefault="002A1B18" w:rsidP="002A1B18">
            <w:pPr>
              <w:pStyle w:val="C-TableText"/>
              <w:jc w:val="center"/>
              <w:rPr>
                <w:sz w:val="18"/>
                <w:szCs w:val="18"/>
              </w:rPr>
            </w:pPr>
          </w:p>
          <w:p w:rsidR="002A1B18" w:rsidRPr="0059188A" w:rsidRDefault="002A1B18" w:rsidP="002E6217">
            <w:pPr>
              <w:pStyle w:val="C-TableText"/>
              <w:ind w:left="-33" w:right="-93"/>
              <w:jc w:val="center"/>
              <w:rPr>
                <w:sz w:val="18"/>
                <w:szCs w:val="18"/>
              </w:rPr>
            </w:pPr>
            <w:r w:rsidRPr="0059188A">
              <w:rPr>
                <w:b/>
                <w:sz w:val="18"/>
                <w:szCs w:val="18"/>
              </w:rPr>
              <w:t>(</w:t>
            </w:r>
            <w:r w:rsidR="002E6217">
              <w:rPr>
                <w:b/>
                <w:sz w:val="18"/>
                <w:szCs w:val="18"/>
              </w:rPr>
              <w:t>N</w:t>
            </w:r>
            <w:r w:rsidRPr="0059188A">
              <w:rPr>
                <w:b/>
                <w:sz w:val="18"/>
                <w:szCs w:val="18"/>
              </w:rPr>
              <w:t xml:space="preserve"> = 68)</w:t>
            </w:r>
          </w:p>
        </w:tc>
        <w:tc>
          <w:tcPr>
            <w:tcW w:w="921" w:type="dxa"/>
            <w:tcBorders>
              <w:top w:val="single" w:sz="6" w:space="0" w:color="auto"/>
              <w:left w:val="single" w:sz="6" w:space="0" w:color="auto"/>
              <w:bottom w:val="single" w:sz="6" w:space="0" w:color="auto"/>
              <w:right w:val="single" w:sz="6" w:space="0" w:color="auto"/>
            </w:tcBorders>
            <w:vAlign w:val="center"/>
            <w:hideMark/>
          </w:tcPr>
          <w:p w:rsidR="002A1B18" w:rsidRPr="0059188A" w:rsidRDefault="002A1B18" w:rsidP="002A1B18">
            <w:pPr>
              <w:pStyle w:val="C-TableHeader"/>
              <w:ind w:left="-93" w:right="-18"/>
              <w:jc w:val="center"/>
              <w:rPr>
                <w:sz w:val="18"/>
                <w:szCs w:val="18"/>
              </w:rPr>
            </w:pPr>
            <w:r w:rsidRPr="0059188A">
              <w:rPr>
                <w:sz w:val="18"/>
                <w:szCs w:val="18"/>
              </w:rPr>
              <w:t>EYLEA</w:t>
            </w:r>
          </w:p>
          <w:p w:rsidR="002A1B18" w:rsidRPr="0059188A" w:rsidRDefault="002A1B18" w:rsidP="002A1B18">
            <w:pPr>
              <w:pStyle w:val="C-TableHeader"/>
              <w:ind w:left="-93" w:right="-18"/>
              <w:jc w:val="center"/>
              <w:rPr>
                <w:sz w:val="18"/>
                <w:szCs w:val="18"/>
              </w:rPr>
            </w:pPr>
            <w:r w:rsidRPr="0059188A">
              <w:rPr>
                <w:sz w:val="18"/>
                <w:szCs w:val="18"/>
              </w:rPr>
              <w:t>2 mg</w:t>
            </w:r>
          </w:p>
          <w:p w:rsidR="002A1B18" w:rsidRPr="0059188A" w:rsidRDefault="002A1B18" w:rsidP="002E6217">
            <w:pPr>
              <w:pStyle w:val="C-TableText"/>
              <w:ind w:left="-93"/>
              <w:jc w:val="center"/>
              <w:rPr>
                <w:sz w:val="18"/>
                <w:szCs w:val="18"/>
              </w:rPr>
            </w:pPr>
            <w:r w:rsidRPr="0059188A">
              <w:rPr>
                <w:b/>
                <w:sz w:val="18"/>
                <w:szCs w:val="18"/>
              </w:rPr>
              <w:t>(</w:t>
            </w:r>
            <w:r w:rsidR="002E6217">
              <w:rPr>
                <w:b/>
                <w:sz w:val="18"/>
                <w:szCs w:val="18"/>
              </w:rPr>
              <w:t>N</w:t>
            </w:r>
            <w:r w:rsidRPr="0059188A">
              <w:rPr>
                <w:b/>
                <w:sz w:val="18"/>
                <w:szCs w:val="18"/>
              </w:rPr>
              <w:t xml:space="preserve"> = 103)</w:t>
            </w:r>
          </w:p>
        </w:tc>
        <w:tc>
          <w:tcPr>
            <w:tcW w:w="921" w:type="dxa"/>
            <w:tcBorders>
              <w:top w:val="single" w:sz="6" w:space="0" w:color="auto"/>
              <w:left w:val="single" w:sz="6" w:space="0" w:color="auto"/>
              <w:bottom w:val="single" w:sz="6" w:space="0" w:color="auto"/>
              <w:right w:val="single" w:sz="6" w:space="0" w:color="auto"/>
            </w:tcBorders>
            <w:vAlign w:val="center"/>
          </w:tcPr>
          <w:p w:rsidR="002A1B18" w:rsidRPr="0059188A" w:rsidRDefault="002A1B18" w:rsidP="002A1B18">
            <w:pPr>
              <w:pStyle w:val="C-TableText"/>
              <w:ind w:left="-108" w:right="-38"/>
              <w:jc w:val="center"/>
              <w:rPr>
                <w:sz w:val="18"/>
                <w:szCs w:val="18"/>
              </w:rPr>
            </w:pPr>
            <w:r w:rsidRPr="0059188A">
              <w:rPr>
                <w:b/>
                <w:sz w:val="18"/>
                <w:szCs w:val="18"/>
              </w:rPr>
              <w:t>Control</w:t>
            </w:r>
            <w:r w:rsidRPr="0059188A">
              <w:rPr>
                <w:b/>
                <w:sz w:val="18"/>
                <w:szCs w:val="18"/>
                <w:vertAlign w:val="superscript"/>
                <w:lang w:eastAsia="zh-CN"/>
              </w:rPr>
              <w:t xml:space="preserve"> </w:t>
            </w:r>
            <w:r w:rsidRPr="0059188A">
              <w:rPr>
                <w:sz w:val="18"/>
                <w:szCs w:val="18"/>
                <w:vertAlign w:val="superscript"/>
                <w:lang w:eastAsia="zh-CN"/>
              </w:rPr>
              <w:t>g</w:t>
            </w:r>
            <w:r w:rsidRPr="0059188A">
              <w:rPr>
                <w:sz w:val="18"/>
                <w:szCs w:val="18"/>
                <w:vertAlign w:val="superscript"/>
              </w:rPr>
              <w:t>)</w:t>
            </w:r>
          </w:p>
          <w:p w:rsidR="002A1B18" w:rsidRPr="0059188A" w:rsidRDefault="002A1B18" w:rsidP="002A1B18">
            <w:pPr>
              <w:pStyle w:val="C-TableText"/>
              <w:jc w:val="center"/>
              <w:rPr>
                <w:sz w:val="18"/>
                <w:szCs w:val="18"/>
              </w:rPr>
            </w:pPr>
          </w:p>
          <w:p w:rsidR="002A1B18" w:rsidRPr="0059188A" w:rsidRDefault="002A1B18" w:rsidP="002E6217">
            <w:pPr>
              <w:pStyle w:val="C-TableText"/>
              <w:jc w:val="center"/>
              <w:rPr>
                <w:b/>
                <w:sz w:val="18"/>
                <w:szCs w:val="18"/>
              </w:rPr>
            </w:pPr>
            <w:r w:rsidRPr="0059188A">
              <w:rPr>
                <w:b/>
                <w:sz w:val="18"/>
                <w:szCs w:val="18"/>
              </w:rPr>
              <w:t>(</w:t>
            </w:r>
            <w:r w:rsidR="002E6217">
              <w:rPr>
                <w:b/>
                <w:sz w:val="18"/>
                <w:szCs w:val="18"/>
              </w:rPr>
              <w:t>N</w:t>
            </w:r>
            <w:r w:rsidRPr="0059188A">
              <w:rPr>
                <w:b/>
                <w:sz w:val="18"/>
                <w:szCs w:val="18"/>
              </w:rPr>
              <w:t xml:space="preserve"> = 68)</w:t>
            </w:r>
          </w:p>
        </w:tc>
        <w:tc>
          <w:tcPr>
            <w:tcW w:w="922" w:type="dxa"/>
            <w:tcBorders>
              <w:top w:val="single" w:sz="6" w:space="0" w:color="auto"/>
              <w:left w:val="single" w:sz="6" w:space="0" w:color="auto"/>
              <w:bottom w:val="single" w:sz="6" w:space="0" w:color="auto"/>
              <w:right w:val="single" w:sz="6" w:space="0" w:color="auto"/>
            </w:tcBorders>
            <w:vAlign w:val="center"/>
          </w:tcPr>
          <w:p w:rsidR="002A1B18" w:rsidRPr="0059188A" w:rsidRDefault="002A1B18" w:rsidP="002A1B18">
            <w:pPr>
              <w:pStyle w:val="C-TableHeader"/>
              <w:ind w:left="-93" w:right="-108"/>
              <w:jc w:val="center"/>
              <w:rPr>
                <w:sz w:val="18"/>
                <w:szCs w:val="18"/>
              </w:rPr>
            </w:pPr>
            <w:r w:rsidRPr="0059188A">
              <w:rPr>
                <w:sz w:val="18"/>
                <w:szCs w:val="18"/>
              </w:rPr>
              <w:t>EYLEA</w:t>
            </w:r>
            <w:r w:rsidRPr="0059188A">
              <w:rPr>
                <w:sz w:val="18"/>
                <w:szCs w:val="18"/>
                <w:vertAlign w:val="superscript"/>
                <w:lang w:eastAsia="zh-CN"/>
              </w:rPr>
              <w:t xml:space="preserve"> </w:t>
            </w:r>
            <w:r w:rsidRPr="0059188A">
              <w:rPr>
                <w:b w:val="0"/>
                <w:sz w:val="18"/>
                <w:szCs w:val="18"/>
                <w:vertAlign w:val="superscript"/>
                <w:lang w:eastAsia="zh-CN"/>
              </w:rPr>
              <w:t>g</w:t>
            </w:r>
            <w:r w:rsidRPr="0059188A">
              <w:rPr>
                <w:b w:val="0"/>
                <w:sz w:val="18"/>
                <w:szCs w:val="18"/>
                <w:vertAlign w:val="superscript"/>
              </w:rPr>
              <w:t>)</w:t>
            </w:r>
          </w:p>
          <w:p w:rsidR="002A1B18" w:rsidRPr="0059188A" w:rsidRDefault="002A1B18" w:rsidP="002A1B18">
            <w:pPr>
              <w:pStyle w:val="C-TableHeader"/>
              <w:ind w:left="-93" w:right="-108"/>
              <w:jc w:val="center"/>
              <w:rPr>
                <w:sz w:val="18"/>
                <w:szCs w:val="18"/>
              </w:rPr>
            </w:pPr>
            <w:r w:rsidRPr="0059188A">
              <w:rPr>
                <w:sz w:val="18"/>
                <w:szCs w:val="18"/>
              </w:rPr>
              <w:t>2 mg</w:t>
            </w:r>
          </w:p>
          <w:p w:rsidR="002A1B18" w:rsidRPr="0059188A" w:rsidRDefault="002A1B18" w:rsidP="002E6217">
            <w:pPr>
              <w:pStyle w:val="C-TableText"/>
              <w:ind w:left="-93" w:right="-108"/>
              <w:jc w:val="center"/>
              <w:rPr>
                <w:b/>
                <w:sz w:val="18"/>
                <w:szCs w:val="18"/>
              </w:rPr>
            </w:pPr>
            <w:r w:rsidRPr="0059188A">
              <w:rPr>
                <w:b/>
                <w:sz w:val="18"/>
                <w:szCs w:val="18"/>
              </w:rPr>
              <w:t>(</w:t>
            </w:r>
            <w:r w:rsidR="002E6217">
              <w:rPr>
                <w:b/>
                <w:sz w:val="18"/>
                <w:szCs w:val="18"/>
              </w:rPr>
              <w:t>N</w:t>
            </w:r>
            <w:r w:rsidRPr="0059188A">
              <w:rPr>
                <w:b/>
                <w:sz w:val="18"/>
                <w:szCs w:val="18"/>
              </w:rPr>
              <w:t xml:space="preserve"> = 103)</w:t>
            </w:r>
          </w:p>
        </w:tc>
      </w:tr>
      <w:tr w:rsidR="002A1B18" w:rsidRPr="0059188A" w:rsidTr="007C3358">
        <w:trPr>
          <w:cantSplit/>
          <w:jc w:val="center"/>
        </w:trPr>
        <w:tc>
          <w:tcPr>
            <w:tcW w:w="2411" w:type="dxa"/>
            <w:tcBorders>
              <w:top w:val="single" w:sz="6" w:space="0" w:color="auto"/>
              <w:left w:val="single" w:sz="6" w:space="0" w:color="auto"/>
              <w:bottom w:val="single" w:sz="6" w:space="0" w:color="auto"/>
              <w:right w:val="single" w:sz="6" w:space="0" w:color="auto"/>
            </w:tcBorders>
            <w:hideMark/>
          </w:tcPr>
          <w:p w:rsidR="002A1B18" w:rsidRPr="0059188A" w:rsidRDefault="002A1B18" w:rsidP="00604ED0">
            <w:pPr>
              <w:pStyle w:val="C-TableText"/>
              <w:rPr>
                <w:sz w:val="18"/>
                <w:szCs w:val="18"/>
              </w:rPr>
            </w:pPr>
            <w:r w:rsidRPr="0059188A">
              <w:rPr>
                <w:sz w:val="18"/>
                <w:szCs w:val="18"/>
              </w:rPr>
              <w:t xml:space="preserve">Proportion of patients who gained at least 15 letters in </w:t>
            </w:r>
            <w:proofErr w:type="spellStart"/>
            <w:r w:rsidRPr="0059188A">
              <w:rPr>
                <w:sz w:val="18"/>
                <w:szCs w:val="18"/>
              </w:rPr>
              <w:t>BCVA</w:t>
            </w:r>
            <w:r w:rsidRPr="0059188A">
              <w:rPr>
                <w:sz w:val="18"/>
                <w:szCs w:val="18"/>
                <w:vertAlign w:val="superscript"/>
              </w:rPr>
              <w:t>c</w:t>
            </w:r>
            <w:proofErr w:type="spellEnd"/>
            <w:r w:rsidRPr="0059188A">
              <w:rPr>
                <w:sz w:val="18"/>
                <w:szCs w:val="18"/>
                <w:vertAlign w:val="superscript"/>
              </w:rPr>
              <w:t>)</w:t>
            </w:r>
            <w:r w:rsidRPr="0059188A">
              <w:rPr>
                <w:sz w:val="18"/>
                <w:szCs w:val="18"/>
              </w:rPr>
              <w:t xml:space="preserve"> from baseline</w:t>
            </w:r>
            <w:r w:rsidRPr="0059188A">
              <w:rPr>
                <w:sz w:val="18"/>
                <w:szCs w:val="18"/>
                <w:vertAlign w:val="superscript"/>
              </w:rPr>
              <w:t>*</w:t>
            </w:r>
          </w:p>
        </w:tc>
        <w:tc>
          <w:tcPr>
            <w:tcW w:w="921" w:type="dxa"/>
            <w:tcBorders>
              <w:top w:val="single" w:sz="6" w:space="0" w:color="auto"/>
              <w:left w:val="single" w:sz="6" w:space="0" w:color="auto"/>
              <w:bottom w:val="single" w:sz="6" w:space="0" w:color="auto"/>
              <w:right w:val="single" w:sz="6" w:space="0" w:color="auto"/>
            </w:tcBorders>
            <w:vAlign w:val="center"/>
            <w:hideMark/>
          </w:tcPr>
          <w:p w:rsidR="002A1B18" w:rsidRPr="0059188A" w:rsidRDefault="002A1B18" w:rsidP="00217474">
            <w:pPr>
              <w:pStyle w:val="C-TableText"/>
              <w:ind w:left="-108" w:right="-123"/>
              <w:jc w:val="center"/>
              <w:rPr>
                <w:sz w:val="18"/>
                <w:szCs w:val="18"/>
              </w:rPr>
            </w:pPr>
            <w:r w:rsidRPr="0059188A">
              <w:rPr>
                <w:sz w:val="18"/>
                <w:szCs w:val="18"/>
              </w:rPr>
              <w:t>12%</w:t>
            </w:r>
          </w:p>
        </w:tc>
        <w:tc>
          <w:tcPr>
            <w:tcW w:w="921" w:type="dxa"/>
            <w:tcBorders>
              <w:top w:val="single" w:sz="6" w:space="0" w:color="auto"/>
              <w:left w:val="single" w:sz="6" w:space="0" w:color="auto"/>
              <w:bottom w:val="single" w:sz="6" w:space="0" w:color="auto"/>
              <w:right w:val="single" w:sz="6" w:space="0" w:color="auto"/>
            </w:tcBorders>
            <w:vAlign w:val="center"/>
            <w:hideMark/>
          </w:tcPr>
          <w:p w:rsidR="002A1B18" w:rsidRPr="0059188A" w:rsidRDefault="002A1B18" w:rsidP="00217474">
            <w:pPr>
              <w:pStyle w:val="C-TableText"/>
              <w:jc w:val="center"/>
              <w:rPr>
                <w:sz w:val="18"/>
                <w:szCs w:val="18"/>
              </w:rPr>
            </w:pPr>
            <w:r w:rsidRPr="0059188A">
              <w:rPr>
                <w:sz w:val="18"/>
                <w:szCs w:val="18"/>
              </w:rPr>
              <w:t>56%</w:t>
            </w:r>
          </w:p>
        </w:tc>
        <w:tc>
          <w:tcPr>
            <w:tcW w:w="922" w:type="dxa"/>
            <w:tcBorders>
              <w:top w:val="single" w:sz="6" w:space="0" w:color="auto"/>
              <w:left w:val="single" w:sz="6" w:space="0" w:color="auto"/>
              <w:bottom w:val="single" w:sz="6" w:space="0" w:color="auto"/>
              <w:right w:val="single" w:sz="6" w:space="0" w:color="auto"/>
            </w:tcBorders>
            <w:vAlign w:val="center"/>
            <w:hideMark/>
          </w:tcPr>
          <w:p w:rsidR="002A1B18" w:rsidRPr="0059188A" w:rsidRDefault="002A1B18" w:rsidP="00217474">
            <w:pPr>
              <w:pStyle w:val="C-TableText"/>
              <w:jc w:val="center"/>
              <w:rPr>
                <w:sz w:val="18"/>
                <w:szCs w:val="18"/>
              </w:rPr>
            </w:pPr>
            <w:r w:rsidRPr="0059188A">
              <w:rPr>
                <w:sz w:val="18"/>
                <w:szCs w:val="18"/>
              </w:rPr>
              <w:t>30%</w:t>
            </w:r>
          </w:p>
        </w:tc>
        <w:tc>
          <w:tcPr>
            <w:tcW w:w="921" w:type="dxa"/>
            <w:tcBorders>
              <w:top w:val="single" w:sz="6" w:space="0" w:color="auto"/>
              <w:left w:val="single" w:sz="6" w:space="0" w:color="auto"/>
              <w:bottom w:val="single" w:sz="6" w:space="0" w:color="auto"/>
              <w:right w:val="single" w:sz="6" w:space="0" w:color="auto"/>
            </w:tcBorders>
            <w:vAlign w:val="center"/>
            <w:hideMark/>
          </w:tcPr>
          <w:p w:rsidR="002A1B18" w:rsidRPr="0059188A" w:rsidRDefault="002A1B18" w:rsidP="002A1B18">
            <w:pPr>
              <w:pStyle w:val="C-TableText"/>
              <w:ind w:left="-143" w:right="-155"/>
              <w:jc w:val="center"/>
              <w:rPr>
                <w:sz w:val="18"/>
                <w:szCs w:val="18"/>
              </w:rPr>
            </w:pPr>
            <w:r w:rsidRPr="0059188A">
              <w:rPr>
                <w:sz w:val="18"/>
                <w:szCs w:val="18"/>
              </w:rPr>
              <w:t>55%</w:t>
            </w:r>
          </w:p>
        </w:tc>
        <w:tc>
          <w:tcPr>
            <w:tcW w:w="921" w:type="dxa"/>
            <w:tcBorders>
              <w:top w:val="single" w:sz="6" w:space="0" w:color="auto"/>
              <w:left w:val="single" w:sz="6" w:space="0" w:color="auto"/>
              <w:bottom w:val="single" w:sz="6" w:space="0" w:color="auto"/>
              <w:right w:val="single" w:sz="6" w:space="0" w:color="auto"/>
            </w:tcBorders>
            <w:vAlign w:val="center"/>
          </w:tcPr>
          <w:p w:rsidR="002A1B18" w:rsidRPr="0059188A" w:rsidRDefault="002A1B18" w:rsidP="00217474">
            <w:pPr>
              <w:pStyle w:val="C-TableText"/>
              <w:ind w:left="-48" w:right="-63"/>
              <w:jc w:val="center"/>
              <w:rPr>
                <w:sz w:val="18"/>
                <w:szCs w:val="18"/>
              </w:rPr>
            </w:pPr>
            <w:r w:rsidRPr="0059188A">
              <w:rPr>
                <w:sz w:val="18"/>
                <w:szCs w:val="18"/>
              </w:rPr>
              <w:t>23.3%</w:t>
            </w:r>
          </w:p>
        </w:tc>
        <w:tc>
          <w:tcPr>
            <w:tcW w:w="922" w:type="dxa"/>
            <w:tcBorders>
              <w:top w:val="single" w:sz="6" w:space="0" w:color="auto"/>
              <w:left w:val="single" w:sz="6" w:space="0" w:color="auto"/>
              <w:bottom w:val="single" w:sz="6" w:space="0" w:color="auto"/>
              <w:right w:val="single" w:sz="6" w:space="0" w:color="auto"/>
            </w:tcBorders>
            <w:vAlign w:val="center"/>
          </w:tcPr>
          <w:p w:rsidR="002A1B18" w:rsidRPr="0059188A" w:rsidRDefault="002A1B18" w:rsidP="00217474">
            <w:pPr>
              <w:pStyle w:val="C-TableText"/>
              <w:ind w:left="-48" w:right="-63"/>
              <w:jc w:val="center"/>
              <w:rPr>
                <w:sz w:val="18"/>
                <w:szCs w:val="18"/>
              </w:rPr>
            </w:pPr>
            <w:r w:rsidRPr="0059188A">
              <w:rPr>
                <w:sz w:val="18"/>
                <w:szCs w:val="18"/>
              </w:rPr>
              <w:t>49.1%</w:t>
            </w:r>
          </w:p>
        </w:tc>
        <w:tc>
          <w:tcPr>
            <w:tcW w:w="921" w:type="dxa"/>
            <w:tcBorders>
              <w:top w:val="single" w:sz="6" w:space="0" w:color="auto"/>
              <w:left w:val="single" w:sz="6" w:space="0" w:color="auto"/>
              <w:bottom w:val="single" w:sz="6" w:space="0" w:color="auto"/>
              <w:right w:val="single" w:sz="6" w:space="0" w:color="auto"/>
            </w:tcBorders>
            <w:vAlign w:val="center"/>
            <w:hideMark/>
          </w:tcPr>
          <w:p w:rsidR="002A1B18" w:rsidRPr="0059188A" w:rsidRDefault="002A1B18" w:rsidP="00217474">
            <w:pPr>
              <w:pStyle w:val="C-TableText"/>
              <w:ind w:left="-48" w:right="-63"/>
              <w:jc w:val="center"/>
              <w:rPr>
                <w:sz w:val="18"/>
                <w:szCs w:val="18"/>
              </w:rPr>
            </w:pPr>
            <w:r w:rsidRPr="0059188A">
              <w:rPr>
                <w:sz w:val="18"/>
                <w:szCs w:val="18"/>
              </w:rPr>
              <w:t>22%</w:t>
            </w:r>
          </w:p>
        </w:tc>
        <w:tc>
          <w:tcPr>
            <w:tcW w:w="921" w:type="dxa"/>
            <w:tcBorders>
              <w:top w:val="single" w:sz="6" w:space="0" w:color="auto"/>
              <w:left w:val="single" w:sz="6" w:space="0" w:color="auto"/>
              <w:bottom w:val="single" w:sz="6" w:space="0" w:color="auto"/>
              <w:right w:val="single" w:sz="6" w:space="0" w:color="auto"/>
            </w:tcBorders>
            <w:vAlign w:val="center"/>
            <w:hideMark/>
          </w:tcPr>
          <w:p w:rsidR="002A1B18" w:rsidRPr="0059188A" w:rsidRDefault="002A1B18" w:rsidP="00217474">
            <w:pPr>
              <w:pStyle w:val="C-TableText"/>
              <w:jc w:val="center"/>
              <w:rPr>
                <w:sz w:val="18"/>
                <w:szCs w:val="18"/>
              </w:rPr>
            </w:pPr>
            <w:r w:rsidRPr="0059188A">
              <w:rPr>
                <w:sz w:val="18"/>
                <w:szCs w:val="18"/>
              </w:rPr>
              <w:t>60%</w:t>
            </w:r>
          </w:p>
        </w:tc>
        <w:tc>
          <w:tcPr>
            <w:tcW w:w="922" w:type="dxa"/>
            <w:tcBorders>
              <w:top w:val="single" w:sz="6" w:space="0" w:color="auto"/>
              <w:left w:val="single" w:sz="6" w:space="0" w:color="auto"/>
              <w:bottom w:val="single" w:sz="6" w:space="0" w:color="auto"/>
              <w:right w:val="single" w:sz="6" w:space="0" w:color="auto"/>
            </w:tcBorders>
            <w:vAlign w:val="center"/>
            <w:hideMark/>
          </w:tcPr>
          <w:p w:rsidR="002A1B18" w:rsidRPr="0059188A" w:rsidRDefault="002A1B18" w:rsidP="00217474">
            <w:pPr>
              <w:pStyle w:val="C-TableText"/>
              <w:ind w:left="-138" w:right="-93"/>
              <w:jc w:val="center"/>
              <w:rPr>
                <w:sz w:val="18"/>
                <w:szCs w:val="18"/>
              </w:rPr>
            </w:pPr>
            <w:r w:rsidRPr="0059188A">
              <w:rPr>
                <w:sz w:val="18"/>
                <w:szCs w:val="18"/>
              </w:rPr>
              <w:t>32%</w:t>
            </w:r>
          </w:p>
        </w:tc>
        <w:tc>
          <w:tcPr>
            <w:tcW w:w="921" w:type="dxa"/>
            <w:tcBorders>
              <w:top w:val="single" w:sz="6" w:space="0" w:color="auto"/>
              <w:left w:val="single" w:sz="6" w:space="0" w:color="auto"/>
              <w:bottom w:val="single" w:sz="6" w:space="0" w:color="auto"/>
              <w:right w:val="single" w:sz="6" w:space="0" w:color="auto"/>
            </w:tcBorders>
            <w:vAlign w:val="center"/>
            <w:hideMark/>
          </w:tcPr>
          <w:p w:rsidR="002A1B18" w:rsidRPr="0059188A" w:rsidRDefault="002A1B18" w:rsidP="00217474">
            <w:pPr>
              <w:pStyle w:val="C-TableText"/>
              <w:jc w:val="center"/>
              <w:rPr>
                <w:sz w:val="18"/>
                <w:szCs w:val="18"/>
              </w:rPr>
            </w:pPr>
            <w:r w:rsidRPr="0059188A">
              <w:rPr>
                <w:sz w:val="18"/>
                <w:szCs w:val="18"/>
              </w:rPr>
              <w:t>60%</w:t>
            </w:r>
          </w:p>
        </w:tc>
        <w:tc>
          <w:tcPr>
            <w:tcW w:w="921" w:type="dxa"/>
            <w:tcBorders>
              <w:top w:val="single" w:sz="6" w:space="0" w:color="auto"/>
              <w:left w:val="single" w:sz="6" w:space="0" w:color="auto"/>
              <w:bottom w:val="single" w:sz="6" w:space="0" w:color="auto"/>
              <w:right w:val="single" w:sz="6" w:space="0" w:color="auto"/>
            </w:tcBorders>
            <w:vAlign w:val="center"/>
          </w:tcPr>
          <w:p w:rsidR="002A1B18" w:rsidRPr="0059188A" w:rsidRDefault="002A1B18" w:rsidP="00F8008D">
            <w:pPr>
              <w:pStyle w:val="C-TableText"/>
              <w:ind w:left="-48" w:right="-63"/>
              <w:jc w:val="center"/>
              <w:rPr>
                <w:sz w:val="18"/>
                <w:szCs w:val="18"/>
              </w:rPr>
            </w:pPr>
            <w:r w:rsidRPr="0059188A">
              <w:rPr>
                <w:sz w:val="18"/>
                <w:szCs w:val="18"/>
              </w:rPr>
              <w:t>29.4%</w:t>
            </w:r>
          </w:p>
        </w:tc>
        <w:tc>
          <w:tcPr>
            <w:tcW w:w="922" w:type="dxa"/>
            <w:tcBorders>
              <w:top w:val="single" w:sz="6" w:space="0" w:color="auto"/>
              <w:left w:val="single" w:sz="6" w:space="0" w:color="auto"/>
              <w:bottom w:val="single" w:sz="6" w:space="0" w:color="auto"/>
              <w:right w:val="single" w:sz="6" w:space="0" w:color="auto"/>
            </w:tcBorders>
            <w:vAlign w:val="center"/>
          </w:tcPr>
          <w:p w:rsidR="002A1B18" w:rsidRPr="0059188A" w:rsidRDefault="002A1B18" w:rsidP="00F8008D">
            <w:pPr>
              <w:pStyle w:val="C-TableText"/>
              <w:ind w:left="-48" w:right="-63"/>
              <w:jc w:val="center"/>
              <w:rPr>
                <w:sz w:val="18"/>
                <w:szCs w:val="18"/>
              </w:rPr>
            </w:pPr>
            <w:r w:rsidRPr="0059188A">
              <w:rPr>
                <w:sz w:val="18"/>
                <w:szCs w:val="18"/>
              </w:rPr>
              <w:t>57.3%</w:t>
            </w:r>
          </w:p>
        </w:tc>
      </w:tr>
      <w:tr w:rsidR="002A1B18" w:rsidRPr="0059188A" w:rsidTr="007C3358">
        <w:trPr>
          <w:cantSplit/>
          <w:jc w:val="center"/>
        </w:trPr>
        <w:tc>
          <w:tcPr>
            <w:tcW w:w="2411" w:type="dxa"/>
            <w:tcBorders>
              <w:top w:val="single" w:sz="6" w:space="0" w:color="auto"/>
              <w:left w:val="single" w:sz="6" w:space="0" w:color="auto"/>
              <w:bottom w:val="nil"/>
              <w:right w:val="single" w:sz="6" w:space="0" w:color="auto"/>
            </w:tcBorders>
            <w:hideMark/>
          </w:tcPr>
          <w:p w:rsidR="002A1B18" w:rsidRPr="0059188A" w:rsidRDefault="002A1B18" w:rsidP="002A1B18">
            <w:pPr>
              <w:pStyle w:val="C-TableText"/>
              <w:spacing w:after="0"/>
              <w:ind w:left="142"/>
              <w:rPr>
                <w:sz w:val="18"/>
                <w:szCs w:val="18"/>
              </w:rPr>
            </w:pPr>
            <w:r w:rsidRPr="0059188A">
              <w:rPr>
                <w:sz w:val="18"/>
                <w:szCs w:val="18"/>
              </w:rPr>
              <w:t xml:space="preserve">Weighted difference </w:t>
            </w:r>
            <w:proofErr w:type="spellStart"/>
            <w:r w:rsidRPr="0059188A">
              <w:rPr>
                <w:sz w:val="18"/>
                <w:szCs w:val="18"/>
                <w:vertAlign w:val="superscript"/>
              </w:rPr>
              <w:t>a,b,e</w:t>
            </w:r>
            <w:proofErr w:type="spellEnd"/>
            <w:r w:rsidRPr="0059188A">
              <w:rPr>
                <w:sz w:val="18"/>
                <w:szCs w:val="18"/>
                <w:vertAlign w:val="superscript"/>
              </w:rPr>
              <w:t>)</w:t>
            </w:r>
          </w:p>
          <w:p w:rsidR="002A1B18" w:rsidRPr="0059188A" w:rsidRDefault="002A1B18" w:rsidP="002A1B18">
            <w:pPr>
              <w:pStyle w:val="C-TableText"/>
              <w:spacing w:before="0"/>
              <w:ind w:left="142"/>
              <w:rPr>
                <w:sz w:val="18"/>
                <w:szCs w:val="18"/>
              </w:rPr>
            </w:pPr>
            <w:r w:rsidRPr="0059188A">
              <w:rPr>
                <w:sz w:val="18"/>
                <w:szCs w:val="18"/>
              </w:rPr>
              <w:t>(95% CI)</w:t>
            </w:r>
          </w:p>
        </w:tc>
        <w:tc>
          <w:tcPr>
            <w:tcW w:w="921" w:type="dxa"/>
            <w:tcBorders>
              <w:top w:val="single" w:sz="6" w:space="0" w:color="auto"/>
              <w:left w:val="single" w:sz="6" w:space="0" w:color="auto"/>
              <w:bottom w:val="nil"/>
              <w:right w:val="single" w:sz="6" w:space="0" w:color="auto"/>
            </w:tcBorders>
            <w:vAlign w:val="center"/>
          </w:tcPr>
          <w:p w:rsidR="002A1B18" w:rsidRPr="0059188A" w:rsidRDefault="002A1B18">
            <w:pPr>
              <w:pStyle w:val="C-TableText"/>
              <w:ind w:left="-108" w:right="-91"/>
              <w:jc w:val="center"/>
              <w:rPr>
                <w:sz w:val="18"/>
                <w:szCs w:val="18"/>
              </w:rPr>
            </w:pPr>
          </w:p>
        </w:tc>
        <w:tc>
          <w:tcPr>
            <w:tcW w:w="921" w:type="dxa"/>
            <w:tcBorders>
              <w:top w:val="single" w:sz="6" w:space="0" w:color="auto"/>
              <w:left w:val="single" w:sz="6" w:space="0" w:color="auto"/>
              <w:bottom w:val="nil"/>
              <w:right w:val="single" w:sz="6" w:space="0" w:color="auto"/>
            </w:tcBorders>
            <w:vAlign w:val="center"/>
          </w:tcPr>
          <w:p w:rsidR="002A1B18" w:rsidRPr="0059188A" w:rsidRDefault="002A1B18">
            <w:pPr>
              <w:pStyle w:val="C-TableText"/>
              <w:ind w:left="-108" w:right="-91"/>
              <w:jc w:val="center"/>
              <w:rPr>
                <w:sz w:val="18"/>
                <w:szCs w:val="18"/>
              </w:rPr>
            </w:pPr>
            <w:r w:rsidRPr="0059188A">
              <w:rPr>
                <w:sz w:val="18"/>
                <w:szCs w:val="18"/>
              </w:rPr>
              <w:t>44.8%</w:t>
            </w:r>
            <w:r w:rsidRPr="0059188A">
              <w:rPr>
                <w:sz w:val="18"/>
                <w:szCs w:val="18"/>
              </w:rPr>
              <w:br/>
              <w:t>(33.0, 56.6)</w:t>
            </w:r>
          </w:p>
        </w:tc>
        <w:tc>
          <w:tcPr>
            <w:tcW w:w="922" w:type="dxa"/>
            <w:tcBorders>
              <w:top w:val="single" w:sz="6" w:space="0" w:color="auto"/>
              <w:left w:val="single" w:sz="6" w:space="0" w:color="auto"/>
              <w:bottom w:val="nil"/>
              <w:right w:val="single" w:sz="6" w:space="0" w:color="auto"/>
            </w:tcBorders>
            <w:vAlign w:val="center"/>
          </w:tcPr>
          <w:p w:rsidR="002A1B18" w:rsidRPr="0059188A" w:rsidRDefault="002A1B18">
            <w:pPr>
              <w:pStyle w:val="C-TableText"/>
              <w:ind w:left="-108" w:right="-91"/>
              <w:jc w:val="center"/>
              <w:rPr>
                <w:sz w:val="18"/>
                <w:szCs w:val="18"/>
              </w:rPr>
            </w:pPr>
          </w:p>
        </w:tc>
        <w:tc>
          <w:tcPr>
            <w:tcW w:w="921" w:type="dxa"/>
            <w:tcBorders>
              <w:top w:val="single" w:sz="6" w:space="0" w:color="auto"/>
              <w:left w:val="single" w:sz="6" w:space="0" w:color="auto"/>
              <w:bottom w:val="nil"/>
              <w:right w:val="single" w:sz="6" w:space="0" w:color="auto"/>
            </w:tcBorders>
            <w:vAlign w:val="center"/>
          </w:tcPr>
          <w:p w:rsidR="002A1B18" w:rsidRPr="0059188A" w:rsidRDefault="002A1B18" w:rsidP="002A1B18">
            <w:pPr>
              <w:pStyle w:val="C-TableText"/>
              <w:ind w:left="-143" w:right="-155"/>
              <w:jc w:val="center"/>
              <w:rPr>
                <w:sz w:val="18"/>
                <w:szCs w:val="18"/>
              </w:rPr>
            </w:pPr>
            <w:r w:rsidRPr="0059188A">
              <w:rPr>
                <w:sz w:val="18"/>
                <w:szCs w:val="18"/>
              </w:rPr>
              <w:t>25.9%</w:t>
            </w:r>
            <w:r w:rsidRPr="0059188A">
              <w:rPr>
                <w:sz w:val="18"/>
                <w:szCs w:val="18"/>
              </w:rPr>
              <w:br/>
              <w:t>(11.8, 40.1)</w:t>
            </w:r>
          </w:p>
        </w:tc>
        <w:tc>
          <w:tcPr>
            <w:tcW w:w="921" w:type="dxa"/>
            <w:tcBorders>
              <w:top w:val="single" w:sz="6" w:space="0" w:color="auto"/>
              <w:left w:val="single" w:sz="6" w:space="0" w:color="auto"/>
              <w:bottom w:val="nil"/>
              <w:right w:val="single" w:sz="6" w:space="0" w:color="auto"/>
            </w:tcBorders>
            <w:vAlign w:val="center"/>
          </w:tcPr>
          <w:p w:rsidR="002A1B18" w:rsidRPr="0059188A" w:rsidRDefault="002A1B18">
            <w:pPr>
              <w:pStyle w:val="C-TableText"/>
              <w:ind w:left="-108" w:right="-91"/>
              <w:jc w:val="center"/>
              <w:rPr>
                <w:sz w:val="18"/>
                <w:szCs w:val="18"/>
              </w:rPr>
            </w:pPr>
          </w:p>
        </w:tc>
        <w:tc>
          <w:tcPr>
            <w:tcW w:w="922" w:type="dxa"/>
            <w:tcBorders>
              <w:top w:val="single" w:sz="6" w:space="0" w:color="auto"/>
              <w:left w:val="single" w:sz="6" w:space="0" w:color="auto"/>
              <w:bottom w:val="nil"/>
              <w:right w:val="single" w:sz="6" w:space="0" w:color="auto"/>
            </w:tcBorders>
            <w:vAlign w:val="center"/>
          </w:tcPr>
          <w:p w:rsidR="002A1B18" w:rsidRPr="0059188A" w:rsidRDefault="002A1B18">
            <w:pPr>
              <w:pStyle w:val="C-TableText"/>
              <w:ind w:left="-108" w:right="-91"/>
              <w:jc w:val="center"/>
              <w:rPr>
                <w:sz w:val="18"/>
                <w:szCs w:val="18"/>
              </w:rPr>
            </w:pPr>
            <w:r w:rsidRPr="0059188A">
              <w:rPr>
                <w:sz w:val="18"/>
                <w:szCs w:val="18"/>
              </w:rPr>
              <w:t>26.7%</w:t>
            </w:r>
            <w:r w:rsidRPr="0059188A">
              <w:rPr>
                <w:sz w:val="18"/>
                <w:szCs w:val="18"/>
              </w:rPr>
              <w:br/>
              <w:t>(13.1, 40.3)</w:t>
            </w:r>
          </w:p>
        </w:tc>
        <w:tc>
          <w:tcPr>
            <w:tcW w:w="921" w:type="dxa"/>
            <w:tcBorders>
              <w:top w:val="single" w:sz="6" w:space="0" w:color="auto"/>
              <w:left w:val="single" w:sz="6" w:space="0" w:color="auto"/>
              <w:bottom w:val="nil"/>
              <w:right w:val="single" w:sz="6" w:space="0" w:color="auto"/>
            </w:tcBorders>
            <w:vAlign w:val="center"/>
          </w:tcPr>
          <w:p w:rsidR="002A1B18" w:rsidRPr="0059188A" w:rsidRDefault="002A1B18">
            <w:pPr>
              <w:pStyle w:val="C-TableText"/>
              <w:ind w:left="-108" w:right="-91"/>
              <w:jc w:val="center"/>
              <w:rPr>
                <w:sz w:val="18"/>
                <w:szCs w:val="18"/>
              </w:rPr>
            </w:pPr>
          </w:p>
        </w:tc>
        <w:tc>
          <w:tcPr>
            <w:tcW w:w="921" w:type="dxa"/>
            <w:tcBorders>
              <w:top w:val="single" w:sz="6" w:space="0" w:color="auto"/>
              <w:left w:val="single" w:sz="6" w:space="0" w:color="auto"/>
              <w:bottom w:val="nil"/>
              <w:right w:val="single" w:sz="6" w:space="0" w:color="auto"/>
            </w:tcBorders>
            <w:vAlign w:val="center"/>
          </w:tcPr>
          <w:p w:rsidR="002A1B18" w:rsidRPr="0059188A" w:rsidRDefault="002A1B18">
            <w:pPr>
              <w:pStyle w:val="C-TableText"/>
              <w:ind w:left="-108" w:right="-91"/>
              <w:jc w:val="center"/>
              <w:rPr>
                <w:sz w:val="18"/>
                <w:szCs w:val="18"/>
              </w:rPr>
            </w:pPr>
            <w:r w:rsidRPr="0059188A">
              <w:rPr>
                <w:sz w:val="18"/>
                <w:szCs w:val="18"/>
              </w:rPr>
              <w:t>38.3%</w:t>
            </w:r>
            <w:r w:rsidRPr="0059188A">
              <w:rPr>
                <w:sz w:val="18"/>
                <w:szCs w:val="18"/>
              </w:rPr>
              <w:br/>
              <w:t>(24.4, 52.1)</w:t>
            </w:r>
          </w:p>
        </w:tc>
        <w:tc>
          <w:tcPr>
            <w:tcW w:w="922" w:type="dxa"/>
            <w:tcBorders>
              <w:top w:val="single" w:sz="6" w:space="0" w:color="auto"/>
              <w:left w:val="single" w:sz="6" w:space="0" w:color="auto"/>
              <w:bottom w:val="nil"/>
              <w:right w:val="single" w:sz="6" w:space="0" w:color="auto"/>
            </w:tcBorders>
            <w:vAlign w:val="center"/>
          </w:tcPr>
          <w:p w:rsidR="002A1B18" w:rsidRPr="0059188A" w:rsidRDefault="002A1B18">
            <w:pPr>
              <w:pStyle w:val="C-TableText"/>
              <w:ind w:left="-108" w:right="-108"/>
              <w:jc w:val="center"/>
              <w:rPr>
                <w:sz w:val="18"/>
                <w:szCs w:val="18"/>
              </w:rPr>
            </w:pPr>
          </w:p>
        </w:tc>
        <w:tc>
          <w:tcPr>
            <w:tcW w:w="921" w:type="dxa"/>
            <w:tcBorders>
              <w:top w:val="single" w:sz="6" w:space="0" w:color="auto"/>
              <w:left w:val="single" w:sz="6" w:space="0" w:color="auto"/>
              <w:bottom w:val="nil"/>
              <w:right w:val="single" w:sz="6" w:space="0" w:color="auto"/>
            </w:tcBorders>
            <w:vAlign w:val="center"/>
          </w:tcPr>
          <w:p w:rsidR="002A1B18" w:rsidRPr="0059188A" w:rsidRDefault="002A1B18">
            <w:pPr>
              <w:pStyle w:val="C-TableText"/>
              <w:ind w:left="-108" w:right="-108"/>
              <w:jc w:val="center"/>
              <w:rPr>
                <w:sz w:val="18"/>
                <w:szCs w:val="18"/>
              </w:rPr>
            </w:pPr>
            <w:r w:rsidRPr="0059188A">
              <w:rPr>
                <w:sz w:val="18"/>
                <w:szCs w:val="18"/>
              </w:rPr>
              <w:t>27.9%</w:t>
            </w:r>
            <w:r w:rsidRPr="0059188A">
              <w:rPr>
                <w:sz w:val="18"/>
                <w:szCs w:val="18"/>
              </w:rPr>
              <w:br/>
              <w:t>(13.0, 42.7)</w:t>
            </w:r>
          </w:p>
        </w:tc>
        <w:tc>
          <w:tcPr>
            <w:tcW w:w="921" w:type="dxa"/>
            <w:tcBorders>
              <w:top w:val="single" w:sz="6" w:space="0" w:color="auto"/>
              <w:left w:val="single" w:sz="6" w:space="0" w:color="auto"/>
              <w:bottom w:val="nil"/>
              <w:right w:val="single" w:sz="6" w:space="0" w:color="auto"/>
            </w:tcBorders>
            <w:vAlign w:val="center"/>
          </w:tcPr>
          <w:p w:rsidR="002A1B18" w:rsidRPr="0059188A" w:rsidRDefault="002A1B18" w:rsidP="00F8008D">
            <w:pPr>
              <w:pStyle w:val="C-TableText"/>
              <w:ind w:left="-108" w:right="-91"/>
              <w:jc w:val="center"/>
              <w:rPr>
                <w:sz w:val="18"/>
                <w:szCs w:val="18"/>
              </w:rPr>
            </w:pPr>
          </w:p>
        </w:tc>
        <w:tc>
          <w:tcPr>
            <w:tcW w:w="922" w:type="dxa"/>
            <w:tcBorders>
              <w:top w:val="single" w:sz="6" w:space="0" w:color="auto"/>
              <w:left w:val="single" w:sz="6" w:space="0" w:color="auto"/>
              <w:bottom w:val="nil"/>
              <w:right w:val="single" w:sz="6" w:space="0" w:color="auto"/>
            </w:tcBorders>
            <w:vAlign w:val="center"/>
          </w:tcPr>
          <w:p w:rsidR="002A1B18" w:rsidRPr="0059188A" w:rsidRDefault="002A1B18" w:rsidP="00F8008D">
            <w:pPr>
              <w:pStyle w:val="C-TableText"/>
              <w:ind w:left="-108" w:right="-91"/>
              <w:jc w:val="center"/>
              <w:rPr>
                <w:sz w:val="18"/>
                <w:szCs w:val="18"/>
              </w:rPr>
            </w:pPr>
            <w:r w:rsidRPr="0059188A">
              <w:rPr>
                <w:sz w:val="18"/>
                <w:szCs w:val="18"/>
              </w:rPr>
              <w:t>28.0%</w:t>
            </w:r>
            <w:r w:rsidRPr="0059188A">
              <w:rPr>
                <w:sz w:val="18"/>
                <w:szCs w:val="18"/>
              </w:rPr>
              <w:br/>
              <w:t>(13.3, 42.6)</w:t>
            </w:r>
          </w:p>
        </w:tc>
      </w:tr>
      <w:tr w:rsidR="002A1B18" w:rsidRPr="0059188A" w:rsidTr="007C3358">
        <w:trPr>
          <w:cantSplit/>
          <w:jc w:val="center"/>
        </w:trPr>
        <w:tc>
          <w:tcPr>
            <w:tcW w:w="2411" w:type="dxa"/>
            <w:tcBorders>
              <w:top w:val="nil"/>
              <w:left w:val="single" w:sz="4" w:space="0" w:color="auto"/>
              <w:bottom w:val="single" w:sz="4" w:space="0" w:color="auto"/>
              <w:right w:val="single" w:sz="4" w:space="0" w:color="auto"/>
            </w:tcBorders>
            <w:hideMark/>
          </w:tcPr>
          <w:p w:rsidR="002A1B18" w:rsidRPr="0059188A" w:rsidRDefault="002A1B18" w:rsidP="002A1B18">
            <w:pPr>
              <w:pStyle w:val="C-TableText"/>
              <w:spacing w:before="0"/>
              <w:ind w:left="142"/>
              <w:rPr>
                <w:sz w:val="18"/>
                <w:szCs w:val="18"/>
              </w:rPr>
            </w:pPr>
            <w:r w:rsidRPr="0059188A">
              <w:rPr>
                <w:sz w:val="18"/>
                <w:szCs w:val="18"/>
              </w:rPr>
              <w:t>p-value</w:t>
            </w:r>
          </w:p>
        </w:tc>
        <w:tc>
          <w:tcPr>
            <w:tcW w:w="921" w:type="dxa"/>
            <w:tcBorders>
              <w:top w:val="nil"/>
              <w:left w:val="single" w:sz="4" w:space="0" w:color="auto"/>
              <w:bottom w:val="single" w:sz="4" w:space="0" w:color="auto"/>
              <w:right w:val="single" w:sz="4" w:space="0" w:color="auto"/>
            </w:tcBorders>
            <w:vAlign w:val="center"/>
          </w:tcPr>
          <w:p w:rsidR="002A1B18" w:rsidRPr="0059188A" w:rsidRDefault="002A1B18">
            <w:pPr>
              <w:pStyle w:val="C-TableText"/>
              <w:spacing w:before="0"/>
              <w:ind w:left="-93"/>
              <w:jc w:val="center"/>
              <w:rPr>
                <w:sz w:val="18"/>
                <w:szCs w:val="18"/>
              </w:rPr>
            </w:pPr>
          </w:p>
        </w:tc>
        <w:tc>
          <w:tcPr>
            <w:tcW w:w="921" w:type="dxa"/>
            <w:tcBorders>
              <w:top w:val="nil"/>
              <w:left w:val="single" w:sz="4" w:space="0" w:color="auto"/>
              <w:bottom w:val="single" w:sz="4" w:space="0" w:color="auto"/>
              <w:right w:val="single" w:sz="4" w:space="0" w:color="auto"/>
            </w:tcBorders>
            <w:vAlign w:val="center"/>
          </w:tcPr>
          <w:p w:rsidR="002A1B18" w:rsidRPr="0059188A" w:rsidRDefault="002A1B18" w:rsidP="002A1B18">
            <w:pPr>
              <w:pStyle w:val="C-TableText"/>
              <w:spacing w:before="0"/>
              <w:ind w:left="-37" w:right="-108"/>
              <w:rPr>
                <w:sz w:val="18"/>
                <w:szCs w:val="18"/>
              </w:rPr>
            </w:pPr>
            <w:r w:rsidRPr="0059188A">
              <w:rPr>
                <w:sz w:val="18"/>
                <w:szCs w:val="18"/>
              </w:rPr>
              <w:t>p &lt; 0.0001</w:t>
            </w:r>
          </w:p>
        </w:tc>
        <w:tc>
          <w:tcPr>
            <w:tcW w:w="922" w:type="dxa"/>
            <w:tcBorders>
              <w:top w:val="nil"/>
              <w:left w:val="single" w:sz="4" w:space="0" w:color="auto"/>
              <w:bottom w:val="single" w:sz="4" w:space="0" w:color="auto"/>
              <w:right w:val="single" w:sz="4" w:space="0" w:color="auto"/>
            </w:tcBorders>
            <w:vAlign w:val="center"/>
          </w:tcPr>
          <w:p w:rsidR="002A1B18" w:rsidRPr="0059188A" w:rsidRDefault="002A1B18">
            <w:pPr>
              <w:pStyle w:val="C-TableText"/>
              <w:spacing w:before="0"/>
              <w:ind w:left="-63"/>
              <w:jc w:val="center"/>
              <w:rPr>
                <w:sz w:val="18"/>
                <w:szCs w:val="18"/>
              </w:rPr>
            </w:pPr>
          </w:p>
        </w:tc>
        <w:tc>
          <w:tcPr>
            <w:tcW w:w="921" w:type="dxa"/>
            <w:tcBorders>
              <w:top w:val="nil"/>
              <w:left w:val="single" w:sz="4" w:space="0" w:color="auto"/>
              <w:bottom w:val="single" w:sz="4" w:space="0" w:color="auto"/>
              <w:right w:val="single" w:sz="4" w:space="0" w:color="auto"/>
            </w:tcBorders>
            <w:vAlign w:val="center"/>
          </w:tcPr>
          <w:p w:rsidR="002A1B18" w:rsidRPr="0059188A" w:rsidRDefault="002A1B18" w:rsidP="002A1B18">
            <w:pPr>
              <w:pStyle w:val="C-TableText"/>
              <w:spacing w:before="0"/>
              <w:ind w:left="-143" w:right="-155"/>
              <w:jc w:val="center"/>
              <w:rPr>
                <w:sz w:val="18"/>
                <w:szCs w:val="18"/>
              </w:rPr>
            </w:pPr>
            <w:r w:rsidRPr="0059188A">
              <w:rPr>
                <w:sz w:val="18"/>
                <w:szCs w:val="18"/>
              </w:rPr>
              <w:t>p = 0.0006</w:t>
            </w:r>
          </w:p>
        </w:tc>
        <w:tc>
          <w:tcPr>
            <w:tcW w:w="921" w:type="dxa"/>
            <w:tcBorders>
              <w:top w:val="nil"/>
              <w:left w:val="single" w:sz="4" w:space="0" w:color="auto"/>
              <w:bottom w:val="single" w:sz="4" w:space="0" w:color="auto"/>
              <w:right w:val="single" w:sz="4" w:space="0" w:color="auto"/>
            </w:tcBorders>
            <w:vAlign w:val="center"/>
          </w:tcPr>
          <w:p w:rsidR="002A1B18" w:rsidRPr="0059188A" w:rsidRDefault="002A1B18">
            <w:pPr>
              <w:pStyle w:val="C-TableText"/>
              <w:spacing w:before="0"/>
              <w:ind w:left="-33" w:right="-78"/>
              <w:jc w:val="center"/>
              <w:rPr>
                <w:sz w:val="18"/>
                <w:szCs w:val="18"/>
              </w:rPr>
            </w:pPr>
          </w:p>
        </w:tc>
        <w:tc>
          <w:tcPr>
            <w:tcW w:w="922" w:type="dxa"/>
            <w:tcBorders>
              <w:top w:val="nil"/>
              <w:left w:val="single" w:sz="4" w:space="0" w:color="auto"/>
              <w:bottom w:val="single" w:sz="4" w:space="0" w:color="auto"/>
              <w:right w:val="single" w:sz="4" w:space="0" w:color="auto"/>
            </w:tcBorders>
            <w:vAlign w:val="center"/>
          </w:tcPr>
          <w:p w:rsidR="002A1B18" w:rsidRPr="0059188A" w:rsidRDefault="002A1B18">
            <w:pPr>
              <w:pStyle w:val="C-TableText"/>
              <w:spacing w:before="0"/>
              <w:ind w:left="-33" w:right="-78"/>
              <w:jc w:val="center"/>
              <w:rPr>
                <w:sz w:val="18"/>
                <w:szCs w:val="18"/>
              </w:rPr>
            </w:pPr>
            <w:r w:rsidRPr="0059188A">
              <w:rPr>
                <w:sz w:val="18"/>
                <w:szCs w:val="18"/>
              </w:rPr>
              <w:t>p=0.0003</w:t>
            </w:r>
          </w:p>
        </w:tc>
        <w:tc>
          <w:tcPr>
            <w:tcW w:w="921" w:type="dxa"/>
            <w:tcBorders>
              <w:top w:val="nil"/>
              <w:left w:val="single" w:sz="4" w:space="0" w:color="auto"/>
              <w:bottom w:val="single" w:sz="4" w:space="0" w:color="auto"/>
              <w:right w:val="single" w:sz="4" w:space="0" w:color="auto"/>
            </w:tcBorders>
            <w:vAlign w:val="center"/>
          </w:tcPr>
          <w:p w:rsidR="002A1B18" w:rsidRPr="0059188A" w:rsidRDefault="002A1B18">
            <w:pPr>
              <w:pStyle w:val="C-TableText"/>
              <w:spacing w:before="0"/>
              <w:ind w:left="-33" w:right="-78"/>
              <w:jc w:val="center"/>
              <w:rPr>
                <w:sz w:val="18"/>
                <w:szCs w:val="18"/>
              </w:rPr>
            </w:pPr>
          </w:p>
        </w:tc>
        <w:tc>
          <w:tcPr>
            <w:tcW w:w="921" w:type="dxa"/>
            <w:tcBorders>
              <w:top w:val="nil"/>
              <w:left w:val="single" w:sz="4" w:space="0" w:color="auto"/>
              <w:bottom w:val="single" w:sz="4" w:space="0" w:color="auto"/>
              <w:right w:val="single" w:sz="4" w:space="0" w:color="auto"/>
            </w:tcBorders>
            <w:vAlign w:val="center"/>
          </w:tcPr>
          <w:p w:rsidR="002A1B18" w:rsidRPr="0059188A" w:rsidRDefault="002A1B18">
            <w:pPr>
              <w:pStyle w:val="C-TableText"/>
              <w:spacing w:before="0"/>
              <w:ind w:left="-33" w:right="-78"/>
              <w:jc w:val="center"/>
              <w:rPr>
                <w:sz w:val="18"/>
                <w:szCs w:val="18"/>
              </w:rPr>
            </w:pPr>
            <w:r w:rsidRPr="0059188A">
              <w:rPr>
                <w:sz w:val="18"/>
                <w:szCs w:val="18"/>
              </w:rPr>
              <w:t>p &lt; 0.0001</w:t>
            </w:r>
          </w:p>
        </w:tc>
        <w:tc>
          <w:tcPr>
            <w:tcW w:w="922" w:type="dxa"/>
            <w:tcBorders>
              <w:top w:val="nil"/>
              <w:left w:val="single" w:sz="4" w:space="0" w:color="auto"/>
              <w:bottom w:val="single" w:sz="4" w:space="0" w:color="auto"/>
              <w:right w:val="single" w:sz="4" w:space="0" w:color="auto"/>
            </w:tcBorders>
            <w:vAlign w:val="center"/>
          </w:tcPr>
          <w:p w:rsidR="002A1B18" w:rsidRPr="0059188A" w:rsidRDefault="002A1B18">
            <w:pPr>
              <w:pStyle w:val="C-TableText"/>
              <w:spacing w:before="0"/>
              <w:ind w:left="-108" w:right="-108"/>
              <w:jc w:val="center"/>
              <w:rPr>
                <w:sz w:val="18"/>
                <w:szCs w:val="18"/>
              </w:rPr>
            </w:pPr>
          </w:p>
        </w:tc>
        <w:tc>
          <w:tcPr>
            <w:tcW w:w="921" w:type="dxa"/>
            <w:tcBorders>
              <w:top w:val="nil"/>
              <w:left w:val="single" w:sz="4" w:space="0" w:color="auto"/>
              <w:bottom w:val="single" w:sz="4" w:space="0" w:color="auto"/>
              <w:right w:val="single" w:sz="4" w:space="0" w:color="auto"/>
            </w:tcBorders>
            <w:vAlign w:val="center"/>
          </w:tcPr>
          <w:p w:rsidR="002A1B18" w:rsidRPr="0059188A" w:rsidRDefault="002A1B18" w:rsidP="00BC615F">
            <w:pPr>
              <w:pStyle w:val="C-TableText"/>
              <w:spacing w:before="0"/>
              <w:ind w:left="-108" w:right="-108"/>
              <w:jc w:val="center"/>
              <w:rPr>
                <w:sz w:val="18"/>
                <w:szCs w:val="18"/>
              </w:rPr>
            </w:pPr>
            <w:r w:rsidRPr="0059188A">
              <w:rPr>
                <w:sz w:val="18"/>
                <w:szCs w:val="18"/>
              </w:rPr>
              <w:t>p = 0.0004</w:t>
            </w:r>
          </w:p>
        </w:tc>
        <w:tc>
          <w:tcPr>
            <w:tcW w:w="921" w:type="dxa"/>
            <w:tcBorders>
              <w:top w:val="nil"/>
              <w:left w:val="single" w:sz="4" w:space="0" w:color="auto"/>
              <w:bottom w:val="single" w:sz="4" w:space="0" w:color="auto"/>
              <w:right w:val="single" w:sz="4" w:space="0" w:color="auto"/>
            </w:tcBorders>
            <w:vAlign w:val="center"/>
          </w:tcPr>
          <w:p w:rsidR="002A1B18" w:rsidRPr="0059188A" w:rsidRDefault="002A1B18" w:rsidP="00F8008D">
            <w:pPr>
              <w:pStyle w:val="C-TableText"/>
              <w:spacing w:before="0"/>
              <w:ind w:left="-33" w:right="-78"/>
              <w:jc w:val="center"/>
              <w:rPr>
                <w:sz w:val="18"/>
                <w:szCs w:val="18"/>
              </w:rPr>
            </w:pPr>
          </w:p>
        </w:tc>
        <w:tc>
          <w:tcPr>
            <w:tcW w:w="922" w:type="dxa"/>
            <w:tcBorders>
              <w:top w:val="nil"/>
              <w:left w:val="single" w:sz="4" w:space="0" w:color="auto"/>
              <w:bottom w:val="single" w:sz="4" w:space="0" w:color="auto"/>
              <w:right w:val="single" w:sz="4" w:space="0" w:color="auto"/>
            </w:tcBorders>
            <w:vAlign w:val="center"/>
          </w:tcPr>
          <w:p w:rsidR="002A1B18" w:rsidRPr="0059188A" w:rsidRDefault="002A1B18" w:rsidP="00F8008D">
            <w:pPr>
              <w:pStyle w:val="C-TableText"/>
              <w:spacing w:before="0"/>
              <w:ind w:left="-33" w:right="-78"/>
              <w:jc w:val="center"/>
              <w:rPr>
                <w:sz w:val="18"/>
                <w:szCs w:val="18"/>
              </w:rPr>
            </w:pPr>
            <w:r w:rsidRPr="0059188A">
              <w:rPr>
                <w:sz w:val="18"/>
                <w:szCs w:val="18"/>
              </w:rPr>
              <w:t>p=0.0004</w:t>
            </w:r>
          </w:p>
        </w:tc>
      </w:tr>
      <w:tr w:rsidR="002A1B18" w:rsidRPr="0059188A" w:rsidTr="007C3358">
        <w:trPr>
          <w:cantSplit/>
          <w:jc w:val="center"/>
        </w:trPr>
        <w:tc>
          <w:tcPr>
            <w:tcW w:w="2411" w:type="dxa"/>
            <w:tcBorders>
              <w:top w:val="single" w:sz="4" w:space="0" w:color="auto"/>
              <w:left w:val="single" w:sz="4" w:space="0" w:color="auto"/>
              <w:bottom w:val="single" w:sz="4" w:space="0" w:color="auto"/>
              <w:right w:val="single" w:sz="6" w:space="0" w:color="auto"/>
            </w:tcBorders>
            <w:hideMark/>
          </w:tcPr>
          <w:p w:rsidR="002A1B18" w:rsidRPr="0059188A" w:rsidRDefault="002A1B18" w:rsidP="00604ED0">
            <w:pPr>
              <w:pStyle w:val="C-TableText"/>
              <w:rPr>
                <w:sz w:val="18"/>
                <w:szCs w:val="18"/>
              </w:rPr>
            </w:pPr>
            <w:r w:rsidRPr="0059188A">
              <w:rPr>
                <w:sz w:val="18"/>
                <w:szCs w:val="18"/>
              </w:rPr>
              <w:t xml:space="preserve">Mean change in BCVA as measured by ETDRS </w:t>
            </w:r>
            <w:r w:rsidRPr="0059188A">
              <w:rPr>
                <w:sz w:val="18"/>
                <w:szCs w:val="18"/>
                <w:vertAlign w:val="superscript"/>
              </w:rPr>
              <w:t>c)</w:t>
            </w:r>
            <w:r w:rsidRPr="0059188A">
              <w:rPr>
                <w:sz w:val="18"/>
                <w:szCs w:val="18"/>
              </w:rPr>
              <w:t xml:space="preserve"> letter score from baseline (SD)</w:t>
            </w:r>
            <w:r w:rsidRPr="0059188A">
              <w:rPr>
                <w:sz w:val="18"/>
                <w:szCs w:val="18"/>
                <w:vertAlign w:val="superscript"/>
              </w:rPr>
              <w:t>#</w:t>
            </w:r>
          </w:p>
        </w:tc>
        <w:tc>
          <w:tcPr>
            <w:tcW w:w="921" w:type="dxa"/>
            <w:tcBorders>
              <w:top w:val="single" w:sz="4" w:space="0" w:color="auto"/>
              <w:left w:val="single" w:sz="6" w:space="0" w:color="auto"/>
              <w:bottom w:val="single" w:sz="4" w:space="0" w:color="auto"/>
              <w:right w:val="single" w:sz="6" w:space="0" w:color="auto"/>
            </w:tcBorders>
            <w:vAlign w:val="center"/>
            <w:hideMark/>
          </w:tcPr>
          <w:p w:rsidR="002A1B18" w:rsidRPr="0059188A" w:rsidRDefault="002A1B18" w:rsidP="00604ED0">
            <w:pPr>
              <w:pStyle w:val="C-TableText"/>
              <w:jc w:val="center"/>
              <w:rPr>
                <w:sz w:val="18"/>
                <w:szCs w:val="18"/>
              </w:rPr>
            </w:pPr>
            <w:r w:rsidRPr="0059188A">
              <w:rPr>
                <w:sz w:val="18"/>
                <w:szCs w:val="18"/>
              </w:rPr>
              <w:noBreakHyphen/>
              <w:t>4.0</w:t>
            </w:r>
            <w:r w:rsidRPr="0059188A">
              <w:rPr>
                <w:sz w:val="18"/>
                <w:szCs w:val="18"/>
              </w:rPr>
              <w:br/>
              <w:t>(18.0)</w:t>
            </w:r>
          </w:p>
        </w:tc>
        <w:tc>
          <w:tcPr>
            <w:tcW w:w="921" w:type="dxa"/>
            <w:tcBorders>
              <w:top w:val="single" w:sz="4" w:space="0" w:color="auto"/>
              <w:left w:val="single" w:sz="6" w:space="0" w:color="auto"/>
              <w:bottom w:val="single" w:sz="4" w:space="0" w:color="auto"/>
              <w:right w:val="single" w:sz="6" w:space="0" w:color="auto"/>
            </w:tcBorders>
            <w:vAlign w:val="center"/>
            <w:hideMark/>
          </w:tcPr>
          <w:p w:rsidR="002A1B18" w:rsidRPr="0059188A" w:rsidRDefault="002A1B18" w:rsidP="00604ED0">
            <w:pPr>
              <w:pStyle w:val="C-TableText"/>
              <w:jc w:val="center"/>
              <w:rPr>
                <w:sz w:val="18"/>
                <w:szCs w:val="18"/>
              </w:rPr>
            </w:pPr>
            <w:r w:rsidRPr="0059188A">
              <w:rPr>
                <w:sz w:val="18"/>
                <w:szCs w:val="18"/>
              </w:rPr>
              <w:t>17.3</w:t>
            </w:r>
            <w:r w:rsidRPr="0059188A">
              <w:rPr>
                <w:sz w:val="18"/>
                <w:szCs w:val="18"/>
              </w:rPr>
              <w:br/>
              <w:t>(12.8)</w:t>
            </w:r>
          </w:p>
        </w:tc>
        <w:tc>
          <w:tcPr>
            <w:tcW w:w="922" w:type="dxa"/>
            <w:tcBorders>
              <w:top w:val="single" w:sz="4" w:space="0" w:color="auto"/>
              <w:left w:val="single" w:sz="6" w:space="0" w:color="auto"/>
              <w:bottom w:val="single" w:sz="4" w:space="0" w:color="auto"/>
              <w:right w:val="single" w:sz="6" w:space="0" w:color="auto"/>
            </w:tcBorders>
            <w:vAlign w:val="center"/>
            <w:hideMark/>
          </w:tcPr>
          <w:p w:rsidR="002A1B18" w:rsidRPr="0059188A" w:rsidRDefault="002A1B18" w:rsidP="00604ED0">
            <w:pPr>
              <w:pStyle w:val="C-TableText"/>
              <w:jc w:val="center"/>
              <w:rPr>
                <w:sz w:val="18"/>
                <w:szCs w:val="18"/>
              </w:rPr>
            </w:pPr>
            <w:r w:rsidRPr="0059188A">
              <w:rPr>
                <w:sz w:val="18"/>
                <w:szCs w:val="18"/>
              </w:rPr>
              <w:t>3.8</w:t>
            </w:r>
            <w:r w:rsidRPr="0059188A">
              <w:rPr>
                <w:sz w:val="18"/>
                <w:szCs w:val="18"/>
              </w:rPr>
              <w:br/>
              <w:t>(17.1)</w:t>
            </w:r>
          </w:p>
        </w:tc>
        <w:tc>
          <w:tcPr>
            <w:tcW w:w="921" w:type="dxa"/>
            <w:tcBorders>
              <w:top w:val="single" w:sz="4" w:space="0" w:color="auto"/>
              <w:left w:val="single" w:sz="6" w:space="0" w:color="auto"/>
              <w:bottom w:val="single" w:sz="4" w:space="0" w:color="auto"/>
              <w:right w:val="single" w:sz="6" w:space="0" w:color="auto"/>
            </w:tcBorders>
            <w:vAlign w:val="center"/>
            <w:hideMark/>
          </w:tcPr>
          <w:p w:rsidR="002A1B18" w:rsidRPr="0059188A" w:rsidRDefault="002A1B18" w:rsidP="002A1B18">
            <w:pPr>
              <w:pStyle w:val="C-TableText"/>
              <w:ind w:left="-143" w:right="-155"/>
              <w:jc w:val="center"/>
              <w:rPr>
                <w:sz w:val="18"/>
                <w:szCs w:val="18"/>
              </w:rPr>
            </w:pPr>
            <w:r w:rsidRPr="0059188A">
              <w:rPr>
                <w:sz w:val="18"/>
                <w:szCs w:val="18"/>
              </w:rPr>
              <w:t>16.2</w:t>
            </w:r>
            <w:r w:rsidRPr="0059188A">
              <w:rPr>
                <w:sz w:val="18"/>
                <w:szCs w:val="18"/>
              </w:rPr>
              <w:br/>
              <w:t>(17.4)</w:t>
            </w:r>
          </w:p>
        </w:tc>
        <w:tc>
          <w:tcPr>
            <w:tcW w:w="921" w:type="dxa"/>
            <w:tcBorders>
              <w:top w:val="single" w:sz="4" w:space="0" w:color="auto"/>
              <w:left w:val="single" w:sz="6" w:space="0" w:color="auto"/>
              <w:bottom w:val="single" w:sz="4" w:space="0" w:color="auto"/>
              <w:right w:val="single" w:sz="6" w:space="0" w:color="auto"/>
            </w:tcBorders>
            <w:vAlign w:val="center"/>
          </w:tcPr>
          <w:p w:rsidR="002A1B18" w:rsidRPr="0059188A" w:rsidRDefault="002A1B18" w:rsidP="00604ED0">
            <w:pPr>
              <w:pStyle w:val="C-TableText"/>
              <w:jc w:val="center"/>
              <w:rPr>
                <w:sz w:val="18"/>
                <w:szCs w:val="18"/>
              </w:rPr>
            </w:pPr>
            <w:r w:rsidRPr="0059188A">
              <w:rPr>
                <w:sz w:val="18"/>
                <w:szCs w:val="18"/>
              </w:rPr>
              <w:t>1.5</w:t>
            </w:r>
            <w:r w:rsidRPr="0059188A">
              <w:rPr>
                <w:sz w:val="18"/>
                <w:szCs w:val="18"/>
              </w:rPr>
              <w:br/>
              <w:t>(17.7)</w:t>
            </w:r>
          </w:p>
        </w:tc>
        <w:tc>
          <w:tcPr>
            <w:tcW w:w="922" w:type="dxa"/>
            <w:tcBorders>
              <w:top w:val="single" w:sz="4" w:space="0" w:color="auto"/>
              <w:left w:val="single" w:sz="6" w:space="0" w:color="auto"/>
              <w:bottom w:val="single" w:sz="4" w:space="0" w:color="auto"/>
              <w:right w:val="single" w:sz="6" w:space="0" w:color="auto"/>
            </w:tcBorders>
            <w:vAlign w:val="center"/>
          </w:tcPr>
          <w:p w:rsidR="002A1B18" w:rsidRPr="0059188A" w:rsidRDefault="002A1B18" w:rsidP="00604ED0">
            <w:pPr>
              <w:pStyle w:val="C-TableText"/>
              <w:jc w:val="center"/>
              <w:rPr>
                <w:sz w:val="18"/>
                <w:szCs w:val="18"/>
              </w:rPr>
            </w:pPr>
            <w:r w:rsidRPr="0059188A">
              <w:rPr>
                <w:sz w:val="18"/>
                <w:szCs w:val="18"/>
              </w:rPr>
              <w:t>13.0</w:t>
            </w:r>
            <w:r w:rsidRPr="0059188A">
              <w:rPr>
                <w:sz w:val="18"/>
                <w:szCs w:val="18"/>
              </w:rPr>
              <w:br/>
              <w:t>(17.7)</w:t>
            </w:r>
          </w:p>
        </w:tc>
        <w:tc>
          <w:tcPr>
            <w:tcW w:w="921" w:type="dxa"/>
            <w:tcBorders>
              <w:top w:val="single" w:sz="4" w:space="0" w:color="auto"/>
              <w:left w:val="single" w:sz="6" w:space="0" w:color="auto"/>
              <w:bottom w:val="single" w:sz="4" w:space="0" w:color="auto"/>
              <w:right w:val="single" w:sz="6" w:space="0" w:color="auto"/>
            </w:tcBorders>
            <w:vAlign w:val="center"/>
            <w:hideMark/>
          </w:tcPr>
          <w:p w:rsidR="002A1B18" w:rsidRPr="0059188A" w:rsidRDefault="002A1B18" w:rsidP="00604ED0">
            <w:pPr>
              <w:pStyle w:val="C-TableText"/>
              <w:jc w:val="center"/>
              <w:rPr>
                <w:sz w:val="18"/>
                <w:szCs w:val="18"/>
              </w:rPr>
            </w:pPr>
            <w:r w:rsidRPr="0059188A">
              <w:rPr>
                <w:sz w:val="18"/>
                <w:szCs w:val="18"/>
              </w:rPr>
              <w:t>3.3</w:t>
            </w:r>
            <w:r w:rsidRPr="0059188A">
              <w:rPr>
                <w:sz w:val="18"/>
                <w:szCs w:val="18"/>
              </w:rPr>
              <w:br/>
              <w:t>(14.1)</w:t>
            </w:r>
          </w:p>
        </w:tc>
        <w:tc>
          <w:tcPr>
            <w:tcW w:w="921" w:type="dxa"/>
            <w:tcBorders>
              <w:top w:val="single" w:sz="4" w:space="0" w:color="auto"/>
              <w:left w:val="single" w:sz="6" w:space="0" w:color="auto"/>
              <w:bottom w:val="single" w:sz="4" w:space="0" w:color="auto"/>
              <w:right w:val="single" w:sz="6" w:space="0" w:color="auto"/>
            </w:tcBorders>
            <w:vAlign w:val="center"/>
            <w:hideMark/>
          </w:tcPr>
          <w:p w:rsidR="002A1B18" w:rsidRPr="0059188A" w:rsidRDefault="002A1B18" w:rsidP="00604ED0">
            <w:pPr>
              <w:pStyle w:val="C-TableText"/>
              <w:jc w:val="center"/>
              <w:rPr>
                <w:sz w:val="18"/>
                <w:szCs w:val="18"/>
              </w:rPr>
            </w:pPr>
            <w:r w:rsidRPr="0059188A">
              <w:rPr>
                <w:sz w:val="18"/>
                <w:szCs w:val="18"/>
              </w:rPr>
              <w:t>18.0</w:t>
            </w:r>
            <w:r w:rsidRPr="0059188A">
              <w:rPr>
                <w:sz w:val="18"/>
                <w:szCs w:val="18"/>
              </w:rPr>
              <w:br/>
              <w:t>(12.2)</w:t>
            </w:r>
          </w:p>
        </w:tc>
        <w:tc>
          <w:tcPr>
            <w:tcW w:w="922" w:type="dxa"/>
            <w:tcBorders>
              <w:top w:val="single" w:sz="4" w:space="0" w:color="auto"/>
              <w:left w:val="single" w:sz="6" w:space="0" w:color="auto"/>
              <w:bottom w:val="single" w:sz="4" w:space="0" w:color="auto"/>
              <w:right w:val="single" w:sz="6" w:space="0" w:color="auto"/>
            </w:tcBorders>
            <w:vAlign w:val="center"/>
            <w:hideMark/>
          </w:tcPr>
          <w:p w:rsidR="002A1B18" w:rsidRPr="0059188A" w:rsidRDefault="002A1B18" w:rsidP="00604ED0">
            <w:pPr>
              <w:pStyle w:val="C-TableText"/>
              <w:jc w:val="center"/>
              <w:rPr>
                <w:sz w:val="18"/>
                <w:szCs w:val="18"/>
              </w:rPr>
            </w:pPr>
            <w:r w:rsidRPr="0059188A">
              <w:rPr>
                <w:sz w:val="18"/>
                <w:szCs w:val="18"/>
              </w:rPr>
              <w:t>3.8</w:t>
            </w:r>
            <w:r w:rsidRPr="0059188A">
              <w:rPr>
                <w:sz w:val="18"/>
                <w:szCs w:val="18"/>
              </w:rPr>
              <w:br/>
              <w:t>(18.1)</w:t>
            </w:r>
          </w:p>
        </w:tc>
        <w:tc>
          <w:tcPr>
            <w:tcW w:w="921" w:type="dxa"/>
            <w:tcBorders>
              <w:top w:val="single" w:sz="4" w:space="0" w:color="auto"/>
              <w:left w:val="single" w:sz="6" w:space="0" w:color="auto"/>
              <w:bottom w:val="single" w:sz="4" w:space="0" w:color="auto"/>
              <w:right w:val="single" w:sz="4" w:space="0" w:color="auto"/>
            </w:tcBorders>
            <w:vAlign w:val="center"/>
            <w:hideMark/>
          </w:tcPr>
          <w:p w:rsidR="002A1B18" w:rsidRPr="0059188A" w:rsidRDefault="002A1B18" w:rsidP="00604ED0">
            <w:pPr>
              <w:pStyle w:val="C-TableText"/>
              <w:jc w:val="center"/>
              <w:rPr>
                <w:sz w:val="18"/>
                <w:szCs w:val="18"/>
              </w:rPr>
            </w:pPr>
            <w:r w:rsidRPr="0059188A">
              <w:rPr>
                <w:sz w:val="18"/>
                <w:szCs w:val="18"/>
              </w:rPr>
              <w:t>16.9</w:t>
            </w:r>
            <w:r w:rsidRPr="0059188A">
              <w:rPr>
                <w:sz w:val="18"/>
                <w:szCs w:val="18"/>
              </w:rPr>
              <w:br/>
              <w:t>(14.8)</w:t>
            </w:r>
          </w:p>
        </w:tc>
        <w:tc>
          <w:tcPr>
            <w:tcW w:w="921" w:type="dxa"/>
            <w:tcBorders>
              <w:top w:val="single" w:sz="4" w:space="0" w:color="auto"/>
              <w:left w:val="single" w:sz="6" w:space="0" w:color="auto"/>
              <w:bottom w:val="single" w:sz="4" w:space="0" w:color="auto"/>
              <w:right w:val="single" w:sz="4" w:space="0" w:color="auto"/>
            </w:tcBorders>
            <w:vAlign w:val="center"/>
          </w:tcPr>
          <w:p w:rsidR="002A1B18" w:rsidRPr="0059188A" w:rsidRDefault="002A1B18" w:rsidP="00F8008D">
            <w:pPr>
              <w:pStyle w:val="C-TableText"/>
              <w:jc w:val="center"/>
              <w:rPr>
                <w:sz w:val="18"/>
                <w:szCs w:val="18"/>
              </w:rPr>
            </w:pPr>
            <w:r w:rsidRPr="0059188A">
              <w:rPr>
                <w:sz w:val="18"/>
                <w:szCs w:val="18"/>
              </w:rPr>
              <w:t>6.2</w:t>
            </w:r>
            <w:r w:rsidRPr="0059188A">
              <w:rPr>
                <w:sz w:val="18"/>
                <w:szCs w:val="18"/>
              </w:rPr>
              <w:br/>
              <w:t>(17.7)</w:t>
            </w:r>
          </w:p>
        </w:tc>
        <w:tc>
          <w:tcPr>
            <w:tcW w:w="922" w:type="dxa"/>
            <w:tcBorders>
              <w:top w:val="single" w:sz="4" w:space="0" w:color="auto"/>
              <w:left w:val="single" w:sz="6" w:space="0" w:color="auto"/>
              <w:bottom w:val="single" w:sz="4" w:space="0" w:color="auto"/>
              <w:right w:val="single" w:sz="4" w:space="0" w:color="auto"/>
            </w:tcBorders>
            <w:vAlign w:val="center"/>
          </w:tcPr>
          <w:p w:rsidR="002A1B18" w:rsidRPr="0059188A" w:rsidRDefault="002A1B18" w:rsidP="00F8008D">
            <w:pPr>
              <w:pStyle w:val="C-TableText"/>
              <w:jc w:val="center"/>
              <w:rPr>
                <w:sz w:val="18"/>
                <w:szCs w:val="18"/>
              </w:rPr>
            </w:pPr>
            <w:r w:rsidRPr="0059188A">
              <w:rPr>
                <w:sz w:val="18"/>
                <w:szCs w:val="18"/>
              </w:rPr>
              <w:t>13.7</w:t>
            </w:r>
            <w:r w:rsidRPr="0059188A">
              <w:rPr>
                <w:sz w:val="18"/>
                <w:szCs w:val="18"/>
              </w:rPr>
              <w:br/>
              <w:t>(17.8)</w:t>
            </w:r>
          </w:p>
        </w:tc>
      </w:tr>
      <w:tr w:rsidR="002A1B18" w:rsidRPr="0059188A" w:rsidTr="007C3358">
        <w:trPr>
          <w:cantSplit/>
          <w:jc w:val="center"/>
        </w:trPr>
        <w:tc>
          <w:tcPr>
            <w:tcW w:w="2411" w:type="dxa"/>
            <w:tcBorders>
              <w:top w:val="single" w:sz="4" w:space="0" w:color="auto"/>
              <w:left w:val="single" w:sz="6" w:space="0" w:color="auto"/>
              <w:bottom w:val="nil"/>
              <w:right w:val="single" w:sz="6" w:space="0" w:color="auto"/>
            </w:tcBorders>
            <w:hideMark/>
          </w:tcPr>
          <w:p w:rsidR="002A1B18" w:rsidRPr="0059188A" w:rsidRDefault="002A1B18" w:rsidP="002A1B18">
            <w:pPr>
              <w:pStyle w:val="C-TableText"/>
              <w:ind w:left="142"/>
              <w:rPr>
                <w:sz w:val="18"/>
                <w:szCs w:val="18"/>
              </w:rPr>
            </w:pPr>
            <w:r w:rsidRPr="0059188A">
              <w:rPr>
                <w:sz w:val="18"/>
                <w:szCs w:val="18"/>
              </w:rPr>
              <w:t xml:space="preserve">Difference in LS mean </w:t>
            </w:r>
            <w:proofErr w:type="spellStart"/>
            <w:r w:rsidRPr="0059188A">
              <w:rPr>
                <w:sz w:val="18"/>
                <w:szCs w:val="18"/>
                <w:vertAlign w:val="superscript"/>
              </w:rPr>
              <w:t>a,c,d,e</w:t>
            </w:r>
            <w:proofErr w:type="spellEnd"/>
            <w:r w:rsidRPr="0059188A">
              <w:rPr>
                <w:sz w:val="18"/>
                <w:szCs w:val="18"/>
                <w:vertAlign w:val="superscript"/>
              </w:rPr>
              <w:t>)</w:t>
            </w:r>
            <w:r w:rsidRPr="0059188A">
              <w:rPr>
                <w:sz w:val="18"/>
                <w:szCs w:val="18"/>
                <w:vertAlign w:val="superscript"/>
              </w:rPr>
              <w:br/>
            </w:r>
            <w:r w:rsidRPr="0059188A">
              <w:rPr>
                <w:sz w:val="18"/>
                <w:szCs w:val="18"/>
              </w:rPr>
              <w:t>(95% CI)</w:t>
            </w:r>
          </w:p>
        </w:tc>
        <w:tc>
          <w:tcPr>
            <w:tcW w:w="921" w:type="dxa"/>
            <w:tcBorders>
              <w:top w:val="single" w:sz="4" w:space="0" w:color="auto"/>
              <w:left w:val="single" w:sz="6" w:space="0" w:color="auto"/>
              <w:bottom w:val="nil"/>
              <w:right w:val="single" w:sz="6" w:space="0" w:color="auto"/>
            </w:tcBorders>
            <w:vAlign w:val="center"/>
          </w:tcPr>
          <w:p w:rsidR="002A1B18" w:rsidRPr="0059188A" w:rsidRDefault="002A1B18" w:rsidP="00604ED0">
            <w:pPr>
              <w:pStyle w:val="C-TableText"/>
              <w:ind w:left="-153" w:right="-136"/>
              <w:jc w:val="center"/>
              <w:rPr>
                <w:sz w:val="18"/>
                <w:szCs w:val="18"/>
              </w:rPr>
            </w:pPr>
          </w:p>
        </w:tc>
        <w:tc>
          <w:tcPr>
            <w:tcW w:w="921" w:type="dxa"/>
            <w:tcBorders>
              <w:top w:val="single" w:sz="4" w:space="0" w:color="auto"/>
              <w:left w:val="single" w:sz="6" w:space="0" w:color="auto"/>
              <w:bottom w:val="nil"/>
              <w:right w:val="single" w:sz="6" w:space="0" w:color="auto"/>
            </w:tcBorders>
            <w:vAlign w:val="center"/>
          </w:tcPr>
          <w:p w:rsidR="002A1B18" w:rsidRPr="0059188A" w:rsidRDefault="002A1B18" w:rsidP="00604ED0">
            <w:pPr>
              <w:pStyle w:val="C-TableText"/>
              <w:ind w:left="-153" w:right="-136"/>
              <w:jc w:val="center"/>
              <w:rPr>
                <w:sz w:val="18"/>
                <w:szCs w:val="18"/>
              </w:rPr>
            </w:pPr>
            <w:r w:rsidRPr="0059188A">
              <w:rPr>
                <w:sz w:val="18"/>
                <w:szCs w:val="18"/>
              </w:rPr>
              <w:t>21.7</w:t>
            </w:r>
            <w:r w:rsidRPr="0059188A">
              <w:rPr>
                <w:sz w:val="18"/>
                <w:szCs w:val="18"/>
              </w:rPr>
              <w:br/>
              <w:t>(17.4, 26.0)</w:t>
            </w:r>
          </w:p>
        </w:tc>
        <w:tc>
          <w:tcPr>
            <w:tcW w:w="922" w:type="dxa"/>
            <w:tcBorders>
              <w:top w:val="single" w:sz="4" w:space="0" w:color="auto"/>
              <w:left w:val="single" w:sz="6" w:space="0" w:color="auto"/>
              <w:bottom w:val="nil"/>
              <w:right w:val="single" w:sz="6" w:space="0" w:color="auto"/>
            </w:tcBorders>
            <w:vAlign w:val="center"/>
          </w:tcPr>
          <w:p w:rsidR="002A1B18" w:rsidRPr="0059188A" w:rsidRDefault="002A1B18" w:rsidP="00604ED0">
            <w:pPr>
              <w:pStyle w:val="C-TableText"/>
              <w:ind w:left="-63" w:right="-48"/>
              <w:jc w:val="center"/>
              <w:rPr>
                <w:sz w:val="18"/>
                <w:szCs w:val="18"/>
              </w:rPr>
            </w:pPr>
          </w:p>
        </w:tc>
        <w:tc>
          <w:tcPr>
            <w:tcW w:w="921" w:type="dxa"/>
            <w:tcBorders>
              <w:top w:val="single" w:sz="4" w:space="0" w:color="auto"/>
              <w:left w:val="single" w:sz="6" w:space="0" w:color="auto"/>
              <w:bottom w:val="nil"/>
              <w:right w:val="single" w:sz="6" w:space="0" w:color="auto"/>
            </w:tcBorders>
            <w:vAlign w:val="center"/>
          </w:tcPr>
          <w:p w:rsidR="002A1B18" w:rsidRPr="0059188A" w:rsidRDefault="002A1B18" w:rsidP="002A1B18">
            <w:pPr>
              <w:pStyle w:val="C-TableText"/>
              <w:ind w:left="-143" w:right="-155"/>
              <w:jc w:val="center"/>
              <w:rPr>
                <w:sz w:val="18"/>
                <w:szCs w:val="18"/>
              </w:rPr>
            </w:pPr>
            <w:r w:rsidRPr="0059188A">
              <w:rPr>
                <w:sz w:val="18"/>
                <w:szCs w:val="18"/>
              </w:rPr>
              <w:t>12.7</w:t>
            </w:r>
            <w:r w:rsidRPr="0059188A">
              <w:rPr>
                <w:sz w:val="18"/>
                <w:szCs w:val="18"/>
              </w:rPr>
              <w:br/>
              <w:t>(7.7, 17.7)</w:t>
            </w:r>
          </w:p>
        </w:tc>
        <w:tc>
          <w:tcPr>
            <w:tcW w:w="921" w:type="dxa"/>
            <w:tcBorders>
              <w:top w:val="single" w:sz="4" w:space="0" w:color="auto"/>
              <w:left w:val="single" w:sz="6" w:space="0" w:color="auto"/>
              <w:bottom w:val="nil"/>
              <w:right w:val="single" w:sz="6" w:space="0" w:color="auto"/>
            </w:tcBorders>
            <w:vAlign w:val="center"/>
          </w:tcPr>
          <w:p w:rsidR="002A1B18" w:rsidRPr="0059188A" w:rsidRDefault="002A1B18" w:rsidP="00604ED0">
            <w:pPr>
              <w:pStyle w:val="C-TableText"/>
              <w:ind w:left="-91" w:right="-79"/>
              <w:jc w:val="center"/>
              <w:rPr>
                <w:sz w:val="18"/>
                <w:szCs w:val="18"/>
              </w:rPr>
            </w:pPr>
          </w:p>
        </w:tc>
        <w:tc>
          <w:tcPr>
            <w:tcW w:w="922" w:type="dxa"/>
            <w:tcBorders>
              <w:top w:val="single" w:sz="4" w:space="0" w:color="auto"/>
              <w:left w:val="single" w:sz="6" w:space="0" w:color="auto"/>
              <w:bottom w:val="nil"/>
              <w:right w:val="single" w:sz="6" w:space="0" w:color="auto"/>
            </w:tcBorders>
            <w:vAlign w:val="center"/>
          </w:tcPr>
          <w:p w:rsidR="002A1B18" w:rsidRPr="0059188A" w:rsidRDefault="002A1B18" w:rsidP="00604ED0">
            <w:pPr>
              <w:pStyle w:val="C-TableText"/>
              <w:ind w:left="-91" w:right="-79"/>
              <w:jc w:val="center"/>
              <w:rPr>
                <w:sz w:val="18"/>
                <w:szCs w:val="18"/>
              </w:rPr>
            </w:pPr>
            <w:r w:rsidRPr="0059188A">
              <w:rPr>
                <w:sz w:val="18"/>
                <w:szCs w:val="18"/>
              </w:rPr>
              <w:t>11.8</w:t>
            </w:r>
            <w:r w:rsidRPr="0059188A">
              <w:rPr>
                <w:sz w:val="18"/>
                <w:szCs w:val="18"/>
              </w:rPr>
              <w:br/>
              <w:t>(6.7,  17.0)</w:t>
            </w:r>
          </w:p>
        </w:tc>
        <w:tc>
          <w:tcPr>
            <w:tcW w:w="921" w:type="dxa"/>
            <w:tcBorders>
              <w:top w:val="single" w:sz="4" w:space="0" w:color="auto"/>
              <w:left w:val="single" w:sz="6" w:space="0" w:color="auto"/>
              <w:bottom w:val="nil"/>
              <w:right w:val="single" w:sz="6" w:space="0" w:color="auto"/>
            </w:tcBorders>
            <w:vAlign w:val="center"/>
          </w:tcPr>
          <w:p w:rsidR="002A1B18" w:rsidRPr="0059188A" w:rsidRDefault="002A1B18" w:rsidP="00604ED0">
            <w:pPr>
              <w:pStyle w:val="C-TableText"/>
              <w:ind w:left="-91" w:right="-79"/>
              <w:jc w:val="center"/>
              <w:rPr>
                <w:sz w:val="18"/>
                <w:szCs w:val="18"/>
              </w:rPr>
            </w:pPr>
          </w:p>
        </w:tc>
        <w:tc>
          <w:tcPr>
            <w:tcW w:w="921" w:type="dxa"/>
            <w:tcBorders>
              <w:top w:val="single" w:sz="4" w:space="0" w:color="auto"/>
              <w:left w:val="single" w:sz="6" w:space="0" w:color="auto"/>
              <w:bottom w:val="nil"/>
              <w:right w:val="single" w:sz="6" w:space="0" w:color="auto"/>
            </w:tcBorders>
            <w:vAlign w:val="center"/>
          </w:tcPr>
          <w:p w:rsidR="002A1B18" w:rsidRPr="0059188A" w:rsidRDefault="002A1B18" w:rsidP="00BC615F">
            <w:pPr>
              <w:pStyle w:val="C-TableText"/>
              <w:ind w:left="-91" w:right="-79"/>
              <w:jc w:val="center"/>
              <w:rPr>
                <w:sz w:val="18"/>
                <w:szCs w:val="18"/>
              </w:rPr>
            </w:pPr>
            <w:r w:rsidRPr="0059188A">
              <w:rPr>
                <w:sz w:val="18"/>
                <w:szCs w:val="18"/>
              </w:rPr>
              <w:t>14.7</w:t>
            </w:r>
            <w:r w:rsidRPr="0059188A">
              <w:rPr>
                <w:sz w:val="18"/>
                <w:szCs w:val="18"/>
              </w:rPr>
              <w:br/>
              <w:t>(10.8, 18.7)</w:t>
            </w:r>
          </w:p>
        </w:tc>
        <w:tc>
          <w:tcPr>
            <w:tcW w:w="922" w:type="dxa"/>
            <w:tcBorders>
              <w:top w:val="single" w:sz="4" w:space="0" w:color="auto"/>
              <w:left w:val="single" w:sz="6" w:space="0" w:color="auto"/>
              <w:bottom w:val="nil"/>
              <w:right w:val="single" w:sz="6" w:space="0" w:color="auto"/>
            </w:tcBorders>
            <w:vAlign w:val="center"/>
          </w:tcPr>
          <w:p w:rsidR="002A1B18" w:rsidRPr="0059188A" w:rsidRDefault="002A1B18" w:rsidP="00604ED0">
            <w:pPr>
              <w:pStyle w:val="C-TableText"/>
              <w:ind w:left="-108" w:right="-108"/>
              <w:jc w:val="center"/>
              <w:rPr>
                <w:sz w:val="18"/>
                <w:szCs w:val="18"/>
              </w:rPr>
            </w:pPr>
          </w:p>
        </w:tc>
        <w:tc>
          <w:tcPr>
            <w:tcW w:w="921" w:type="dxa"/>
            <w:tcBorders>
              <w:top w:val="single" w:sz="4" w:space="0" w:color="auto"/>
              <w:left w:val="single" w:sz="6" w:space="0" w:color="auto"/>
              <w:bottom w:val="nil"/>
              <w:right w:val="single" w:sz="6" w:space="0" w:color="auto"/>
            </w:tcBorders>
            <w:vAlign w:val="center"/>
          </w:tcPr>
          <w:p w:rsidR="002A1B18" w:rsidRPr="0059188A" w:rsidRDefault="002A1B18" w:rsidP="00BC615F">
            <w:pPr>
              <w:pStyle w:val="C-TableText"/>
              <w:ind w:left="-108" w:right="-108"/>
              <w:jc w:val="center"/>
              <w:rPr>
                <w:sz w:val="18"/>
                <w:szCs w:val="18"/>
              </w:rPr>
            </w:pPr>
            <w:r w:rsidRPr="0059188A">
              <w:rPr>
                <w:sz w:val="18"/>
                <w:szCs w:val="18"/>
              </w:rPr>
              <w:t>13.2</w:t>
            </w:r>
            <w:r w:rsidRPr="0059188A">
              <w:rPr>
                <w:sz w:val="18"/>
                <w:szCs w:val="18"/>
              </w:rPr>
              <w:br/>
              <w:t>(8.2, 18.2)</w:t>
            </w:r>
          </w:p>
        </w:tc>
        <w:tc>
          <w:tcPr>
            <w:tcW w:w="921" w:type="dxa"/>
            <w:tcBorders>
              <w:top w:val="single" w:sz="4" w:space="0" w:color="auto"/>
              <w:left w:val="single" w:sz="6" w:space="0" w:color="auto"/>
              <w:bottom w:val="nil"/>
              <w:right w:val="single" w:sz="6" w:space="0" w:color="auto"/>
            </w:tcBorders>
            <w:vAlign w:val="center"/>
          </w:tcPr>
          <w:p w:rsidR="002A1B18" w:rsidRPr="0059188A" w:rsidRDefault="002A1B18" w:rsidP="00F8008D">
            <w:pPr>
              <w:pStyle w:val="C-TableText"/>
              <w:ind w:left="-91" w:right="-79"/>
              <w:jc w:val="center"/>
              <w:rPr>
                <w:sz w:val="18"/>
                <w:szCs w:val="18"/>
              </w:rPr>
            </w:pPr>
          </w:p>
        </w:tc>
        <w:tc>
          <w:tcPr>
            <w:tcW w:w="922" w:type="dxa"/>
            <w:tcBorders>
              <w:top w:val="single" w:sz="4" w:space="0" w:color="auto"/>
              <w:left w:val="single" w:sz="6" w:space="0" w:color="auto"/>
              <w:bottom w:val="nil"/>
              <w:right w:val="single" w:sz="6" w:space="0" w:color="auto"/>
            </w:tcBorders>
            <w:vAlign w:val="center"/>
          </w:tcPr>
          <w:p w:rsidR="002A1B18" w:rsidRPr="0059188A" w:rsidRDefault="002A1B18" w:rsidP="00F8008D">
            <w:pPr>
              <w:pStyle w:val="C-TableText"/>
              <w:ind w:left="-91" w:right="-79"/>
              <w:jc w:val="center"/>
              <w:rPr>
                <w:sz w:val="18"/>
                <w:szCs w:val="18"/>
              </w:rPr>
            </w:pPr>
            <w:r w:rsidRPr="0059188A">
              <w:rPr>
                <w:sz w:val="18"/>
                <w:szCs w:val="18"/>
              </w:rPr>
              <w:t>7.6</w:t>
            </w:r>
            <w:r w:rsidRPr="0059188A">
              <w:rPr>
                <w:sz w:val="18"/>
                <w:szCs w:val="18"/>
              </w:rPr>
              <w:br/>
              <w:t>(2.1, 13.1)</w:t>
            </w:r>
          </w:p>
        </w:tc>
      </w:tr>
      <w:tr w:rsidR="002A1B18" w:rsidRPr="0059188A" w:rsidTr="007C3358">
        <w:trPr>
          <w:cantSplit/>
          <w:jc w:val="center"/>
        </w:trPr>
        <w:tc>
          <w:tcPr>
            <w:tcW w:w="2411" w:type="dxa"/>
            <w:tcBorders>
              <w:top w:val="nil"/>
              <w:left w:val="single" w:sz="4" w:space="0" w:color="auto"/>
              <w:bottom w:val="single" w:sz="4" w:space="0" w:color="auto"/>
              <w:right w:val="single" w:sz="4" w:space="0" w:color="auto"/>
            </w:tcBorders>
            <w:hideMark/>
          </w:tcPr>
          <w:p w:rsidR="002A1B18" w:rsidRPr="0059188A" w:rsidRDefault="002A1B18" w:rsidP="002A1B18">
            <w:pPr>
              <w:pStyle w:val="C-TableText"/>
              <w:spacing w:before="0"/>
              <w:ind w:left="142"/>
              <w:rPr>
                <w:sz w:val="18"/>
                <w:szCs w:val="18"/>
              </w:rPr>
            </w:pPr>
            <w:r w:rsidRPr="0059188A">
              <w:rPr>
                <w:sz w:val="18"/>
                <w:szCs w:val="18"/>
              </w:rPr>
              <w:t>p-value</w:t>
            </w:r>
          </w:p>
        </w:tc>
        <w:tc>
          <w:tcPr>
            <w:tcW w:w="921" w:type="dxa"/>
            <w:tcBorders>
              <w:top w:val="nil"/>
              <w:left w:val="single" w:sz="4" w:space="0" w:color="auto"/>
              <w:bottom w:val="single" w:sz="4" w:space="0" w:color="auto"/>
              <w:right w:val="single" w:sz="4" w:space="0" w:color="auto"/>
            </w:tcBorders>
            <w:vAlign w:val="center"/>
          </w:tcPr>
          <w:p w:rsidR="002A1B18" w:rsidRPr="0059188A" w:rsidRDefault="002A1B18" w:rsidP="00604ED0">
            <w:pPr>
              <w:pStyle w:val="C-TableText"/>
              <w:spacing w:before="0"/>
              <w:ind w:left="-153" w:right="-136"/>
              <w:jc w:val="center"/>
              <w:rPr>
                <w:sz w:val="18"/>
                <w:szCs w:val="18"/>
              </w:rPr>
            </w:pPr>
          </w:p>
        </w:tc>
        <w:tc>
          <w:tcPr>
            <w:tcW w:w="921" w:type="dxa"/>
            <w:tcBorders>
              <w:top w:val="nil"/>
              <w:left w:val="single" w:sz="4" w:space="0" w:color="auto"/>
              <w:bottom w:val="single" w:sz="4" w:space="0" w:color="auto"/>
              <w:right w:val="single" w:sz="4" w:space="0" w:color="auto"/>
            </w:tcBorders>
            <w:vAlign w:val="center"/>
          </w:tcPr>
          <w:p w:rsidR="002A1B18" w:rsidRPr="0059188A" w:rsidRDefault="002A1B18" w:rsidP="00604ED0">
            <w:pPr>
              <w:pStyle w:val="C-TableText"/>
              <w:spacing w:before="0"/>
              <w:ind w:left="-153" w:right="-136"/>
              <w:jc w:val="center"/>
              <w:rPr>
                <w:sz w:val="18"/>
                <w:szCs w:val="18"/>
              </w:rPr>
            </w:pPr>
            <w:r w:rsidRPr="0059188A">
              <w:rPr>
                <w:sz w:val="18"/>
                <w:szCs w:val="18"/>
              </w:rPr>
              <w:t>p &lt; 0.0001</w:t>
            </w:r>
          </w:p>
        </w:tc>
        <w:tc>
          <w:tcPr>
            <w:tcW w:w="922" w:type="dxa"/>
            <w:tcBorders>
              <w:top w:val="nil"/>
              <w:left w:val="single" w:sz="4" w:space="0" w:color="auto"/>
              <w:bottom w:val="single" w:sz="4" w:space="0" w:color="auto"/>
              <w:right w:val="single" w:sz="4" w:space="0" w:color="auto"/>
            </w:tcBorders>
            <w:vAlign w:val="center"/>
          </w:tcPr>
          <w:p w:rsidR="002A1B18" w:rsidRPr="0059188A" w:rsidRDefault="002A1B18" w:rsidP="00604ED0">
            <w:pPr>
              <w:pStyle w:val="C-TableText"/>
              <w:spacing w:before="0"/>
              <w:ind w:left="-63" w:right="-48"/>
              <w:jc w:val="center"/>
              <w:rPr>
                <w:sz w:val="18"/>
                <w:szCs w:val="18"/>
              </w:rPr>
            </w:pPr>
          </w:p>
        </w:tc>
        <w:tc>
          <w:tcPr>
            <w:tcW w:w="921" w:type="dxa"/>
            <w:tcBorders>
              <w:top w:val="nil"/>
              <w:left w:val="single" w:sz="4" w:space="0" w:color="auto"/>
              <w:bottom w:val="single" w:sz="4" w:space="0" w:color="auto"/>
              <w:right w:val="single" w:sz="4" w:space="0" w:color="auto"/>
            </w:tcBorders>
            <w:vAlign w:val="center"/>
          </w:tcPr>
          <w:p w:rsidR="002A1B18" w:rsidRPr="0059188A" w:rsidRDefault="002A1B18" w:rsidP="002A1B18">
            <w:pPr>
              <w:pStyle w:val="C-TableText"/>
              <w:spacing w:before="0"/>
              <w:ind w:left="-143" w:right="-155"/>
              <w:jc w:val="center"/>
              <w:rPr>
                <w:sz w:val="18"/>
                <w:szCs w:val="18"/>
              </w:rPr>
            </w:pPr>
            <w:r w:rsidRPr="0059188A">
              <w:rPr>
                <w:sz w:val="18"/>
                <w:szCs w:val="18"/>
              </w:rPr>
              <w:t>p &lt; 0.0001</w:t>
            </w:r>
          </w:p>
        </w:tc>
        <w:tc>
          <w:tcPr>
            <w:tcW w:w="921" w:type="dxa"/>
            <w:tcBorders>
              <w:top w:val="nil"/>
              <w:left w:val="single" w:sz="4" w:space="0" w:color="auto"/>
              <w:bottom w:val="single" w:sz="4" w:space="0" w:color="auto"/>
              <w:right w:val="single" w:sz="4" w:space="0" w:color="auto"/>
            </w:tcBorders>
            <w:vAlign w:val="center"/>
          </w:tcPr>
          <w:p w:rsidR="002A1B18" w:rsidRPr="0059188A" w:rsidRDefault="002A1B18" w:rsidP="00604ED0">
            <w:pPr>
              <w:pStyle w:val="C-TableText"/>
              <w:spacing w:before="0"/>
              <w:ind w:left="-91" w:right="-79"/>
              <w:jc w:val="center"/>
              <w:rPr>
                <w:sz w:val="18"/>
                <w:szCs w:val="18"/>
              </w:rPr>
            </w:pPr>
          </w:p>
        </w:tc>
        <w:tc>
          <w:tcPr>
            <w:tcW w:w="922" w:type="dxa"/>
            <w:tcBorders>
              <w:top w:val="nil"/>
              <w:left w:val="single" w:sz="4" w:space="0" w:color="auto"/>
              <w:bottom w:val="single" w:sz="4" w:space="0" w:color="auto"/>
              <w:right w:val="single" w:sz="4" w:space="0" w:color="auto"/>
            </w:tcBorders>
            <w:vAlign w:val="center"/>
          </w:tcPr>
          <w:p w:rsidR="002A1B18" w:rsidRPr="0059188A" w:rsidRDefault="002A1B18" w:rsidP="00604ED0">
            <w:pPr>
              <w:pStyle w:val="C-TableText"/>
              <w:spacing w:before="0"/>
              <w:ind w:left="-91" w:right="-79"/>
              <w:jc w:val="center"/>
              <w:rPr>
                <w:sz w:val="18"/>
                <w:szCs w:val="18"/>
              </w:rPr>
            </w:pPr>
            <w:r w:rsidRPr="0059188A">
              <w:rPr>
                <w:sz w:val="18"/>
                <w:szCs w:val="18"/>
              </w:rPr>
              <w:t>p &lt; 0.0001</w:t>
            </w:r>
          </w:p>
        </w:tc>
        <w:tc>
          <w:tcPr>
            <w:tcW w:w="921" w:type="dxa"/>
            <w:tcBorders>
              <w:top w:val="nil"/>
              <w:left w:val="single" w:sz="4" w:space="0" w:color="auto"/>
              <w:bottom w:val="single" w:sz="4" w:space="0" w:color="auto"/>
              <w:right w:val="single" w:sz="4" w:space="0" w:color="auto"/>
            </w:tcBorders>
            <w:vAlign w:val="center"/>
          </w:tcPr>
          <w:p w:rsidR="002A1B18" w:rsidRPr="0059188A" w:rsidRDefault="002A1B18" w:rsidP="00604ED0">
            <w:pPr>
              <w:pStyle w:val="C-TableText"/>
              <w:spacing w:before="0"/>
              <w:ind w:left="-91" w:right="-79"/>
              <w:jc w:val="center"/>
              <w:rPr>
                <w:sz w:val="18"/>
                <w:szCs w:val="18"/>
              </w:rPr>
            </w:pPr>
          </w:p>
        </w:tc>
        <w:tc>
          <w:tcPr>
            <w:tcW w:w="921" w:type="dxa"/>
            <w:tcBorders>
              <w:top w:val="nil"/>
              <w:left w:val="single" w:sz="4" w:space="0" w:color="auto"/>
              <w:bottom w:val="single" w:sz="4" w:space="0" w:color="auto"/>
              <w:right w:val="single" w:sz="4" w:space="0" w:color="auto"/>
            </w:tcBorders>
            <w:vAlign w:val="center"/>
          </w:tcPr>
          <w:p w:rsidR="002A1B18" w:rsidRPr="0059188A" w:rsidRDefault="002A1B18" w:rsidP="00604ED0">
            <w:pPr>
              <w:pStyle w:val="C-TableText"/>
              <w:spacing w:before="0"/>
              <w:ind w:left="-91" w:right="-79"/>
              <w:jc w:val="center"/>
              <w:rPr>
                <w:sz w:val="18"/>
                <w:szCs w:val="18"/>
              </w:rPr>
            </w:pPr>
            <w:r w:rsidRPr="0059188A">
              <w:rPr>
                <w:sz w:val="18"/>
                <w:szCs w:val="18"/>
              </w:rPr>
              <w:t>p &lt; 0.0001</w:t>
            </w:r>
          </w:p>
        </w:tc>
        <w:tc>
          <w:tcPr>
            <w:tcW w:w="922" w:type="dxa"/>
            <w:tcBorders>
              <w:top w:val="nil"/>
              <w:left w:val="single" w:sz="4" w:space="0" w:color="auto"/>
              <w:bottom w:val="single" w:sz="4" w:space="0" w:color="auto"/>
              <w:right w:val="single" w:sz="4" w:space="0" w:color="auto"/>
            </w:tcBorders>
            <w:vAlign w:val="center"/>
          </w:tcPr>
          <w:p w:rsidR="002A1B18" w:rsidRPr="0059188A" w:rsidRDefault="002A1B18" w:rsidP="00604ED0">
            <w:pPr>
              <w:pStyle w:val="C-TableText"/>
              <w:spacing w:before="0"/>
              <w:ind w:left="-108" w:right="-108"/>
              <w:jc w:val="center"/>
              <w:rPr>
                <w:sz w:val="18"/>
                <w:szCs w:val="18"/>
              </w:rPr>
            </w:pPr>
          </w:p>
        </w:tc>
        <w:tc>
          <w:tcPr>
            <w:tcW w:w="921" w:type="dxa"/>
            <w:tcBorders>
              <w:top w:val="nil"/>
              <w:left w:val="single" w:sz="4" w:space="0" w:color="auto"/>
              <w:bottom w:val="single" w:sz="4" w:space="0" w:color="auto"/>
              <w:right w:val="single" w:sz="4" w:space="0" w:color="auto"/>
            </w:tcBorders>
            <w:vAlign w:val="center"/>
          </w:tcPr>
          <w:p w:rsidR="002A1B18" w:rsidRPr="0059188A" w:rsidRDefault="002A1B18" w:rsidP="00BC615F">
            <w:pPr>
              <w:pStyle w:val="C-TableText"/>
              <w:spacing w:before="0"/>
              <w:ind w:left="-108" w:right="-108"/>
              <w:jc w:val="center"/>
              <w:rPr>
                <w:sz w:val="18"/>
                <w:szCs w:val="18"/>
              </w:rPr>
            </w:pPr>
            <w:r w:rsidRPr="0059188A">
              <w:rPr>
                <w:sz w:val="18"/>
                <w:szCs w:val="18"/>
              </w:rPr>
              <w:t>p &lt; 0.0001</w:t>
            </w:r>
          </w:p>
        </w:tc>
        <w:tc>
          <w:tcPr>
            <w:tcW w:w="921" w:type="dxa"/>
            <w:tcBorders>
              <w:top w:val="nil"/>
              <w:left w:val="single" w:sz="4" w:space="0" w:color="auto"/>
              <w:bottom w:val="single" w:sz="4" w:space="0" w:color="auto"/>
              <w:right w:val="single" w:sz="4" w:space="0" w:color="auto"/>
            </w:tcBorders>
            <w:vAlign w:val="center"/>
          </w:tcPr>
          <w:p w:rsidR="002A1B18" w:rsidRPr="0059188A" w:rsidRDefault="002A1B18" w:rsidP="00F8008D">
            <w:pPr>
              <w:pStyle w:val="C-TableText"/>
              <w:spacing w:before="0"/>
              <w:ind w:left="-91" w:right="-79"/>
              <w:jc w:val="center"/>
              <w:rPr>
                <w:sz w:val="18"/>
                <w:szCs w:val="18"/>
              </w:rPr>
            </w:pPr>
          </w:p>
        </w:tc>
        <w:tc>
          <w:tcPr>
            <w:tcW w:w="922" w:type="dxa"/>
            <w:tcBorders>
              <w:top w:val="nil"/>
              <w:left w:val="single" w:sz="4" w:space="0" w:color="auto"/>
              <w:bottom w:val="single" w:sz="4" w:space="0" w:color="auto"/>
              <w:right w:val="single" w:sz="4" w:space="0" w:color="auto"/>
            </w:tcBorders>
            <w:vAlign w:val="center"/>
          </w:tcPr>
          <w:p w:rsidR="002A1B18" w:rsidRPr="0059188A" w:rsidRDefault="002A1B18" w:rsidP="00F8008D">
            <w:pPr>
              <w:pStyle w:val="C-TableText"/>
              <w:spacing w:before="0"/>
              <w:ind w:left="-91" w:right="-79"/>
              <w:jc w:val="center"/>
              <w:rPr>
                <w:sz w:val="18"/>
                <w:szCs w:val="18"/>
              </w:rPr>
            </w:pPr>
            <w:r w:rsidRPr="0059188A">
              <w:rPr>
                <w:sz w:val="18"/>
                <w:szCs w:val="18"/>
              </w:rPr>
              <w:t>p=0.0070</w:t>
            </w:r>
          </w:p>
        </w:tc>
      </w:tr>
      <w:tr w:rsidR="001802A7" w:rsidRPr="0059188A" w:rsidTr="007C3358">
        <w:trPr>
          <w:cantSplit/>
          <w:jc w:val="center"/>
        </w:trPr>
        <w:tc>
          <w:tcPr>
            <w:tcW w:w="2411" w:type="dxa"/>
            <w:tcBorders>
              <w:top w:val="single" w:sz="4" w:space="0" w:color="auto"/>
              <w:left w:val="single" w:sz="4" w:space="0" w:color="auto"/>
              <w:bottom w:val="single" w:sz="4" w:space="0" w:color="auto"/>
              <w:right w:val="single" w:sz="6" w:space="0" w:color="auto"/>
            </w:tcBorders>
            <w:hideMark/>
          </w:tcPr>
          <w:p w:rsidR="001802A7" w:rsidRPr="0059188A" w:rsidRDefault="001802A7" w:rsidP="002A1B18">
            <w:pPr>
              <w:pStyle w:val="C-TableText"/>
              <w:rPr>
                <w:sz w:val="18"/>
                <w:szCs w:val="18"/>
              </w:rPr>
            </w:pPr>
            <w:r w:rsidRPr="0059188A">
              <w:rPr>
                <w:sz w:val="18"/>
                <w:szCs w:val="18"/>
              </w:rPr>
              <w:t>Proportion of patients who developed any neovascularization</w:t>
            </w:r>
            <w:r w:rsidRPr="0059188A">
              <w:rPr>
                <w:sz w:val="18"/>
                <w:szCs w:val="18"/>
                <w:vertAlign w:val="superscript"/>
              </w:rPr>
              <w:t>#</w:t>
            </w:r>
          </w:p>
        </w:tc>
        <w:tc>
          <w:tcPr>
            <w:tcW w:w="921" w:type="dxa"/>
            <w:tcBorders>
              <w:top w:val="single" w:sz="4" w:space="0" w:color="auto"/>
              <w:left w:val="single" w:sz="6" w:space="0" w:color="auto"/>
              <w:bottom w:val="single" w:sz="4" w:space="0" w:color="auto"/>
              <w:right w:val="single" w:sz="6" w:space="0" w:color="auto"/>
            </w:tcBorders>
            <w:vAlign w:val="center"/>
          </w:tcPr>
          <w:p w:rsidR="001802A7" w:rsidRPr="0059188A" w:rsidRDefault="001802A7" w:rsidP="001312E1">
            <w:pPr>
              <w:pStyle w:val="C-TableText"/>
              <w:jc w:val="center"/>
              <w:rPr>
                <w:sz w:val="18"/>
                <w:szCs w:val="18"/>
              </w:rPr>
            </w:pPr>
            <w:r w:rsidRPr="0059188A">
              <w:rPr>
                <w:sz w:val="18"/>
                <w:szCs w:val="18"/>
              </w:rPr>
              <w:t>6.8%</w:t>
            </w:r>
          </w:p>
        </w:tc>
        <w:tc>
          <w:tcPr>
            <w:tcW w:w="921" w:type="dxa"/>
            <w:tcBorders>
              <w:top w:val="single" w:sz="4" w:space="0" w:color="auto"/>
              <w:left w:val="single" w:sz="6" w:space="0" w:color="auto"/>
              <w:bottom w:val="single" w:sz="4" w:space="0" w:color="auto"/>
              <w:right w:val="single" w:sz="6" w:space="0" w:color="auto"/>
            </w:tcBorders>
            <w:vAlign w:val="center"/>
          </w:tcPr>
          <w:p w:rsidR="001802A7" w:rsidRPr="0059188A" w:rsidRDefault="001802A7" w:rsidP="00604ED0">
            <w:pPr>
              <w:pStyle w:val="C-TableText"/>
              <w:jc w:val="center"/>
              <w:rPr>
                <w:sz w:val="18"/>
                <w:szCs w:val="18"/>
              </w:rPr>
            </w:pPr>
            <w:r w:rsidRPr="0059188A">
              <w:rPr>
                <w:sz w:val="18"/>
                <w:szCs w:val="18"/>
              </w:rPr>
              <w:t>0%</w:t>
            </w:r>
          </w:p>
        </w:tc>
        <w:tc>
          <w:tcPr>
            <w:tcW w:w="922" w:type="dxa"/>
            <w:tcBorders>
              <w:top w:val="single" w:sz="4" w:space="0" w:color="auto"/>
              <w:left w:val="single" w:sz="6" w:space="0" w:color="auto"/>
              <w:bottom w:val="single" w:sz="4" w:space="0" w:color="auto"/>
              <w:right w:val="single" w:sz="6" w:space="0" w:color="auto"/>
            </w:tcBorders>
            <w:vAlign w:val="center"/>
          </w:tcPr>
          <w:p w:rsidR="001802A7" w:rsidRPr="0059188A" w:rsidRDefault="001802A7" w:rsidP="00604ED0">
            <w:pPr>
              <w:pStyle w:val="C-TableText"/>
              <w:jc w:val="center"/>
              <w:rPr>
                <w:sz w:val="18"/>
                <w:szCs w:val="18"/>
              </w:rPr>
            </w:pPr>
            <w:r w:rsidRPr="0059188A">
              <w:rPr>
                <w:sz w:val="18"/>
                <w:szCs w:val="18"/>
              </w:rPr>
              <w:t>6.8%</w:t>
            </w:r>
          </w:p>
        </w:tc>
        <w:tc>
          <w:tcPr>
            <w:tcW w:w="921" w:type="dxa"/>
            <w:tcBorders>
              <w:top w:val="single" w:sz="4" w:space="0" w:color="auto"/>
              <w:left w:val="single" w:sz="6" w:space="0" w:color="auto"/>
              <w:bottom w:val="single" w:sz="4" w:space="0" w:color="auto"/>
              <w:right w:val="single" w:sz="6" w:space="0" w:color="auto"/>
            </w:tcBorders>
            <w:vAlign w:val="center"/>
          </w:tcPr>
          <w:p w:rsidR="001802A7" w:rsidRPr="0059188A" w:rsidRDefault="001802A7" w:rsidP="002A1B18">
            <w:pPr>
              <w:pStyle w:val="C-TableText"/>
              <w:ind w:left="-143" w:right="-155"/>
              <w:jc w:val="center"/>
              <w:rPr>
                <w:sz w:val="18"/>
                <w:szCs w:val="18"/>
              </w:rPr>
            </w:pPr>
            <w:r w:rsidRPr="0059188A">
              <w:rPr>
                <w:sz w:val="18"/>
                <w:szCs w:val="18"/>
              </w:rPr>
              <w:t>0%</w:t>
            </w:r>
          </w:p>
        </w:tc>
        <w:tc>
          <w:tcPr>
            <w:tcW w:w="921" w:type="dxa"/>
            <w:tcBorders>
              <w:top w:val="single" w:sz="4" w:space="0" w:color="auto"/>
              <w:left w:val="single" w:sz="6" w:space="0" w:color="auto"/>
              <w:bottom w:val="single" w:sz="4" w:space="0" w:color="auto"/>
              <w:right w:val="single" w:sz="6" w:space="0" w:color="auto"/>
            </w:tcBorders>
            <w:shd w:val="clear" w:color="auto" w:fill="auto"/>
            <w:vAlign w:val="center"/>
          </w:tcPr>
          <w:p w:rsidR="001802A7" w:rsidRPr="0059188A" w:rsidRDefault="001802A7" w:rsidP="00604ED0">
            <w:pPr>
              <w:pStyle w:val="C-TableText"/>
              <w:jc w:val="center"/>
              <w:rPr>
                <w:sz w:val="18"/>
                <w:szCs w:val="18"/>
              </w:rPr>
            </w:pPr>
            <w:r w:rsidRPr="0059188A">
              <w:rPr>
                <w:sz w:val="18"/>
                <w:szCs w:val="18"/>
              </w:rPr>
              <w:t>11.0%</w:t>
            </w:r>
          </w:p>
        </w:tc>
        <w:tc>
          <w:tcPr>
            <w:tcW w:w="922" w:type="dxa"/>
            <w:tcBorders>
              <w:top w:val="single" w:sz="4" w:space="0" w:color="auto"/>
              <w:left w:val="single" w:sz="6" w:space="0" w:color="auto"/>
              <w:bottom w:val="single" w:sz="4" w:space="0" w:color="auto"/>
              <w:right w:val="single" w:sz="6" w:space="0" w:color="auto"/>
            </w:tcBorders>
            <w:shd w:val="clear" w:color="auto" w:fill="auto"/>
            <w:vAlign w:val="center"/>
          </w:tcPr>
          <w:p w:rsidR="001802A7" w:rsidRPr="0059188A" w:rsidRDefault="001802A7" w:rsidP="00604ED0">
            <w:pPr>
              <w:pStyle w:val="C-TableText"/>
              <w:jc w:val="center"/>
              <w:rPr>
                <w:sz w:val="18"/>
                <w:szCs w:val="18"/>
              </w:rPr>
            </w:pPr>
            <w:r w:rsidRPr="0059188A">
              <w:rPr>
                <w:sz w:val="18"/>
                <w:szCs w:val="18"/>
              </w:rPr>
              <w:t xml:space="preserve">5.3% </w:t>
            </w:r>
          </w:p>
        </w:tc>
        <w:tc>
          <w:tcPr>
            <w:tcW w:w="921" w:type="dxa"/>
            <w:tcBorders>
              <w:top w:val="single" w:sz="4" w:space="0" w:color="auto"/>
              <w:left w:val="single" w:sz="6" w:space="0" w:color="auto"/>
              <w:bottom w:val="single" w:sz="4" w:space="0" w:color="auto"/>
              <w:right w:val="single" w:sz="6" w:space="0" w:color="auto"/>
            </w:tcBorders>
            <w:vAlign w:val="center"/>
          </w:tcPr>
          <w:p w:rsidR="001802A7" w:rsidRPr="0059188A" w:rsidRDefault="001802A7" w:rsidP="00604ED0">
            <w:pPr>
              <w:pStyle w:val="C-TableText"/>
              <w:jc w:val="center"/>
              <w:rPr>
                <w:sz w:val="18"/>
                <w:szCs w:val="18"/>
              </w:rPr>
            </w:pPr>
            <w:r w:rsidRPr="0059188A">
              <w:rPr>
                <w:sz w:val="18"/>
                <w:szCs w:val="18"/>
              </w:rPr>
              <w:t>4.4%</w:t>
            </w:r>
          </w:p>
        </w:tc>
        <w:tc>
          <w:tcPr>
            <w:tcW w:w="921" w:type="dxa"/>
            <w:tcBorders>
              <w:top w:val="single" w:sz="4" w:space="0" w:color="auto"/>
              <w:left w:val="single" w:sz="6" w:space="0" w:color="auto"/>
              <w:bottom w:val="single" w:sz="4" w:space="0" w:color="auto"/>
              <w:right w:val="single" w:sz="6" w:space="0" w:color="auto"/>
            </w:tcBorders>
            <w:vAlign w:val="center"/>
          </w:tcPr>
          <w:p w:rsidR="001802A7" w:rsidRPr="0059188A" w:rsidRDefault="001802A7" w:rsidP="00604ED0">
            <w:pPr>
              <w:pStyle w:val="C-TableText"/>
              <w:jc w:val="center"/>
              <w:rPr>
                <w:sz w:val="18"/>
                <w:szCs w:val="18"/>
              </w:rPr>
            </w:pPr>
            <w:r w:rsidRPr="0059188A">
              <w:rPr>
                <w:sz w:val="18"/>
                <w:szCs w:val="18"/>
              </w:rPr>
              <w:t>2.9%</w:t>
            </w:r>
          </w:p>
        </w:tc>
        <w:tc>
          <w:tcPr>
            <w:tcW w:w="922" w:type="dxa"/>
            <w:tcBorders>
              <w:top w:val="single" w:sz="4" w:space="0" w:color="auto"/>
              <w:left w:val="single" w:sz="6" w:space="0" w:color="auto"/>
              <w:bottom w:val="single" w:sz="4" w:space="0" w:color="auto"/>
              <w:right w:val="single" w:sz="6" w:space="0" w:color="auto"/>
            </w:tcBorders>
            <w:vAlign w:val="center"/>
          </w:tcPr>
          <w:p w:rsidR="001802A7" w:rsidRPr="0059188A" w:rsidRDefault="001802A7" w:rsidP="00604ED0">
            <w:pPr>
              <w:pStyle w:val="C-TableText"/>
              <w:jc w:val="center"/>
              <w:rPr>
                <w:sz w:val="18"/>
                <w:szCs w:val="18"/>
              </w:rPr>
            </w:pPr>
            <w:r w:rsidRPr="0059188A">
              <w:rPr>
                <w:sz w:val="18"/>
                <w:szCs w:val="18"/>
              </w:rPr>
              <w:t>8.8%</w:t>
            </w:r>
          </w:p>
        </w:tc>
        <w:tc>
          <w:tcPr>
            <w:tcW w:w="921" w:type="dxa"/>
            <w:tcBorders>
              <w:top w:val="single" w:sz="4" w:space="0" w:color="auto"/>
              <w:left w:val="single" w:sz="6" w:space="0" w:color="auto"/>
              <w:bottom w:val="single" w:sz="4" w:space="0" w:color="auto"/>
              <w:right w:val="single" w:sz="4" w:space="0" w:color="auto"/>
            </w:tcBorders>
            <w:vAlign w:val="center"/>
          </w:tcPr>
          <w:p w:rsidR="001802A7" w:rsidRPr="0059188A" w:rsidRDefault="001802A7" w:rsidP="00604ED0">
            <w:pPr>
              <w:pStyle w:val="C-TableText"/>
              <w:jc w:val="center"/>
              <w:rPr>
                <w:sz w:val="18"/>
                <w:szCs w:val="18"/>
              </w:rPr>
            </w:pPr>
            <w:r w:rsidRPr="0059188A">
              <w:rPr>
                <w:sz w:val="18"/>
                <w:szCs w:val="18"/>
              </w:rPr>
              <w:t>5.8%</w:t>
            </w:r>
          </w:p>
        </w:tc>
        <w:tc>
          <w:tcPr>
            <w:tcW w:w="921" w:type="dxa"/>
            <w:tcBorders>
              <w:top w:val="single" w:sz="4" w:space="0" w:color="auto"/>
              <w:left w:val="single" w:sz="6" w:space="0" w:color="auto"/>
              <w:bottom w:val="single" w:sz="4" w:space="0" w:color="auto"/>
              <w:right w:val="single" w:sz="4" w:space="0" w:color="auto"/>
            </w:tcBorders>
            <w:shd w:val="clear" w:color="auto" w:fill="auto"/>
            <w:vAlign w:val="center"/>
          </w:tcPr>
          <w:p w:rsidR="001802A7" w:rsidRPr="0059188A" w:rsidRDefault="001802A7" w:rsidP="00F8008D">
            <w:pPr>
              <w:pStyle w:val="C-TableText"/>
              <w:jc w:val="center"/>
              <w:rPr>
                <w:sz w:val="18"/>
                <w:szCs w:val="18"/>
              </w:rPr>
            </w:pPr>
            <w:r w:rsidRPr="0059188A">
              <w:rPr>
                <w:sz w:val="18"/>
                <w:szCs w:val="18"/>
              </w:rPr>
              <w:t>8.8%</w:t>
            </w:r>
          </w:p>
        </w:tc>
        <w:tc>
          <w:tcPr>
            <w:tcW w:w="922" w:type="dxa"/>
            <w:tcBorders>
              <w:top w:val="single" w:sz="4" w:space="0" w:color="auto"/>
              <w:left w:val="single" w:sz="6" w:space="0" w:color="auto"/>
              <w:bottom w:val="single" w:sz="4" w:space="0" w:color="auto"/>
              <w:right w:val="single" w:sz="4" w:space="0" w:color="auto"/>
            </w:tcBorders>
            <w:shd w:val="clear" w:color="auto" w:fill="auto"/>
            <w:vAlign w:val="center"/>
          </w:tcPr>
          <w:p w:rsidR="001802A7" w:rsidRPr="0059188A" w:rsidRDefault="001802A7" w:rsidP="00F8008D">
            <w:pPr>
              <w:pStyle w:val="C-TableText"/>
              <w:jc w:val="center"/>
              <w:rPr>
                <w:sz w:val="18"/>
                <w:szCs w:val="18"/>
              </w:rPr>
            </w:pPr>
            <w:r w:rsidRPr="0059188A">
              <w:rPr>
                <w:sz w:val="18"/>
                <w:szCs w:val="18"/>
              </w:rPr>
              <w:t xml:space="preserve">7.8% </w:t>
            </w:r>
          </w:p>
        </w:tc>
      </w:tr>
      <w:tr w:rsidR="001802A7" w:rsidRPr="0059188A" w:rsidTr="007C3358">
        <w:trPr>
          <w:cantSplit/>
          <w:jc w:val="center"/>
        </w:trPr>
        <w:tc>
          <w:tcPr>
            <w:tcW w:w="2411" w:type="dxa"/>
            <w:tcBorders>
              <w:top w:val="single" w:sz="4" w:space="0" w:color="auto"/>
              <w:left w:val="single" w:sz="6" w:space="0" w:color="auto"/>
              <w:bottom w:val="nil"/>
              <w:right w:val="single" w:sz="6" w:space="0" w:color="auto"/>
            </w:tcBorders>
            <w:hideMark/>
          </w:tcPr>
          <w:p w:rsidR="001802A7" w:rsidRPr="0059188A" w:rsidRDefault="001802A7" w:rsidP="002A1B18">
            <w:pPr>
              <w:pStyle w:val="C-TableText"/>
              <w:ind w:left="142"/>
              <w:rPr>
                <w:sz w:val="18"/>
                <w:szCs w:val="18"/>
              </w:rPr>
            </w:pPr>
            <w:r w:rsidRPr="0059188A">
              <w:rPr>
                <w:sz w:val="18"/>
                <w:szCs w:val="18"/>
              </w:rPr>
              <w:t xml:space="preserve">CHM adjusted </w:t>
            </w:r>
            <w:r w:rsidRPr="0059188A">
              <w:rPr>
                <w:sz w:val="18"/>
                <w:szCs w:val="18"/>
              </w:rPr>
              <w:br/>
              <w:t xml:space="preserve">difference </w:t>
            </w:r>
            <w:proofErr w:type="spellStart"/>
            <w:r w:rsidRPr="0059188A">
              <w:rPr>
                <w:sz w:val="18"/>
                <w:szCs w:val="18"/>
                <w:vertAlign w:val="superscript"/>
              </w:rPr>
              <w:t>a,c,d,e</w:t>
            </w:r>
            <w:proofErr w:type="spellEnd"/>
            <w:r w:rsidRPr="0059188A">
              <w:rPr>
                <w:sz w:val="18"/>
                <w:szCs w:val="18"/>
                <w:vertAlign w:val="superscript"/>
              </w:rPr>
              <w:t>)</w:t>
            </w:r>
            <w:r w:rsidRPr="0059188A">
              <w:rPr>
                <w:sz w:val="18"/>
                <w:szCs w:val="18"/>
                <w:vertAlign w:val="superscript"/>
              </w:rPr>
              <w:br/>
            </w:r>
            <w:r w:rsidRPr="0059188A">
              <w:rPr>
                <w:sz w:val="18"/>
                <w:szCs w:val="18"/>
              </w:rPr>
              <w:t>(95% CI)</w:t>
            </w:r>
          </w:p>
        </w:tc>
        <w:tc>
          <w:tcPr>
            <w:tcW w:w="921" w:type="dxa"/>
            <w:tcBorders>
              <w:top w:val="single" w:sz="4" w:space="0" w:color="auto"/>
              <w:left w:val="single" w:sz="6" w:space="0" w:color="auto"/>
              <w:bottom w:val="nil"/>
              <w:right w:val="single" w:sz="6" w:space="0" w:color="auto"/>
            </w:tcBorders>
            <w:vAlign w:val="center"/>
          </w:tcPr>
          <w:p w:rsidR="001802A7" w:rsidRPr="0059188A" w:rsidRDefault="001802A7" w:rsidP="00BC615F">
            <w:pPr>
              <w:pStyle w:val="C-TableText"/>
              <w:ind w:left="-153" w:right="-136"/>
              <w:jc w:val="center"/>
              <w:rPr>
                <w:sz w:val="18"/>
                <w:szCs w:val="18"/>
              </w:rPr>
            </w:pPr>
          </w:p>
        </w:tc>
        <w:tc>
          <w:tcPr>
            <w:tcW w:w="921" w:type="dxa"/>
            <w:tcBorders>
              <w:top w:val="single" w:sz="4" w:space="0" w:color="auto"/>
              <w:left w:val="single" w:sz="6" w:space="0" w:color="auto"/>
              <w:bottom w:val="nil"/>
              <w:right w:val="single" w:sz="6" w:space="0" w:color="auto"/>
            </w:tcBorders>
            <w:vAlign w:val="center"/>
          </w:tcPr>
          <w:p w:rsidR="001802A7" w:rsidRPr="0059188A" w:rsidRDefault="001802A7" w:rsidP="00BE2F70">
            <w:pPr>
              <w:pStyle w:val="C-TableText"/>
              <w:ind w:left="-153" w:right="-136"/>
              <w:jc w:val="center"/>
              <w:rPr>
                <w:sz w:val="18"/>
                <w:szCs w:val="18"/>
              </w:rPr>
            </w:pPr>
            <w:r w:rsidRPr="0059188A">
              <w:rPr>
                <w:sz w:val="18"/>
                <w:szCs w:val="18"/>
              </w:rPr>
              <w:t>-6.8</w:t>
            </w:r>
            <w:r w:rsidRPr="0059188A">
              <w:rPr>
                <w:sz w:val="18"/>
                <w:szCs w:val="18"/>
              </w:rPr>
              <w:br/>
              <w:t>(-12.4, -1.2)</w:t>
            </w:r>
          </w:p>
        </w:tc>
        <w:tc>
          <w:tcPr>
            <w:tcW w:w="922" w:type="dxa"/>
            <w:tcBorders>
              <w:top w:val="single" w:sz="4" w:space="0" w:color="auto"/>
              <w:left w:val="single" w:sz="6" w:space="0" w:color="auto"/>
              <w:bottom w:val="nil"/>
              <w:right w:val="single" w:sz="6" w:space="0" w:color="auto"/>
            </w:tcBorders>
            <w:vAlign w:val="center"/>
          </w:tcPr>
          <w:p w:rsidR="001802A7" w:rsidRPr="0059188A" w:rsidRDefault="001802A7" w:rsidP="00BC615F">
            <w:pPr>
              <w:pStyle w:val="C-TableText"/>
              <w:ind w:left="-63" w:right="-48"/>
              <w:jc w:val="center"/>
              <w:rPr>
                <w:sz w:val="18"/>
                <w:szCs w:val="18"/>
              </w:rPr>
            </w:pPr>
          </w:p>
        </w:tc>
        <w:tc>
          <w:tcPr>
            <w:tcW w:w="921" w:type="dxa"/>
            <w:tcBorders>
              <w:top w:val="single" w:sz="4" w:space="0" w:color="auto"/>
              <w:left w:val="single" w:sz="6" w:space="0" w:color="auto"/>
              <w:bottom w:val="nil"/>
              <w:right w:val="single" w:sz="6" w:space="0" w:color="auto"/>
            </w:tcBorders>
            <w:vAlign w:val="center"/>
          </w:tcPr>
          <w:p w:rsidR="001802A7" w:rsidRPr="0059188A" w:rsidRDefault="001802A7" w:rsidP="002A1B18">
            <w:pPr>
              <w:pStyle w:val="C-TableText"/>
              <w:ind w:left="-143" w:right="-155"/>
              <w:jc w:val="center"/>
              <w:rPr>
                <w:sz w:val="18"/>
                <w:szCs w:val="18"/>
              </w:rPr>
            </w:pPr>
            <w:r w:rsidRPr="0059188A">
              <w:rPr>
                <w:sz w:val="18"/>
                <w:szCs w:val="18"/>
              </w:rPr>
              <w:t>-6.8</w:t>
            </w:r>
            <w:r w:rsidRPr="0059188A">
              <w:rPr>
                <w:sz w:val="18"/>
                <w:szCs w:val="18"/>
              </w:rPr>
              <w:br/>
              <w:t>(-12.4, -1.2)</w:t>
            </w:r>
          </w:p>
        </w:tc>
        <w:tc>
          <w:tcPr>
            <w:tcW w:w="921" w:type="dxa"/>
            <w:tcBorders>
              <w:top w:val="single" w:sz="4" w:space="0" w:color="auto"/>
              <w:left w:val="single" w:sz="6" w:space="0" w:color="auto"/>
              <w:bottom w:val="nil"/>
              <w:right w:val="single" w:sz="6" w:space="0" w:color="auto"/>
            </w:tcBorders>
            <w:shd w:val="clear" w:color="auto" w:fill="auto"/>
          </w:tcPr>
          <w:p w:rsidR="001802A7" w:rsidRPr="0059188A" w:rsidRDefault="001802A7" w:rsidP="00BC615F">
            <w:pPr>
              <w:pStyle w:val="C-TableText"/>
              <w:ind w:left="-91" w:right="-79"/>
              <w:jc w:val="center"/>
              <w:rPr>
                <w:sz w:val="18"/>
                <w:szCs w:val="18"/>
              </w:rPr>
            </w:pPr>
          </w:p>
        </w:tc>
        <w:tc>
          <w:tcPr>
            <w:tcW w:w="922" w:type="dxa"/>
            <w:tcBorders>
              <w:top w:val="single" w:sz="4" w:space="0" w:color="auto"/>
              <w:left w:val="single" w:sz="6" w:space="0" w:color="auto"/>
              <w:bottom w:val="nil"/>
              <w:right w:val="single" w:sz="6" w:space="0" w:color="auto"/>
            </w:tcBorders>
            <w:shd w:val="clear" w:color="auto" w:fill="auto"/>
            <w:vAlign w:val="center"/>
          </w:tcPr>
          <w:p w:rsidR="001802A7" w:rsidRPr="0059188A" w:rsidRDefault="001802A7" w:rsidP="001802A7">
            <w:pPr>
              <w:pStyle w:val="C-TableText"/>
              <w:ind w:left="-91" w:right="-79"/>
              <w:jc w:val="center"/>
              <w:rPr>
                <w:sz w:val="18"/>
                <w:szCs w:val="18"/>
              </w:rPr>
            </w:pPr>
            <w:r w:rsidRPr="0059188A">
              <w:rPr>
                <w:sz w:val="18"/>
                <w:szCs w:val="18"/>
              </w:rPr>
              <w:t>-</w:t>
            </w:r>
            <w:r w:rsidR="00234066" w:rsidRPr="0059188A">
              <w:rPr>
                <w:sz w:val="18"/>
                <w:szCs w:val="18"/>
              </w:rPr>
              <w:t>5.4</w:t>
            </w:r>
            <w:r w:rsidRPr="0059188A">
              <w:rPr>
                <w:sz w:val="18"/>
                <w:szCs w:val="18"/>
              </w:rPr>
              <w:br/>
            </w:r>
            <w:r w:rsidR="00234066" w:rsidRPr="0059188A">
              <w:rPr>
                <w:sz w:val="18"/>
                <w:szCs w:val="18"/>
              </w:rPr>
              <w:t>(-13.7, 2.8)</w:t>
            </w:r>
          </w:p>
        </w:tc>
        <w:tc>
          <w:tcPr>
            <w:tcW w:w="921" w:type="dxa"/>
            <w:tcBorders>
              <w:top w:val="single" w:sz="4" w:space="0" w:color="auto"/>
              <w:left w:val="single" w:sz="6" w:space="0" w:color="auto"/>
              <w:bottom w:val="nil"/>
              <w:right w:val="single" w:sz="6" w:space="0" w:color="auto"/>
            </w:tcBorders>
            <w:vAlign w:val="center"/>
          </w:tcPr>
          <w:p w:rsidR="001802A7" w:rsidRPr="0059188A" w:rsidRDefault="001802A7" w:rsidP="00BC615F">
            <w:pPr>
              <w:pStyle w:val="C-TableText"/>
              <w:ind w:left="-91" w:right="-79"/>
              <w:jc w:val="center"/>
              <w:rPr>
                <w:sz w:val="18"/>
                <w:szCs w:val="18"/>
              </w:rPr>
            </w:pPr>
          </w:p>
        </w:tc>
        <w:tc>
          <w:tcPr>
            <w:tcW w:w="921" w:type="dxa"/>
            <w:tcBorders>
              <w:top w:val="single" w:sz="4" w:space="0" w:color="auto"/>
              <w:left w:val="single" w:sz="6" w:space="0" w:color="auto"/>
              <w:bottom w:val="nil"/>
              <w:right w:val="single" w:sz="6" w:space="0" w:color="auto"/>
            </w:tcBorders>
            <w:vAlign w:val="center"/>
          </w:tcPr>
          <w:p w:rsidR="001802A7" w:rsidRPr="0059188A" w:rsidRDefault="001802A7" w:rsidP="007B40F1">
            <w:pPr>
              <w:pStyle w:val="C-TableText"/>
              <w:ind w:left="-91" w:right="-79"/>
              <w:jc w:val="center"/>
              <w:rPr>
                <w:sz w:val="18"/>
                <w:szCs w:val="18"/>
              </w:rPr>
            </w:pPr>
            <w:r w:rsidRPr="0059188A">
              <w:rPr>
                <w:sz w:val="18"/>
                <w:szCs w:val="18"/>
              </w:rPr>
              <w:t>-1.5</w:t>
            </w:r>
            <w:r w:rsidRPr="0059188A">
              <w:rPr>
                <w:sz w:val="18"/>
                <w:szCs w:val="18"/>
              </w:rPr>
              <w:br/>
              <w:t>(-7.4, 4.4)</w:t>
            </w:r>
          </w:p>
        </w:tc>
        <w:tc>
          <w:tcPr>
            <w:tcW w:w="922" w:type="dxa"/>
            <w:tcBorders>
              <w:top w:val="single" w:sz="4" w:space="0" w:color="auto"/>
              <w:left w:val="single" w:sz="6" w:space="0" w:color="auto"/>
              <w:bottom w:val="nil"/>
              <w:right w:val="single" w:sz="6" w:space="0" w:color="auto"/>
            </w:tcBorders>
            <w:vAlign w:val="center"/>
          </w:tcPr>
          <w:p w:rsidR="001802A7" w:rsidRPr="0059188A" w:rsidRDefault="001802A7" w:rsidP="00BC615F">
            <w:pPr>
              <w:pStyle w:val="C-TableText"/>
              <w:ind w:left="-108" w:right="-108"/>
              <w:jc w:val="center"/>
              <w:rPr>
                <w:sz w:val="18"/>
                <w:szCs w:val="18"/>
              </w:rPr>
            </w:pPr>
          </w:p>
        </w:tc>
        <w:tc>
          <w:tcPr>
            <w:tcW w:w="921" w:type="dxa"/>
            <w:tcBorders>
              <w:top w:val="single" w:sz="4" w:space="0" w:color="auto"/>
              <w:left w:val="single" w:sz="6" w:space="0" w:color="auto"/>
              <w:bottom w:val="nil"/>
              <w:right w:val="single" w:sz="6" w:space="0" w:color="auto"/>
            </w:tcBorders>
            <w:vAlign w:val="center"/>
          </w:tcPr>
          <w:p w:rsidR="001802A7" w:rsidRPr="0059188A" w:rsidRDefault="001802A7" w:rsidP="00BC615F">
            <w:pPr>
              <w:pStyle w:val="C-TableText"/>
              <w:ind w:left="-108" w:right="-108"/>
              <w:jc w:val="center"/>
              <w:rPr>
                <w:sz w:val="18"/>
                <w:szCs w:val="18"/>
              </w:rPr>
            </w:pPr>
            <w:r w:rsidRPr="0059188A">
              <w:rPr>
                <w:sz w:val="18"/>
                <w:szCs w:val="18"/>
              </w:rPr>
              <w:t>-2.5</w:t>
            </w:r>
            <w:r w:rsidRPr="0059188A">
              <w:rPr>
                <w:sz w:val="18"/>
                <w:szCs w:val="18"/>
              </w:rPr>
              <w:br/>
              <w:t>(-10.8, 5.8)</w:t>
            </w:r>
          </w:p>
        </w:tc>
        <w:tc>
          <w:tcPr>
            <w:tcW w:w="921" w:type="dxa"/>
            <w:tcBorders>
              <w:top w:val="single" w:sz="4" w:space="0" w:color="auto"/>
              <w:left w:val="single" w:sz="6" w:space="0" w:color="auto"/>
              <w:bottom w:val="nil"/>
              <w:right w:val="single" w:sz="6" w:space="0" w:color="auto"/>
            </w:tcBorders>
            <w:shd w:val="clear" w:color="auto" w:fill="auto"/>
          </w:tcPr>
          <w:p w:rsidR="001802A7" w:rsidRPr="0059188A" w:rsidRDefault="001802A7" w:rsidP="00F8008D">
            <w:pPr>
              <w:pStyle w:val="C-TableText"/>
              <w:ind w:left="-91" w:right="-79"/>
              <w:jc w:val="center"/>
              <w:rPr>
                <w:sz w:val="18"/>
                <w:szCs w:val="18"/>
              </w:rPr>
            </w:pPr>
          </w:p>
        </w:tc>
        <w:tc>
          <w:tcPr>
            <w:tcW w:w="922" w:type="dxa"/>
            <w:tcBorders>
              <w:top w:val="single" w:sz="4" w:space="0" w:color="auto"/>
              <w:left w:val="single" w:sz="6" w:space="0" w:color="auto"/>
              <w:bottom w:val="nil"/>
              <w:right w:val="single" w:sz="6" w:space="0" w:color="auto"/>
            </w:tcBorders>
            <w:shd w:val="clear" w:color="auto" w:fill="auto"/>
            <w:vAlign w:val="center"/>
          </w:tcPr>
          <w:p w:rsidR="001802A7" w:rsidRPr="0059188A" w:rsidRDefault="001802A7" w:rsidP="001802A7">
            <w:pPr>
              <w:pStyle w:val="C-TableText"/>
              <w:ind w:left="-91" w:right="-79"/>
              <w:jc w:val="center"/>
              <w:rPr>
                <w:sz w:val="18"/>
                <w:szCs w:val="18"/>
              </w:rPr>
            </w:pPr>
            <w:r w:rsidRPr="0059188A">
              <w:rPr>
                <w:sz w:val="18"/>
                <w:szCs w:val="18"/>
              </w:rPr>
              <w:t>-0.6</w:t>
            </w:r>
            <w:r w:rsidRPr="0059188A">
              <w:rPr>
                <w:sz w:val="18"/>
                <w:szCs w:val="18"/>
              </w:rPr>
              <w:br/>
              <w:t>(-9.3, 8.1)</w:t>
            </w:r>
          </w:p>
        </w:tc>
      </w:tr>
      <w:tr w:rsidR="001802A7" w:rsidRPr="0059188A" w:rsidTr="007C3358">
        <w:trPr>
          <w:cantSplit/>
          <w:jc w:val="center"/>
        </w:trPr>
        <w:tc>
          <w:tcPr>
            <w:tcW w:w="2411" w:type="dxa"/>
            <w:tcBorders>
              <w:top w:val="nil"/>
              <w:left w:val="single" w:sz="4" w:space="0" w:color="auto"/>
              <w:bottom w:val="single" w:sz="4" w:space="0" w:color="auto"/>
              <w:right w:val="single" w:sz="4" w:space="0" w:color="auto"/>
            </w:tcBorders>
            <w:hideMark/>
          </w:tcPr>
          <w:p w:rsidR="001802A7" w:rsidRPr="0059188A" w:rsidRDefault="001802A7" w:rsidP="002A1B18">
            <w:pPr>
              <w:pStyle w:val="C-TableText"/>
              <w:spacing w:before="0"/>
              <w:ind w:left="142"/>
              <w:rPr>
                <w:sz w:val="18"/>
                <w:szCs w:val="18"/>
              </w:rPr>
            </w:pPr>
            <w:r w:rsidRPr="0059188A">
              <w:rPr>
                <w:sz w:val="18"/>
                <w:szCs w:val="18"/>
              </w:rPr>
              <w:t>p-value</w:t>
            </w:r>
          </w:p>
        </w:tc>
        <w:tc>
          <w:tcPr>
            <w:tcW w:w="921" w:type="dxa"/>
            <w:tcBorders>
              <w:top w:val="nil"/>
              <w:left w:val="single" w:sz="4" w:space="0" w:color="auto"/>
              <w:bottom w:val="single" w:sz="4" w:space="0" w:color="auto"/>
              <w:right w:val="single" w:sz="4" w:space="0" w:color="auto"/>
            </w:tcBorders>
            <w:vAlign w:val="center"/>
          </w:tcPr>
          <w:p w:rsidR="001802A7" w:rsidRPr="0059188A" w:rsidRDefault="001802A7" w:rsidP="00BC615F">
            <w:pPr>
              <w:pStyle w:val="C-TableText"/>
              <w:spacing w:before="0"/>
              <w:ind w:left="-153" w:right="-136"/>
              <w:jc w:val="center"/>
              <w:rPr>
                <w:sz w:val="18"/>
                <w:szCs w:val="18"/>
              </w:rPr>
            </w:pPr>
          </w:p>
        </w:tc>
        <w:tc>
          <w:tcPr>
            <w:tcW w:w="921" w:type="dxa"/>
            <w:tcBorders>
              <w:top w:val="nil"/>
              <w:left w:val="single" w:sz="4" w:space="0" w:color="auto"/>
              <w:bottom w:val="single" w:sz="4" w:space="0" w:color="auto"/>
              <w:right w:val="single" w:sz="4" w:space="0" w:color="auto"/>
            </w:tcBorders>
            <w:vAlign w:val="center"/>
          </w:tcPr>
          <w:p w:rsidR="001802A7" w:rsidRPr="0059188A" w:rsidRDefault="001802A7" w:rsidP="00BC615F">
            <w:pPr>
              <w:pStyle w:val="C-TableText"/>
              <w:spacing w:before="0"/>
              <w:ind w:left="-153" w:right="-136"/>
              <w:jc w:val="center"/>
              <w:rPr>
                <w:sz w:val="18"/>
                <w:szCs w:val="18"/>
              </w:rPr>
            </w:pPr>
            <w:r w:rsidRPr="0059188A">
              <w:rPr>
                <w:sz w:val="18"/>
                <w:szCs w:val="18"/>
              </w:rPr>
              <w:t>p=0.0059</w:t>
            </w:r>
          </w:p>
        </w:tc>
        <w:tc>
          <w:tcPr>
            <w:tcW w:w="922" w:type="dxa"/>
            <w:tcBorders>
              <w:top w:val="nil"/>
              <w:left w:val="single" w:sz="4" w:space="0" w:color="auto"/>
              <w:bottom w:val="single" w:sz="4" w:space="0" w:color="auto"/>
              <w:right w:val="single" w:sz="4" w:space="0" w:color="auto"/>
            </w:tcBorders>
            <w:vAlign w:val="center"/>
          </w:tcPr>
          <w:p w:rsidR="001802A7" w:rsidRPr="0059188A" w:rsidRDefault="001802A7" w:rsidP="00BC615F">
            <w:pPr>
              <w:pStyle w:val="C-TableText"/>
              <w:spacing w:before="0"/>
              <w:ind w:left="-63" w:right="-48"/>
              <w:jc w:val="center"/>
              <w:rPr>
                <w:sz w:val="18"/>
                <w:szCs w:val="18"/>
              </w:rPr>
            </w:pPr>
          </w:p>
        </w:tc>
        <w:tc>
          <w:tcPr>
            <w:tcW w:w="921" w:type="dxa"/>
            <w:tcBorders>
              <w:top w:val="nil"/>
              <w:left w:val="single" w:sz="4" w:space="0" w:color="auto"/>
              <w:bottom w:val="single" w:sz="4" w:space="0" w:color="auto"/>
              <w:right w:val="single" w:sz="4" w:space="0" w:color="auto"/>
            </w:tcBorders>
            <w:vAlign w:val="center"/>
          </w:tcPr>
          <w:p w:rsidR="001802A7" w:rsidRPr="0059188A" w:rsidRDefault="001802A7" w:rsidP="002A1B18">
            <w:pPr>
              <w:pStyle w:val="C-TableText"/>
              <w:spacing w:before="0"/>
              <w:ind w:left="-143" w:right="-155"/>
              <w:jc w:val="center"/>
              <w:rPr>
                <w:sz w:val="18"/>
                <w:szCs w:val="18"/>
              </w:rPr>
            </w:pPr>
            <w:r w:rsidRPr="0059188A">
              <w:rPr>
                <w:sz w:val="18"/>
                <w:szCs w:val="18"/>
              </w:rPr>
              <w:t>p=0.0059</w:t>
            </w:r>
          </w:p>
        </w:tc>
        <w:tc>
          <w:tcPr>
            <w:tcW w:w="921" w:type="dxa"/>
            <w:tcBorders>
              <w:top w:val="nil"/>
              <w:left w:val="single" w:sz="4" w:space="0" w:color="auto"/>
              <w:bottom w:val="single" w:sz="4" w:space="0" w:color="auto"/>
              <w:right w:val="single" w:sz="4" w:space="0" w:color="auto"/>
            </w:tcBorders>
            <w:shd w:val="clear" w:color="auto" w:fill="auto"/>
          </w:tcPr>
          <w:p w:rsidR="001802A7" w:rsidRPr="0059188A" w:rsidRDefault="001802A7" w:rsidP="00BC615F">
            <w:pPr>
              <w:pStyle w:val="C-TableText"/>
              <w:spacing w:before="0"/>
              <w:ind w:left="-91" w:right="-79"/>
              <w:jc w:val="center"/>
              <w:rPr>
                <w:sz w:val="18"/>
                <w:szCs w:val="18"/>
              </w:rPr>
            </w:pPr>
          </w:p>
        </w:tc>
        <w:tc>
          <w:tcPr>
            <w:tcW w:w="922" w:type="dxa"/>
            <w:tcBorders>
              <w:top w:val="nil"/>
              <w:left w:val="single" w:sz="4" w:space="0" w:color="auto"/>
              <w:bottom w:val="single" w:sz="4" w:space="0" w:color="auto"/>
              <w:right w:val="single" w:sz="4" w:space="0" w:color="auto"/>
            </w:tcBorders>
            <w:shd w:val="clear" w:color="auto" w:fill="auto"/>
            <w:vAlign w:val="center"/>
          </w:tcPr>
          <w:p w:rsidR="001802A7" w:rsidRPr="0059188A" w:rsidRDefault="001802A7" w:rsidP="001802A7">
            <w:pPr>
              <w:pStyle w:val="C-TableText"/>
              <w:spacing w:before="0"/>
              <w:ind w:left="-91" w:right="-79"/>
              <w:jc w:val="center"/>
              <w:rPr>
                <w:sz w:val="18"/>
                <w:szCs w:val="18"/>
              </w:rPr>
            </w:pPr>
            <w:r w:rsidRPr="0059188A">
              <w:rPr>
                <w:sz w:val="18"/>
                <w:szCs w:val="18"/>
              </w:rPr>
              <w:t>p=0.1810</w:t>
            </w:r>
          </w:p>
        </w:tc>
        <w:tc>
          <w:tcPr>
            <w:tcW w:w="921" w:type="dxa"/>
            <w:tcBorders>
              <w:top w:val="nil"/>
              <w:left w:val="single" w:sz="4" w:space="0" w:color="auto"/>
              <w:bottom w:val="single" w:sz="4" w:space="0" w:color="auto"/>
              <w:right w:val="single" w:sz="4" w:space="0" w:color="auto"/>
            </w:tcBorders>
            <w:vAlign w:val="center"/>
          </w:tcPr>
          <w:p w:rsidR="001802A7" w:rsidRPr="0059188A" w:rsidRDefault="001802A7" w:rsidP="00BC615F">
            <w:pPr>
              <w:pStyle w:val="C-TableText"/>
              <w:spacing w:before="0"/>
              <w:ind w:left="-91" w:right="-79"/>
              <w:jc w:val="center"/>
              <w:rPr>
                <w:sz w:val="18"/>
                <w:szCs w:val="18"/>
              </w:rPr>
            </w:pPr>
          </w:p>
        </w:tc>
        <w:tc>
          <w:tcPr>
            <w:tcW w:w="921" w:type="dxa"/>
            <w:tcBorders>
              <w:top w:val="nil"/>
              <w:left w:val="single" w:sz="4" w:space="0" w:color="auto"/>
              <w:bottom w:val="single" w:sz="4" w:space="0" w:color="auto"/>
              <w:right w:val="single" w:sz="4" w:space="0" w:color="auto"/>
            </w:tcBorders>
            <w:vAlign w:val="center"/>
          </w:tcPr>
          <w:p w:rsidR="001802A7" w:rsidRPr="0059188A" w:rsidRDefault="001802A7" w:rsidP="00BC615F">
            <w:pPr>
              <w:pStyle w:val="C-TableText"/>
              <w:spacing w:before="0"/>
              <w:ind w:left="-91" w:right="-79"/>
              <w:jc w:val="center"/>
              <w:rPr>
                <w:sz w:val="18"/>
                <w:szCs w:val="18"/>
              </w:rPr>
            </w:pPr>
            <w:r w:rsidRPr="0059188A">
              <w:rPr>
                <w:sz w:val="18"/>
                <w:szCs w:val="18"/>
              </w:rPr>
              <w:t>p=0.5947</w:t>
            </w:r>
          </w:p>
        </w:tc>
        <w:tc>
          <w:tcPr>
            <w:tcW w:w="922" w:type="dxa"/>
            <w:tcBorders>
              <w:top w:val="nil"/>
              <w:left w:val="single" w:sz="4" w:space="0" w:color="auto"/>
              <w:bottom w:val="single" w:sz="4" w:space="0" w:color="auto"/>
              <w:right w:val="single" w:sz="4" w:space="0" w:color="auto"/>
            </w:tcBorders>
            <w:vAlign w:val="center"/>
          </w:tcPr>
          <w:p w:rsidR="001802A7" w:rsidRPr="0059188A" w:rsidRDefault="001802A7" w:rsidP="00BC615F">
            <w:pPr>
              <w:pStyle w:val="C-TableText"/>
              <w:spacing w:before="0"/>
              <w:ind w:left="-108" w:right="-108"/>
              <w:jc w:val="center"/>
              <w:rPr>
                <w:sz w:val="18"/>
                <w:szCs w:val="18"/>
              </w:rPr>
            </w:pPr>
          </w:p>
        </w:tc>
        <w:tc>
          <w:tcPr>
            <w:tcW w:w="921" w:type="dxa"/>
            <w:tcBorders>
              <w:top w:val="nil"/>
              <w:left w:val="single" w:sz="4" w:space="0" w:color="auto"/>
              <w:bottom w:val="single" w:sz="4" w:space="0" w:color="auto"/>
              <w:right w:val="single" w:sz="4" w:space="0" w:color="auto"/>
            </w:tcBorders>
            <w:vAlign w:val="center"/>
          </w:tcPr>
          <w:p w:rsidR="001802A7" w:rsidRPr="0059188A" w:rsidRDefault="001802A7" w:rsidP="00BC615F">
            <w:pPr>
              <w:pStyle w:val="C-TableText"/>
              <w:spacing w:before="0"/>
              <w:ind w:left="-108" w:right="-108"/>
              <w:jc w:val="center"/>
              <w:rPr>
                <w:sz w:val="18"/>
                <w:szCs w:val="18"/>
              </w:rPr>
            </w:pPr>
            <w:r w:rsidRPr="0059188A">
              <w:rPr>
                <w:sz w:val="18"/>
                <w:szCs w:val="18"/>
              </w:rPr>
              <w:t>p=0.5185</w:t>
            </w:r>
          </w:p>
        </w:tc>
        <w:tc>
          <w:tcPr>
            <w:tcW w:w="921" w:type="dxa"/>
            <w:tcBorders>
              <w:top w:val="nil"/>
              <w:left w:val="single" w:sz="4" w:space="0" w:color="auto"/>
              <w:bottom w:val="single" w:sz="4" w:space="0" w:color="auto"/>
              <w:right w:val="single" w:sz="4" w:space="0" w:color="auto"/>
            </w:tcBorders>
            <w:shd w:val="clear" w:color="auto" w:fill="auto"/>
          </w:tcPr>
          <w:p w:rsidR="001802A7" w:rsidRPr="0059188A" w:rsidRDefault="001802A7" w:rsidP="00F8008D">
            <w:pPr>
              <w:pStyle w:val="C-TableText"/>
              <w:spacing w:before="0"/>
              <w:ind w:left="-91" w:right="-79"/>
              <w:jc w:val="center"/>
              <w:rPr>
                <w:sz w:val="18"/>
                <w:szCs w:val="18"/>
              </w:rPr>
            </w:pPr>
          </w:p>
        </w:tc>
        <w:tc>
          <w:tcPr>
            <w:tcW w:w="922" w:type="dxa"/>
            <w:tcBorders>
              <w:top w:val="nil"/>
              <w:left w:val="single" w:sz="4" w:space="0" w:color="auto"/>
              <w:bottom w:val="single" w:sz="4" w:space="0" w:color="auto"/>
              <w:right w:val="single" w:sz="4" w:space="0" w:color="auto"/>
            </w:tcBorders>
            <w:shd w:val="clear" w:color="auto" w:fill="auto"/>
            <w:vAlign w:val="center"/>
          </w:tcPr>
          <w:p w:rsidR="001802A7" w:rsidRPr="0059188A" w:rsidRDefault="001802A7" w:rsidP="00F8008D">
            <w:pPr>
              <w:pStyle w:val="C-TableText"/>
              <w:spacing w:before="0"/>
              <w:ind w:left="-91" w:right="-79"/>
              <w:jc w:val="center"/>
              <w:rPr>
                <w:sz w:val="18"/>
                <w:szCs w:val="18"/>
              </w:rPr>
            </w:pPr>
            <w:r w:rsidRPr="0059188A">
              <w:rPr>
                <w:sz w:val="18"/>
                <w:szCs w:val="18"/>
              </w:rPr>
              <w:t>p=0.8887</w:t>
            </w:r>
          </w:p>
        </w:tc>
      </w:tr>
      <w:tr w:rsidR="001802A7" w:rsidRPr="0059188A" w:rsidTr="007C3358">
        <w:trPr>
          <w:cantSplit/>
          <w:jc w:val="center"/>
        </w:trPr>
        <w:tc>
          <w:tcPr>
            <w:tcW w:w="2411" w:type="dxa"/>
            <w:tcBorders>
              <w:top w:val="single" w:sz="4" w:space="0" w:color="auto"/>
              <w:left w:val="single" w:sz="4" w:space="0" w:color="auto"/>
              <w:bottom w:val="single" w:sz="4" w:space="0" w:color="auto"/>
              <w:right w:val="single" w:sz="6" w:space="0" w:color="auto"/>
            </w:tcBorders>
            <w:hideMark/>
          </w:tcPr>
          <w:p w:rsidR="001802A7" w:rsidRPr="0059188A" w:rsidRDefault="001802A7" w:rsidP="002A1B18">
            <w:pPr>
              <w:pStyle w:val="C-TableText"/>
              <w:ind w:right="-108"/>
              <w:rPr>
                <w:sz w:val="18"/>
                <w:szCs w:val="18"/>
              </w:rPr>
            </w:pPr>
            <w:r w:rsidRPr="0059188A">
              <w:rPr>
                <w:sz w:val="18"/>
                <w:szCs w:val="18"/>
              </w:rPr>
              <w:t xml:space="preserve">LS mean change in total score as measured by NEI VFQ-25 </w:t>
            </w:r>
            <w:r w:rsidRPr="0059188A">
              <w:rPr>
                <w:sz w:val="18"/>
                <w:szCs w:val="18"/>
                <w:vertAlign w:val="superscript"/>
              </w:rPr>
              <w:t>c)</w:t>
            </w:r>
            <w:r w:rsidRPr="0059188A">
              <w:rPr>
                <w:sz w:val="18"/>
                <w:szCs w:val="18"/>
              </w:rPr>
              <w:t xml:space="preserve"> from baseline</w:t>
            </w:r>
            <w:r w:rsidRPr="0059188A">
              <w:rPr>
                <w:sz w:val="18"/>
                <w:szCs w:val="18"/>
                <w:vertAlign w:val="superscript"/>
              </w:rPr>
              <w:t># §</w:t>
            </w:r>
          </w:p>
        </w:tc>
        <w:tc>
          <w:tcPr>
            <w:tcW w:w="921" w:type="dxa"/>
            <w:tcBorders>
              <w:top w:val="single" w:sz="4" w:space="0" w:color="auto"/>
              <w:left w:val="single" w:sz="6" w:space="0" w:color="auto"/>
              <w:bottom w:val="single" w:sz="4" w:space="0" w:color="auto"/>
              <w:right w:val="single" w:sz="6" w:space="0" w:color="auto"/>
            </w:tcBorders>
            <w:vAlign w:val="center"/>
          </w:tcPr>
          <w:p w:rsidR="001802A7" w:rsidRPr="0059188A" w:rsidRDefault="001802A7">
            <w:pPr>
              <w:pStyle w:val="C-TableText"/>
              <w:jc w:val="center"/>
              <w:rPr>
                <w:sz w:val="18"/>
                <w:szCs w:val="18"/>
              </w:rPr>
            </w:pPr>
            <w:r w:rsidRPr="0059188A">
              <w:rPr>
                <w:sz w:val="18"/>
                <w:szCs w:val="18"/>
              </w:rPr>
              <w:t>2.5</w:t>
            </w:r>
          </w:p>
        </w:tc>
        <w:tc>
          <w:tcPr>
            <w:tcW w:w="921" w:type="dxa"/>
            <w:tcBorders>
              <w:top w:val="single" w:sz="4" w:space="0" w:color="auto"/>
              <w:left w:val="single" w:sz="6" w:space="0" w:color="auto"/>
              <w:bottom w:val="single" w:sz="4" w:space="0" w:color="auto"/>
              <w:right w:val="single" w:sz="6" w:space="0" w:color="auto"/>
            </w:tcBorders>
            <w:vAlign w:val="center"/>
          </w:tcPr>
          <w:p w:rsidR="001802A7" w:rsidRPr="0059188A" w:rsidRDefault="001802A7">
            <w:pPr>
              <w:pStyle w:val="C-TableText"/>
              <w:jc w:val="center"/>
              <w:rPr>
                <w:sz w:val="18"/>
                <w:szCs w:val="18"/>
              </w:rPr>
            </w:pPr>
            <w:r w:rsidRPr="0059188A">
              <w:rPr>
                <w:sz w:val="18"/>
                <w:szCs w:val="18"/>
              </w:rPr>
              <w:t>8.8</w:t>
            </w:r>
          </w:p>
        </w:tc>
        <w:tc>
          <w:tcPr>
            <w:tcW w:w="922" w:type="dxa"/>
            <w:tcBorders>
              <w:top w:val="single" w:sz="4" w:space="0" w:color="auto"/>
              <w:left w:val="single" w:sz="6" w:space="0" w:color="auto"/>
              <w:bottom w:val="single" w:sz="4" w:space="0" w:color="auto"/>
              <w:right w:val="single" w:sz="6" w:space="0" w:color="auto"/>
            </w:tcBorders>
            <w:vAlign w:val="center"/>
          </w:tcPr>
          <w:p w:rsidR="001802A7" w:rsidRPr="0059188A" w:rsidRDefault="001802A7">
            <w:pPr>
              <w:pStyle w:val="C-TableText"/>
              <w:jc w:val="center"/>
              <w:rPr>
                <w:sz w:val="18"/>
                <w:szCs w:val="18"/>
              </w:rPr>
            </w:pPr>
            <w:r w:rsidRPr="0059188A">
              <w:rPr>
                <w:sz w:val="18"/>
                <w:szCs w:val="18"/>
              </w:rPr>
              <w:t>6.9</w:t>
            </w:r>
          </w:p>
        </w:tc>
        <w:tc>
          <w:tcPr>
            <w:tcW w:w="921" w:type="dxa"/>
            <w:tcBorders>
              <w:top w:val="single" w:sz="4" w:space="0" w:color="auto"/>
              <w:left w:val="single" w:sz="6" w:space="0" w:color="auto"/>
              <w:bottom w:val="single" w:sz="4" w:space="0" w:color="auto"/>
              <w:right w:val="single" w:sz="6" w:space="0" w:color="auto"/>
            </w:tcBorders>
            <w:vAlign w:val="center"/>
          </w:tcPr>
          <w:p w:rsidR="001802A7" w:rsidRPr="0059188A" w:rsidRDefault="001802A7" w:rsidP="002A1B18">
            <w:pPr>
              <w:pStyle w:val="C-TableText"/>
              <w:ind w:left="-143" w:right="-155"/>
              <w:jc w:val="center"/>
              <w:rPr>
                <w:sz w:val="18"/>
                <w:szCs w:val="18"/>
              </w:rPr>
            </w:pPr>
            <w:r w:rsidRPr="0059188A">
              <w:rPr>
                <w:sz w:val="18"/>
                <w:szCs w:val="18"/>
              </w:rPr>
              <w:t>9.</w:t>
            </w:r>
            <w:r w:rsidR="00A20FE4" w:rsidRPr="0059188A">
              <w:rPr>
                <w:sz w:val="18"/>
                <w:szCs w:val="18"/>
              </w:rPr>
              <w:t>3</w:t>
            </w:r>
          </w:p>
        </w:tc>
        <w:tc>
          <w:tcPr>
            <w:tcW w:w="921" w:type="dxa"/>
            <w:tcBorders>
              <w:top w:val="single" w:sz="4" w:space="0" w:color="auto"/>
              <w:left w:val="single" w:sz="6" w:space="0" w:color="auto"/>
              <w:bottom w:val="single" w:sz="4" w:space="0" w:color="auto"/>
              <w:right w:val="single" w:sz="6" w:space="0" w:color="auto"/>
            </w:tcBorders>
            <w:shd w:val="clear" w:color="auto" w:fill="auto"/>
            <w:vAlign w:val="center"/>
          </w:tcPr>
          <w:p w:rsidR="001802A7" w:rsidRPr="0059188A" w:rsidRDefault="001802A7">
            <w:pPr>
              <w:pStyle w:val="C-TableText"/>
              <w:jc w:val="center"/>
              <w:rPr>
                <w:sz w:val="18"/>
                <w:szCs w:val="18"/>
              </w:rPr>
            </w:pPr>
            <w:r w:rsidRPr="0059188A">
              <w:rPr>
                <w:sz w:val="18"/>
                <w:szCs w:val="18"/>
              </w:rPr>
              <w:t>3.6</w:t>
            </w:r>
          </w:p>
        </w:tc>
        <w:tc>
          <w:tcPr>
            <w:tcW w:w="922" w:type="dxa"/>
            <w:tcBorders>
              <w:top w:val="single" w:sz="4" w:space="0" w:color="auto"/>
              <w:left w:val="single" w:sz="6" w:space="0" w:color="auto"/>
              <w:bottom w:val="single" w:sz="4" w:space="0" w:color="auto"/>
              <w:right w:val="single" w:sz="6" w:space="0" w:color="auto"/>
            </w:tcBorders>
            <w:shd w:val="clear" w:color="auto" w:fill="auto"/>
            <w:vAlign w:val="center"/>
          </w:tcPr>
          <w:p w:rsidR="001802A7" w:rsidRPr="0059188A" w:rsidRDefault="001802A7">
            <w:pPr>
              <w:pStyle w:val="C-TableText"/>
              <w:jc w:val="center"/>
              <w:rPr>
                <w:sz w:val="18"/>
                <w:szCs w:val="18"/>
              </w:rPr>
            </w:pPr>
            <w:r w:rsidRPr="0059188A">
              <w:rPr>
                <w:sz w:val="18"/>
                <w:szCs w:val="18"/>
              </w:rPr>
              <w:t>6.3</w:t>
            </w:r>
          </w:p>
        </w:tc>
        <w:tc>
          <w:tcPr>
            <w:tcW w:w="921" w:type="dxa"/>
            <w:tcBorders>
              <w:top w:val="single" w:sz="4" w:space="0" w:color="auto"/>
              <w:left w:val="single" w:sz="6" w:space="0" w:color="auto"/>
              <w:bottom w:val="single" w:sz="4" w:space="0" w:color="auto"/>
              <w:right w:val="single" w:sz="6" w:space="0" w:color="auto"/>
            </w:tcBorders>
            <w:vAlign w:val="center"/>
          </w:tcPr>
          <w:p w:rsidR="001802A7" w:rsidRPr="0059188A" w:rsidRDefault="001802A7">
            <w:pPr>
              <w:pStyle w:val="C-TableText"/>
              <w:jc w:val="center"/>
              <w:rPr>
                <w:sz w:val="18"/>
                <w:szCs w:val="18"/>
              </w:rPr>
            </w:pPr>
            <w:r w:rsidRPr="0059188A">
              <w:rPr>
                <w:sz w:val="18"/>
                <w:szCs w:val="18"/>
              </w:rPr>
              <w:t>0.3</w:t>
            </w:r>
          </w:p>
        </w:tc>
        <w:tc>
          <w:tcPr>
            <w:tcW w:w="921" w:type="dxa"/>
            <w:tcBorders>
              <w:top w:val="single" w:sz="4" w:space="0" w:color="auto"/>
              <w:left w:val="single" w:sz="6" w:space="0" w:color="auto"/>
              <w:bottom w:val="single" w:sz="4" w:space="0" w:color="auto"/>
              <w:right w:val="single" w:sz="6" w:space="0" w:color="auto"/>
            </w:tcBorders>
            <w:vAlign w:val="center"/>
          </w:tcPr>
          <w:p w:rsidR="001802A7" w:rsidRPr="0059188A" w:rsidRDefault="001802A7">
            <w:pPr>
              <w:pStyle w:val="C-TableText"/>
              <w:jc w:val="center"/>
              <w:rPr>
                <w:sz w:val="18"/>
                <w:szCs w:val="18"/>
              </w:rPr>
            </w:pPr>
            <w:r w:rsidRPr="0059188A">
              <w:rPr>
                <w:sz w:val="18"/>
                <w:szCs w:val="18"/>
              </w:rPr>
              <w:t>4.5</w:t>
            </w:r>
          </w:p>
        </w:tc>
        <w:tc>
          <w:tcPr>
            <w:tcW w:w="922" w:type="dxa"/>
            <w:tcBorders>
              <w:top w:val="single" w:sz="4" w:space="0" w:color="auto"/>
              <w:left w:val="single" w:sz="6" w:space="0" w:color="auto"/>
              <w:bottom w:val="single" w:sz="4" w:space="0" w:color="auto"/>
              <w:right w:val="single" w:sz="6" w:space="0" w:color="auto"/>
            </w:tcBorders>
            <w:vAlign w:val="center"/>
          </w:tcPr>
          <w:p w:rsidR="001802A7" w:rsidRPr="0059188A" w:rsidRDefault="001802A7">
            <w:pPr>
              <w:pStyle w:val="C-TableText"/>
              <w:jc w:val="center"/>
              <w:rPr>
                <w:sz w:val="18"/>
                <w:szCs w:val="18"/>
              </w:rPr>
            </w:pPr>
            <w:r w:rsidRPr="0059188A">
              <w:rPr>
                <w:sz w:val="18"/>
                <w:szCs w:val="18"/>
              </w:rPr>
              <w:t>1.7</w:t>
            </w:r>
          </w:p>
        </w:tc>
        <w:tc>
          <w:tcPr>
            <w:tcW w:w="921" w:type="dxa"/>
            <w:tcBorders>
              <w:top w:val="single" w:sz="4" w:space="0" w:color="auto"/>
              <w:left w:val="single" w:sz="6" w:space="0" w:color="auto"/>
              <w:bottom w:val="single" w:sz="4" w:space="0" w:color="auto"/>
              <w:right w:val="single" w:sz="4" w:space="0" w:color="auto"/>
            </w:tcBorders>
            <w:vAlign w:val="center"/>
          </w:tcPr>
          <w:p w:rsidR="001802A7" w:rsidRPr="0059188A" w:rsidRDefault="001802A7">
            <w:pPr>
              <w:pStyle w:val="C-TableText"/>
              <w:jc w:val="center"/>
              <w:rPr>
                <w:sz w:val="18"/>
                <w:szCs w:val="18"/>
              </w:rPr>
            </w:pPr>
            <w:r w:rsidRPr="0059188A">
              <w:rPr>
                <w:sz w:val="18"/>
                <w:szCs w:val="18"/>
              </w:rPr>
              <w:t>5.3</w:t>
            </w:r>
          </w:p>
        </w:tc>
        <w:tc>
          <w:tcPr>
            <w:tcW w:w="921" w:type="dxa"/>
            <w:tcBorders>
              <w:top w:val="single" w:sz="4" w:space="0" w:color="auto"/>
              <w:left w:val="single" w:sz="6" w:space="0" w:color="auto"/>
              <w:bottom w:val="single" w:sz="4" w:space="0" w:color="auto"/>
              <w:right w:val="single" w:sz="4" w:space="0" w:color="auto"/>
            </w:tcBorders>
            <w:shd w:val="clear" w:color="auto" w:fill="auto"/>
            <w:vAlign w:val="center"/>
          </w:tcPr>
          <w:p w:rsidR="001802A7" w:rsidRPr="0059188A" w:rsidRDefault="001802A7" w:rsidP="00F8008D">
            <w:pPr>
              <w:pStyle w:val="C-TableText"/>
              <w:jc w:val="center"/>
              <w:rPr>
                <w:sz w:val="18"/>
                <w:szCs w:val="18"/>
              </w:rPr>
            </w:pPr>
            <w:r w:rsidRPr="0059188A">
              <w:rPr>
                <w:sz w:val="18"/>
                <w:szCs w:val="18"/>
              </w:rPr>
              <w:t>1.1</w:t>
            </w:r>
          </w:p>
        </w:tc>
        <w:tc>
          <w:tcPr>
            <w:tcW w:w="922" w:type="dxa"/>
            <w:tcBorders>
              <w:top w:val="single" w:sz="4" w:space="0" w:color="auto"/>
              <w:left w:val="single" w:sz="6" w:space="0" w:color="auto"/>
              <w:bottom w:val="single" w:sz="4" w:space="0" w:color="auto"/>
              <w:right w:val="single" w:sz="4" w:space="0" w:color="auto"/>
            </w:tcBorders>
            <w:shd w:val="clear" w:color="auto" w:fill="auto"/>
            <w:vAlign w:val="center"/>
          </w:tcPr>
          <w:p w:rsidR="001802A7" w:rsidRPr="0059188A" w:rsidRDefault="001802A7" w:rsidP="00F8008D">
            <w:pPr>
              <w:pStyle w:val="C-TableText"/>
              <w:jc w:val="center"/>
              <w:rPr>
                <w:sz w:val="18"/>
                <w:szCs w:val="18"/>
              </w:rPr>
            </w:pPr>
            <w:r w:rsidRPr="0059188A">
              <w:rPr>
                <w:sz w:val="18"/>
                <w:szCs w:val="18"/>
              </w:rPr>
              <w:t>4.0</w:t>
            </w:r>
          </w:p>
        </w:tc>
      </w:tr>
      <w:tr w:rsidR="001802A7" w:rsidRPr="0059188A" w:rsidTr="007C3358">
        <w:trPr>
          <w:cantSplit/>
          <w:jc w:val="center"/>
        </w:trPr>
        <w:tc>
          <w:tcPr>
            <w:tcW w:w="2411" w:type="dxa"/>
            <w:tcBorders>
              <w:top w:val="single" w:sz="4" w:space="0" w:color="auto"/>
              <w:left w:val="single" w:sz="6" w:space="0" w:color="auto"/>
              <w:bottom w:val="nil"/>
              <w:right w:val="single" w:sz="6" w:space="0" w:color="auto"/>
            </w:tcBorders>
            <w:hideMark/>
          </w:tcPr>
          <w:p w:rsidR="001802A7" w:rsidRPr="0059188A" w:rsidRDefault="001802A7" w:rsidP="002A1B18">
            <w:pPr>
              <w:pStyle w:val="C-TableText"/>
              <w:ind w:left="142"/>
              <w:rPr>
                <w:sz w:val="18"/>
                <w:szCs w:val="18"/>
              </w:rPr>
            </w:pPr>
            <w:r w:rsidRPr="0059188A">
              <w:rPr>
                <w:sz w:val="18"/>
                <w:szCs w:val="18"/>
              </w:rPr>
              <w:lastRenderedPageBreak/>
              <w:t xml:space="preserve">Difference in LS mean </w:t>
            </w:r>
            <w:proofErr w:type="spellStart"/>
            <w:r w:rsidRPr="0059188A">
              <w:rPr>
                <w:sz w:val="18"/>
                <w:szCs w:val="18"/>
                <w:vertAlign w:val="superscript"/>
              </w:rPr>
              <w:t>a,c,d,e</w:t>
            </w:r>
            <w:proofErr w:type="spellEnd"/>
            <w:r w:rsidRPr="0059188A">
              <w:rPr>
                <w:sz w:val="18"/>
                <w:szCs w:val="18"/>
                <w:vertAlign w:val="superscript"/>
              </w:rPr>
              <w:t>)</w:t>
            </w:r>
            <w:r w:rsidRPr="0059188A">
              <w:rPr>
                <w:sz w:val="18"/>
                <w:szCs w:val="18"/>
                <w:vertAlign w:val="superscript"/>
              </w:rPr>
              <w:br/>
            </w:r>
            <w:r w:rsidRPr="0059188A">
              <w:rPr>
                <w:sz w:val="18"/>
                <w:szCs w:val="18"/>
              </w:rPr>
              <w:t>(95% CI)</w:t>
            </w:r>
          </w:p>
        </w:tc>
        <w:tc>
          <w:tcPr>
            <w:tcW w:w="921" w:type="dxa"/>
            <w:tcBorders>
              <w:top w:val="single" w:sz="4" w:space="0" w:color="auto"/>
              <w:left w:val="single" w:sz="6" w:space="0" w:color="auto"/>
              <w:bottom w:val="nil"/>
              <w:right w:val="single" w:sz="6" w:space="0" w:color="auto"/>
            </w:tcBorders>
            <w:vAlign w:val="center"/>
          </w:tcPr>
          <w:p w:rsidR="001802A7" w:rsidRPr="0059188A" w:rsidRDefault="001802A7" w:rsidP="00BC615F">
            <w:pPr>
              <w:pStyle w:val="C-TableText"/>
              <w:ind w:left="-153" w:right="-136"/>
              <w:jc w:val="center"/>
              <w:rPr>
                <w:sz w:val="18"/>
                <w:szCs w:val="18"/>
              </w:rPr>
            </w:pPr>
          </w:p>
        </w:tc>
        <w:tc>
          <w:tcPr>
            <w:tcW w:w="921" w:type="dxa"/>
            <w:tcBorders>
              <w:top w:val="single" w:sz="4" w:space="0" w:color="auto"/>
              <w:left w:val="single" w:sz="6" w:space="0" w:color="auto"/>
              <w:bottom w:val="nil"/>
              <w:right w:val="single" w:sz="6" w:space="0" w:color="auto"/>
            </w:tcBorders>
            <w:vAlign w:val="center"/>
          </w:tcPr>
          <w:p w:rsidR="001802A7" w:rsidRPr="0059188A" w:rsidRDefault="001802A7" w:rsidP="00BE2F70">
            <w:pPr>
              <w:pStyle w:val="C-TableText"/>
              <w:ind w:left="-153" w:right="-136"/>
              <w:jc w:val="center"/>
              <w:rPr>
                <w:sz w:val="18"/>
                <w:szCs w:val="18"/>
              </w:rPr>
            </w:pPr>
            <w:r w:rsidRPr="0059188A">
              <w:rPr>
                <w:sz w:val="18"/>
                <w:szCs w:val="18"/>
              </w:rPr>
              <w:t>6.</w:t>
            </w:r>
            <w:r w:rsidR="00234066" w:rsidRPr="0059188A">
              <w:rPr>
                <w:sz w:val="18"/>
                <w:szCs w:val="18"/>
              </w:rPr>
              <w:t>3</w:t>
            </w:r>
            <w:r w:rsidRPr="0059188A">
              <w:rPr>
                <w:sz w:val="18"/>
                <w:szCs w:val="18"/>
              </w:rPr>
              <w:br/>
              <w:t>(2.6, 9.9)</w:t>
            </w:r>
          </w:p>
        </w:tc>
        <w:tc>
          <w:tcPr>
            <w:tcW w:w="922" w:type="dxa"/>
            <w:tcBorders>
              <w:top w:val="single" w:sz="4" w:space="0" w:color="auto"/>
              <w:left w:val="single" w:sz="6" w:space="0" w:color="auto"/>
              <w:bottom w:val="nil"/>
              <w:right w:val="single" w:sz="6" w:space="0" w:color="auto"/>
            </w:tcBorders>
            <w:vAlign w:val="center"/>
          </w:tcPr>
          <w:p w:rsidR="001802A7" w:rsidRPr="0059188A" w:rsidRDefault="001802A7" w:rsidP="00BC615F">
            <w:pPr>
              <w:pStyle w:val="C-TableText"/>
              <w:ind w:left="-63" w:right="-48"/>
              <w:jc w:val="center"/>
              <w:rPr>
                <w:sz w:val="18"/>
                <w:szCs w:val="18"/>
              </w:rPr>
            </w:pPr>
          </w:p>
        </w:tc>
        <w:tc>
          <w:tcPr>
            <w:tcW w:w="921" w:type="dxa"/>
            <w:tcBorders>
              <w:top w:val="single" w:sz="4" w:space="0" w:color="auto"/>
              <w:left w:val="single" w:sz="6" w:space="0" w:color="auto"/>
              <w:bottom w:val="nil"/>
              <w:right w:val="single" w:sz="6" w:space="0" w:color="auto"/>
            </w:tcBorders>
            <w:vAlign w:val="center"/>
          </w:tcPr>
          <w:p w:rsidR="001802A7" w:rsidRPr="0059188A" w:rsidRDefault="001802A7" w:rsidP="002A1B18">
            <w:pPr>
              <w:pStyle w:val="C-TableText"/>
              <w:ind w:left="-143" w:right="-155"/>
              <w:jc w:val="center"/>
              <w:rPr>
                <w:sz w:val="18"/>
                <w:szCs w:val="18"/>
              </w:rPr>
            </w:pPr>
            <w:r w:rsidRPr="0059188A">
              <w:rPr>
                <w:sz w:val="18"/>
                <w:szCs w:val="18"/>
              </w:rPr>
              <w:t>2.</w:t>
            </w:r>
            <w:r w:rsidR="00234066" w:rsidRPr="0059188A">
              <w:rPr>
                <w:sz w:val="18"/>
                <w:szCs w:val="18"/>
              </w:rPr>
              <w:t>4</w:t>
            </w:r>
          </w:p>
          <w:p w:rsidR="001802A7" w:rsidRPr="0059188A" w:rsidRDefault="001802A7" w:rsidP="002A1B18">
            <w:pPr>
              <w:pStyle w:val="C-TableText"/>
              <w:ind w:left="-143" w:right="-155"/>
              <w:jc w:val="center"/>
              <w:rPr>
                <w:sz w:val="18"/>
                <w:szCs w:val="18"/>
              </w:rPr>
            </w:pPr>
            <w:r w:rsidRPr="0059188A">
              <w:rPr>
                <w:sz w:val="18"/>
                <w:szCs w:val="18"/>
              </w:rPr>
              <w:t>(-1.4, 6.</w:t>
            </w:r>
            <w:r w:rsidR="00234066" w:rsidRPr="0059188A">
              <w:rPr>
                <w:sz w:val="18"/>
                <w:szCs w:val="18"/>
              </w:rPr>
              <w:t>2</w:t>
            </w:r>
            <w:r w:rsidRPr="0059188A">
              <w:rPr>
                <w:sz w:val="18"/>
                <w:szCs w:val="18"/>
              </w:rPr>
              <w:t>)</w:t>
            </w:r>
          </w:p>
        </w:tc>
        <w:tc>
          <w:tcPr>
            <w:tcW w:w="921" w:type="dxa"/>
            <w:tcBorders>
              <w:top w:val="single" w:sz="4" w:space="0" w:color="auto"/>
              <w:left w:val="single" w:sz="6" w:space="0" w:color="auto"/>
              <w:bottom w:val="nil"/>
              <w:right w:val="single" w:sz="6" w:space="0" w:color="auto"/>
            </w:tcBorders>
            <w:shd w:val="clear" w:color="auto" w:fill="auto"/>
          </w:tcPr>
          <w:p w:rsidR="001802A7" w:rsidRPr="0059188A" w:rsidRDefault="001802A7" w:rsidP="00BC615F">
            <w:pPr>
              <w:pStyle w:val="C-TableText"/>
              <w:ind w:left="-91" w:right="-79"/>
              <w:jc w:val="center"/>
              <w:rPr>
                <w:sz w:val="18"/>
                <w:szCs w:val="18"/>
              </w:rPr>
            </w:pPr>
          </w:p>
        </w:tc>
        <w:tc>
          <w:tcPr>
            <w:tcW w:w="922" w:type="dxa"/>
            <w:tcBorders>
              <w:top w:val="single" w:sz="4" w:space="0" w:color="auto"/>
              <w:left w:val="single" w:sz="6" w:space="0" w:color="auto"/>
              <w:bottom w:val="nil"/>
              <w:right w:val="single" w:sz="6" w:space="0" w:color="auto"/>
            </w:tcBorders>
            <w:shd w:val="clear" w:color="auto" w:fill="auto"/>
            <w:vAlign w:val="center"/>
          </w:tcPr>
          <w:p w:rsidR="001802A7" w:rsidRPr="0059188A" w:rsidRDefault="001802A7" w:rsidP="001802A7">
            <w:pPr>
              <w:pStyle w:val="C-TableText"/>
              <w:ind w:left="-113" w:right="-108"/>
              <w:jc w:val="center"/>
              <w:rPr>
                <w:sz w:val="18"/>
                <w:szCs w:val="18"/>
              </w:rPr>
            </w:pPr>
            <w:r w:rsidRPr="0059188A">
              <w:rPr>
                <w:sz w:val="18"/>
                <w:szCs w:val="18"/>
              </w:rPr>
              <w:t>2.</w:t>
            </w:r>
            <w:r w:rsidR="00234066" w:rsidRPr="0059188A">
              <w:rPr>
                <w:sz w:val="18"/>
                <w:szCs w:val="18"/>
              </w:rPr>
              <w:t>7</w:t>
            </w:r>
            <w:r w:rsidRPr="0059188A">
              <w:rPr>
                <w:sz w:val="18"/>
                <w:szCs w:val="18"/>
              </w:rPr>
              <w:br/>
            </w:r>
            <w:r w:rsidRPr="0059188A">
              <w:rPr>
                <w:spacing w:val="-6"/>
                <w:sz w:val="18"/>
                <w:szCs w:val="18"/>
              </w:rPr>
              <w:t>(</w:t>
            </w:r>
            <w:r w:rsidR="00234066" w:rsidRPr="0059188A">
              <w:rPr>
                <w:spacing w:val="-6"/>
                <w:sz w:val="18"/>
                <w:szCs w:val="18"/>
              </w:rPr>
              <w:t>-2.0</w:t>
            </w:r>
            <w:r w:rsidRPr="0059188A">
              <w:rPr>
                <w:spacing w:val="-6"/>
                <w:sz w:val="18"/>
                <w:szCs w:val="18"/>
              </w:rPr>
              <w:t xml:space="preserve">, </w:t>
            </w:r>
            <w:r w:rsidR="00234066" w:rsidRPr="0059188A">
              <w:rPr>
                <w:spacing w:val="-6"/>
                <w:sz w:val="18"/>
                <w:szCs w:val="18"/>
              </w:rPr>
              <w:t>7.3</w:t>
            </w:r>
            <w:r w:rsidRPr="0059188A">
              <w:rPr>
                <w:spacing w:val="-6"/>
                <w:sz w:val="18"/>
                <w:szCs w:val="18"/>
              </w:rPr>
              <w:t>)</w:t>
            </w:r>
          </w:p>
        </w:tc>
        <w:tc>
          <w:tcPr>
            <w:tcW w:w="921" w:type="dxa"/>
            <w:tcBorders>
              <w:top w:val="single" w:sz="4" w:space="0" w:color="auto"/>
              <w:left w:val="single" w:sz="6" w:space="0" w:color="auto"/>
              <w:bottom w:val="nil"/>
              <w:right w:val="single" w:sz="6" w:space="0" w:color="auto"/>
            </w:tcBorders>
            <w:vAlign w:val="center"/>
          </w:tcPr>
          <w:p w:rsidR="001802A7" w:rsidRPr="0059188A" w:rsidRDefault="001802A7" w:rsidP="00BC615F">
            <w:pPr>
              <w:pStyle w:val="C-TableText"/>
              <w:ind w:left="-91" w:right="-79"/>
              <w:jc w:val="center"/>
              <w:rPr>
                <w:sz w:val="18"/>
                <w:szCs w:val="18"/>
              </w:rPr>
            </w:pPr>
          </w:p>
        </w:tc>
        <w:tc>
          <w:tcPr>
            <w:tcW w:w="921" w:type="dxa"/>
            <w:tcBorders>
              <w:top w:val="single" w:sz="4" w:space="0" w:color="auto"/>
              <w:left w:val="single" w:sz="6" w:space="0" w:color="auto"/>
              <w:bottom w:val="nil"/>
              <w:right w:val="single" w:sz="6" w:space="0" w:color="auto"/>
            </w:tcBorders>
            <w:vAlign w:val="center"/>
          </w:tcPr>
          <w:p w:rsidR="001802A7" w:rsidRPr="0059188A" w:rsidRDefault="001802A7" w:rsidP="00BC615F">
            <w:pPr>
              <w:pStyle w:val="C-TableText"/>
              <w:ind w:left="-91" w:right="-79"/>
              <w:jc w:val="center"/>
              <w:rPr>
                <w:sz w:val="18"/>
                <w:szCs w:val="18"/>
              </w:rPr>
            </w:pPr>
            <w:r w:rsidRPr="0059188A">
              <w:rPr>
                <w:sz w:val="18"/>
                <w:szCs w:val="18"/>
              </w:rPr>
              <w:t>4.2</w:t>
            </w:r>
            <w:r w:rsidRPr="0059188A">
              <w:rPr>
                <w:sz w:val="18"/>
                <w:szCs w:val="18"/>
              </w:rPr>
              <w:br/>
              <w:t>(1.7, 6.8)</w:t>
            </w:r>
          </w:p>
        </w:tc>
        <w:tc>
          <w:tcPr>
            <w:tcW w:w="922" w:type="dxa"/>
            <w:tcBorders>
              <w:top w:val="single" w:sz="4" w:space="0" w:color="auto"/>
              <w:left w:val="single" w:sz="6" w:space="0" w:color="auto"/>
              <w:bottom w:val="nil"/>
              <w:right w:val="single" w:sz="6" w:space="0" w:color="auto"/>
            </w:tcBorders>
            <w:vAlign w:val="center"/>
          </w:tcPr>
          <w:p w:rsidR="001802A7" w:rsidRPr="0059188A" w:rsidRDefault="001802A7" w:rsidP="00BC615F">
            <w:pPr>
              <w:pStyle w:val="C-TableText"/>
              <w:ind w:left="-108" w:right="-108"/>
              <w:jc w:val="center"/>
              <w:rPr>
                <w:sz w:val="18"/>
                <w:szCs w:val="18"/>
              </w:rPr>
            </w:pPr>
          </w:p>
        </w:tc>
        <w:tc>
          <w:tcPr>
            <w:tcW w:w="921" w:type="dxa"/>
            <w:tcBorders>
              <w:top w:val="single" w:sz="4" w:space="0" w:color="auto"/>
              <w:left w:val="single" w:sz="6" w:space="0" w:color="auto"/>
              <w:bottom w:val="nil"/>
              <w:right w:val="single" w:sz="6" w:space="0" w:color="auto"/>
            </w:tcBorders>
            <w:vAlign w:val="center"/>
          </w:tcPr>
          <w:p w:rsidR="001802A7" w:rsidRPr="0059188A" w:rsidRDefault="001802A7" w:rsidP="00BC615F">
            <w:pPr>
              <w:pStyle w:val="C-TableText"/>
              <w:ind w:left="-108" w:right="-108"/>
              <w:jc w:val="center"/>
              <w:rPr>
                <w:sz w:val="18"/>
                <w:szCs w:val="18"/>
              </w:rPr>
            </w:pPr>
            <w:r w:rsidRPr="0059188A">
              <w:rPr>
                <w:sz w:val="18"/>
                <w:szCs w:val="18"/>
              </w:rPr>
              <w:t>3.6</w:t>
            </w:r>
            <w:r w:rsidRPr="0059188A">
              <w:rPr>
                <w:sz w:val="18"/>
                <w:szCs w:val="18"/>
              </w:rPr>
              <w:br/>
              <w:t>(1.1, 6.0)</w:t>
            </w:r>
          </w:p>
        </w:tc>
        <w:tc>
          <w:tcPr>
            <w:tcW w:w="921" w:type="dxa"/>
            <w:tcBorders>
              <w:top w:val="single" w:sz="4" w:space="0" w:color="auto"/>
              <w:left w:val="single" w:sz="6" w:space="0" w:color="auto"/>
              <w:bottom w:val="nil"/>
              <w:right w:val="single" w:sz="6" w:space="0" w:color="auto"/>
            </w:tcBorders>
            <w:shd w:val="clear" w:color="auto" w:fill="auto"/>
          </w:tcPr>
          <w:p w:rsidR="001802A7" w:rsidRPr="0059188A" w:rsidRDefault="001802A7" w:rsidP="00F8008D">
            <w:pPr>
              <w:pStyle w:val="C-TableText"/>
              <w:ind w:left="-91" w:right="-79"/>
              <w:jc w:val="center"/>
              <w:rPr>
                <w:sz w:val="18"/>
                <w:szCs w:val="18"/>
              </w:rPr>
            </w:pPr>
          </w:p>
        </w:tc>
        <w:tc>
          <w:tcPr>
            <w:tcW w:w="922" w:type="dxa"/>
            <w:tcBorders>
              <w:top w:val="single" w:sz="4" w:space="0" w:color="auto"/>
              <w:left w:val="single" w:sz="6" w:space="0" w:color="auto"/>
              <w:bottom w:val="nil"/>
              <w:right w:val="single" w:sz="6" w:space="0" w:color="auto"/>
            </w:tcBorders>
            <w:shd w:val="clear" w:color="auto" w:fill="auto"/>
            <w:vAlign w:val="center"/>
          </w:tcPr>
          <w:p w:rsidR="001802A7" w:rsidRPr="0059188A" w:rsidRDefault="001802A7" w:rsidP="001802A7">
            <w:pPr>
              <w:pStyle w:val="C-TableText"/>
              <w:ind w:left="-91" w:right="-79"/>
              <w:jc w:val="center"/>
              <w:rPr>
                <w:sz w:val="18"/>
                <w:szCs w:val="18"/>
              </w:rPr>
            </w:pPr>
            <w:r w:rsidRPr="0059188A">
              <w:rPr>
                <w:sz w:val="18"/>
                <w:szCs w:val="18"/>
              </w:rPr>
              <w:t>2.9</w:t>
            </w:r>
            <w:r w:rsidRPr="0059188A">
              <w:rPr>
                <w:sz w:val="18"/>
                <w:szCs w:val="18"/>
              </w:rPr>
              <w:br/>
              <w:t>(0.1, 5.7)</w:t>
            </w:r>
          </w:p>
        </w:tc>
      </w:tr>
      <w:tr w:rsidR="001802A7" w:rsidRPr="0059188A" w:rsidTr="007C3358">
        <w:trPr>
          <w:cantSplit/>
          <w:jc w:val="center"/>
        </w:trPr>
        <w:tc>
          <w:tcPr>
            <w:tcW w:w="2411" w:type="dxa"/>
            <w:tcBorders>
              <w:top w:val="nil"/>
              <w:left w:val="single" w:sz="4" w:space="0" w:color="auto"/>
              <w:bottom w:val="single" w:sz="4" w:space="0" w:color="auto"/>
              <w:right w:val="single" w:sz="4" w:space="0" w:color="auto"/>
            </w:tcBorders>
            <w:hideMark/>
          </w:tcPr>
          <w:p w:rsidR="001802A7" w:rsidRPr="0059188A" w:rsidRDefault="001802A7" w:rsidP="002A1B18">
            <w:pPr>
              <w:pStyle w:val="C-TableText"/>
              <w:spacing w:before="0"/>
              <w:ind w:left="142"/>
              <w:rPr>
                <w:sz w:val="18"/>
                <w:szCs w:val="18"/>
              </w:rPr>
            </w:pPr>
            <w:r w:rsidRPr="0059188A">
              <w:rPr>
                <w:sz w:val="18"/>
                <w:szCs w:val="18"/>
              </w:rPr>
              <w:t>p-value</w:t>
            </w:r>
          </w:p>
        </w:tc>
        <w:tc>
          <w:tcPr>
            <w:tcW w:w="921" w:type="dxa"/>
            <w:tcBorders>
              <w:top w:val="nil"/>
              <w:left w:val="single" w:sz="4" w:space="0" w:color="auto"/>
              <w:bottom w:val="single" w:sz="4" w:space="0" w:color="auto"/>
              <w:right w:val="single" w:sz="4" w:space="0" w:color="auto"/>
            </w:tcBorders>
            <w:vAlign w:val="center"/>
          </w:tcPr>
          <w:p w:rsidR="001802A7" w:rsidRPr="0059188A" w:rsidRDefault="001802A7" w:rsidP="00BC615F">
            <w:pPr>
              <w:pStyle w:val="C-TableText"/>
              <w:spacing w:before="0"/>
              <w:ind w:left="-153" w:right="-136"/>
              <w:jc w:val="center"/>
              <w:rPr>
                <w:sz w:val="18"/>
                <w:szCs w:val="18"/>
              </w:rPr>
            </w:pPr>
          </w:p>
        </w:tc>
        <w:tc>
          <w:tcPr>
            <w:tcW w:w="921" w:type="dxa"/>
            <w:tcBorders>
              <w:top w:val="nil"/>
              <w:left w:val="single" w:sz="4" w:space="0" w:color="auto"/>
              <w:bottom w:val="single" w:sz="4" w:space="0" w:color="auto"/>
              <w:right w:val="single" w:sz="4" w:space="0" w:color="auto"/>
            </w:tcBorders>
            <w:vAlign w:val="center"/>
          </w:tcPr>
          <w:p w:rsidR="001802A7" w:rsidRPr="0059188A" w:rsidRDefault="001802A7" w:rsidP="00BC615F">
            <w:pPr>
              <w:pStyle w:val="C-TableText"/>
              <w:spacing w:before="0"/>
              <w:ind w:left="-153" w:right="-136"/>
              <w:jc w:val="center"/>
              <w:rPr>
                <w:sz w:val="18"/>
                <w:szCs w:val="18"/>
              </w:rPr>
            </w:pPr>
            <w:r w:rsidRPr="0059188A">
              <w:rPr>
                <w:sz w:val="18"/>
                <w:szCs w:val="18"/>
              </w:rPr>
              <w:t>p=0.0009</w:t>
            </w:r>
          </w:p>
        </w:tc>
        <w:tc>
          <w:tcPr>
            <w:tcW w:w="922" w:type="dxa"/>
            <w:tcBorders>
              <w:top w:val="nil"/>
              <w:left w:val="single" w:sz="4" w:space="0" w:color="auto"/>
              <w:bottom w:val="single" w:sz="4" w:space="0" w:color="auto"/>
              <w:right w:val="single" w:sz="4" w:space="0" w:color="auto"/>
            </w:tcBorders>
            <w:vAlign w:val="center"/>
          </w:tcPr>
          <w:p w:rsidR="001802A7" w:rsidRPr="0059188A" w:rsidRDefault="001802A7" w:rsidP="00BC615F">
            <w:pPr>
              <w:pStyle w:val="C-TableText"/>
              <w:spacing w:before="0"/>
              <w:ind w:left="-63" w:right="-48"/>
              <w:jc w:val="center"/>
              <w:rPr>
                <w:sz w:val="18"/>
                <w:szCs w:val="18"/>
              </w:rPr>
            </w:pPr>
          </w:p>
        </w:tc>
        <w:tc>
          <w:tcPr>
            <w:tcW w:w="921" w:type="dxa"/>
            <w:tcBorders>
              <w:top w:val="nil"/>
              <w:left w:val="single" w:sz="4" w:space="0" w:color="auto"/>
              <w:bottom w:val="single" w:sz="4" w:space="0" w:color="auto"/>
              <w:right w:val="single" w:sz="4" w:space="0" w:color="auto"/>
            </w:tcBorders>
            <w:vAlign w:val="center"/>
          </w:tcPr>
          <w:p w:rsidR="001802A7" w:rsidRPr="0059188A" w:rsidRDefault="001802A7" w:rsidP="002A1B18">
            <w:pPr>
              <w:pStyle w:val="C-TableText"/>
              <w:ind w:left="-143" w:right="-155"/>
              <w:jc w:val="center"/>
              <w:rPr>
                <w:sz w:val="18"/>
                <w:szCs w:val="18"/>
              </w:rPr>
            </w:pPr>
            <w:r w:rsidRPr="0059188A">
              <w:rPr>
                <w:sz w:val="18"/>
                <w:szCs w:val="18"/>
              </w:rPr>
              <w:t>p=0.2164</w:t>
            </w:r>
          </w:p>
        </w:tc>
        <w:tc>
          <w:tcPr>
            <w:tcW w:w="921" w:type="dxa"/>
            <w:tcBorders>
              <w:top w:val="nil"/>
              <w:left w:val="single" w:sz="4" w:space="0" w:color="auto"/>
              <w:bottom w:val="single" w:sz="4" w:space="0" w:color="auto"/>
              <w:right w:val="single" w:sz="4" w:space="0" w:color="auto"/>
            </w:tcBorders>
            <w:shd w:val="clear" w:color="auto" w:fill="auto"/>
          </w:tcPr>
          <w:p w:rsidR="001802A7" w:rsidRPr="0059188A" w:rsidRDefault="001802A7" w:rsidP="00BC615F">
            <w:pPr>
              <w:pStyle w:val="C-TableText"/>
              <w:spacing w:before="0"/>
              <w:ind w:left="-91" w:right="-79"/>
              <w:jc w:val="center"/>
              <w:rPr>
                <w:sz w:val="18"/>
                <w:szCs w:val="18"/>
              </w:rPr>
            </w:pPr>
          </w:p>
        </w:tc>
        <w:tc>
          <w:tcPr>
            <w:tcW w:w="922" w:type="dxa"/>
            <w:tcBorders>
              <w:top w:val="nil"/>
              <w:left w:val="single" w:sz="4" w:space="0" w:color="auto"/>
              <w:bottom w:val="single" w:sz="4" w:space="0" w:color="auto"/>
              <w:right w:val="single" w:sz="4" w:space="0" w:color="auto"/>
            </w:tcBorders>
            <w:shd w:val="clear" w:color="auto" w:fill="auto"/>
            <w:vAlign w:val="center"/>
          </w:tcPr>
          <w:p w:rsidR="001802A7" w:rsidRPr="0059188A" w:rsidRDefault="001802A7" w:rsidP="00BC615F">
            <w:pPr>
              <w:pStyle w:val="C-TableText"/>
              <w:spacing w:before="0"/>
              <w:ind w:left="-91" w:right="-79"/>
              <w:jc w:val="center"/>
              <w:rPr>
                <w:sz w:val="18"/>
                <w:szCs w:val="18"/>
              </w:rPr>
            </w:pPr>
            <w:r w:rsidRPr="0059188A">
              <w:rPr>
                <w:sz w:val="18"/>
                <w:szCs w:val="18"/>
              </w:rPr>
              <w:t>p=0.2628</w:t>
            </w:r>
          </w:p>
        </w:tc>
        <w:tc>
          <w:tcPr>
            <w:tcW w:w="921" w:type="dxa"/>
            <w:tcBorders>
              <w:top w:val="nil"/>
              <w:left w:val="single" w:sz="4" w:space="0" w:color="auto"/>
              <w:bottom w:val="single" w:sz="4" w:space="0" w:color="auto"/>
              <w:right w:val="single" w:sz="4" w:space="0" w:color="auto"/>
            </w:tcBorders>
            <w:vAlign w:val="center"/>
          </w:tcPr>
          <w:p w:rsidR="001802A7" w:rsidRPr="0059188A" w:rsidRDefault="001802A7" w:rsidP="00BC615F">
            <w:pPr>
              <w:pStyle w:val="C-TableText"/>
              <w:spacing w:before="0"/>
              <w:ind w:left="-91" w:right="-79"/>
              <w:jc w:val="center"/>
              <w:rPr>
                <w:sz w:val="18"/>
                <w:szCs w:val="18"/>
              </w:rPr>
            </w:pPr>
          </w:p>
        </w:tc>
        <w:tc>
          <w:tcPr>
            <w:tcW w:w="921" w:type="dxa"/>
            <w:tcBorders>
              <w:top w:val="nil"/>
              <w:left w:val="single" w:sz="4" w:space="0" w:color="auto"/>
              <w:bottom w:val="single" w:sz="4" w:space="0" w:color="auto"/>
              <w:right w:val="single" w:sz="4" w:space="0" w:color="auto"/>
            </w:tcBorders>
            <w:vAlign w:val="center"/>
          </w:tcPr>
          <w:p w:rsidR="001802A7" w:rsidRPr="0059188A" w:rsidRDefault="001802A7" w:rsidP="00BC615F">
            <w:pPr>
              <w:pStyle w:val="C-TableText"/>
              <w:spacing w:before="0"/>
              <w:ind w:left="-91" w:right="-79"/>
              <w:jc w:val="center"/>
              <w:rPr>
                <w:sz w:val="18"/>
                <w:szCs w:val="18"/>
              </w:rPr>
            </w:pPr>
            <w:r w:rsidRPr="0059188A">
              <w:rPr>
                <w:sz w:val="18"/>
                <w:szCs w:val="18"/>
              </w:rPr>
              <w:t>p=0.0013</w:t>
            </w:r>
          </w:p>
        </w:tc>
        <w:tc>
          <w:tcPr>
            <w:tcW w:w="922" w:type="dxa"/>
            <w:tcBorders>
              <w:top w:val="nil"/>
              <w:left w:val="single" w:sz="4" w:space="0" w:color="auto"/>
              <w:bottom w:val="single" w:sz="4" w:space="0" w:color="auto"/>
              <w:right w:val="single" w:sz="4" w:space="0" w:color="auto"/>
            </w:tcBorders>
            <w:vAlign w:val="center"/>
          </w:tcPr>
          <w:p w:rsidR="001802A7" w:rsidRPr="0059188A" w:rsidRDefault="001802A7" w:rsidP="00BC615F">
            <w:pPr>
              <w:pStyle w:val="C-TableText"/>
              <w:spacing w:before="0"/>
              <w:ind w:left="-108" w:right="-108"/>
              <w:jc w:val="center"/>
              <w:rPr>
                <w:sz w:val="18"/>
                <w:szCs w:val="18"/>
              </w:rPr>
            </w:pPr>
          </w:p>
        </w:tc>
        <w:tc>
          <w:tcPr>
            <w:tcW w:w="921" w:type="dxa"/>
            <w:tcBorders>
              <w:top w:val="nil"/>
              <w:left w:val="single" w:sz="4" w:space="0" w:color="auto"/>
              <w:bottom w:val="single" w:sz="4" w:space="0" w:color="auto"/>
              <w:right w:val="single" w:sz="4" w:space="0" w:color="auto"/>
            </w:tcBorders>
            <w:vAlign w:val="center"/>
          </w:tcPr>
          <w:p w:rsidR="001802A7" w:rsidRPr="0059188A" w:rsidRDefault="001802A7" w:rsidP="00BC615F">
            <w:pPr>
              <w:pStyle w:val="C-TableText"/>
              <w:spacing w:before="0"/>
              <w:ind w:left="-108" w:right="-108"/>
              <w:jc w:val="center"/>
              <w:rPr>
                <w:sz w:val="18"/>
                <w:szCs w:val="18"/>
              </w:rPr>
            </w:pPr>
            <w:r w:rsidRPr="0059188A">
              <w:rPr>
                <w:sz w:val="18"/>
                <w:szCs w:val="18"/>
              </w:rPr>
              <w:t>p=0.0049</w:t>
            </w:r>
          </w:p>
        </w:tc>
        <w:tc>
          <w:tcPr>
            <w:tcW w:w="921" w:type="dxa"/>
            <w:tcBorders>
              <w:top w:val="nil"/>
              <w:left w:val="single" w:sz="4" w:space="0" w:color="auto"/>
              <w:bottom w:val="single" w:sz="4" w:space="0" w:color="auto"/>
              <w:right w:val="single" w:sz="4" w:space="0" w:color="auto"/>
            </w:tcBorders>
            <w:shd w:val="clear" w:color="auto" w:fill="auto"/>
          </w:tcPr>
          <w:p w:rsidR="001802A7" w:rsidRPr="0059188A" w:rsidRDefault="001802A7" w:rsidP="00F8008D">
            <w:pPr>
              <w:pStyle w:val="C-TableText"/>
              <w:spacing w:before="0"/>
              <w:ind w:left="-91" w:right="-79"/>
              <w:jc w:val="center"/>
              <w:rPr>
                <w:sz w:val="18"/>
                <w:szCs w:val="18"/>
              </w:rPr>
            </w:pPr>
          </w:p>
        </w:tc>
        <w:tc>
          <w:tcPr>
            <w:tcW w:w="922" w:type="dxa"/>
            <w:tcBorders>
              <w:top w:val="nil"/>
              <w:left w:val="single" w:sz="4" w:space="0" w:color="auto"/>
              <w:bottom w:val="single" w:sz="4" w:space="0" w:color="auto"/>
              <w:right w:val="single" w:sz="4" w:space="0" w:color="auto"/>
            </w:tcBorders>
            <w:shd w:val="clear" w:color="auto" w:fill="auto"/>
            <w:vAlign w:val="center"/>
          </w:tcPr>
          <w:p w:rsidR="001802A7" w:rsidRPr="0059188A" w:rsidRDefault="001802A7" w:rsidP="00F8008D">
            <w:pPr>
              <w:pStyle w:val="C-TableText"/>
              <w:spacing w:before="0"/>
              <w:ind w:left="-91" w:right="-79"/>
              <w:jc w:val="center"/>
              <w:rPr>
                <w:sz w:val="18"/>
                <w:szCs w:val="18"/>
              </w:rPr>
            </w:pPr>
            <w:r w:rsidRPr="0059188A">
              <w:rPr>
                <w:sz w:val="18"/>
                <w:szCs w:val="18"/>
              </w:rPr>
              <w:t>p=0.0445</w:t>
            </w:r>
          </w:p>
        </w:tc>
      </w:tr>
    </w:tbl>
    <w:p w:rsidR="00604ED0" w:rsidRPr="0059188A" w:rsidRDefault="00604ED0" w:rsidP="00604ED0">
      <w:pPr>
        <w:pStyle w:val="BayerBodyTextFull"/>
        <w:keepNext/>
        <w:tabs>
          <w:tab w:val="left" w:pos="240"/>
        </w:tabs>
        <w:spacing w:before="0" w:after="0"/>
        <w:rPr>
          <w:sz w:val="20"/>
        </w:rPr>
      </w:pPr>
      <w:r w:rsidRPr="0059188A">
        <w:rPr>
          <w:sz w:val="20"/>
          <w:vertAlign w:val="superscript"/>
        </w:rPr>
        <w:t xml:space="preserve">a) </w:t>
      </w:r>
      <w:r w:rsidRPr="0059188A">
        <w:rPr>
          <w:sz w:val="20"/>
        </w:rPr>
        <w:tab/>
        <w:t>Difference is EYLEA 2 mg Q4 weeks minus control</w:t>
      </w:r>
    </w:p>
    <w:p w:rsidR="00604ED0" w:rsidRPr="0059188A" w:rsidRDefault="00604ED0" w:rsidP="00604ED0">
      <w:pPr>
        <w:pStyle w:val="BayerBodyTextFull"/>
        <w:keepNext/>
        <w:spacing w:before="0" w:after="0"/>
        <w:ind w:left="240" w:hanging="240"/>
        <w:rPr>
          <w:sz w:val="20"/>
        </w:rPr>
      </w:pPr>
      <w:r w:rsidRPr="0059188A">
        <w:rPr>
          <w:sz w:val="20"/>
          <w:vertAlign w:val="superscript"/>
        </w:rPr>
        <w:t>b)</w:t>
      </w:r>
      <w:r w:rsidRPr="0059188A">
        <w:rPr>
          <w:sz w:val="20"/>
        </w:rPr>
        <w:tab/>
        <w:t>Difference and confidence interval (CI) are calculated using Cochran-Mantel-</w:t>
      </w:r>
      <w:proofErr w:type="spellStart"/>
      <w:r w:rsidRPr="0059188A">
        <w:rPr>
          <w:sz w:val="20"/>
        </w:rPr>
        <w:t>Haenszel</w:t>
      </w:r>
      <w:proofErr w:type="spellEnd"/>
      <w:r w:rsidRPr="0059188A">
        <w:rPr>
          <w:sz w:val="20"/>
        </w:rPr>
        <w:t xml:space="preserve"> (CMH) test adjusted for region (America vs. rest of the world for COPERNICUS and Europe vs. Asia/Pacific for GALILEO) and baseline BCVA category (&gt; 20/200 and ≤ 20/200)</w:t>
      </w:r>
    </w:p>
    <w:p w:rsidR="00604ED0" w:rsidRPr="00872D2E" w:rsidRDefault="00604ED0" w:rsidP="00604ED0">
      <w:pPr>
        <w:pStyle w:val="BayerBodyTextFull"/>
        <w:keepNext/>
        <w:spacing w:before="0" w:after="0"/>
        <w:ind w:left="240" w:hanging="240"/>
        <w:rPr>
          <w:sz w:val="20"/>
        </w:rPr>
      </w:pPr>
      <w:r w:rsidRPr="0059188A">
        <w:rPr>
          <w:sz w:val="20"/>
          <w:vertAlign w:val="superscript"/>
        </w:rPr>
        <w:t>c)</w:t>
      </w:r>
      <w:r w:rsidRPr="0059188A">
        <w:rPr>
          <w:sz w:val="20"/>
        </w:rPr>
        <w:tab/>
        <w:t>BCVA: Best Corrected Visual Acuity</w:t>
      </w:r>
      <w:r w:rsidRPr="0059188A">
        <w:rPr>
          <w:sz w:val="20"/>
        </w:rPr>
        <w:br/>
        <w:t>ETDRS: Early Treatment Diabetic Retinopathy Study</w:t>
      </w:r>
      <w:r w:rsidRPr="0059188A">
        <w:rPr>
          <w:sz w:val="20"/>
        </w:rPr>
        <w:br/>
        <w:t>LOCF: Last Observation Carried Forward</w:t>
      </w:r>
      <w:r w:rsidRPr="0059188A">
        <w:rPr>
          <w:sz w:val="20"/>
        </w:rPr>
        <w:br/>
      </w:r>
      <w:r w:rsidR="001A577E" w:rsidRPr="0059188A">
        <w:rPr>
          <w:sz w:val="20"/>
        </w:rPr>
        <w:t>NEI VFQ-25: National Eye Institute Visual Function Questionnaire</w:t>
      </w:r>
      <w:r w:rsidRPr="0059188A">
        <w:rPr>
          <w:sz w:val="20"/>
        </w:rPr>
        <w:br/>
        <w:t>LS: Least Square means derived from ANCOVA</w:t>
      </w:r>
      <w:r w:rsidRPr="0059188A">
        <w:rPr>
          <w:sz w:val="20"/>
        </w:rPr>
        <w:br/>
        <w:t xml:space="preserve">SD: Standard </w:t>
      </w:r>
      <w:r w:rsidRPr="00872D2E">
        <w:rPr>
          <w:sz w:val="20"/>
        </w:rPr>
        <w:t>Deviation</w:t>
      </w:r>
    </w:p>
    <w:p w:rsidR="00604ED0" w:rsidRPr="00872D2E" w:rsidRDefault="00604ED0" w:rsidP="00604ED0">
      <w:pPr>
        <w:pStyle w:val="BayerBodyTextFull"/>
        <w:keepNext/>
        <w:spacing w:before="0" w:after="0"/>
        <w:ind w:left="240" w:hanging="240"/>
        <w:rPr>
          <w:sz w:val="20"/>
        </w:rPr>
      </w:pPr>
      <w:r w:rsidRPr="00872D2E">
        <w:rPr>
          <w:sz w:val="20"/>
          <w:vertAlign w:val="superscript"/>
        </w:rPr>
        <w:t>d)</w:t>
      </w:r>
      <w:r w:rsidRPr="00872D2E">
        <w:rPr>
          <w:sz w:val="20"/>
        </w:rPr>
        <w:tab/>
        <w:t>LS mean difference and confidence interval based on an ANCOVA model with factors treatment group, region (America vs. rest of the world for COPERNICUS and Europe vs. Asia/Pacific for GALILEO) and baseline BCVA category (&gt; 20/200 and ≤ 20/200)</w:t>
      </w:r>
    </w:p>
    <w:p w:rsidR="009D7C43" w:rsidRPr="00872D2E" w:rsidRDefault="00604ED0" w:rsidP="00604ED0">
      <w:pPr>
        <w:ind w:left="240" w:hanging="240"/>
        <w:jc w:val="both"/>
        <w:rPr>
          <w:sz w:val="20"/>
        </w:rPr>
      </w:pPr>
      <w:r w:rsidRPr="00872D2E">
        <w:rPr>
          <w:sz w:val="20"/>
          <w:vertAlign w:val="superscript"/>
        </w:rPr>
        <w:t>e)</w:t>
      </w:r>
      <w:r w:rsidRPr="00872D2E">
        <w:rPr>
          <w:sz w:val="20"/>
        </w:rPr>
        <w:tab/>
        <w:t>In COPERNICUS</w:t>
      </w:r>
      <w:r w:rsidR="003D5366" w:rsidRPr="00872D2E">
        <w:rPr>
          <w:sz w:val="20"/>
        </w:rPr>
        <w:t xml:space="preserve"> study</w:t>
      </w:r>
      <w:r w:rsidRPr="00872D2E">
        <w:rPr>
          <w:sz w:val="20"/>
        </w:rPr>
        <w:t xml:space="preserve">, control group patients </w:t>
      </w:r>
      <w:r w:rsidR="003D5366" w:rsidRPr="00872D2E">
        <w:rPr>
          <w:sz w:val="20"/>
        </w:rPr>
        <w:t xml:space="preserve">could </w:t>
      </w:r>
      <w:r w:rsidRPr="00872D2E">
        <w:rPr>
          <w:sz w:val="20"/>
        </w:rPr>
        <w:t>receive EYLEA on an as-needed basis</w:t>
      </w:r>
      <w:r w:rsidR="003D5366" w:rsidRPr="00872D2E">
        <w:rPr>
          <w:sz w:val="20"/>
        </w:rPr>
        <w:t xml:space="preserve"> as frequent</w:t>
      </w:r>
      <w:r w:rsidR="00E83573" w:rsidRPr="00872D2E">
        <w:rPr>
          <w:sz w:val="20"/>
        </w:rPr>
        <w:t>ly</w:t>
      </w:r>
      <w:r w:rsidR="003D5366" w:rsidRPr="00872D2E">
        <w:rPr>
          <w:sz w:val="20"/>
        </w:rPr>
        <w:t xml:space="preserve"> as every 4 weeks</w:t>
      </w:r>
      <w:r w:rsidRPr="00872D2E">
        <w:rPr>
          <w:sz w:val="20"/>
        </w:rPr>
        <w:t xml:space="preserve"> during week 24 to week 52</w:t>
      </w:r>
      <w:r w:rsidR="00872D2E">
        <w:rPr>
          <w:sz w:val="20"/>
        </w:rPr>
        <w:t>; patients had visits every 4 weeks</w:t>
      </w:r>
    </w:p>
    <w:p w:rsidR="00872D2E" w:rsidRDefault="002A1B18" w:rsidP="002A1B18">
      <w:pPr>
        <w:pStyle w:val="BayerBodyTextFull"/>
        <w:spacing w:before="0" w:after="0"/>
        <w:ind w:left="240" w:right="-133" w:hanging="240"/>
        <w:rPr>
          <w:sz w:val="20"/>
          <w:lang w:eastAsia="zh-CN"/>
        </w:rPr>
      </w:pPr>
      <w:r w:rsidRPr="00872D2E">
        <w:rPr>
          <w:sz w:val="20"/>
          <w:vertAlign w:val="superscript"/>
          <w:lang w:eastAsia="zh-CN"/>
        </w:rPr>
        <w:t>f</w:t>
      </w:r>
      <w:r w:rsidRPr="00872D2E">
        <w:rPr>
          <w:sz w:val="20"/>
          <w:vertAlign w:val="superscript"/>
        </w:rPr>
        <w:t xml:space="preserve">)   </w:t>
      </w:r>
      <w:r w:rsidRPr="00872D2E">
        <w:rPr>
          <w:rFonts w:hint="eastAsia"/>
          <w:sz w:val="20"/>
          <w:lang w:eastAsia="zh-CN"/>
        </w:rPr>
        <w:t xml:space="preserve">In </w:t>
      </w:r>
      <w:r w:rsidRPr="00872D2E">
        <w:rPr>
          <w:sz w:val="20"/>
          <w:lang w:eastAsia="zh-CN"/>
        </w:rPr>
        <w:t xml:space="preserve">COPERNICUS </w:t>
      </w:r>
      <w:r w:rsidRPr="00872D2E">
        <w:rPr>
          <w:rFonts w:hint="eastAsia"/>
          <w:sz w:val="20"/>
          <w:lang w:eastAsia="zh-CN"/>
        </w:rPr>
        <w:t xml:space="preserve">study, </w:t>
      </w:r>
      <w:r w:rsidRPr="00872D2E">
        <w:rPr>
          <w:sz w:val="20"/>
          <w:lang w:eastAsia="zh-CN"/>
        </w:rPr>
        <w:t xml:space="preserve">both </w:t>
      </w:r>
      <w:r w:rsidRPr="00872D2E">
        <w:rPr>
          <w:rFonts w:hint="eastAsia"/>
          <w:sz w:val="20"/>
          <w:lang w:eastAsia="zh-CN"/>
        </w:rPr>
        <w:t xml:space="preserve">control group </w:t>
      </w:r>
      <w:r w:rsidRPr="00872D2E">
        <w:rPr>
          <w:sz w:val="20"/>
          <w:lang w:eastAsia="zh-CN"/>
        </w:rPr>
        <w:t xml:space="preserve">and </w:t>
      </w:r>
      <w:r w:rsidR="00B13B15" w:rsidRPr="00872D2E">
        <w:rPr>
          <w:sz w:val="20"/>
          <w:lang w:eastAsia="zh-CN"/>
        </w:rPr>
        <w:t>EYLEA</w:t>
      </w:r>
      <w:r w:rsidRPr="00872D2E">
        <w:rPr>
          <w:sz w:val="20"/>
          <w:lang w:eastAsia="zh-CN"/>
        </w:rPr>
        <w:t xml:space="preserve"> 2</w:t>
      </w:r>
      <w:r w:rsidR="00B13B15" w:rsidRPr="00872D2E">
        <w:rPr>
          <w:sz w:val="20"/>
          <w:lang w:eastAsia="zh-CN"/>
        </w:rPr>
        <w:t xml:space="preserve"> </w:t>
      </w:r>
      <w:r w:rsidRPr="00872D2E">
        <w:rPr>
          <w:sz w:val="20"/>
          <w:lang w:eastAsia="zh-CN"/>
        </w:rPr>
        <w:t xml:space="preserve">mg </w:t>
      </w:r>
      <w:r w:rsidRPr="00872D2E">
        <w:rPr>
          <w:rFonts w:hint="eastAsia"/>
          <w:sz w:val="20"/>
          <w:lang w:eastAsia="zh-CN"/>
        </w:rPr>
        <w:t xml:space="preserve">patients </w:t>
      </w:r>
      <w:r w:rsidRPr="00872D2E">
        <w:rPr>
          <w:sz w:val="20"/>
          <w:lang w:eastAsia="zh-CN"/>
        </w:rPr>
        <w:t xml:space="preserve">received </w:t>
      </w:r>
      <w:r w:rsidR="00B13B15" w:rsidRPr="00872D2E">
        <w:rPr>
          <w:sz w:val="20"/>
          <w:lang w:eastAsia="zh-CN"/>
        </w:rPr>
        <w:t>EYLEA</w:t>
      </w:r>
      <w:r w:rsidRPr="00872D2E">
        <w:rPr>
          <w:sz w:val="20"/>
          <w:lang w:eastAsia="zh-CN"/>
        </w:rPr>
        <w:t xml:space="preserve"> 2 mg on an as-needed basis as frequently as every 4 weeks starting from Week 52 to Week </w:t>
      </w:r>
      <w:r w:rsidR="00B53D8A" w:rsidRPr="00872D2E">
        <w:rPr>
          <w:sz w:val="20"/>
          <w:lang w:eastAsia="zh-CN"/>
        </w:rPr>
        <w:t>96</w:t>
      </w:r>
      <w:r w:rsidR="00872D2E">
        <w:rPr>
          <w:sz w:val="20"/>
          <w:lang w:eastAsia="zh-CN"/>
        </w:rPr>
        <w:t>; patients had mandatory quarterly visits but may have been seen as frequently as every 4 weeks if necessary</w:t>
      </w:r>
      <w:r w:rsidR="00B53D8A" w:rsidRPr="00872D2E">
        <w:rPr>
          <w:sz w:val="20"/>
          <w:lang w:eastAsia="zh-CN"/>
        </w:rPr>
        <w:t xml:space="preserve"> </w:t>
      </w:r>
    </w:p>
    <w:p w:rsidR="002A1B18" w:rsidRPr="00872D2E" w:rsidRDefault="002A1B18" w:rsidP="002A1B18">
      <w:pPr>
        <w:pStyle w:val="BayerBodyTextFull"/>
        <w:spacing w:before="0" w:after="0"/>
        <w:ind w:left="240" w:right="-133" w:hanging="240"/>
        <w:rPr>
          <w:sz w:val="20"/>
        </w:rPr>
      </w:pPr>
      <w:r w:rsidRPr="00872D2E">
        <w:rPr>
          <w:sz w:val="20"/>
          <w:vertAlign w:val="superscript"/>
        </w:rPr>
        <w:t xml:space="preserve">g)   </w:t>
      </w:r>
      <w:r w:rsidRPr="00872D2E">
        <w:rPr>
          <w:rFonts w:hint="eastAsia"/>
          <w:sz w:val="20"/>
          <w:lang w:eastAsia="zh-CN"/>
        </w:rPr>
        <w:t xml:space="preserve">In </w:t>
      </w:r>
      <w:r w:rsidRPr="00872D2E">
        <w:rPr>
          <w:sz w:val="20"/>
          <w:lang w:eastAsia="zh-CN"/>
        </w:rPr>
        <w:t xml:space="preserve">GALILEO </w:t>
      </w:r>
      <w:r w:rsidRPr="00872D2E">
        <w:rPr>
          <w:rFonts w:hint="eastAsia"/>
          <w:sz w:val="20"/>
          <w:lang w:eastAsia="zh-CN"/>
        </w:rPr>
        <w:t xml:space="preserve">study, </w:t>
      </w:r>
      <w:r w:rsidRPr="00872D2E">
        <w:rPr>
          <w:sz w:val="20"/>
          <w:lang w:eastAsia="zh-CN"/>
        </w:rPr>
        <w:t xml:space="preserve">both </w:t>
      </w:r>
      <w:r w:rsidRPr="00872D2E">
        <w:rPr>
          <w:rFonts w:hint="eastAsia"/>
          <w:sz w:val="20"/>
          <w:lang w:eastAsia="zh-CN"/>
        </w:rPr>
        <w:t xml:space="preserve">control group </w:t>
      </w:r>
      <w:r w:rsidRPr="00872D2E">
        <w:rPr>
          <w:sz w:val="20"/>
          <w:lang w:eastAsia="zh-CN"/>
        </w:rPr>
        <w:t xml:space="preserve">and </w:t>
      </w:r>
      <w:r w:rsidR="00B13B15" w:rsidRPr="00872D2E">
        <w:rPr>
          <w:sz w:val="20"/>
          <w:lang w:eastAsia="zh-CN"/>
        </w:rPr>
        <w:t>EYLEA</w:t>
      </w:r>
      <w:r w:rsidRPr="00872D2E">
        <w:rPr>
          <w:sz w:val="20"/>
          <w:lang w:eastAsia="zh-CN"/>
        </w:rPr>
        <w:t xml:space="preserve"> 2</w:t>
      </w:r>
      <w:r w:rsidR="00B13B15" w:rsidRPr="00872D2E">
        <w:rPr>
          <w:sz w:val="20"/>
          <w:lang w:eastAsia="zh-CN"/>
        </w:rPr>
        <w:t xml:space="preserve"> </w:t>
      </w:r>
      <w:r w:rsidRPr="00872D2E">
        <w:rPr>
          <w:sz w:val="20"/>
          <w:lang w:eastAsia="zh-CN"/>
        </w:rPr>
        <w:t xml:space="preserve">mg </w:t>
      </w:r>
      <w:r w:rsidRPr="00872D2E">
        <w:rPr>
          <w:rFonts w:hint="eastAsia"/>
          <w:sz w:val="20"/>
          <w:lang w:eastAsia="zh-CN"/>
        </w:rPr>
        <w:t xml:space="preserve">patients received </w:t>
      </w:r>
      <w:r w:rsidR="00B13B15" w:rsidRPr="00872D2E">
        <w:rPr>
          <w:sz w:val="20"/>
          <w:lang w:eastAsia="zh-CN"/>
        </w:rPr>
        <w:t>EYLEA</w:t>
      </w:r>
      <w:r w:rsidRPr="00872D2E">
        <w:rPr>
          <w:sz w:val="20"/>
          <w:lang w:eastAsia="zh-CN"/>
        </w:rPr>
        <w:t xml:space="preserve"> 2 mg on an as-needed basis every 8 weeks starting from Week 52 to Week 68</w:t>
      </w:r>
      <w:r w:rsidR="00872D2E">
        <w:rPr>
          <w:sz w:val="20"/>
          <w:lang w:eastAsia="zh-CN"/>
        </w:rPr>
        <w:t>; patients had mandatory visits every 8 weeks</w:t>
      </w:r>
    </w:p>
    <w:p w:rsidR="008E4A35" w:rsidRPr="00872D2E" w:rsidRDefault="008E4A35" w:rsidP="00604ED0">
      <w:pPr>
        <w:ind w:left="240" w:hanging="240"/>
        <w:jc w:val="both"/>
        <w:rPr>
          <w:sz w:val="20"/>
          <w:szCs w:val="20"/>
        </w:rPr>
      </w:pPr>
      <w:r w:rsidRPr="00872D2E">
        <w:rPr>
          <w:sz w:val="20"/>
          <w:szCs w:val="20"/>
          <w:vertAlign w:val="superscript"/>
        </w:rPr>
        <w:t>*</w:t>
      </w:r>
      <w:r w:rsidR="00604ED0" w:rsidRPr="00872D2E">
        <w:rPr>
          <w:sz w:val="20"/>
          <w:szCs w:val="20"/>
          <w:vertAlign w:val="superscript"/>
        </w:rPr>
        <w:tab/>
      </w:r>
      <w:r w:rsidRPr="00872D2E">
        <w:rPr>
          <w:sz w:val="20"/>
          <w:szCs w:val="20"/>
        </w:rPr>
        <w:t>Primary endpoint</w:t>
      </w:r>
    </w:p>
    <w:p w:rsidR="008E4A35" w:rsidRPr="00872D2E" w:rsidRDefault="008E4A35" w:rsidP="00604ED0">
      <w:pPr>
        <w:ind w:left="240" w:hanging="240"/>
        <w:jc w:val="both"/>
        <w:rPr>
          <w:sz w:val="20"/>
          <w:szCs w:val="20"/>
        </w:rPr>
      </w:pPr>
      <w:r w:rsidRPr="00872D2E">
        <w:rPr>
          <w:sz w:val="20"/>
          <w:szCs w:val="20"/>
          <w:vertAlign w:val="superscript"/>
        </w:rPr>
        <w:t>#</w:t>
      </w:r>
      <w:r w:rsidR="00604ED0" w:rsidRPr="00872D2E">
        <w:rPr>
          <w:sz w:val="20"/>
          <w:szCs w:val="20"/>
        </w:rPr>
        <w:tab/>
      </w:r>
      <w:r w:rsidRPr="00872D2E">
        <w:rPr>
          <w:sz w:val="20"/>
          <w:szCs w:val="20"/>
        </w:rPr>
        <w:t>Secondary endpoint</w:t>
      </w:r>
    </w:p>
    <w:p w:rsidR="007B40F1" w:rsidRPr="0059188A" w:rsidRDefault="007B40F1" w:rsidP="00604ED0">
      <w:pPr>
        <w:ind w:left="240" w:hanging="240"/>
        <w:jc w:val="both"/>
        <w:rPr>
          <w:sz w:val="20"/>
          <w:szCs w:val="20"/>
        </w:rPr>
      </w:pPr>
      <w:r w:rsidRPr="00872D2E">
        <w:rPr>
          <w:sz w:val="20"/>
          <w:szCs w:val="20"/>
          <w:vertAlign w:val="superscript"/>
        </w:rPr>
        <w:t>§</w:t>
      </w:r>
      <w:r w:rsidRPr="00872D2E">
        <w:rPr>
          <w:sz w:val="20"/>
          <w:szCs w:val="20"/>
        </w:rPr>
        <w:tab/>
      </w:r>
      <w:r w:rsidR="00BE2F70" w:rsidRPr="00872D2E">
        <w:rPr>
          <w:sz w:val="20"/>
          <w:szCs w:val="20"/>
        </w:rPr>
        <w:t xml:space="preserve">In GALILEO, </w:t>
      </w:r>
      <w:r w:rsidRPr="00872D2E">
        <w:rPr>
          <w:sz w:val="20"/>
          <w:szCs w:val="20"/>
        </w:rPr>
        <w:t>n=65 in t</w:t>
      </w:r>
      <w:r w:rsidR="0044568E" w:rsidRPr="00872D2E">
        <w:rPr>
          <w:sz w:val="20"/>
          <w:szCs w:val="20"/>
        </w:rPr>
        <w:t>h</w:t>
      </w:r>
      <w:r w:rsidR="0044568E" w:rsidRPr="0059188A">
        <w:rPr>
          <w:sz w:val="20"/>
          <w:szCs w:val="20"/>
        </w:rPr>
        <w:t>e c</w:t>
      </w:r>
      <w:r w:rsidRPr="0059188A">
        <w:rPr>
          <w:sz w:val="20"/>
          <w:szCs w:val="20"/>
        </w:rPr>
        <w:t>ontrol g</w:t>
      </w:r>
      <w:r w:rsidR="00630FDC" w:rsidRPr="0059188A">
        <w:rPr>
          <w:sz w:val="20"/>
          <w:szCs w:val="20"/>
        </w:rPr>
        <w:t>rou</w:t>
      </w:r>
      <w:r w:rsidRPr="0059188A">
        <w:rPr>
          <w:sz w:val="20"/>
          <w:szCs w:val="20"/>
        </w:rPr>
        <w:t>p and n=96 in the EYLEA group at week 24</w:t>
      </w:r>
      <w:r w:rsidR="0044568E" w:rsidRPr="0059188A">
        <w:rPr>
          <w:sz w:val="20"/>
          <w:szCs w:val="20"/>
        </w:rPr>
        <w:t>; n=67 in the control group and n=98 in the EYLEA group at week 52</w:t>
      </w:r>
      <w:r w:rsidRPr="0059188A">
        <w:rPr>
          <w:sz w:val="20"/>
          <w:szCs w:val="20"/>
        </w:rPr>
        <w:t xml:space="preserve"> </w:t>
      </w:r>
    </w:p>
    <w:p w:rsidR="002A1B18" w:rsidRPr="0059188A" w:rsidRDefault="002A1B18" w:rsidP="0070498D">
      <w:pPr>
        <w:jc w:val="both"/>
        <w:rPr>
          <w:b/>
          <w:lang w:val="en-AU"/>
        </w:rPr>
        <w:sectPr w:rsidR="002A1B18" w:rsidRPr="0059188A" w:rsidSect="00C619E2">
          <w:footerReference w:type="default" r:id="rId14"/>
          <w:pgSz w:w="16840" w:h="11907" w:orient="landscape" w:code="9"/>
          <w:pgMar w:top="1134" w:right="1701" w:bottom="1418" w:left="1701" w:header="709" w:footer="187" w:gutter="0"/>
          <w:cols w:space="708"/>
          <w:docGrid w:linePitch="360"/>
        </w:sectPr>
      </w:pPr>
    </w:p>
    <w:p w:rsidR="00A11AB0" w:rsidRPr="0059188A" w:rsidRDefault="00A11AB0" w:rsidP="00FE51F0">
      <w:pPr>
        <w:rPr>
          <w:b/>
          <w:lang w:val="en-AU"/>
        </w:rPr>
      </w:pPr>
      <w:r w:rsidRPr="0059188A">
        <w:rPr>
          <w:b/>
          <w:lang w:val="en-AU"/>
        </w:rPr>
        <w:lastRenderedPageBreak/>
        <w:t>Figure</w:t>
      </w:r>
      <w:r w:rsidR="0070498D" w:rsidRPr="0059188A">
        <w:rPr>
          <w:b/>
          <w:lang w:val="en-AU"/>
        </w:rPr>
        <w:t xml:space="preserve"> 4</w:t>
      </w:r>
      <w:r w:rsidRPr="0059188A">
        <w:rPr>
          <w:b/>
          <w:lang w:val="en-AU"/>
        </w:rPr>
        <w:t xml:space="preserve">: </w:t>
      </w:r>
      <w:r w:rsidR="00644285" w:rsidRPr="0059188A">
        <w:rPr>
          <w:b/>
          <w:lang w:val="en-AU"/>
        </w:rPr>
        <w:t xml:space="preserve">Mean change from baseline to week 52 </w:t>
      </w:r>
      <w:r w:rsidR="000A305D" w:rsidRPr="0059188A">
        <w:rPr>
          <w:b/>
          <w:lang w:val="en-AU"/>
        </w:rPr>
        <w:t xml:space="preserve">and week 76/100 </w:t>
      </w:r>
      <w:r w:rsidR="00644285" w:rsidRPr="0059188A">
        <w:rPr>
          <w:b/>
          <w:lang w:val="en-AU"/>
        </w:rPr>
        <w:t>in visual acuity</w:t>
      </w:r>
      <w:r w:rsidR="00644285" w:rsidRPr="0059188A">
        <w:rPr>
          <w:b/>
          <w:vertAlign w:val="superscript"/>
          <w:lang w:val="en-AU"/>
        </w:rPr>
        <w:t>#</w:t>
      </w:r>
      <w:r w:rsidR="00644285" w:rsidRPr="0059188A">
        <w:rPr>
          <w:b/>
          <w:lang w:val="en-AU"/>
        </w:rPr>
        <w:t xml:space="preserve"> by treatment group for the COPERNICUS and GALILEO studies (Full Analysis Set)</w:t>
      </w:r>
    </w:p>
    <w:p w:rsidR="000A305D" w:rsidRPr="0059188A" w:rsidRDefault="003E56D2" w:rsidP="00644285">
      <w:pPr>
        <w:pStyle w:val="GlobalBayerBodyText"/>
        <w:spacing w:before="0" w:after="0"/>
        <w:rPr>
          <w:noProof/>
        </w:rPr>
      </w:pPr>
      <w:r>
        <w:rPr>
          <w:noProof/>
          <w:lang w:val="en-AU" w:eastAsia="en-AU"/>
        </w:rPr>
        <w:pict>
          <v:shape id="_x0000_i1028" type="#_x0000_t75" style="width:434.25pt;height:533.25pt;visibility:visible">
            <v:imagedata r:id="rId15" o:title=""/>
          </v:shape>
        </w:pict>
      </w:r>
    </w:p>
    <w:p w:rsidR="00A11AB0" w:rsidRPr="0059188A" w:rsidRDefault="00A11AB0" w:rsidP="00644285">
      <w:pPr>
        <w:pStyle w:val="GlobalBayerBodyText"/>
        <w:spacing w:before="0" w:after="0"/>
        <w:rPr>
          <w:szCs w:val="24"/>
        </w:rPr>
      </w:pPr>
    </w:p>
    <w:p w:rsidR="001504C8" w:rsidRDefault="001504C8" w:rsidP="001B5410">
      <w:pPr>
        <w:pStyle w:val="BayerBodyTextFull"/>
        <w:spacing w:after="0"/>
        <w:jc w:val="both"/>
        <w:rPr>
          <w:lang w:val="en-AU"/>
        </w:rPr>
      </w:pPr>
    </w:p>
    <w:p w:rsidR="00A11AB0" w:rsidRDefault="008E4A35" w:rsidP="001B5410">
      <w:pPr>
        <w:pStyle w:val="BayerBodyTextFull"/>
        <w:spacing w:after="0"/>
        <w:jc w:val="both"/>
      </w:pPr>
      <w:r w:rsidRPr="0059188A">
        <w:rPr>
          <w:lang w:val="en-AU"/>
        </w:rPr>
        <w:t xml:space="preserve">Exploratory analyses of efficacy results </w:t>
      </w:r>
      <w:r w:rsidR="00A11AB0" w:rsidRPr="0059188A">
        <w:t>in all evaluable subgroups (e.g. age, gender, race, baseline visual acuity, retinal perfusion status, CRVO duration) in each study were in general consistent with the results in the overall populations.</w:t>
      </w:r>
    </w:p>
    <w:p w:rsidR="004A2828" w:rsidRDefault="004A2828" w:rsidP="0070498D">
      <w:pPr>
        <w:pStyle w:val="BayerBodyTextFull"/>
        <w:spacing w:before="0" w:after="0"/>
        <w:jc w:val="both"/>
      </w:pPr>
    </w:p>
    <w:p w:rsidR="004A2828" w:rsidRDefault="004A2828" w:rsidP="004A2828">
      <w:pPr>
        <w:pStyle w:val="PIheading2"/>
        <w:keepNext/>
        <w:keepLines/>
        <w:outlineLvl w:val="1"/>
        <w:rPr>
          <w:lang w:val="en-AU"/>
        </w:rPr>
      </w:pPr>
      <w:r>
        <w:rPr>
          <w:lang w:val="en-AU"/>
        </w:rPr>
        <w:lastRenderedPageBreak/>
        <w:t>Diabetic macular oedema (DME)</w:t>
      </w:r>
    </w:p>
    <w:p w:rsidR="004A2828" w:rsidRPr="007B11F0" w:rsidRDefault="004A2828" w:rsidP="007B11F0">
      <w:pPr>
        <w:keepNext/>
        <w:keepLines/>
        <w:jc w:val="both"/>
        <w:rPr>
          <w:lang w:val="en-AU"/>
        </w:rPr>
      </w:pPr>
    </w:p>
    <w:p w:rsidR="004A2828" w:rsidRDefault="004A2828" w:rsidP="004A2828">
      <w:pPr>
        <w:keepNext/>
        <w:keepLines/>
        <w:jc w:val="both"/>
        <w:rPr>
          <w:lang w:val="en-AU"/>
        </w:rPr>
      </w:pPr>
      <w:r w:rsidRPr="00EA2268">
        <w:rPr>
          <w:lang w:val="en-AU"/>
        </w:rPr>
        <w:t>The safety and efficacy of EYL</w:t>
      </w:r>
      <w:r>
        <w:rPr>
          <w:lang w:val="en-AU"/>
        </w:rPr>
        <w:t>EA were assessed in two randomis</w:t>
      </w:r>
      <w:r w:rsidRPr="00EA2268">
        <w:rPr>
          <w:lang w:val="en-AU"/>
        </w:rPr>
        <w:t>ed, multi-cent</w:t>
      </w:r>
      <w:r>
        <w:rPr>
          <w:lang w:val="en-AU"/>
        </w:rPr>
        <w:t>r</w:t>
      </w:r>
      <w:r w:rsidRPr="00EA2268">
        <w:rPr>
          <w:lang w:val="en-AU"/>
        </w:rPr>
        <w:t>e, double-masked, active-controlled studies in patients w</w:t>
      </w:r>
      <w:r>
        <w:rPr>
          <w:lang w:val="en-AU"/>
        </w:rPr>
        <w:t>ith DME. A total of 862 randomis</w:t>
      </w:r>
      <w:r w:rsidRPr="00EA2268">
        <w:rPr>
          <w:lang w:val="en-AU"/>
        </w:rPr>
        <w:t>ed and treated patients were evaluable for effic</w:t>
      </w:r>
      <w:r>
        <w:rPr>
          <w:lang w:val="en-AU"/>
        </w:rPr>
        <w:t>acy. Of those, 576 were randomis</w:t>
      </w:r>
      <w:r w:rsidRPr="00EA2268">
        <w:rPr>
          <w:lang w:val="en-AU"/>
        </w:rPr>
        <w:t>ed to the EYLEA groups in two studies (VIVID</w:t>
      </w:r>
      <w:r w:rsidRPr="00EA2268">
        <w:rPr>
          <w:vertAlign w:val="superscript"/>
          <w:lang w:val="en-AU"/>
        </w:rPr>
        <w:t>DME</w:t>
      </w:r>
      <w:r w:rsidRPr="00EA2268">
        <w:rPr>
          <w:lang w:val="en-AU"/>
        </w:rPr>
        <w:t xml:space="preserve"> and VISTA</w:t>
      </w:r>
      <w:r w:rsidRPr="00EA2268">
        <w:rPr>
          <w:vertAlign w:val="superscript"/>
          <w:lang w:val="en-AU"/>
        </w:rPr>
        <w:t>DME</w:t>
      </w:r>
      <w:r w:rsidRPr="00EA2268">
        <w:rPr>
          <w:lang w:val="en-AU"/>
        </w:rPr>
        <w:t>). In each study, patients were randomly assigned in a 1:1:1 ratio to 1 of 3 dosing regimens:</w:t>
      </w:r>
    </w:p>
    <w:p w:rsidR="004A2828" w:rsidRPr="00EA2268" w:rsidRDefault="004A2828" w:rsidP="004A2828">
      <w:pPr>
        <w:keepNext/>
        <w:jc w:val="both"/>
        <w:rPr>
          <w:lang w:val="en-AU"/>
        </w:rPr>
      </w:pPr>
      <w:r w:rsidRPr="00EA2268">
        <w:rPr>
          <w:lang w:val="en-AU"/>
        </w:rPr>
        <w:t xml:space="preserve"> </w:t>
      </w:r>
    </w:p>
    <w:p w:rsidR="004A2828" w:rsidRPr="00EA2268" w:rsidRDefault="004A2828" w:rsidP="004A2828">
      <w:pPr>
        <w:numPr>
          <w:ilvl w:val="0"/>
          <w:numId w:val="11"/>
        </w:numPr>
        <w:ind w:left="426" w:hanging="426"/>
        <w:jc w:val="both"/>
        <w:rPr>
          <w:lang w:val="en-AU"/>
        </w:rPr>
      </w:pPr>
      <w:r w:rsidRPr="00EA2268">
        <w:rPr>
          <w:lang w:val="en-AU"/>
        </w:rPr>
        <w:t xml:space="preserve">EYLEA administered </w:t>
      </w:r>
      <w:r>
        <w:rPr>
          <w:lang w:val="en-AU"/>
        </w:rPr>
        <w:t xml:space="preserve">at </w:t>
      </w:r>
      <w:r w:rsidRPr="00EA2268">
        <w:rPr>
          <w:lang w:val="en-AU"/>
        </w:rPr>
        <w:t>2 mg every 8 weeks following 5 initial monthly injections</w:t>
      </w:r>
      <w:r w:rsidR="002E6217">
        <w:rPr>
          <w:lang w:val="en-AU"/>
        </w:rPr>
        <w:t xml:space="preserve"> (EYLEA 2Q8)</w:t>
      </w:r>
      <w:r w:rsidRPr="00EA2268">
        <w:rPr>
          <w:lang w:val="en-AU"/>
        </w:rPr>
        <w:t xml:space="preserve">; </w:t>
      </w:r>
    </w:p>
    <w:p w:rsidR="004A2828" w:rsidRPr="00EA2268" w:rsidRDefault="004A2828" w:rsidP="004A2828">
      <w:pPr>
        <w:numPr>
          <w:ilvl w:val="0"/>
          <w:numId w:val="11"/>
        </w:numPr>
        <w:ind w:left="426" w:hanging="426"/>
        <w:jc w:val="both"/>
        <w:rPr>
          <w:lang w:val="en-AU"/>
        </w:rPr>
      </w:pPr>
      <w:r w:rsidRPr="00EA2268">
        <w:rPr>
          <w:lang w:val="en-AU"/>
        </w:rPr>
        <w:t xml:space="preserve">EYLEA administered </w:t>
      </w:r>
      <w:r>
        <w:rPr>
          <w:lang w:val="en-AU"/>
        </w:rPr>
        <w:t xml:space="preserve">at </w:t>
      </w:r>
      <w:r w:rsidRPr="00EA2268">
        <w:rPr>
          <w:lang w:val="en-AU"/>
        </w:rPr>
        <w:t xml:space="preserve">2 mg every 4 weeks (EYLEA 2Q4); and </w:t>
      </w:r>
    </w:p>
    <w:p w:rsidR="004A2828" w:rsidRPr="00EA2268" w:rsidRDefault="004A2828" w:rsidP="004A2828">
      <w:pPr>
        <w:numPr>
          <w:ilvl w:val="0"/>
          <w:numId w:val="11"/>
        </w:numPr>
        <w:ind w:left="426" w:hanging="426"/>
        <w:jc w:val="both"/>
        <w:rPr>
          <w:lang w:val="en-AU"/>
        </w:rPr>
      </w:pPr>
      <w:proofErr w:type="gramStart"/>
      <w:r w:rsidRPr="00EA2268">
        <w:rPr>
          <w:lang w:val="en-AU"/>
        </w:rPr>
        <w:t>macular</w:t>
      </w:r>
      <w:proofErr w:type="gramEnd"/>
      <w:r w:rsidRPr="00EA2268">
        <w:rPr>
          <w:lang w:val="en-AU"/>
        </w:rPr>
        <w:t xml:space="preserve"> laser photocoagulation (active control). </w:t>
      </w:r>
    </w:p>
    <w:p w:rsidR="004A2828" w:rsidRDefault="004A2828" w:rsidP="004A2828">
      <w:pPr>
        <w:jc w:val="both"/>
        <w:rPr>
          <w:lang w:val="en-AU"/>
        </w:rPr>
      </w:pPr>
    </w:p>
    <w:p w:rsidR="004A2828" w:rsidRDefault="004A2828" w:rsidP="004A2828">
      <w:pPr>
        <w:jc w:val="both"/>
        <w:rPr>
          <w:lang w:val="en-AU"/>
        </w:rPr>
      </w:pPr>
      <w:r w:rsidRPr="00EA2268">
        <w:rPr>
          <w:lang w:val="en-AU"/>
        </w:rPr>
        <w:t>Beginning at week 24, patients meeting a pre-specified threshold of vision loss were eligible to receive additional treatment: patients in the EYLEA groups could receive laser and patients in the laser group could receive EYLEA.</w:t>
      </w:r>
    </w:p>
    <w:p w:rsidR="004A2828" w:rsidRPr="00EA2268" w:rsidRDefault="004A2828" w:rsidP="004A2828">
      <w:pPr>
        <w:jc w:val="both"/>
        <w:rPr>
          <w:lang w:val="en-AU"/>
        </w:rPr>
      </w:pPr>
    </w:p>
    <w:p w:rsidR="004A2828" w:rsidRDefault="004A2828" w:rsidP="004A2828">
      <w:pPr>
        <w:jc w:val="both"/>
        <w:rPr>
          <w:lang w:val="en-AU"/>
        </w:rPr>
      </w:pPr>
      <w:r w:rsidRPr="00EA2268">
        <w:rPr>
          <w:lang w:val="en-AU"/>
        </w:rPr>
        <w:t>Patient ages ranged from 23 to 87 years with a mean of 63 years.</w:t>
      </w:r>
      <w:r w:rsidR="00A40B32">
        <w:rPr>
          <w:lang w:val="en-AU"/>
        </w:rPr>
        <w:t xml:space="preserve">  A</w:t>
      </w:r>
      <w:r w:rsidR="00A40B32" w:rsidRPr="00A40B32">
        <w:rPr>
          <w:lang w:val="en-AU"/>
        </w:rPr>
        <w:t>pproximately 47% (268/576) of the patients randomised to treatment with E</w:t>
      </w:r>
      <w:r w:rsidR="00A40B32">
        <w:rPr>
          <w:lang w:val="en-AU"/>
        </w:rPr>
        <w:t>YLEA</w:t>
      </w:r>
      <w:r w:rsidR="00A40B32" w:rsidRPr="00A40B32">
        <w:rPr>
          <w:lang w:val="en-AU"/>
        </w:rPr>
        <w:t xml:space="preserve"> were 65 years of age or older, and approximately 9% (52/576) were 75 years of age or older. </w:t>
      </w:r>
      <w:r w:rsidR="00A40B32">
        <w:rPr>
          <w:lang w:val="en-AU"/>
        </w:rPr>
        <w:t xml:space="preserve"> </w:t>
      </w:r>
      <w:r w:rsidR="00A40B32" w:rsidRPr="00A40B32">
        <w:rPr>
          <w:lang w:val="en-AU"/>
        </w:rPr>
        <w:t>Efficacy and safety outcomes were consistent with the outcomes of the overall population.</w:t>
      </w:r>
    </w:p>
    <w:p w:rsidR="004A2828" w:rsidRPr="00EA2268" w:rsidRDefault="004A2828" w:rsidP="004A2828">
      <w:pPr>
        <w:jc w:val="both"/>
        <w:rPr>
          <w:lang w:val="en-AU"/>
        </w:rPr>
      </w:pPr>
    </w:p>
    <w:p w:rsidR="004A2828" w:rsidRPr="00895DEE" w:rsidRDefault="004A2828" w:rsidP="00895DEE">
      <w:pPr>
        <w:spacing w:before="120" w:after="120"/>
        <w:rPr>
          <w:highlight w:val="lightGray"/>
        </w:rPr>
      </w:pPr>
      <w:r w:rsidRPr="00EA2268">
        <w:rPr>
          <w:lang w:val="en-AU"/>
        </w:rPr>
        <w:t>In both studies, the primary efficacy endpoint was the mean change from baseline in BCVA at Week 52 as measured by ETDRS letter score. Both EYLEA 2Q8 and EYLEA 2Q4 groups were shown to have efficacy that was statistically significantly superior to the laser control group.</w:t>
      </w:r>
      <w:r w:rsidR="00895DEE">
        <w:rPr>
          <w:lang w:val="en-AU"/>
        </w:rPr>
        <w:t xml:space="preserve">  </w:t>
      </w:r>
      <w:r w:rsidR="00895DEE" w:rsidRPr="00895DEE">
        <w:t>This benefit was maintained through week 100.</w:t>
      </w:r>
    </w:p>
    <w:p w:rsidR="004A2828" w:rsidRDefault="004A2828" w:rsidP="004A2828">
      <w:pPr>
        <w:jc w:val="both"/>
        <w:rPr>
          <w:lang w:val="en-AU"/>
        </w:rPr>
      </w:pPr>
    </w:p>
    <w:p w:rsidR="004A2828" w:rsidRDefault="004A2828" w:rsidP="004A2828">
      <w:pPr>
        <w:jc w:val="both"/>
        <w:rPr>
          <w:lang w:val="en-AU"/>
        </w:rPr>
      </w:pPr>
      <w:r>
        <w:rPr>
          <w:lang w:val="en-AU"/>
        </w:rPr>
        <w:t xml:space="preserve">Detailed results from the analysis of the </w:t>
      </w:r>
      <w:r w:rsidRPr="00EA2268">
        <w:rPr>
          <w:lang w:val="en-AU"/>
        </w:rPr>
        <w:t>VIVID</w:t>
      </w:r>
      <w:r w:rsidRPr="00EA2268">
        <w:rPr>
          <w:vertAlign w:val="superscript"/>
          <w:lang w:val="en-AU"/>
        </w:rPr>
        <w:t>DME</w:t>
      </w:r>
      <w:r w:rsidRPr="00EA2268">
        <w:rPr>
          <w:lang w:val="en-AU"/>
        </w:rPr>
        <w:t xml:space="preserve"> and VISTA</w:t>
      </w:r>
      <w:r w:rsidRPr="00EA2268">
        <w:rPr>
          <w:vertAlign w:val="superscript"/>
          <w:lang w:val="en-AU"/>
        </w:rPr>
        <w:t>DME</w:t>
      </w:r>
      <w:r>
        <w:rPr>
          <w:lang w:val="en-AU"/>
        </w:rPr>
        <w:t xml:space="preserve"> studies are shown in Table</w:t>
      </w:r>
      <w:r w:rsidR="00EC27BE">
        <w:rPr>
          <w:lang w:val="en-AU"/>
        </w:rPr>
        <w:t xml:space="preserve"> 5</w:t>
      </w:r>
      <w:r>
        <w:rPr>
          <w:lang w:val="en-AU"/>
        </w:rPr>
        <w:t xml:space="preserve"> and Figure </w:t>
      </w:r>
      <w:r w:rsidR="00EC27BE">
        <w:rPr>
          <w:lang w:val="en-AU"/>
        </w:rPr>
        <w:t xml:space="preserve">5 </w:t>
      </w:r>
      <w:r>
        <w:rPr>
          <w:lang w:val="en-AU"/>
        </w:rPr>
        <w:t>below.</w:t>
      </w:r>
    </w:p>
    <w:p w:rsidR="001B5410" w:rsidRDefault="001B5410" w:rsidP="004A2828">
      <w:pPr>
        <w:jc w:val="both"/>
        <w:rPr>
          <w:lang w:val="en-AU"/>
        </w:rPr>
      </w:pPr>
    </w:p>
    <w:p w:rsidR="00895DEE" w:rsidRDefault="00895DEE" w:rsidP="004A2828">
      <w:pPr>
        <w:spacing w:after="240"/>
        <w:jc w:val="both"/>
        <w:rPr>
          <w:b/>
        </w:rPr>
        <w:sectPr w:rsidR="00895DEE" w:rsidSect="00EF6A1A">
          <w:footerReference w:type="default" r:id="rId16"/>
          <w:pgSz w:w="11907" w:h="16840" w:code="9"/>
          <w:pgMar w:top="1247" w:right="1610" w:bottom="1276" w:left="1797" w:header="709" w:footer="709" w:gutter="0"/>
          <w:cols w:space="708"/>
          <w:docGrid w:linePitch="360"/>
        </w:sectPr>
      </w:pPr>
    </w:p>
    <w:p w:rsidR="005624B1" w:rsidRPr="005624B1" w:rsidRDefault="004A2828" w:rsidP="005624B1">
      <w:pPr>
        <w:spacing w:after="240"/>
        <w:ind w:right="-29"/>
        <w:jc w:val="both"/>
        <w:rPr>
          <w:b/>
        </w:rPr>
      </w:pPr>
      <w:r>
        <w:rPr>
          <w:b/>
        </w:rPr>
        <w:lastRenderedPageBreak/>
        <w:t xml:space="preserve">Table </w:t>
      </w:r>
      <w:r w:rsidR="00EC27BE">
        <w:rPr>
          <w:b/>
        </w:rPr>
        <w:t>5</w:t>
      </w:r>
      <w:r>
        <w:rPr>
          <w:b/>
        </w:rPr>
        <w:t xml:space="preserve">: </w:t>
      </w:r>
      <w:r w:rsidRPr="005A397C">
        <w:rPr>
          <w:b/>
        </w:rPr>
        <w:t>Efficacy Outcomes (Full Analysis Set with LOCF) in VIVID</w:t>
      </w:r>
      <w:r w:rsidRPr="005A397C">
        <w:rPr>
          <w:b/>
          <w:vertAlign w:val="superscript"/>
        </w:rPr>
        <w:t>DME</w:t>
      </w:r>
      <w:r w:rsidRPr="005A397C">
        <w:rPr>
          <w:b/>
        </w:rPr>
        <w:t xml:space="preserve"> </w:t>
      </w:r>
      <w:r w:rsidR="004F5FA4">
        <w:rPr>
          <w:b/>
        </w:rPr>
        <w:t xml:space="preserve">study (at week 52) </w:t>
      </w:r>
      <w:r w:rsidRPr="005A397C">
        <w:rPr>
          <w:b/>
        </w:rPr>
        <w:t>and VISTA</w:t>
      </w:r>
      <w:r w:rsidRPr="005A397C">
        <w:rPr>
          <w:b/>
          <w:vertAlign w:val="superscript"/>
        </w:rPr>
        <w:t>DME</w:t>
      </w:r>
      <w:r w:rsidRPr="005A397C">
        <w:rPr>
          <w:b/>
        </w:rPr>
        <w:t xml:space="preserve"> </w:t>
      </w:r>
      <w:r w:rsidR="004F5FA4">
        <w:rPr>
          <w:b/>
        </w:rPr>
        <w:t>s</w:t>
      </w:r>
      <w:r w:rsidRPr="005A397C">
        <w:rPr>
          <w:b/>
        </w:rPr>
        <w:t>tud</w:t>
      </w:r>
      <w:r w:rsidR="004F5FA4">
        <w:rPr>
          <w:b/>
        </w:rPr>
        <w:t>y (at week 52 and week 100)</w:t>
      </w:r>
    </w:p>
    <w:tbl>
      <w:tblPr>
        <w:tblW w:w="11468"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9"/>
        <w:gridCol w:w="1025"/>
        <w:gridCol w:w="1025"/>
        <w:gridCol w:w="1026"/>
        <w:gridCol w:w="1025"/>
        <w:gridCol w:w="1026"/>
        <w:gridCol w:w="1025"/>
        <w:gridCol w:w="1026"/>
        <w:gridCol w:w="1025"/>
        <w:gridCol w:w="1026"/>
      </w:tblGrid>
      <w:tr w:rsidR="005624B1" w:rsidRPr="005A397C" w:rsidTr="005624B1">
        <w:trPr>
          <w:tblHeader/>
          <w:jc w:val="center"/>
        </w:trPr>
        <w:tc>
          <w:tcPr>
            <w:tcW w:w="2239" w:type="dxa"/>
            <w:vMerge w:val="restart"/>
            <w:shd w:val="clear" w:color="auto" w:fill="auto"/>
            <w:vAlign w:val="center"/>
          </w:tcPr>
          <w:p w:rsidR="005624B1" w:rsidRPr="005A397C" w:rsidRDefault="005624B1" w:rsidP="005624B1">
            <w:pPr>
              <w:keepNext/>
              <w:keepLines/>
              <w:spacing w:before="40" w:after="40"/>
              <w:rPr>
                <w:b/>
                <w:sz w:val="18"/>
                <w:szCs w:val="18"/>
              </w:rPr>
            </w:pPr>
            <w:r w:rsidRPr="005A397C">
              <w:rPr>
                <w:b/>
              </w:rPr>
              <w:t>Efficacy Outcomes</w:t>
            </w:r>
          </w:p>
        </w:tc>
        <w:tc>
          <w:tcPr>
            <w:tcW w:w="3076" w:type="dxa"/>
            <w:gridSpan w:val="3"/>
            <w:shd w:val="clear" w:color="auto" w:fill="auto"/>
          </w:tcPr>
          <w:p w:rsidR="005624B1" w:rsidRPr="005A397C" w:rsidRDefault="005624B1" w:rsidP="00895DEE">
            <w:pPr>
              <w:keepNext/>
              <w:keepLines/>
              <w:spacing w:before="40" w:after="40"/>
              <w:ind w:left="-167" w:right="-147"/>
              <w:jc w:val="center"/>
              <w:rPr>
                <w:b/>
                <w:sz w:val="18"/>
                <w:szCs w:val="18"/>
              </w:rPr>
            </w:pPr>
            <w:r w:rsidRPr="005A397C">
              <w:rPr>
                <w:b/>
                <w:bCs/>
              </w:rPr>
              <w:t>VIVID</w:t>
            </w:r>
            <w:r w:rsidRPr="005A397C">
              <w:rPr>
                <w:b/>
                <w:bCs/>
                <w:vertAlign w:val="superscript"/>
              </w:rPr>
              <w:t>DME</w:t>
            </w:r>
          </w:p>
        </w:tc>
        <w:tc>
          <w:tcPr>
            <w:tcW w:w="6153" w:type="dxa"/>
            <w:gridSpan w:val="6"/>
            <w:shd w:val="clear" w:color="auto" w:fill="auto"/>
          </w:tcPr>
          <w:p w:rsidR="005624B1" w:rsidRDefault="005624B1" w:rsidP="00AB6716">
            <w:pPr>
              <w:keepNext/>
              <w:keepLines/>
              <w:spacing w:before="40" w:after="40"/>
              <w:ind w:left="-167" w:right="-147"/>
              <w:jc w:val="center"/>
              <w:rPr>
                <w:b/>
                <w:sz w:val="18"/>
                <w:szCs w:val="18"/>
              </w:rPr>
            </w:pPr>
            <w:r>
              <w:rPr>
                <w:b/>
                <w:sz w:val="18"/>
                <w:szCs w:val="18"/>
              </w:rPr>
              <w:t xml:space="preserve">  </w:t>
            </w:r>
            <w:r w:rsidRPr="005A397C">
              <w:rPr>
                <w:b/>
                <w:bCs/>
              </w:rPr>
              <w:t>VISTA</w:t>
            </w:r>
            <w:r w:rsidRPr="005A397C">
              <w:rPr>
                <w:b/>
                <w:bCs/>
                <w:vertAlign w:val="superscript"/>
              </w:rPr>
              <w:t>DME</w:t>
            </w:r>
          </w:p>
        </w:tc>
      </w:tr>
      <w:tr w:rsidR="005624B1" w:rsidRPr="005A397C" w:rsidTr="003D0959">
        <w:trPr>
          <w:tblHeader/>
          <w:jc w:val="center"/>
        </w:trPr>
        <w:tc>
          <w:tcPr>
            <w:tcW w:w="2239" w:type="dxa"/>
            <w:vMerge/>
            <w:shd w:val="clear" w:color="auto" w:fill="auto"/>
          </w:tcPr>
          <w:p w:rsidR="005624B1" w:rsidRPr="005A397C" w:rsidRDefault="005624B1" w:rsidP="00481943">
            <w:pPr>
              <w:keepNext/>
              <w:keepLines/>
              <w:spacing w:before="40" w:after="40"/>
              <w:rPr>
                <w:b/>
                <w:sz w:val="18"/>
                <w:szCs w:val="18"/>
              </w:rPr>
            </w:pPr>
          </w:p>
        </w:tc>
        <w:tc>
          <w:tcPr>
            <w:tcW w:w="3076" w:type="dxa"/>
            <w:gridSpan w:val="3"/>
            <w:shd w:val="clear" w:color="auto" w:fill="auto"/>
          </w:tcPr>
          <w:p w:rsidR="005624B1" w:rsidRPr="00895DEE" w:rsidRDefault="005624B1" w:rsidP="00895DEE">
            <w:pPr>
              <w:keepNext/>
              <w:keepLines/>
              <w:spacing w:before="40" w:after="40"/>
              <w:ind w:left="-167" w:right="-147"/>
              <w:jc w:val="center"/>
              <w:rPr>
                <w:rFonts w:ascii="Times New Roman Bold" w:hAnsi="Times New Roman Bold"/>
                <w:b/>
                <w:spacing w:val="-20"/>
                <w:sz w:val="18"/>
                <w:szCs w:val="18"/>
              </w:rPr>
            </w:pPr>
            <w:r w:rsidRPr="005A397C">
              <w:rPr>
                <w:b/>
                <w:sz w:val="18"/>
                <w:szCs w:val="18"/>
              </w:rPr>
              <w:t>52 Weeks</w:t>
            </w:r>
          </w:p>
        </w:tc>
        <w:tc>
          <w:tcPr>
            <w:tcW w:w="3076" w:type="dxa"/>
            <w:gridSpan w:val="3"/>
            <w:shd w:val="clear" w:color="auto" w:fill="auto"/>
          </w:tcPr>
          <w:p w:rsidR="005624B1" w:rsidRPr="00895DEE" w:rsidRDefault="005624B1" w:rsidP="00895DEE">
            <w:pPr>
              <w:keepNext/>
              <w:keepLines/>
              <w:spacing w:before="40" w:after="40"/>
              <w:ind w:left="-167" w:right="-147"/>
              <w:jc w:val="center"/>
              <w:rPr>
                <w:rFonts w:ascii="Times New Roman Bold" w:hAnsi="Times New Roman Bold"/>
                <w:b/>
                <w:spacing w:val="-20"/>
                <w:sz w:val="18"/>
                <w:szCs w:val="18"/>
              </w:rPr>
            </w:pPr>
            <w:r w:rsidRPr="005A397C">
              <w:rPr>
                <w:b/>
                <w:sz w:val="18"/>
                <w:szCs w:val="18"/>
              </w:rPr>
              <w:t>52 Weeks</w:t>
            </w:r>
          </w:p>
        </w:tc>
        <w:tc>
          <w:tcPr>
            <w:tcW w:w="3077" w:type="dxa"/>
            <w:gridSpan w:val="3"/>
          </w:tcPr>
          <w:p w:rsidR="005624B1" w:rsidRPr="00895DEE" w:rsidRDefault="005624B1" w:rsidP="00AB6716">
            <w:pPr>
              <w:keepNext/>
              <w:keepLines/>
              <w:spacing w:before="40" w:after="40"/>
              <w:ind w:left="-167" w:right="-147"/>
              <w:jc w:val="center"/>
              <w:rPr>
                <w:rFonts w:ascii="Times New Roman Bold" w:hAnsi="Times New Roman Bold"/>
                <w:b/>
                <w:spacing w:val="-20"/>
                <w:sz w:val="18"/>
                <w:szCs w:val="18"/>
              </w:rPr>
            </w:pPr>
            <w:r>
              <w:rPr>
                <w:b/>
                <w:sz w:val="18"/>
                <w:szCs w:val="18"/>
              </w:rPr>
              <w:t>100 Weeks</w:t>
            </w:r>
          </w:p>
        </w:tc>
      </w:tr>
      <w:tr w:rsidR="005624B1" w:rsidRPr="005A397C" w:rsidTr="005624B1">
        <w:trPr>
          <w:tblHeader/>
          <w:jc w:val="center"/>
        </w:trPr>
        <w:tc>
          <w:tcPr>
            <w:tcW w:w="2239" w:type="dxa"/>
            <w:vMerge/>
            <w:shd w:val="clear" w:color="auto" w:fill="auto"/>
          </w:tcPr>
          <w:p w:rsidR="005624B1" w:rsidRPr="005A397C" w:rsidRDefault="005624B1" w:rsidP="00481943">
            <w:pPr>
              <w:keepNext/>
              <w:keepLines/>
              <w:spacing w:before="40" w:after="40"/>
              <w:rPr>
                <w:b/>
                <w:sz w:val="18"/>
                <w:szCs w:val="18"/>
              </w:rPr>
            </w:pPr>
          </w:p>
        </w:tc>
        <w:tc>
          <w:tcPr>
            <w:tcW w:w="1025" w:type="dxa"/>
            <w:shd w:val="clear" w:color="auto" w:fill="auto"/>
          </w:tcPr>
          <w:p w:rsidR="005624B1" w:rsidRPr="00763B65" w:rsidRDefault="005624B1" w:rsidP="00895DEE">
            <w:pPr>
              <w:keepNext/>
              <w:keepLines/>
              <w:spacing w:before="40" w:after="40"/>
              <w:ind w:left="-93" w:right="-112"/>
              <w:jc w:val="center"/>
              <w:rPr>
                <w:b/>
                <w:spacing w:val="-6"/>
                <w:sz w:val="18"/>
                <w:szCs w:val="18"/>
              </w:rPr>
            </w:pPr>
            <w:r w:rsidRPr="00763B65">
              <w:rPr>
                <w:b/>
                <w:spacing w:val="-6"/>
                <w:sz w:val="18"/>
                <w:szCs w:val="18"/>
              </w:rPr>
              <w:t>EYLEA</w:t>
            </w:r>
          </w:p>
          <w:p w:rsidR="005624B1" w:rsidRPr="00763B65" w:rsidRDefault="005624B1" w:rsidP="00895DEE">
            <w:pPr>
              <w:keepNext/>
              <w:keepLines/>
              <w:spacing w:before="40" w:after="40"/>
              <w:ind w:left="-93" w:right="-112"/>
              <w:jc w:val="center"/>
              <w:rPr>
                <w:b/>
                <w:spacing w:val="-6"/>
                <w:sz w:val="18"/>
                <w:szCs w:val="18"/>
              </w:rPr>
            </w:pPr>
            <w:r w:rsidRPr="00763B65">
              <w:rPr>
                <w:b/>
                <w:spacing w:val="-6"/>
                <w:sz w:val="18"/>
                <w:szCs w:val="18"/>
              </w:rPr>
              <w:t xml:space="preserve">2 mg Q8 </w:t>
            </w:r>
            <w:r w:rsidRPr="00763B65">
              <w:rPr>
                <w:spacing w:val="-6"/>
                <w:sz w:val="18"/>
                <w:szCs w:val="18"/>
                <w:vertAlign w:val="superscript"/>
              </w:rPr>
              <w:t>a</w:t>
            </w:r>
          </w:p>
          <w:p w:rsidR="005624B1" w:rsidRPr="00763B65" w:rsidRDefault="005624B1" w:rsidP="00895DEE">
            <w:pPr>
              <w:keepNext/>
              <w:keepLines/>
              <w:spacing w:before="40" w:after="40"/>
              <w:ind w:left="-93" w:right="-112"/>
              <w:jc w:val="center"/>
              <w:rPr>
                <w:b/>
                <w:spacing w:val="-6"/>
                <w:sz w:val="18"/>
                <w:szCs w:val="18"/>
              </w:rPr>
            </w:pPr>
            <w:r w:rsidRPr="00763B65">
              <w:rPr>
                <w:b/>
                <w:spacing w:val="-6"/>
                <w:sz w:val="18"/>
                <w:szCs w:val="18"/>
              </w:rPr>
              <w:t>(N = 135)</w:t>
            </w:r>
          </w:p>
        </w:tc>
        <w:tc>
          <w:tcPr>
            <w:tcW w:w="1025" w:type="dxa"/>
            <w:shd w:val="clear" w:color="auto" w:fill="auto"/>
          </w:tcPr>
          <w:p w:rsidR="005624B1" w:rsidRPr="00763B65" w:rsidRDefault="005624B1" w:rsidP="00895DEE">
            <w:pPr>
              <w:keepNext/>
              <w:keepLines/>
              <w:spacing w:before="40" w:after="40"/>
              <w:ind w:left="-93" w:right="-86"/>
              <w:jc w:val="center"/>
              <w:rPr>
                <w:b/>
                <w:spacing w:val="-6"/>
                <w:sz w:val="18"/>
                <w:szCs w:val="18"/>
              </w:rPr>
            </w:pPr>
            <w:r w:rsidRPr="00763B65">
              <w:rPr>
                <w:b/>
                <w:spacing w:val="-6"/>
                <w:sz w:val="18"/>
                <w:szCs w:val="18"/>
              </w:rPr>
              <w:t>EYLEA</w:t>
            </w:r>
          </w:p>
          <w:p w:rsidR="005624B1" w:rsidRPr="00763B65" w:rsidRDefault="005624B1" w:rsidP="00895DEE">
            <w:pPr>
              <w:keepNext/>
              <w:keepLines/>
              <w:spacing w:before="40" w:after="40"/>
              <w:ind w:left="-93" w:right="-86"/>
              <w:jc w:val="center"/>
              <w:rPr>
                <w:b/>
                <w:spacing w:val="-6"/>
                <w:sz w:val="18"/>
                <w:szCs w:val="18"/>
              </w:rPr>
            </w:pPr>
            <w:r w:rsidRPr="00763B65">
              <w:rPr>
                <w:b/>
                <w:spacing w:val="-6"/>
                <w:sz w:val="18"/>
                <w:szCs w:val="18"/>
              </w:rPr>
              <w:t>2 mg Q4</w:t>
            </w:r>
          </w:p>
          <w:p w:rsidR="005624B1" w:rsidRPr="00763B65" w:rsidRDefault="005624B1" w:rsidP="00895DEE">
            <w:pPr>
              <w:keepNext/>
              <w:keepLines/>
              <w:spacing w:before="40" w:after="40"/>
              <w:ind w:left="-93" w:right="-86"/>
              <w:jc w:val="center"/>
              <w:rPr>
                <w:b/>
                <w:spacing w:val="-6"/>
                <w:sz w:val="18"/>
                <w:szCs w:val="18"/>
              </w:rPr>
            </w:pPr>
            <w:r w:rsidRPr="00763B65">
              <w:rPr>
                <w:b/>
                <w:spacing w:val="-6"/>
                <w:sz w:val="18"/>
                <w:szCs w:val="18"/>
              </w:rPr>
              <w:t>(N = 136)</w:t>
            </w:r>
          </w:p>
        </w:tc>
        <w:tc>
          <w:tcPr>
            <w:tcW w:w="1026" w:type="dxa"/>
            <w:shd w:val="clear" w:color="auto" w:fill="auto"/>
          </w:tcPr>
          <w:p w:rsidR="005624B1" w:rsidRPr="00895DEE" w:rsidRDefault="005624B1" w:rsidP="00895DEE">
            <w:pPr>
              <w:keepNext/>
              <w:keepLines/>
              <w:spacing w:before="40" w:after="40"/>
              <w:ind w:left="-167" w:right="-147"/>
              <w:jc w:val="center"/>
              <w:rPr>
                <w:rFonts w:ascii="Times New Roman Bold" w:hAnsi="Times New Roman Bold"/>
                <w:b/>
                <w:spacing w:val="-20"/>
                <w:sz w:val="18"/>
                <w:szCs w:val="18"/>
              </w:rPr>
            </w:pPr>
            <w:r w:rsidRPr="00895DEE">
              <w:rPr>
                <w:rFonts w:ascii="Times New Roman Bold" w:hAnsi="Times New Roman Bold"/>
                <w:b/>
                <w:spacing w:val="-20"/>
                <w:sz w:val="18"/>
                <w:szCs w:val="18"/>
              </w:rPr>
              <w:t>Active Control</w:t>
            </w:r>
          </w:p>
          <w:p w:rsidR="005624B1" w:rsidRPr="005A397C" w:rsidRDefault="005624B1" w:rsidP="00895DEE">
            <w:pPr>
              <w:keepNext/>
              <w:keepLines/>
              <w:spacing w:before="40" w:after="40"/>
              <w:ind w:left="-167" w:right="-147"/>
              <w:jc w:val="center"/>
              <w:rPr>
                <w:b/>
                <w:sz w:val="18"/>
                <w:szCs w:val="18"/>
              </w:rPr>
            </w:pPr>
            <w:r w:rsidRPr="005A397C">
              <w:rPr>
                <w:b/>
                <w:sz w:val="18"/>
                <w:szCs w:val="18"/>
              </w:rPr>
              <w:t>(laser)</w:t>
            </w:r>
          </w:p>
          <w:p w:rsidR="005624B1" w:rsidRPr="005A397C" w:rsidRDefault="005624B1" w:rsidP="00895DEE">
            <w:pPr>
              <w:keepNext/>
              <w:keepLines/>
              <w:spacing w:before="40" w:after="40"/>
              <w:ind w:left="-167" w:right="-147"/>
              <w:jc w:val="center"/>
              <w:rPr>
                <w:b/>
                <w:sz w:val="18"/>
                <w:szCs w:val="18"/>
              </w:rPr>
            </w:pPr>
            <w:r w:rsidRPr="005A397C">
              <w:rPr>
                <w:b/>
                <w:sz w:val="18"/>
                <w:szCs w:val="18"/>
              </w:rPr>
              <w:t>(</w:t>
            </w:r>
            <w:r>
              <w:rPr>
                <w:b/>
                <w:sz w:val="18"/>
                <w:szCs w:val="18"/>
              </w:rPr>
              <w:t>N</w:t>
            </w:r>
            <w:r w:rsidRPr="005A397C">
              <w:rPr>
                <w:b/>
                <w:sz w:val="18"/>
                <w:szCs w:val="18"/>
              </w:rPr>
              <w:t xml:space="preserve"> = 132)</w:t>
            </w:r>
          </w:p>
        </w:tc>
        <w:tc>
          <w:tcPr>
            <w:tcW w:w="1025" w:type="dxa"/>
            <w:shd w:val="clear" w:color="auto" w:fill="auto"/>
          </w:tcPr>
          <w:p w:rsidR="005624B1" w:rsidRPr="00763B65" w:rsidRDefault="005624B1" w:rsidP="00481943">
            <w:pPr>
              <w:keepNext/>
              <w:keepLines/>
              <w:spacing w:before="40" w:after="40"/>
              <w:ind w:left="-93" w:right="-108"/>
              <w:jc w:val="center"/>
              <w:rPr>
                <w:b/>
                <w:spacing w:val="-6"/>
                <w:sz w:val="18"/>
                <w:szCs w:val="18"/>
              </w:rPr>
            </w:pPr>
            <w:r w:rsidRPr="00763B65">
              <w:rPr>
                <w:b/>
                <w:spacing w:val="-6"/>
                <w:sz w:val="18"/>
                <w:szCs w:val="18"/>
              </w:rPr>
              <w:t>EYLEA</w:t>
            </w:r>
          </w:p>
          <w:p w:rsidR="005624B1" w:rsidRPr="00763B65" w:rsidRDefault="005624B1" w:rsidP="00481943">
            <w:pPr>
              <w:keepNext/>
              <w:keepLines/>
              <w:spacing w:before="40" w:after="40"/>
              <w:ind w:left="-93" w:right="-108"/>
              <w:jc w:val="center"/>
              <w:rPr>
                <w:b/>
                <w:spacing w:val="-6"/>
                <w:sz w:val="18"/>
                <w:szCs w:val="18"/>
              </w:rPr>
            </w:pPr>
            <w:r w:rsidRPr="00763B65">
              <w:rPr>
                <w:b/>
                <w:spacing w:val="-6"/>
                <w:sz w:val="18"/>
                <w:szCs w:val="18"/>
              </w:rPr>
              <w:t xml:space="preserve">2 mg Q8 </w:t>
            </w:r>
            <w:r w:rsidRPr="00763B65">
              <w:rPr>
                <w:spacing w:val="-6"/>
                <w:sz w:val="18"/>
                <w:szCs w:val="18"/>
                <w:vertAlign w:val="superscript"/>
              </w:rPr>
              <w:t>a</w:t>
            </w:r>
          </w:p>
          <w:p w:rsidR="005624B1" w:rsidRPr="00763B65" w:rsidRDefault="005624B1" w:rsidP="005B1710">
            <w:pPr>
              <w:keepNext/>
              <w:keepLines/>
              <w:spacing w:before="40" w:after="40"/>
              <w:ind w:left="-93" w:right="-108"/>
              <w:jc w:val="center"/>
              <w:rPr>
                <w:b/>
                <w:spacing w:val="-6"/>
                <w:sz w:val="18"/>
                <w:szCs w:val="18"/>
              </w:rPr>
            </w:pPr>
            <w:r w:rsidRPr="00763B65">
              <w:rPr>
                <w:b/>
                <w:spacing w:val="-6"/>
                <w:sz w:val="18"/>
                <w:szCs w:val="18"/>
              </w:rPr>
              <w:t>(N = 151)</w:t>
            </w:r>
          </w:p>
        </w:tc>
        <w:tc>
          <w:tcPr>
            <w:tcW w:w="1026" w:type="dxa"/>
            <w:shd w:val="clear" w:color="auto" w:fill="auto"/>
          </w:tcPr>
          <w:p w:rsidR="005624B1" w:rsidRPr="00763B65" w:rsidRDefault="005624B1" w:rsidP="00481943">
            <w:pPr>
              <w:keepNext/>
              <w:keepLines/>
              <w:spacing w:before="40" w:after="40"/>
              <w:ind w:left="-93" w:right="-108"/>
              <w:jc w:val="center"/>
              <w:rPr>
                <w:b/>
                <w:spacing w:val="-6"/>
                <w:sz w:val="18"/>
                <w:szCs w:val="18"/>
              </w:rPr>
            </w:pPr>
            <w:r w:rsidRPr="00763B65">
              <w:rPr>
                <w:b/>
                <w:spacing w:val="-6"/>
                <w:sz w:val="18"/>
                <w:szCs w:val="18"/>
              </w:rPr>
              <w:t>EYLEA</w:t>
            </w:r>
          </w:p>
          <w:p w:rsidR="005624B1" w:rsidRPr="00763B65" w:rsidRDefault="005624B1" w:rsidP="00481943">
            <w:pPr>
              <w:keepNext/>
              <w:keepLines/>
              <w:spacing w:before="40" w:after="40"/>
              <w:ind w:left="-93" w:right="-108"/>
              <w:jc w:val="center"/>
              <w:rPr>
                <w:b/>
                <w:spacing w:val="-6"/>
                <w:sz w:val="18"/>
                <w:szCs w:val="18"/>
              </w:rPr>
            </w:pPr>
            <w:r w:rsidRPr="00763B65">
              <w:rPr>
                <w:b/>
                <w:spacing w:val="-6"/>
                <w:sz w:val="18"/>
                <w:szCs w:val="18"/>
              </w:rPr>
              <w:t>2 mg Q4</w:t>
            </w:r>
          </w:p>
          <w:p w:rsidR="005624B1" w:rsidRPr="00763B65" w:rsidRDefault="005624B1" w:rsidP="005B1710">
            <w:pPr>
              <w:keepNext/>
              <w:keepLines/>
              <w:spacing w:before="40" w:after="40"/>
              <w:ind w:left="-93" w:right="-108"/>
              <w:jc w:val="center"/>
              <w:rPr>
                <w:b/>
                <w:spacing w:val="-6"/>
                <w:sz w:val="18"/>
                <w:szCs w:val="18"/>
              </w:rPr>
            </w:pPr>
            <w:r w:rsidRPr="00763B65">
              <w:rPr>
                <w:b/>
                <w:spacing w:val="-6"/>
                <w:sz w:val="18"/>
                <w:szCs w:val="18"/>
              </w:rPr>
              <w:t>(N = 154)</w:t>
            </w:r>
          </w:p>
        </w:tc>
        <w:tc>
          <w:tcPr>
            <w:tcW w:w="1025" w:type="dxa"/>
            <w:shd w:val="clear" w:color="auto" w:fill="auto"/>
          </w:tcPr>
          <w:p w:rsidR="005624B1" w:rsidRPr="00895DEE" w:rsidRDefault="005624B1" w:rsidP="00895DEE">
            <w:pPr>
              <w:keepNext/>
              <w:keepLines/>
              <w:spacing w:before="40" w:after="40"/>
              <w:ind w:left="-167" w:right="-147"/>
              <w:jc w:val="center"/>
              <w:rPr>
                <w:rFonts w:ascii="Times New Roman Bold" w:hAnsi="Times New Roman Bold"/>
                <w:b/>
                <w:spacing w:val="-20"/>
                <w:sz w:val="18"/>
                <w:szCs w:val="18"/>
              </w:rPr>
            </w:pPr>
            <w:r w:rsidRPr="00895DEE">
              <w:rPr>
                <w:rFonts w:ascii="Times New Roman Bold" w:hAnsi="Times New Roman Bold"/>
                <w:b/>
                <w:spacing w:val="-20"/>
                <w:sz w:val="18"/>
                <w:szCs w:val="18"/>
              </w:rPr>
              <w:t>Active Control</w:t>
            </w:r>
          </w:p>
          <w:p w:rsidR="005624B1" w:rsidRPr="005A397C" w:rsidRDefault="005624B1" w:rsidP="00481943">
            <w:pPr>
              <w:keepNext/>
              <w:keepLines/>
              <w:spacing w:before="40" w:after="40"/>
              <w:jc w:val="center"/>
              <w:rPr>
                <w:b/>
                <w:sz w:val="18"/>
                <w:szCs w:val="18"/>
              </w:rPr>
            </w:pPr>
            <w:r w:rsidRPr="005A397C">
              <w:rPr>
                <w:b/>
                <w:sz w:val="18"/>
                <w:szCs w:val="18"/>
              </w:rPr>
              <w:t>(laser)</w:t>
            </w:r>
          </w:p>
          <w:p w:rsidR="005624B1" w:rsidRPr="005A397C" w:rsidRDefault="005624B1" w:rsidP="005B1710">
            <w:pPr>
              <w:keepNext/>
              <w:keepLines/>
              <w:spacing w:before="40" w:after="40"/>
              <w:jc w:val="center"/>
              <w:rPr>
                <w:b/>
                <w:sz w:val="18"/>
                <w:szCs w:val="18"/>
              </w:rPr>
            </w:pPr>
            <w:r w:rsidRPr="005A397C">
              <w:rPr>
                <w:b/>
                <w:sz w:val="18"/>
                <w:szCs w:val="18"/>
              </w:rPr>
              <w:t>(</w:t>
            </w:r>
            <w:r>
              <w:rPr>
                <w:b/>
                <w:sz w:val="18"/>
                <w:szCs w:val="18"/>
              </w:rPr>
              <w:t>N</w:t>
            </w:r>
            <w:r w:rsidRPr="005A397C">
              <w:rPr>
                <w:b/>
                <w:sz w:val="18"/>
                <w:szCs w:val="18"/>
              </w:rPr>
              <w:t xml:space="preserve"> = 154)</w:t>
            </w:r>
          </w:p>
        </w:tc>
        <w:tc>
          <w:tcPr>
            <w:tcW w:w="1026" w:type="dxa"/>
          </w:tcPr>
          <w:p w:rsidR="005624B1" w:rsidRPr="00763B65" w:rsidRDefault="005624B1" w:rsidP="00AB6716">
            <w:pPr>
              <w:keepNext/>
              <w:keepLines/>
              <w:spacing w:before="40" w:after="40"/>
              <w:ind w:left="-93" w:right="-108"/>
              <w:jc w:val="center"/>
              <w:rPr>
                <w:b/>
                <w:spacing w:val="-6"/>
                <w:sz w:val="18"/>
                <w:szCs w:val="18"/>
              </w:rPr>
            </w:pPr>
            <w:r w:rsidRPr="00763B65">
              <w:rPr>
                <w:b/>
                <w:spacing w:val="-6"/>
                <w:sz w:val="18"/>
                <w:szCs w:val="18"/>
              </w:rPr>
              <w:t>EYLEA</w:t>
            </w:r>
          </w:p>
          <w:p w:rsidR="005624B1" w:rsidRPr="00763B65" w:rsidRDefault="005624B1" w:rsidP="00AB6716">
            <w:pPr>
              <w:keepNext/>
              <w:keepLines/>
              <w:spacing w:before="40" w:after="40"/>
              <w:ind w:left="-93" w:right="-108"/>
              <w:jc w:val="center"/>
              <w:rPr>
                <w:b/>
                <w:spacing w:val="-6"/>
                <w:sz w:val="18"/>
                <w:szCs w:val="18"/>
              </w:rPr>
            </w:pPr>
            <w:r w:rsidRPr="00763B65">
              <w:rPr>
                <w:b/>
                <w:spacing w:val="-6"/>
                <w:sz w:val="18"/>
                <w:szCs w:val="18"/>
              </w:rPr>
              <w:t xml:space="preserve">2 mg Q8 </w:t>
            </w:r>
            <w:r w:rsidRPr="00763B65">
              <w:rPr>
                <w:spacing w:val="-6"/>
                <w:sz w:val="18"/>
                <w:szCs w:val="18"/>
                <w:vertAlign w:val="superscript"/>
              </w:rPr>
              <w:t>a</w:t>
            </w:r>
          </w:p>
          <w:p w:rsidR="005624B1" w:rsidRPr="00763B65" w:rsidRDefault="005624B1" w:rsidP="00481943">
            <w:pPr>
              <w:keepNext/>
              <w:keepLines/>
              <w:spacing w:before="40" w:after="40"/>
              <w:ind w:left="-158" w:right="-156"/>
              <w:jc w:val="center"/>
              <w:rPr>
                <w:b/>
                <w:spacing w:val="-6"/>
                <w:sz w:val="18"/>
                <w:szCs w:val="18"/>
              </w:rPr>
            </w:pPr>
            <w:r w:rsidRPr="00763B65">
              <w:rPr>
                <w:b/>
                <w:spacing w:val="-6"/>
                <w:sz w:val="18"/>
                <w:szCs w:val="18"/>
              </w:rPr>
              <w:t>(N = 151)</w:t>
            </w:r>
          </w:p>
        </w:tc>
        <w:tc>
          <w:tcPr>
            <w:tcW w:w="1025" w:type="dxa"/>
          </w:tcPr>
          <w:p w:rsidR="005624B1" w:rsidRPr="00763B65" w:rsidRDefault="005624B1" w:rsidP="00AB6716">
            <w:pPr>
              <w:keepNext/>
              <w:keepLines/>
              <w:spacing w:before="40" w:after="40"/>
              <w:ind w:left="-93" w:right="-108"/>
              <w:jc w:val="center"/>
              <w:rPr>
                <w:b/>
                <w:spacing w:val="-6"/>
                <w:sz w:val="18"/>
                <w:szCs w:val="18"/>
              </w:rPr>
            </w:pPr>
            <w:r w:rsidRPr="00763B65">
              <w:rPr>
                <w:b/>
                <w:spacing w:val="-6"/>
                <w:sz w:val="18"/>
                <w:szCs w:val="18"/>
              </w:rPr>
              <w:t>EYLEA</w:t>
            </w:r>
          </w:p>
          <w:p w:rsidR="005624B1" w:rsidRPr="00763B65" w:rsidRDefault="005624B1" w:rsidP="00AB6716">
            <w:pPr>
              <w:keepNext/>
              <w:keepLines/>
              <w:spacing w:before="40" w:after="40"/>
              <w:ind w:left="-93" w:right="-108"/>
              <w:jc w:val="center"/>
              <w:rPr>
                <w:b/>
                <w:spacing w:val="-6"/>
                <w:sz w:val="18"/>
                <w:szCs w:val="18"/>
              </w:rPr>
            </w:pPr>
            <w:r w:rsidRPr="00763B65">
              <w:rPr>
                <w:b/>
                <w:spacing w:val="-6"/>
                <w:sz w:val="18"/>
                <w:szCs w:val="18"/>
              </w:rPr>
              <w:t>2 mg Q4</w:t>
            </w:r>
          </w:p>
          <w:p w:rsidR="005624B1" w:rsidRPr="00763B65" w:rsidRDefault="005624B1" w:rsidP="00481943">
            <w:pPr>
              <w:keepNext/>
              <w:keepLines/>
              <w:spacing w:before="40" w:after="40"/>
              <w:ind w:left="-158" w:right="-156"/>
              <w:jc w:val="center"/>
              <w:rPr>
                <w:b/>
                <w:spacing w:val="-6"/>
                <w:sz w:val="18"/>
                <w:szCs w:val="18"/>
              </w:rPr>
            </w:pPr>
            <w:r w:rsidRPr="00763B65">
              <w:rPr>
                <w:b/>
                <w:spacing w:val="-6"/>
                <w:sz w:val="18"/>
                <w:szCs w:val="18"/>
              </w:rPr>
              <w:t>(N = 154)</w:t>
            </w:r>
          </w:p>
        </w:tc>
        <w:tc>
          <w:tcPr>
            <w:tcW w:w="1026" w:type="dxa"/>
          </w:tcPr>
          <w:p w:rsidR="005624B1" w:rsidRPr="00895DEE" w:rsidRDefault="005624B1" w:rsidP="00AB6716">
            <w:pPr>
              <w:keepNext/>
              <w:keepLines/>
              <w:spacing w:before="40" w:after="40"/>
              <w:ind w:left="-167" w:right="-147"/>
              <w:jc w:val="center"/>
              <w:rPr>
                <w:rFonts w:ascii="Times New Roman Bold" w:hAnsi="Times New Roman Bold"/>
                <w:b/>
                <w:spacing w:val="-20"/>
                <w:sz w:val="18"/>
                <w:szCs w:val="18"/>
              </w:rPr>
            </w:pPr>
            <w:r w:rsidRPr="00895DEE">
              <w:rPr>
                <w:rFonts w:ascii="Times New Roman Bold" w:hAnsi="Times New Roman Bold"/>
                <w:b/>
                <w:spacing w:val="-20"/>
                <w:sz w:val="18"/>
                <w:szCs w:val="18"/>
              </w:rPr>
              <w:t>Active Control</w:t>
            </w:r>
          </w:p>
          <w:p w:rsidR="005624B1" w:rsidRPr="005A397C" w:rsidRDefault="005624B1" w:rsidP="00AB6716">
            <w:pPr>
              <w:keepNext/>
              <w:keepLines/>
              <w:spacing w:before="40" w:after="40"/>
              <w:jc w:val="center"/>
              <w:rPr>
                <w:b/>
                <w:sz w:val="18"/>
                <w:szCs w:val="18"/>
              </w:rPr>
            </w:pPr>
            <w:r w:rsidRPr="005A397C">
              <w:rPr>
                <w:b/>
                <w:sz w:val="18"/>
                <w:szCs w:val="18"/>
              </w:rPr>
              <w:t>(laser)</w:t>
            </w:r>
          </w:p>
          <w:p w:rsidR="005624B1" w:rsidRPr="005A397C" w:rsidRDefault="005624B1" w:rsidP="00481943">
            <w:pPr>
              <w:keepNext/>
              <w:keepLines/>
              <w:spacing w:before="40" w:after="40"/>
              <w:ind w:left="-158" w:right="-156"/>
              <w:jc w:val="center"/>
              <w:rPr>
                <w:b/>
                <w:sz w:val="18"/>
                <w:szCs w:val="18"/>
              </w:rPr>
            </w:pPr>
            <w:r w:rsidRPr="005A397C">
              <w:rPr>
                <w:b/>
                <w:sz w:val="18"/>
                <w:szCs w:val="18"/>
              </w:rPr>
              <w:t>(</w:t>
            </w:r>
            <w:r>
              <w:rPr>
                <w:b/>
                <w:sz w:val="18"/>
                <w:szCs w:val="18"/>
              </w:rPr>
              <w:t>N</w:t>
            </w:r>
            <w:r w:rsidRPr="005A397C">
              <w:rPr>
                <w:b/>
                <w:sz w:val="18"/>
                <w:szCs w:val="18"/>
              </w:rPr>
              <w:t xml:space="preserve"> = 154)</w:t>
            </w:r>
          </w:p>
        </w:tc>
      </w:tr>
      <w:tr w:rsidR="005624B1" w:rsidRPr="005A397C" w:rsidTr="005624B1">
        <w:trPr>
          <w:jc w:val="center"/>
        </w:trPr>
        <w:tc>
          <w:tcPr>
            <w:tcW w:w="2239" w:type="dxa"/>
            <w:shd w:val="clear" w:color="auto" w:fill="auto"/>
          </w:tcPr>
          <w:p w:rsidR="005624B1" w:rsidRPr="005A397C" w:rsidRDefault="005624B1" w:rsidP="00481943">
            <w:pPr>
              <w:keepNext/>
              <w:keepLines/>
              <w:spacing w:before="40" w:after="40"/>
              <w:rPr>
                <w:b/>
                <w:sz w:val="18"/>
                <w:szCs w:val="18"/>
              </w:rPr>
            </w:pPr>
            <w:r w:rsidRPr="005A397C">
              <w:rPr>
                <w:sz w:val="18"/>
                <w:szCs w:val="18"/>
                <w:lang w:bidi="or-IN"/>
              </w:rPr>
              <w:t>Mean change in BCVA as measured by ETDRS</w:t>
            </w:r>
            <w:r w:rsidRPr="005A397C">
              <w:rPr>
                <w:sz w:val="18"/>
                <w:szCs w:val="18"/>
                <w:vertAlign w:val="superscript"/>
              </w:rPr>
              <w:t xml:space="preserve"> e</w:t>
            </w:r>
            <w:r w:rsidRPr="005A397C">
              <w:rPr>
                <w:sz w:val="18"/>
                <w:szCs w:val="18"/>
                <w:lang w:bidi="or-IN"/>
              </w:rPr>
              <w:t xml:space="preserve"> letter score</w:t>
            </w:r>
            <w:r w:rsidRPr="005A397C" w:rsidDel="007F10E5">
              <w:rPr>
                <w:sz w:val="18"/>
                <w:szCs w:val="18"/>
                <w:lang w:bidi="or-IN"/>
              </w:rPr>
              <w:t xml:space="preserve"> </w:t>
            </w:r>
            <w:r w:rsidRPr="005A397C">
              <w:rPr>
                <w:sz w:val="18"/>
                <w:szCs w:val="18"/>
                <w:lang w:bidi="or-IN"/>
              </w:rPr>
              <w:t>from Baseline (SD)</w:t>
            </w:r>
          </w:p>
        </w:tc>
        <w:tc>
          <w:tcPr>
            <w:tcW w:w="1025" w:type="dxa"/>
            <w:shd w:val="clear" w:color="auto" w:fill="auto"/>
            <w:vAlign w:val="center"/>
          </w:tcPr>
          <w:p w:rsidR="005624B1" w:rsidRPr="00763B65" w:rsidRDefault="005624B1" w:rsidP="00895DEE">
            <w:pPr>
              <w:keepNext/>
              <w:keepLines/>
              <w:spacing w:before="40" w:after="40"/>
              <w:ind w:left="-93" w:right="-112"/>
              <w:jc w:val="center"/>
              <w:rPr>
                <w:spacing w:val="-6"/>
                <w:sz w:val="18"/>
                <w:szCs w:val="18"/>
              </w:rPr>
            </w:pPr>
            <w:r w:rsidRPr="00763B65">
              <w:rPr>
                <w:spacing w:val="-6"/>
                <w:sz w:val="18"/>
                <w:szCs w:val="18"/>
              </w:rPr>
              <w:t>10.7</w:t>
            </w:r>
            <w:r w:rsidRPr="00763B65">
              <w:rPr>
                <w:spacing w:val="-6"/>
                <w:sz w:val="18"/>
                <w:szCs w:val="18"/>
              </w:rPr>
              <w:br/>
              <w:t>(9.32)</w:t>
            </w:r>
          </w:p>
        </w:tc>
        <w:tc>
          <w:tcPr>
            <w:tcW w:w="1025" w:type="dxa"/>
            <w:shd w:val="clear" w:color="auto" w:fill="auto"/>
            <w:vAlign w:val="center"/>
          </w:tcPr>
          <w:p w:rsidR="005624B1" w:rsidRPr="00763B65" w:rsidRDefault="005624B1" w:rsidP="00895DEE">
            <w:pPr>
              <w:keepNext/>
              <w:keepLines/>
              <w:spacing w:before="40" w:after="40"/>
              <w:ind w:left="-93" w:right="-86"/>
              <w:jc w:val="center"/>
              <w:rPr>
                <w:spacing w:val="-6"/>
                <w:sz w:val="18"/>
                <w:szCs w:val="18"/>
              </w:rPr>
            </w:pPr>
            <w:r w:rsidRPr="00763B65">
              <w:rPr>
                <w:spacing w:val="-6"/>
                <w:sz w:val="18"/>
                <w:szCs w:val="18"/>
              </w:rPr>
              <w:t>10.5</w:t>
            </w:r>
            <w:r w:rsidRPr="00763B65">
              <w:rPr>
                <w:spacing w:val="-6"/>
                <w:sz w:val="18"/>
                <w:szCs w:val="18"/>
              </w:rPr>
              <w:br/>
              <w:t>(9.55)</w:t>
            </w:r>
          </w:p>
        </w:tc>
        <w:tc>
          <w:tcPr>
            <w:tcW w:w="1026" w:type="dxa"/>
            <w:shd w:val="clear" w:color="auto" w:fill="auto"/>
            <w:vAlign w:val="center"/>
          </w:tcPr>
          <w:p w:rsidR="005624B1" w:rsidRPr="00763B65" w:rsidRDefault="005624B1" w:rsidP="00895DEE">
            <w:pPr>
              <w:keepNext/>
              <w:keepLines/>
              <w:spacing w:before="40" w:after="40"/>
              <w:ind w:left="-167" w:right="-147"/>
              <w:jc w:val="center"/>
              <w:rPr>
                <w:spacing w:val="-6"/>
                <w:sz w:val="18"/>
                <w:szCs w:val="18"/>
              </w:rPr>
            </w:pPr>
            <w:r w:rsidRPr="00763B65">
              <w:rPr>
                <w:spacing w:val="-6"/>
                <w:sz w:val="18"/>
                <w:szCs w:val="18"/>
              </w:rPr>
              <w:t>1.2</w:t>
            </w:r>
            <w:r w:rsidRPr="00763B65">
              <w:rPr>
                <w:spacing w:val="-6"/>
                <w:sz w:val="18"/>
                <w:szCs w:val="18"/>
              </w:rPr>
              <w:br/>
              <w:t>(10.65)</w:t>
            </w:r>
          </w:p>
        </w:tc>
        <w:tc>
          <w:tcPr>
            <w:tcW w:w="1025" w:type="dxa"/>
            <w:shd w:val="clear" w:color="auto" w:fill="auto"/>
            <w:vAlign w:val="center"/>
          </w:tcPr>
          <w:p w:rsidR="005624B1" w:rsidRPr="00763B65" w:rsidRDefault="005624B1" w:rsidP="00481943">
            <w:pPr>
              <w:keepNext/>
              <w:keepLines/>
              <w:spacing w:before="40" w:after="40"/>
              <w:ind w:left="-93" w:right="-108"/>
              <w:jc w:val="center"/>
              <w:rPr>
                <w:spacing w:val="-6"/>
                <w:sz w:val="18"/>
                <w:szCs w:val="18"/>
              </w:rPr>
            </w:pPr>
            <w:r w:rsidRPr="00763B65">
              <w:rPr>
                <w:spacing w:val="-6"/>
                <w:sz w:val="18"/>
                <w:szCs w:val="18"/>
              </w:rPr>
              <w:t>10.7</w:t>
            </w:r>
            <w:r w:rsidRPr="00763B65">
              <w:rPr>
                <w:spacing w:val="-6"/>
                <w:sz w:val="18"/>
                <w:szCs w:val="18"/>
              </w:rPr>
              <w:br/>
              <w:t>(8.21)</w:t>
            </w:r>
          </w:p>
        </w:tc>
        <w:tc>
          <w:tcPr>
            <w:tcW w:w="1026" w:type="dxa"/>
            <w:shd w:val="clear" w:color="auto" w:fill="auto"/>
            <w:vAlign w:val="center"/>
          </w:tcPr>
          <w:p w:rsidR="005624B1" w:rsidRPr="00763B65" w:rsidRDefault="005624B1" w:rsidP="00481943">
            <w:pPr>
              <w:keepNext/>
              <w:keepLines/>
              <w:spacing w:before="40" w:after="40"/>
              <w:ind w:left="-93" w:right="-108"/>
              <w:jc w:val="center"/>
              <w:rPr>
                <w:spacing w:val="-6"/>
                <w:sz w:val="18"/>
                <w:szCs w:val="18"/>
              </w:rPr>
            </w:pPr>
            <w:r w:rsidRPr="00763B65">
              <w:rPr>
                <w:spacing w:val="-6"/>
                <w:sz w:val="18"/>
                <w:szCs w:val="18"/>
              </w:rPr>
              <w:t>12.5</w:t>
            </w:r>
            <w:r w:rsidRPr="00763B65">
              <w:rPr>
                <w:spacing w:val="-6"/>
                <w:sz w:val="18"/>
                <w:szCs w:val="18"/>
              </w:rPr>
              <w:br/>
              <w:t>(9.54)</w:t>
            </w:r>
          </w:p>
        </w:tc>
        <w:tc>
          <w:tcPr>
            <w:tcW w:w="1025" w:type="dxa"/>
            <w:shd w:val="clear" w:color="auto" w:fill="auto"/>
            <w:vAlign w:val="center"/>
          </w:tcPr>
          <w:p w:rsidR="005624B1" w:rsidRPr="00763B65" w:rsidRDefault="005624B1" w:rsidP="00481943">
            <w:pPr>
              <w:keepNext/>
              <w:keepLines/>
              <w:spacing w:before="40" w:after="40"/>
              <w:jc w:val="center"/>
              <w:rPr>
                <w:spacing w:val="-6"/>
                <w:sz w:val="18"/>
                <w:szCs w:val="18"/>
              </w:rPr>
            </w:pPr>
            <w:r w:rsidRPr="00763B65">
              <w:rPr>
                <w:spacing w:val="-6"/>
                <w:sz w:val="18"/>
                <w:szCs w:val="18"/>
              </w:rPr>
              <w:t>0.2</w:t>
            </w:r>
            <w:r w:rsidRPr="00763B65">
              <w:rPr>
                <w:spacing w:val="-6"/>
                <w:sz w:val="18"/>
                <w:szCs w:val="18"/>
              </w:rPr>
              <w:br/>
              <w:t>(12.53)</w:t>
            </w:r>
          </w:p>
        </w:tc>
        <w:tc>
          <w:tcPr>
            <w:tcW w:w="1026" w:type="dxa"/>
            <w:vAlign w:val="center"/>
          </w:tcPr>
          <w:p w:rsidR="005624B1" w:rsidRPr="00763B65" w:rsidRDefault="005624B1" w:rsidP="00CB2284">
            <w:pPr>
              <w:keepNext/>
              <w:keepLines/>
              <w:spacing w:before="40" w:after="40"/>
              <w:ind w:left="-113" w:right="-113"/>
              <w:jc w:val="center"/>
              <w:rPr>
                <w:spacing w:val="-6"/>
                <w:sz w:val="18"/>
                <w:szCs w:val="18"/>
              </w:rPr>
            </w:pPr>
            <w:r w:rsidRPr="00763B65">
              <w:rPr>
                <w:spacing w:val="-6"/>
                <w:sz w:val="18"/>
                <w:szCs w:val="18"/>
              </w:rPr>
              <w:t>11.1</w:t>
            </w:r>
            <w:r w:rsidRPr="00763B65">
              <w:rPr>
                <w:spacing w:val="-6"/>
                <w:sz w:val="18"/>
                <w:szCs w:val="18"/>
              </w:rPr>
              <w:br/>
              <w:t>(10.70)</w:t>
            </w:r>
          </w:p>
        </w:tc>
        <w:tc>
          <w:tcPr>
            <w:tcW w:w="1025" w:type="dxa"/>
            <w:vAlign w:val="center"/>
          </w:tcPr>
          <w:p w:rsidR="005624B1" w:rsidRPr="00763B65" w:rsidRDefault="005624B1" w:rsidP="00CB2284">
            <w:pPr>
              <w:keepNext/>
              <w:keepLines/>
              <w:spacing w:before="40" w:after="40"/>
              <w:ind w:left="-113" w:right="-113"/>
              <w:jc w:val="center"/>
              <w:rPr>
                <w:spacing w:val="-6"/>
                <w:sz w:val="18"/>
                <w:szCs w:val="18"/>
              </w:rPr>
            </w:pPr>
            <w:r w:rsidRPr="00763B65">
              <w:rPr>
                <w:spacing w:val="-6"/>
                <w:sz w:val="18"/>
                <w:szCs w:val="18"/>
              </w:rPr>
              <w:t>11.5</w:t>
            </w:r>
            <w:r w:rsidRPr="00763B65">
              <w:rPr>
                <w:spacing w:val="-6"/>
                <w:sz w:val="18"/>
                <w:szCs w:val="18"/>
              </w:rPr>
              <w:br/>
              <w:t>(13.75)</w:t>
            </w:r>
          </w:p>
        </w:tc>
        <w:tc>
          <w:tcPr>
            <w:tcW w:w="1026" w:type="dxa"/>
            <w:vAlign w:val="center"/>
          </w:tcPr>
          <w:p w:rsidR="005624B1" w:rsidRPr="00763B65" w:rsidRDefault="005624B1" w:rsidP="00CB2284">
            <w:pPr>
              <w:keepNext/>
              <w:keepLines/>
              <w:spacing w:before="40" w:after="40"/>
              <w:jc w:val="center"/>
              <w:rPr>
                <w:spacing w:val="-6"/>
                <w:sz w:val="18"/>
                <w:szCs w:val="18"/>
              </w:rPr>
            </w:pPr>
            <w:r w:rsidRPr="00763B65">
              <w:rPr>
                <w:spacing w:val="-6"/>
                <w:sz w:val="18"/>
                <w:szCs w:val="18"/>
              </w:rPr>
              <w:t>0.9</w:t>
            </w:r>
            <w:r w:rsidRPr="00763B65">
              <w:rPr>
                <w:spacing w:val="-6"/>
                <w:sz w:val="18"/>
                <w:szCs w:val="18"/>
              </w:rPr>
              <w:br/>
              <w:t>(13.94)</w:t>
            </w:r>
          </w:p>
        </w:tc>
      </w:tr>
      <w:tr w:rsidR="005624B1" w:rsidRPr="005A397C" w:rsidTr="005624B1">
        <w:trPr>
          <w:jc w:val="center"/>
        </w:trPr>
        <w:tc>
          <w:tcPr>
            <w:tcW w:w="2239" w:type="dxa"/>
            <w:shd w:val="clear" w:color="auto" w:fill="auto"/>
          </w:tcPr>
          <w:p w:rsidR="005624B1" w:rsidRPr="005A397C" w:rsidRDefault="005624B1" w:rsidP="00895DEE">
            <w:pPr>
              <w:spacing w:before="40" w:after="40"/>
              <w:ind w:left="85" w:right="-81"/>
              <w:rPr>
                <w:b/>
                <w:sz w:val="18"/>
                <w:szCs w:val="18"/>
              </w:rPr>
            </w:pPr>
            <w:r w:rsidRPr="005A397C">
              <w:rPr>
                <w:sz w:val="18"/>
                <w:szCs w:val="18"/>
              </w:rPr>
              <w:t>Difference</w:t>
            </w:r>
            <w:r w:rsidRPr="005A397C">
              <w:rPr>
                <w:sz w:val="18"/>
                <w:szCs w:val="18"/>
                <w:vertAlign w:val="superscript"/>
              </w:rPr>
              <w:t xml:space="preserve"> </w:t>
            </w:r>
            <w:r>
              <w:rPr>
                <w:sz w:val="18"/>
                <w:szCs w:val="18"/>
              </w:rPr>
              <w:t>in LS</w:t>
            </w:r>
            <w:r w:rsidRPr="005A397C">
              <w:rPr>
                <w:sz w:val="18"/>
                <w:szCs w:val="18"/>
              </w:rPr>
              <w:t xml:space="preserve"> mean</w:t>
            </w:r>
            <w:r w:rsidRPr="005A397C">
              <w:rPr>
                <w:sz w:val="18"/>
                <w:szCs w:val="18"/>
                <w:vertAlign w:val="superscript"/>
              </w:rPr>
              <w:t xml:space="preserve"> b, c, e</w:t>
            </w:r>
            <w:r w:rsidRPr="005A397C">
              <w:rPr>
                <w:sz w:val="18"/>
                <w:szCs w:val="18"/>
                <w:vertAlign w:val="superscript"/>
              </w:rPr>
              <w:br/>
            </w:r>
            <w:r w:rsidRPr="005A397C">
              <w:rPr>
                <w:sz w:val="18"/>
                <w:szCs w:val="18"/>
              </w:rPr>
              <w:t>(97.5% CI)</w:t>
            </w:r>
            <w:r w:rsidRPr="005A397C">
              <w:rPr>
                <w:sz w:val="18"/>
                <w:szCs w:val="18"/>
              </w:rPr>
              <w:br/>
              <w:t>p-value</w:t>
            </w:r>
          </w:p>
        </w:tc>
        <w:tc>
          <w:tcPr>
            <w:tcW w:w="1025" w:type="dxa"/>
            <w:shd w:val="clear" w:color="auto" w:fill="auto"/>
            <w:vAlign w:val="center"/>
          </w:tcPr>
          <w:p w:rsidR="005624B1" w:rsidRPr="00763B65" w:rsidRDefault="005624B1" w:rsidP="00895DEE">
            <w:pPr>
              <w:keepNext/>
              <w:keepLines/>
              <w:spacing w:before="40" w:after="40"/>
              <w:ind w:left="-93" w:right="-112"/>
              <w:jc w:val="center"/>
              <w:rPr>
                <w:spacing w:val="-6"/>
                <w:sz w:val="18"/>
                <w:szCs w:val="18"/>
              </w:rPr>
            </w:pPr>
            <w:r w:rsidRPr="00763B65">
              <w:rPr>
                <w:spacing w:val="-6"/>
                <w:sz w:val="18"/>
                <w:szCs w:val="18"/>
              </w:rPr>
              <w:t>9.1</w:t>
            </w:r>
            <w:r w:rsidRPr="00763B65">
              <w:rPr>
                <w:spacing w:val="-6"/>
                <w:sz w:val="18"/>
                <w:szCs w:val="18"/>
                <w:vertAlign w:val="superscript"/>
              </w:rPr>
              <w:br/>
            </w:r>
            <w:r w:rsidRPr="00763B65">
              <w:rPr>
                <w:spacing w:val="-6"/>
                <w:sz w:val="18"/>
                <w:szCs w:val="18"/>
              </w:rPr>
              <w:t>(6.3, 11.8)</w:t>
            </w:r>
          </w:p>
          <w:p w:rsidR="005624B1" w:rsidRPr="00763B65" w:rsidRDefault="005624B1" w:rsidP="00895DEE">
            <w:pPr>
              <w:keepNext/>
              <w:keepLines/>
              <w:spacing w:before="40" w:after="40"/>
              <w:ind w:left="-93" w:right="-112"/>
              <w:jc w:val="center"/>
              <w:rPr>
                <w:spacing w:val="-6"/>
                <w:sz w:val="18"/>
                <w:szCs w:val="18"/>
              </w:rPr>
            </w:pPr>
            <w:r w:rsidRPr="00763B65">
              <w:rPr>
                <w:spacing w:val="-6"/>
                <w:sz w:val="18"/>
                <w:szCs w:val="18"/>
              </w:rPr>
              <w:t>p &lt; 0.0001</w:t>
            </w:r>
          </w:p>
        </w:tc>
        <w:tc>
          <w:tcPr>
            <w:tcW w:w="1025" w:type="dxa"/>
            <w:shd w:val="clear" w:color="auto" w:fill="auto"/>
            <w:vAlign w:val="center"/>
          </w:tcPr>
          <w:p w:rsidR="005624B1" w:rsidRPr="00763B65" w:rsidRDefault="005624B1" w:rsidP="00895DEE">
            <w:pPr>
              <w:keepNext/>
              <w:keepLines/>
              <w:spacing w:before="40" w:after="40"/>
              <w:ind w:left="-93" w:right="-86"/>
              <w:jc w:val="center"/>
              <w:rPr>
                <w:spacing w:val="-6"/>
                <w:sz w:val="18"/>
                <w:szCs w:val="18"/>
              </w:rPr>
            </w:pPr>
            <w:r w:rsidRPr="00763B65">
              <w:rPr>
                <w:spacing w:val="-6"/>
                <w:sz w:val="18"/>
                <w:szCs w:val="18"/>
              </w:rPr>
              <w:t>9.3</w:t>
            </w:r>
            <w:r w:rsidRPr="00763B65">
              <w:rPr>
                <w:spacing w:val="-6"/>
                <w:sz w:val="18"/>
                <w:szCs w:val="18"/>
                <w:vertAlign w:val="superscript"/>
              </w:rPr>
              <w:br/>
            </w:r>
            <w:r w:rsidRPr="00763B65">
              <w:rPr>
                <w:spacing w:val="-6"/>
                <w:sz w:val="18"/>
                <w:szCs w:val="18"/>
              </w:rPr>
              <w:t>(6.5, 12.0)</w:t>
            </w:r>
          </w:p>
          <w:p w:rsidR="005624B1" w:rsidRPr="00763B65" w:rsidRDefault="005624B1" w:rsidP="00895DEE">
            <w:pPr>
              <w:keepNext/>
              <w:keepLines/>
              <w:spacing w:before="40" w:after="40"/>
              <w:ind w:left="-93" w:right="-86"/>
              <w:jc w:val="center"/>
              <w:rPr>
                <w:spacing w:val="-6"/>
                <w:sz w:val="18"/>
                <w:szCs w:val="18"/>
              </w:rPr>
            </w:pPr>
            <w:r w:rsidRPr="00763B65">
              <w:rPr>
                <w:spacing w:val="-6"/>
                <w:sz w:val="18"/>
                <w:szCs w:val="18"/>
              </w:rPr>
              <w:t>p &lt; 0.0001</w:t>
            </w:r>
          </w:p>
        </w:tc>
        <w:tc>
          <w:tcPr>
            <w:tcW w:w="1026" w:type="dxa"/>
            <w:shd w:val="clear" w:color="auto" w:fill="auto"/>
            <w:vAlign w:val="center"/>
          </w:tcPr>
          <w:p w:rsidR="005624B1" w:rsidRPr="00763B65" w:rsidRDefault="005624B1" w:rsidP="00895DEE">
            <w:pPr>
              <w:keepNext/>
              <w:keepLines/>
              <w:spacing w:before="40" w:after="40"/>
              <w:ind w:left="-167" w:right="-147"/>
              <w:jc w:val="center"/>
              <w:rPr>
                <w:spacing w:val="-6"/>
                <w:sz w:val="18"/>
                <w:szCs w:val="18"/>
              </w:rPr>
            </w:pPr>
          </w:p>
        </w:tc>
        <w:tc>
          <w:tcPr>
            <w:tcW w:w="1025" w:type="dxa"/>
            <w:shd w:val="clear" w:color="auto" w:fill="auto"/>
            <w:vAlign w:val="center"/>
          </w:tcPr>
          <w:p w:rsidR="005624B1" w:rsidRPr="00763B65" w:rsidRDefault="005624B1" w:rsidP="00481943">
            <w:pPr>
              <w:keepNext/>
              <w:keepLines/>
              <w:spacing w:before="40" w:after="40"/>
              <w:ind w:left="-93" w:right="-108"/>
              <w:jc w:val="center"/>
              <w:rPr>
                <w:spacing w:val="-6"/>
                <w:sz w:val="18"/>
                <w:szCs w:val="18"/>
              </w:rPr>
            </w:pPr>
            <w:r w:rsidRPr="00763B65">
              <w:rPr>
                <w:spacing w:val="-6"/>
                <w:sz w:val="18"/>
                <w:szCs w:val="18"/>
              </w:rPr>
              <w:t>10.45</w:t>
            </w:r>
            <w:r w:rsidRPr="00763B65">
              <w:rPr>
                <w:spacing w:val="-6"/>
                <w:sz w:val="18"/>
                <w:szCs w:val="18"/>
                <w:vertAlign w:val="superscript"/>
              </w:rPr>
              <w:br/>
            </w:r>
            <w:r w:rsidRPr="00763B65">
              <w:rPr>
                <w:spacing w:val="-6"/>
                <w:sz w:val="18"/>
                <w:szCs w:val="18"/>
              </w:rPr>
              <w:t>(7.73, 13.17)</w:t>
            </w:r>
          </w:p>
          <w:p w:rsidR="005624B1" w:rsidRPr="00763B65" w:rsidRDefault="005624B1" w:rsidP="00481943">
            <w:pPr>
              <w:keepNext/>
              <w:keepLines/>
              <w:spacing w:before="40" w:after="40"/>
              <w:ind w:left="-93" w:right="-108"/>
              <w:jc w:val="center"/>
              <w:rPr>
                <w:spacing w:val="-6"/>
                <w:sz w:val="18"/>
                <w:szCs w:val="18"/>
              </w:rPr>
            </w:pPr>
            <w:r w:rsidRPr="00763B65">
              <w:rPr>
                <w:spacing w:val="-6"/>
                <w:sz w:val="18"/>
                <w:szCs w:val="18"/>
              </w:rPr>
              <w:t>p &lt; 0.0001</w:t>
            </w:r>
          </w:p>
        </w:tc>
        <w:tc>
          <w:tcPr>
            <w:tcW w:w="1026" w:type="dxa"/>
            <w:shd w:val="clear" w:color="auto" w:fill="auto"/>
            <w:vAlign w:val="center"/>
          </w:tcPr>
          <w:p w:rsidR="005624B1" w:rsidRPr="00763B65" w:rsidRDefault="005624B1" w:rsidP="00481943">
            <w:pPr>
              <w:keepNext/>
              <w:keepLines/>
              <w:spacing w:before="40" w:after="40"/>
              <w:ind w:left="-93" w:right="-108"/>
              <w:jc w:val="center"/>
              <w:rPr>
                <w:spacing w:val="-6"/>
                <w:sz w:val="18"/>
                <w:szCs w:val="18"/>
              </w:rPr>
            </w:pPr>
            <w:r w:rsidRPr="00763B65">
              <w:rPr>
                <w:spacing w:val="-6"/>
                <w:sz w:val="18"/>
                <w:szCs w:val="18"/>
              </w:rPr>
              <w:t>12.19</w:t>
            </w:r>
            <w:r w:rsidRPr="00763B65">
              <w:rPr>
                <w:spacing w:val="-6"/>
                <w:sz w:val="18"/>
                <w:szCs w:val="18"/>
                <w:vertAlign w:val="superscript"/>
              </w:rPr>
              <w:br/>
            </w:r>
            <w:r w:rsidRPr="00763B65">
              <w:rPr>
                <w:spacing w:val="-6"/>
                <w:sz w:val="18"/>
                <w:szCs w:val="18"/>
              </w:rPr>
              <w:t>(9.35, 15.04)</w:t>
            </w:r>
          </w:p>
          <w:p w:rsidR="005624B1" w:rsidRPr="00763B65" w:rsidRDefault="005624B1" w:rsidP="00481943">
            <w:pPr>
              <w:keepNext/>
              <w:keepLines/>
              <w:spacing w:before="40" w:after="40"/>
              <w:ind w:left="-93" w:right="-108"/>
              <w:jc w:val="center"/>
              <w:rPr>
                <w:spacing w:val="-6"/>
                <w:sz w:val="18"/>
                <w:szCs w:val="18"/>
              </w:rPr>
            </w:pPr>
            <w:r w:rsidRPr="00763B65">
              <w:rPr>
                <w:spacing w:val="-6"/>
                <w:sz w:val="18"/>
                <w:szCs w:val="18"/>
              </w:rPr>
              <w:t>p &lt; 0.0001</w:t>
            </w:r>
          </w:p>
        </w:tc>
        <w:tc>
          <w:tcPr>
            <w:tcW w:w="1025" w:type="dxa"/>
            <w:shd w:val="clear" w:color="auto" w:fill="auto"/>
            <w:vAlign w:val="center"/>
          </w:tcPr>
          <w:p w:rsidR="005624B1" w:rsidRPr="00763B65" w:rsidRDefault="005624B1" w:rsidP="00481943">
            <w:pPr>
              <w:keepNext/>
              <w:keepLines/>
              <w:spacing w:before="40" w:after="40"/>
              <w:jc w:val="center"/>
              <w:rPr>
                <w:spacing w:val="-6"/>
                <w:sz w:val="18"/>
                <w:szCs w:val="18"/>
              </w:rPr>
            </w:pPr>
          </w:p>
        </w:tc>
        <w:tc>
          <w:tcPr>
            <w:tcW w:w="1026" w:type="dxa"/>
            <w:vAlign w:val="center"/>
          </w:tcPr>
          <w:p w:rsidR="005624B1" w:rsidRPr="00763B65" w:rsidRDefault="005624B1" w:rsidP="00CB2284">
            <w:pPr>
              <w:keepNext/>
              <w:keepLines/>
              <w:spacing w:before="40" w:after="40"/>
              <w:ind w:left="-113" w:right="-113"/>
              <w:jc w:val="center"/>
              <w:rPr>
                <w:spacing w:val="-6"/>
                <w:sz w:val="18"/>
                <w:szCs w:val="18"/>
              </w:rPr>
            </w:pPr>
            <w:r w:rsidRPr="00763B65">
              <w:rPr>
                <w:spacing w:val="-6"/>
                <w:sz w:val="18"/>
                <w:szCs w:val="18"/>
              </w:rPr>
              <w:t>10.14</w:t>
            </w:r>
            <w:r w:rsidRPr="00763B65">
              <w:rPr>
                <w:spacing w:val="-6"/>
                <w:sz w:val="18"/>
                <w:szCs w:val="18"/>
              </w:rPr>
              <w:br/>
              <w:t>(6,96, 13.32)</w:t>
            </w:r>
          </w:p>
          <w:p w:rsidR="005624B1" w:rsidRPr="00763B65" w:rsidRDefault="005624B1" w:rsidP="00CB2284">
            <w:pPr>
              <w:keepNext/>
              <w:keepLines/>
              <w:spacing w:before="40" w:after="40"/>
              <w:ind w:left="-113" w:right="-113"/>
              <w:jc w:val="center"/>
              <w:rPr>
                <w:spacing w:val="-6"/>
                <w:sz w:val="18"/>
                <w:szCs w:val="18"/>
              </w:rPr>
            </w:pPr>
            <w:r w:rsidRPr="00763B65">
              <w:rPr>
                <w:spacing w:val="-6"/>
                <w:sz w:val="18"/>
                <w:szCs w:val="18"/>
              </w:rPr>
              <w:t>p &lt; 0.0001</w:t>
            </w:r>
          </w:p>
        </w:tc>
        <w:tc>
          <w:tcPr>
            <w:tcW w:w="1025" w:type="dxa"/>
            <w:vAlign w:val="center"/>
          </w:tcPr>
          <w:p w:rsidR="005624B1" w:rsidRPr="00763B65" w:rsidRDefault="005624B1" w:rsidP="00CB2284">
            <w:pPr>
              <w:keepNext/>
              <w:keepLines/>
              <w:spacing w:before="40" w:after="40"/>
              <w:ind w:left="-113" w:right="-113"/>
              <w:jc w:val="center"/>
              <w:rPr>
                <w:spacing w:val="-6"/>
                <w:sz w:val="18"/>
                <w:szCs w:val="18"/>
              </w:rPr>
            </w:pPr>
            <w:r w:rsidRPr="00763B65">
              <w:rPr>
                <w:spacing w:val="-6"/>
                <w:sz w:val="18"/>
                <w:szCs w:val="18"/>
              </w:rPr>
              <w:t>10.64</w:t>
            </w:r>
            <w:r w:rsidRPr="00763B65">
              <w:rPr>
                <w:spacing w:val="-6"/>
                <w:sz w:val="18"/>
                <w:szCs w:val="18"/>
              </w:rPr>
              <w:br/>
              <w:t>(7.09, 14.18)</w:t>
            </w:r>
          </w:p>
          <w:p w:rsidR="005624B1" w:rsidRPr="00763B65" w:rsidRDefault="005624B1" w:rsidP="00CB2284">
            <w:pPr>
              <w:keepNext/>
              <w:keepLines/>
              <w:spacing w:before="40" w:after="40"/>
              <w:ind w:left="-113" w:right="-113"/>
              <w:jc w:val="center"/>
              <w:rPr>
                <w:spacing w:val="-6"/>
                <w:sz w:val="18"/>
                <w:szCs w:val="18"/>
              </w:rPr>
            </w:pPr>
            <w:r w:rsidRPr="00763B65">
              <w:rPr>
                <w:spacing w:val="-6"/>
                <w:sz w:val="18"/>
                <w:szCs w:val="18"/>
              </w:rPr>
              <w:t>p &lt; 0.0001</w:t>
            </w:r>
          </w:p>
        </w:tc>
        <w:tc>
          <w:tcPr>
            <w:tcW w:w="1026" w:type="dxa"/>
            <w:vAlign w:val="center"/>
          </w:tcPr>
          <w:p w:rsidR="005624B1" w:rsidRPr="00763B65" w:rsidRDefault="005624B1" w:rsidP="00CB2284">
            <w:pPr>
              <w:keepNext/>
              <w:keepLines/>
              <w:spacing w:before="40" w:after="40"/>
              <w:jc w:val="center"/>
              <w:rPr>
                <w:spacing w:val="-6"/>
                <w:sz w:val="18"/>
                <w:szCs w:val="18"/>
              </w:rPr>
            </w:pPr>
          </w:p>
        </w:tc>
      </w:tr>
      <w:tr w:rsidR="005624B1" w:rsidRPr="005A397C" w:rsidTr="005624B1">
        <w:trPr>
          <w:jc w:val="center"/>
        </w:trPr>
        <w:tc>
          <w:tcPr>
            <w:tcW w:w="2239" w:type="dxa"/>
            <w:shd w:val="clear" w:color="auto" w:fill="auto"/>
          </w:tcPr>
          <w:p w:rsidR="005624B1" w:rsidRPr="005A397C" w:rsidRDefault="005624B1" w:rsidP="00895DEE">
            <w:pPr>
              <w:spacing w:before="40" w:after="40"/>
              <w:ind w:right="-81"/>
              <w:rPr>
                <w:sz w:val="18"/>
                <w:szCs w:val="18"/>
              </w:rPr>
            </w:pPr>
            <w:r w:rsidRPr="005A397C">
              <w:rPr>
                <w:sz w:val="18"/>
                <w:szCs w:val="18"/>
              </w:rPr>
              <w:t>Proportion of patients who gained at least 10 letters in BCVA</w:t>
            </w:r>
            <w:r w:rsidRPr="005A397C">
              <w:rPr>
                <w:sz w:val="18"/>
                <w:szCs w:val="18"/>
                <w:vertAlign w:val="superscript"/>
              </w:rPr>
              <w:t xml:space="preserve"> e</w:t>
            </w:r>
            <w:r w:rsidRPr="005A397C">
              <w:rPr>
                <w:sz w:val="18"/>
                <w:szCs w:val="18"/>
              </w:rPr>
              <w:t xml:space="preserve"> from Baseline </w:t>
            </w:r>
          </w:p>
        </w:tc>
        <w:tc>
          <w:tcPr>
            <w:tcW w:w="1025" w:type="dxa"/>
            <w:shd w:val="clear" w:color="auto" w:fill="auto"/>
            <w:vAlign w:val="center"/>
          </w:tcPr>
          <w:p w:rsidR="005624B1" w:rsidRPr="00763B65" w:rsidRDefault="005624B1" w:rsidP="00895DEE">
            <w:pPr>
              <w:spacing w:before="40" w:after="40"/>
              <w:ind w:left="-93" w:right="-112"/>
              <w:jc w:val="center"/>
              <w:rPr>
                <w:spacing w:val="-6"/>
                <w:sz w:val="18"/>
                <w:szCs w:val="18"/>
              </w:rPr>
            </w:pPr>
            <w:r w:rsidRPr="00763B65">
              <w:rPr>
                <w:spacing w:val="-6"/>
                <w:sz w:val="18"/>
                <w:szCs w:val="18"/>
              </w:rPr>
              <w:t>53.3%</w:t>
            </w:r>
          </w:p>
        </w:tc>
        <w:tc>
          <w:tcPr>
            <w:tcW w:w="1025" w:type="dxa"/>
            <w:shd w:val="clear" w:color="auto" w:fill="auto"/>
            <w:vAlign w:val="center"/>
          </w:tcPr>
          <w:p w:rsidR="005624B1" w:rsidRPr="00763B65" w:rsidRDefault="005624B1" w:rsidP="00895DEE">
            <w:pPr>
              <w:spacing w:before="40" w:after="40"/>
              <w:ind w:left="-93" w:right="-86"/>
              <w:jc w:val="center"/>
              <w:rPr>
                <w:spacing w:val="-6"/>
                <w:sz w:val="18"/>
                <w:szCs w:val="18"/>
              </w:rPr>
            </w:pPr>
            <w:r w:rsidRPr="00763B65">
              <w:rPr>
                <w:spacing w:val="-6"/>
                <w:sz w:val="18"/>
                <w:szCs w:val="18"/>
              </w:rPr>
              <w:t>54.4%</w:t>
            </w:r>
          </w:p>
        </w:tc>
        <w:tc>
          <w:tcPr>
            <w:tcW w:w="1026" w:type="dxa"/>
            <w:shd w:val="clear" w:color="auto" w:fill="auto"/>
            <w:vAlign w:val="center"/>
          </w:tcPr>
          <w:p w:rsidR="005624B1" w:rsidRPr="00763B65" w:rsidRDefault="005624B1" w:rsidP="00895DEE">
            <w:pPr>
              <w:spacing w:before="40" w:after="40"/>
              <w:ind w:left="-167" w:right="-147"/>
              <w:jc w:val="center"/>
              <w:rPr>
                <w:spacing w:val="-6"/>
                <w:sz w:val="18"/>
                <w:szCs w:val="18"/>
              </w:rPr>
            </w:pPr>
            <w:r w:rsidRPr="00763B65">
              <w:rPr>
                <w:spacing w:val="-6"/>
                <w:sz w:val="18"/>
                <w:szCs w:val="18"/>
              </w:rPr>
              <w:t>25.8%</w:t>
            </w:r>
          </w:p>
        </w:tc>
        <w:tc>
          <w:tcPr>
            <w:tcW w:w="1025" w:type="dxa"/>
            <w:shd w:val="clear" w:color="auto" w:fill="auto"/>
            <w:vAlign w:val="center"/>
          </w:tcPr>
          <w:p w:rsidR="005624B1" w:rsidRPr="00763B65" w:rsidRDefault="005624B1" w:rsidP="001504C8">
            <w:pPr>
              <w:spacing w:before="40" w:after="40"/>
              <w:ind w:left="-93" w:right="-108"/>
              <w:jc w:val="center"/>
              <w:rPr>
                <w:spacing w:val="-6"/>
                <w:sz w:val="18"/>
                <w:szCs w:val="18"/>
              </w:rPr>
            </w:pPr>
            <w:r w:rsidRPr="00763B65">
              <w:rPr>
                <w:spacing w:val="-6"/>
                <w:sz w:val="18"/>
                <w:szCs w:val="18"/>
              </w:rPr>
              <w:t>58.3%</w:t>
            </w:r>
          </w:p>
        </w:tc>
        <w:tc>
          <w:tcPr>
            <w:tcW w:w="1026" w:type="dxa"/>
            <w:shd w:val="clear" w:color="auto" w:fill="auto"/>
            <w:vAlign w:val="center"/>
          </w:tcPr>
          <w:p w:rsidR="005624B1" w:rsidRPr="00763B65" w:rsidRDefault="005624B1" w:rsidP="001504C8">
            <w:pPr>
              <w:spacing w:before="40" w:after="40"/>
              <w:ind w:left="-93" w:right="-108"/>
              <w:jc w:val="center"/>
              <w:rPr>
                <w:spacing w:val="-6"/>
                <w:sz w:val="18"/>
                <w:szCs w:val="18"/>
              </w:rPr>
            </w:pPr>
            <w:r w:rsidRPr="00763B65">
              <w:rPr>
                <w:spacing w:val="-6"/>
                <w:sz w:val="18"/>
                <w:szCs w:val="18"/>
              </w:rPr>
              <w:t>64.9%</w:t>
            </w:r>
          </w:p>
        </w:tc>
        <w:tc>
          <w:tcPr>
            <w:tcW w:w="1025" w:type="dxa"/>
            <w:shd w:val="clear" w:color="auto" w:fill="auto"/>
            <w:vAlign w:val="center"/>
          </w:tcPr>
          <w:p w:rsidR="005624B1" w:rsidRPr="00763B65" w:rsidRDefault="005624B1" w:rsidP="001504C8">
            <w:pPr>
              <w:spacing w:before="40" w:after="40"/>
              <w:jc w:val="center"/>
              <w:rPr>
                <w:spacing w:val="-6"/>
                <w:sz w:val="18"/>
                <w:szCs w:val="18"/>
              </w:rPr>
            </w:pPr>
            <w:r w:rsidRPr="00763B65">
              <w:rPr>
                <w:spacing w:val="-6"/>
                <w:sz w:val="18"/>
                <w:szCs w:val="18"/>
              </w:rPr>
              <w:t>19.5%</w:t>
            </w:r>
          </w:p>
        </w:tc>
        <w:tc>
          <w:tcPr>
            <w:tcW w:w="1026" w:type="dxa"/>
            <w:vAlign w:val="center"/>
          </w:tcPr>
          <w:p w:rsidR="005624B1" w:rsidRPr="00763B65" w:rsidRDefault="005624B1" w:rsidP="00CB2284">
            <w:pPr>
              <w:spacing w:before="40" w:after="40"/>
              <w:ind w:left="-113" w:right="-113"/>
              <w:jc w:val="center"/>
              <w:rPr>
                <w:spacing w:val="-6"/>
                <w:sz w:val="18"/>
                <w:szCs w:val="18"/>
              </w:rPr>
            </w:pPr>
            <w:r w:rsidRPr="00763B65">
              <w:rPr>
                <w:spacing w:val="-6"/>
                <w:sz w:val="18"/>
                <w:szCs w:val="18"/>
              </w:rPr>
              <w:t>59.6%</w:t>
            </w:r>
          </w:p>
        </w:tc>
        <w:tc>
          <w:tcPr>
            <w:tcW w:w="1025" w:type="dxa"/>
            <w:vAlign w:val="center"/>
          </w:tcPr>
          <w:p w:rsidR="005624B1" w:rsidRPr="00763B65" w:rsidRDefault="005624B1" w:rsidP="00CB2284">
            <w:pPr>
              <w:spacing w:before="40" w:after="40"/>
              <w:ind w:left="-113" w:right="-113"/>
              <w:jc w:val="center"/>
              <w:rPr>
                <w:spacing w:val="-6"/>
                <w:sz w:val="18"/>
                <w:szCs w:val="18"/>
              </w:rPr>
            </w:pPr>
            <w:r w:rsidRPr="00763B65">
              <w:rPr>
                <w:spacing w:val="-6"/>
                <w:sz w:val="18"/>
                <w:szCs w:val="18"/>
              </w:rPr>
              <w:t>63.6%</w:t>
            </w:r>
          </w:p>
        </w:tc>
        <w:tc>
          <w:tcPr>
            <w:tcW w:w="1026" w:type="dxa"/>
            <w:vAlign w:val="center"/>
          </w:tcPr>
          <w:p w:rsidR="005624B1" w:rsidRPr="00763B65" w:rsidRDefault="005624B1" w:rsidP="00CB2284">
            <w:pPr>
              <w:spacing w:before="40" w:after="40"/>
              <w:jc w:val="center"/>
              <w:rPr>
                <w:spacing w:val="-6"/>
                <w:sz w:val="18"/>
                <w:szCs w:val="18"/>
              </w:rPr>
            </w:pPr>
            <w:r w:rsidRPr="00763B65">
              <w:rPr>
                <w:spacing w:val="-6"/>
                <w:sz w:val="18"/>
                <w:szCs w:val="18"/>
              </w:rPr>
              <w:t>27.9%</w:t>
            </w:r>
          </w:p>
        </w:tc>
      </w:tr>
      <w:tr w:rsidR="005624B1" w:rsidRPr="005A397C" w:rsidTr="005624B1">
        <w:trPr>
          <w:jc w:val="center"/>
        </w:trPr>
        <w:tc>
          <w:tcPr>
            <w:tcW w:w="2239" w:type="dxa"/>
            <w:shd w:val="clear" w:color="auto" w:fill="auto"/>
          </w:tcPr>
          <w:p w:rsidR="005624B1" w:rsidRPr="005A397C" w:rsidRDefault="005624B1" w:rsidP="00895DEE">
            <w:pPr>
              <w:keepNext/>
              <w:keepLines/>
              <w:spacing w:before="40" w:after="40"/>
              <w:ind w:left="85" w:right="-79"/>
              <w:rPr>
                <w:sz w:val="18"/>
                <w:szCs w:val="18"/>
              </w:rPr>
            </w:pPr>
            <w:r>
              <w:rPr>
                <w:sz w:val="18"/>
                <w:szCs w:val="18"/>
              </w:rPr>
              <w:t>Adjusted</w:t>
            </w:r>
            <w:r w:rsidRPr="005A397C">
              <w:rPr>
                <w:sz w:val="18"/>
                <w:szCs w:val="18"/>
              </w:rPr>
              <w:t xml:space="preserve"> Difference </w:t>
            </w:r>
            <w:r w:rsidRPr="005A397C">
              <w:rPr>
                <w:sz w:val="18"/>
                <w:szCs w:val="18"/>
                <w:vertAlign w:val="superscript"/>
              </w:rPr>
              <w:t>c,</w:t>
            </w:r>
            <w:r>
              <w:rPr>
                <w:sz w:val="18"/>
                <w:szCs w:val="18"/>
                <w:vertAlign w:val="superscript"/>
              </w:rPr>
              <w:t xml:space="preserve"> d,</w:t>
            </w:r>
            <w:r w:rsidRPr="005A397C">
              <w:rPr>
                <w:sz w:val="18"/>
                <w:szCs w:val="18"/>
                <w:vertAlign w:val="superscript"/>
              </w:rPr>
              <w:t xml:space="preserve"> e</w:t>
            </w:r>
            <w:r w:rsidRPr="005A397C">
              <w:rPr>
                <w:sz w:val="18"/>
                <w:szCs w:val="18"/>
              </w:rPr>
              <w:br/>
              <w:t>(97.5% CI)</w:t>
            </w:r>
          </w:p>
          <w:p w:rsidR="005624B1" w:rsidRPr="005A397C" w:rsidRDefault="005624B1" w:rsidP="00895DEE">
            <w:pPr>
              <w:keepNext/>
              <w:keepLines/>
              <w:spacing w:before="40" w:after="40"/>
              <w:ind w:left="85" w:right="-79"/>
              <w:rPr>
                <w:sz w:val="18"/>
                <w:szCs w:val="18"/>
              </w:rPr>
            </w:pPr>
            <w:r w:rsidRPr="005A397C">
              <w:rPr>
                <w:sz w:val="18"/>
                <w:szCs w:val="18"/>
              </w:rPr>
              <w:t>p-value</w:t>
            </w:r>
          </w:p>
        </w:tc>
        <w:tc>
          <w:tcPr>
            <w:tcW w:w="1025" w:type="dxa"/>
            <w:shd w:val="clear" w:color="auto" w:fill="auto"/>
            <w:vAlign w:val="center"/>
          </w:tcPr>
          <w:p w:rsidR="005624B1" w:rsidRPr="00763B65" w:rsidRDefault="005624B1" w:rsidP="00895DEE">
            <w:pPr>
              <w:keepNext/>
              <w:keepLines/>
              <w:spacing w:before="40" w:after="40"/>
              <w:ind w:left="-93" w:right="-112"/>
              <w:jc w:val="center"/>
              <w:rPr>
                <w:spacing w:val="-6"/>
                <w:sz w:val="18"/>
                <w:szCs w:val="18"/>
              </w:rPr>
            </w:pPr>
            <w:r w:rsidRPr="00763B65">
              <w:rPr>
                <w:spacing w:val="-6"/>
                <w:sz w:val="18"/>
                <w:szCs w:val="18"/>
              </w:rPr>
              <w:t>27.5</w:t>
            </w:r>
            <w:r w:rsidRPr="00763B65">
              <w:rPr>
                <w:spacing w:val="-6"/>
                <w:sz w:val="18"/>
                <w:szCs w:val="18"/>
              </w:rPr>
              <w:br/>
              <w:t>(14.6, 40.5)</w:t>
            </w:r>
          </w:p>
          <w:p w:rsidR="005624B1" w:rsidRPr="00763B65" w:rsidRDefault="005624B1" w:rsidP="00895DEE">
            <w:pPr>
              <w:keepNext/>
              <w:keepLines/>
              <w:spacing w:before="40" w:after="40"/>
              <w:ind w:left="-93" w:right="-112"/>
              <w:jc w:val="center"/>
              <w:rPr>
                <w:spacing w:val="-6"/>
                <w:sz w:val="18"/>
                <w:szCs w:val="18"/>
              </w:rPr>
            </w:pPr>
            <w:r w:rsidRPr="00763B65">
              <w:rPr>
                <w:spacing w:val="-6"/>
                <w:sz w:val="18"/>
                <w:szCs w:val="18"/>
              </w:rPr>
              <w:t>p &lt; 0.0001</w:t>
            </w:r>
          </w:p>
        </w:tc>
        <w:tc>
          <w:tcPr>
            <w:tcW w:w="1025" w:type="dxa"/>
            <w:shd w:val="clear" w:color="auto" w:fill="auto"/>
            <w:vAlign w:val="center"/>
          </w:tcPr>
          <w:p w:rsidR="005624B1" w:rsidRPr="00763B65" w:rsidRDefault="005624B1" w:rsidP="00895DEE">
            <w:pPr>
              <w:keepNext/>
              <w:keepLines/>
              <w:spacing w:before="40" w:after="40"/>
              <w:ind w:left="-93" w:right="-86"/>
              <w:jc w:val="center"/>
              <w:rPr>
                <w:spacing w:val="-6"/>
                <w:sz w:val="18"/>
                <w:szCs w:val="18"/>
              </w:rPr>
            </w:pPr>
            <w:r w:rsidRPr="00763B65">
              <w:rPr>
                <w:spacing w:val="-6"/>
                <w:sz w:val="18"/>
                <w:szCs w:val="18"/>
              </w:rPr>
              <w:t>28.7</w:t>
            </w:r>
            <w:r w:rsidRPr="00763B65">
              <w:rPr>
                <w:spacing w:val="-6"/>
                <w:sz w:val="18"/>
                <w:szCs w:val="18"/>
              </w:rPr>
              <w:br/>
              <w:t>(15.8, 41.6)</w:t>
            </w:r>
          </w:p>
          <w:p w:rsidR="005624B1" w:rsidRPr="00763B65" w:rsidRDefault="005624B1" w:rsidP="00895DEE">
            <w:pPr>
              <w:keepNext/>
              <w:keepLines/>
              <w:spacing w:before="40" w:after="40"/>
              <w:ind w:left="-93" w:right="-86"/>
              <w:jc w:val="center"/>
              <w:rPr>
                <w:spacing w:val="-6"/>
                <w:sz w:val="18"/>
                <w:szCs w:val="18"/>
              </w:rPr>
            </w:pPr>
            <w:r w:rsidRPr="00763B65">
              <w:rPr>
                <w:spacing w:val="-6"/>
                <w:sz w:val="18"/>
                <w:szCs w:val="18"/>
              </w:rPr>
              <w:t>p &lt; 0.0001</w:t>
            </w:r>
          </w:p>
        </w:tc>
        <w:tc>
          <w:tcPr>
            <w:tcW w:w="1026" w:type="dxa"/>
            <w:shd w:val="clear" w:color="auto" w:fill="auto"/>
            <w:vAlign w:val="center"/>
          </w:tcPr>
          <w:p w:rsidR="005624B1" w:rsidRPr="00763B65" w:rsidRDefault="005624B1" w:rsidP="00895DEE">
            <w:pPr>
              <w:keepNext/>
              <w:keepLines/>
              <w:spacing w:before="40" w:after="40"/>
              <w:ind w:left="-167" w:right="-147"/>
              <w:jc w:val="center"/>
              <w:rPr>
                <w:spacing w:val="-6"/>
                <w:sz w:val="18"/>
                <w:szCs w:val="18"/>
              </w:rPr>
            </w:pPr>
          </w:p>
        </w:tc>
        <w:tc>
          <w:tcPr>
            <w:tcW w:w="1025" w:type="dxa"/>
            <w:shd w:val="clear" w:color="auto" w:fill="auto"/>
            <w:vAlign w:val="center"/>
          </w:tcPr>
          <w:p w:rsidR="005624B1" w:rsidRPr="00763B65" w:rsidRDefault="005624B1" w:rsidP="007C3358">
            <w:pPr>
              <w:keepNext/>
              <w:keepLines/>
              <w:spacing w:before="40" w:after="40"/>
              <w:ind w:left="-93" w:right="-108"/>
              <w:jc w:val="center"/>
              <w:rPr>
                <w:spacing w:val="-6"/>
                <w:sz w:val="18"/>
                <w:szCs w:val="18"/>
              </w:rPr>
            </w:pPr>
            <w:r w:rsidRPr="00763B65">
              <w:rPr>
                <w:spacing w:val="-6"/>
                <w:sz w:val="18"/>
                <w:szCs w:val="18"/>
              </w:rPr>
              <w:t>38.8</w:t>
            </w:r>
            <w:r w:rsidRPr="00763B65">
              <w:rPr>
                <w:spacing w:val="-6"/>
                <w:sz w:val="18"/>
                <w:szCs w:val="18"/>
              </w:rPr>
              <w:br/>
              <w:t>(27.2, 50.3)</w:t>
            </w:r>
          </w:p>
          <w:p w:rsidR="005624B1" w:rsidRPr="00763B65" w:rsidRDefault="005624B1" w:rsidP="007C3358">
            <w:pPr>
              <w:keepNext/>
              <w:keepLines/>
              <w:spacing w:before="40" w:after="40"/>
              <w:ind w:left="-93" w:right="-108"/>
              <w:jc w:val="center"/>
              <w:rPr>
                <w:spacing w:val="-6"/>
                <w:sz w:val="18"/>
                <w:szCs w:val="18"/>
              </w:rPr>
            </w:pPr>
            <w:r w:rsidRPr="00763B65">
              <w:rPr>
                <w:spacing w:val="-6"/>
                <w:sz w:val="18"/>
                <w:szCs w:val="18"/>
              </w:rPr>
              <w:t>p &lt; 0.0001</w:t>
            </w:r>
          </w:p>
        </w:tc>
        <w:tc>
          <w:tcPr>
            <w:tcW w:w="1026" w:type="dxa"/>
            <w:shd w:val="clear" w:color="auto" w:fill="auto"/>
            <w:vAlign w:val="center"/>
          </w:tcPr>
          <w:p w:rsidR="005624B1" w:rsidRPr="00763B65" w:rsidRDefault="005624B1" w:rsidP="007C3358">
            <w:pPr>
              <w:keepNext/>
              <w:keepLines/>
              <w:spacing w:before="40" w:after="40"/>
              <w:ind w:left="-93" w:right="-108"/>
              <w:jc w:val="center"/>
              <w:rPr>
                <w:spacing w:val="-6"/>
                <w:sz w:val="18"/>
                <w:szCs w:val="18"/>
              </w:rPr>
            </w:pPr>
            <w:r w:rsidRPr="00763B65">
              <w:rPr>
                <w:spacing w:val="-6"/>
                <w:sz w:val="18"/>
                <w:szCs w:val="18"/>
              </w:rPr>
              <w:t>45.9</w:t>
            </w:r>
            <w:r w:rsidRPr="00763B65">
              <w:rPr>
                <w:spacing w:val="-6"/>
                <w:sz w:val="18"/>
                <w:szCs w:val="18"/>
              </w:rPr>
              <w:br/>
              <w:t>(34.7, 57.0)</w:t>
            </w:r>
          </w:p>
          <w:p w:rsidR="005624B1" w:rsidRPr="00763B65" w:rsidRDefault="005624B1" w:rsidP="007C3358">
            <w:pPr>
              <w:keepNext/>
              <w:keepLines/>
              <w:spacing w:before="40" w:after="40"/>
              <w:ind w:left="-93" w:right="-108"/>
              <w:jc w:val="center"/>
              <w:rPr>
                <w:spacing w:val="-6"/>
                <w:sz w:val="18"/>
                <w:szCs w:val="18"/>
              </w:rPr>
            </w:pPr>
            <w:r w:rsidRPr="00763B65">
              <w:rPr>
                <w:spacing w:val="-6"/>
                <w:sz w:val="18"/>
                <w:szCs w:val="18"/>
              </w:rPr>
              <w:t>p &lt; 0.0001</w:t>
            </w:r>
          </w:p>
        </w:tc>
        <w:tc>
          <w:tcPr>
            <w:tcW w:w="1025" w:type="dxa"/>
            <w:shd w:val="clear" w:color="auto" w:fill="auto"/>
            <w:vAlign w:val="center"/>
          </w:tcPr>
          <w:p w:rsidR="005624B1" w:rsidRPr="00763B65" w:rsidRDefault="005624B1" w:rsidP="007C3358">
            <w:pPr>
              <w:keepNext/>
              <w:keepLines/>
              <w:spacing w:before="40" w:after="40"/>
              <w:jc w:val="center"/>
              <w:rPr>
                <w:spacing w:val="-6"/>
                <w:sz w:val="18"/>
                <w:szCs w:val="18"/>
              </w:rPr>
            </w:pPr>
          </w:p>
        </w:tc>
        <w:tc>
          <w:tcPr>
            <w:tcW w:w="1026" w:type="dxa"/>
            <w:vAlign w:val="center"/>
          </w:tcPr>
          <w:p w:rsidR="005624B1" w:rsidRPr="00763B65" w:rsidRDefault="005624B1" w:rsidP="00CB2284">
            <w:pPr>
              <w:keepNext/>
              <w:keepLines/>
              <w:spacing w:before="40" w:after="40"/>
              <w:ind w:left="-113" w:right="-113"/>
              <w:jc w:val="center"/>
              <w:rPr>
                <w:spacing w:val="-6"/>
                <w:sz w:val="18"/>
                <w:szCs w:val="18"/>
              </w:rPr>
            </w:pPr>
            <w:r w:rsidRPr="00763B65">
              <w:rPr>
                <w:spacing w:val="-6"/>
                <w:sz w:val="18"/>
                <w:szCs w:val="18"/>
              </w:rPr>
              <w:t>31.6</w:t>
            </w:r>
            <w:r w:rsidRPr="00763B65">
              <w:rPr>
                <w:spacing w:val="-6"/>
                <w:sz w:val="18"/>
                <w:szCs w:val="18"/>
              </w:rPr>
              <w:br/>
              <w:t>(19.5, 43.7)</w:t>
            </w:r>
          </w:p>
          <w:p w:rsidR="005624B1" w:rsidRPr="00763B65" w:rsidRDefault="005624B1" w:rsidP="00CB2284">
            <w:pPr>
              <w:keepNext/>
              <w:keepLines/>
              <w:spacing w:before="40" w:after="40"/>
              <w:ind w:left="-113" w:right="-113"/>
              <w:jc w:val="center"/>
              <w:rPr>
                <w:spacing w:val="-6"/>
                <w:sz w:val="18"/>
                <w:szCs w:val="18"/>
              </w:rPr>
            </w:pPr>
            <w:r w:rsidRPr="00763B65">
              <w:rPr>
                <w:spacing w:val="-6"/>
                <w:sz w:val="18"/>
                <w:szCs w:val="18"/>
              </w:rPr>
              <w:t>p &lt; 0.0001</w:t>
            </w:r>
          </w:p>
        </w:tc>
        <w:tc>
          <w:tcPr>
            <w:tcW w:w="1025" w:type="dxa"/>
            <w:vAlign w:val="center"/>
          </w:tcPr>
          <w:p w:rsidR="005624B1" w:rsidRPr="00763B65" w:rsidRDefault="005624B1" w:rsidP="00CB2284">
            <w:pPr>
              <w:keepNext/>
              <w:keepLines/>
              <w:spacing w:before="40" w:after="40"/>
              <w:ind w:left="-113" w:right="-113"/>
              <w:jc w:val="center"/>
              <w:rPr>
                <w:spacing w:val="-6"/>
                <w:sz w:val="18"/>
                <w:szCs w:val="18"/>
              </w:rPr>
            </w:pPr>
            <w:r w:rsidRPr="00763B65">
              <w:rPr>
                <w:spacing w:val="-6"/>
                <w:sz w:val="18"/>
                <w:szCs w:val="18"/>
              </w:rPr>
              <w:t>36.2</w:t>
            </w:r>
            <w:r w:rsidRPr="00763B65">
              <w:rPr>
                <w:spacing w:val="-6"/>
                <w:sz w:val="18"/>
                <w:szCs w:val="18"/>
              </w:rPr>
              <w:br/>
              <w:t>(24.3, 48.1)</w:t>
            </w:r>
          </w:p>
          <w:p w:rsidR="005624B1" w:rsidRPr="00763B65" w:rsidRDefault="005624B1" w:rsidP="00CB2284">
            <w:pPr>
              <w:keepNext/>
              <w:keepLines/>
              <w:spacing w:before="40" w:after="40"/>
              <w:ind w:left="-113" w:right="-113"/>
              <w:jc w:val="center"/>
              <w:rPr>
                <w:spacing w:val="-6"/>
                <w:sz w:val="18"/>
                <w:szCs w:val="18"/>
              </w:rPr>
            </w:pPr>
            <w:r w:rsidRPr="00763B65">
              <w:rPr>
                <w:spacing w:val="-6"/>
                <w:sz w:val="18"/>
                <w:szCs w:val="18"/>
              </w:rPr>
              <w:t>p &lt; 0.0001</w:t>
            </w:r>
          </w:p>
        </w:tc>
        <w:tc>
          <w:tcPr>
            <w:tcW w:w="1026" w:type="dxa"/>
            <w:vAlign w:val="center"/>
          </w:tcPr>
          <w:p w:rsidR="005624B1" w:rsidRPr="00763B65" w:rsidRDefault="005624B1" w:rsidP="00CB2284">
            <w:pPr>
              <w:keepNext/>
              <w:keepLines/>
              <w:spacing w:before="40" w:after="40"/>
              <w:jc w:val="center"/>
              <w:rPr>
                <w:spacing w:val="-6"/>
                <w:sz w:val="18"/>
                <w:szCs w:val="18"/>
              </w:rPr>
            </w:pPr>
          </w:p>
        </w:tc>
      </w:tr>
      <w:tr w:rsidR="005624B1" w:rsidRPr="005A397C" w:rsidTr="005624B1">
        <w:trPr>
          <w:jc w:val="center"/>
        </w:trPr>
        <w:tc>
          <w:tcPr>
            <w:tcW w:w="2239" w:type="dxa"/>
            <w:shd w:val="clear" w:color="auto" w:fill="auto"/>
          </w:tcPr>
          <w:p w:rsidR="005624B1" w:rsidRPr="005A397C" w:rsidRDefault="005624B1" w:rsidP="00895DEE">
            <w:pPr>
              <w:keepNext/>
              <w:keepLines/>
              <w:spacing w:before="40" w:after="40"/>
              <w:ind w:right="-81"/>
              <w:rPr>
                <w:b/>
                <w:sz w:val="18"/>
                <w:szCs w:val="18"/>
              </w:rPr>
            </w:pPr>
            <w:r w:rsidRPr="005A397C">
              <w:rPr>
                <w:sz w:val="18"/>
                <w:szCs w:val="18"/>
              </w:rPr>
              <w:t>Proportion of patients who gained at least 15 letters in BCVA</w:t>
            </w:r>
            <w:r w:rsidRPr="005A397C">
              <w:rPr>
                <w:sz w:val="18"/>
                <w:szCs w:val="18"/>
                <w:vertAlign w:val="superscript"/>
              </w:rPr>
              <w:t xml:space="preserve"> e</w:t>
            </w:r>
            <w:r w:rsidRPr="005A397C">
              <w:rPr>
                <w:sz w:val="18"/>
                <w:szCs w:val="18"/>
              </w:rPr>
              <w:t xml:space="preserve"> from Baseline</w:t>
            </w:r>
          </w:p>
        </w:tc>
        <w:tc>
          <w:tcPr>
            <w:tcW w:w="1025" w:type="dxa"/>
            <w:shd w:val="clear" w:color="auto" w:fill="auto"/>
            <w:vAlign w:val="center"/>
          </w:tcPr>
          <w:p w:rsidR="005624B1" w:rsidRPr="00763B65" w:rsidRDefault="005624B1" w:rsidP="00895DEE">
            <w:pPr>
              <w:keepNext/>
              <w:keepLines/>
              <w:spacing w:before="40" w:after="40"/>
              <w:ind w:left="-93" w:right="-112"/>
              <w:jc w:val="center"/>
              <w:rPr>
                <w:spacing w:val="-6"/>
                <w:sz w:val="18"/>
                <w:szCs w:val="18"/>
              </w:rPr>
            </w:pPr>
            <w:r w:rsidRPr="00763B65">
              <w:rPr>
                <w:spacing w:val="-6"/>
                <w:sz w:val="18"/>
                <w:szCs w:val="18"/>
              </w:rPr>
              <w:t>33.3%</w:t>
            </w:r>
          </w:p>
        </w:tc>
        <w:tc>
          <w:tcPr>
            <w:tcW w:w="1025" w:type="dxa"/>
            <w:shd w:val="clear" w:color="auto" w:fill="auto"/>
            <w:vAlign w:val="center"/>
          </w:tcPr>
          <w:p w:rsidR="005624B1" w:rsidRPr="00763B65" w:rsidRDefault="005624B1" w:rsidP="00895DEE">
            <w:pPr>
              <w:keepNext/>
              <w:keepLines/>
              <w:spacing w:before="40" w:after="40"/>
              <w:ind w:left="-93" w:right="-86"/>
              <w:jc w:val="center"/>
              <w:rPr>
                <w:spacing w:val="-6"/>
                <w:sz w:val="18"/>
                <w:szCs w:val="18"/>
              </w:rPr>
            </w:pPr>
            <w:r w:rsidRPr="00763B65">
              <w:rPr>
                <w:spacing w:val="-6"/>
                <w:sz w:val="18"/>
                <w:szCs w:val="18"/>
              </w:rPr>
              <w:t>32.4%</w:t>
            </w:r>
          </w:p>
        </w:tc>
        <w:tc>
          <w:tcPr>
            <w:tcW w:w="1026" w:type="dxa"/>
            <w:shd w:val="clear" w:color="auto" w:fill="auto"/>
            <w:vAlign w:val="center"/>
          </w:tcPr>
          <w:p w:rsidR="005624B1" w:rsidRPr="00763B65" w:rsidRDefault="005624B1" w:rsidP="00895DEE">
            <w:pPr>
              <w:keepNext/>
              <w:keepLines/>
              <w:spacing w:before="40" w:after="40"/>
              <w:ind w:left="-167" w:right="-147"/>
              <w:jc w:val="center"/>
              <w:rPr>
                <w:spacing w:val="-6"/>
                <w:sz w:val="18"/>
                <w:szCs w:val="18"/>
              </w:rPr>
            </w:pPr>
            <w:r w:rsidRPr="00763B65">
              <w:rPr>
                <w:spacing w:val="-6"/>
                <w:sz w:val="18"/>
                <w:szCs w:val="18"/>
              </w:rPr>
              <w:t>9.1%</w:t>
            </w:r>
          </w:p>
        </w:tc>
        <w:tc>
          <w:tcPr>
            <w:tcW w:w="1025" w:type="dxa"/>
            <w:shd w:val="clear" w:color="auto" w:fill="auto"/>
            <w:vAlign w:val="center"/>
          </w:tcPr>
          <w:p w:rsidR="005624B1" w:rsidRPr="00763B65" w:rsidRDefault="005624B1" w:rsidP="00481943">
            <w:pPr>
              <w:keepNext/>
              <w:keepLines/>
              <w:spacing w:before="40" w:after="40"/>
              <w:ind w:left="-93" w:right="-108"/>
              <w:jc w:val="center"/>
              <w:rPr>
                <w:spacing w:val="-6"/>
                <w:sz w:val="18"/>
                <w:szCs w:val="18"/>
              </w:rPr>
            </w:pPr>
            <w:r w:rsidRPr="00763B65">
              <w:rPr>
                <w:spacing w:val="-6"/>
                <w:sz w:val="18"/>
                <w:szCs w:val="18"/>
              </w:rPr>
              <w:t>31.1%</w:t>
            </w:r>
          </w:p>
        </w:tc>
        <w:tc>
          <w:tcPr>
            <w:tcW w:w="1026" w:type="dxa"/>
            <w:shd w:val="clear" w:color="auto" w:fill="auto"/>
            <w:vAlign w:val="center"/>
          </w:tcPr>
          <w:p w:rsidR="005624B1" w:rsidRPr="00763B65" w:rsidRDefault="005624B1" w:rsidP="00481943">
            <w:pPr>
              <w:keepNext/>
              <w:keepLines/>
              <w:spacing w:before="40" w:after="40"/>
              <w:ind w:left="-93" w:right="-108"/>
              <w:jc w:val="center"/>
              <w:rPr>
                <w:spacing w:val="-6"/>
                <w:sz w:val="18"/>
                <w:szCs w:val="18"/>
              </w:rPr>
            </w:pPr>
            <w:r w:rsidRPr="00763B65">
              <w:rPr>
                <w:spacing w:val="-6"/>
                <w:sz w:val="18"/>
                <w:szCs w:val="18"/>
              </w:rPr>
              <w:t>41.6%</w:t>
            </w:r>
          </w:p>
        </w:tc>
        <w:tc>
          <w:tcPr>
            <w:tcW w:w="1025" w:type="dxa"/>
            <w:shd w:val="clear" w:color="auto" w:fill="auto"/>
            <w:vAlign w:val="center"/>
          </w:tcPr>
          <w:p w:rsidR="005624B1" w:rsidRPr="00763B65" w:rsidRDefault="005624B1" w:rsidP="00481943">
            <w:pPr>
              <w:keepNext/>
              <w:keepLines/>
              <w:spacing w:before="40" w:after="40"/>
              <w:jc w:val="center"/>
              <w:rPr>
                <w:spacing w:val="-6"/>
                <w:sz w:val="18"/>
                <w:szCs w:val="18"/>
              </w:rPr>
            </w:pPr>
            <w:r w:rsidRPr="00763B65">
              <w:rPr>
                <w:spacing w:val="-6"/>
                <w:sz w:val="18"/>
                <w:szCs w:val="18"/>
              </w:rPr>
              <w:t>7.8%</w:t>
            </w:r>
          </w:p>
        </w:tc>
        <w:tc>
          <w:tcPr>
            <w:tcW w:w="1026" w:type="dxa"/>
            <w:vAlign w:val="center"/>
          </w:tcPr>
          <w:p w:rsidR="005624B1" w:rsidRPr="00763B65" w:rsidRDefault="005624B1" w:rsidP="00CB2284">
            <w:pPr>
              <w:keepNext/>
              <w:keepLines/>
              <w:spacing w:before="40" w:after="40"/>
              <w:ind w:left="-113" w:right="-113"/>
              <w:jc w:val="center"/>
              <w:rPr>
                <w:spacing w:val="-6"/>
                <w:sz w:val="18"/>
                <w:szCs w:val="18"/>
              </w:rPr>
            </w:pPr>
            <w:r w:rsidRPr="00763B65">
              <w:rPr>
                <w:spacing w:val="-6"/>
                <w:sz w:val="18"/>
                <w:szCs w:val="18"/>
              </w:rPr>
              <w:t>33.1</w:t>
            </w:r>
          </w:p>
        </w:tc>
        <w:tc>
          <w:tcPr>
            <w:tcW w:w="1025" w:type="dxa"/>
            <w:vAlign w:val="center"/>
          </w:tcPr>
          <w:p w:rsidR="005624B1" w:rsidRPr="00763B65" w:rsidRDefault="005624B1" w:rsidP="00CB2284">
            <w:pPr>
              <w:keepNext/>
              <w:keepLines/>
              <w:spacing w:before="40" w:after="40"/>
              <w:ind w:left="-113" w:right="-113"/>
              <w:jc w:val="center"/>
              <w:rPr>
                <w:spacing w:val="-6"/>
                <w:sz w:val="18"/>
                <w:szCs w:val="18"/>
              </w:rPr>
            </w:pPr>
            <w:r w:rsidRPr="00763B65">
              <w:rPr>
                <w:spacing w:val="-6"/>
                <w:sz w:val="18"/>
                <w:szCs w:val="18"/>
              </w:rPr>
              <w:t>38.3</w:t>
            </w:r>
          </w:p>
        </w:tc>
        <w:tc>
          <w:tcPr>
            <w:tcW w:w="1026" w:type="dxa"/>
            <w:vAlign w:val="center"/>
          </w:tcPr>
          <w:p w:rsidR="005624B1" w:rsidRPr="00763B65" w:rsidRDefault="005624B1" w:rsidP="00CB2284">
            <w:pPr>
              <w:keepNext/>
              <w:keepLines/>
              <w:spacing w:before="40" w:after="40"/>
              <w:jc w:val="center"/>
              <w:rPr>
                <w:spacing w:val="-6"/>
                <w:sz w:val="18"/>
                <w:szCs w:val="18"/>
              </w:rPr>
            </w:pPr>
            <w:r w:rsidRPr="00763B65">
              <w:rPr>
                <w:spacing w:val="-6"/>
                <w:sz w:val="18"/>
                <w:szCs w:val="18"/>
              </w:rPr>
              <w:t>13.0</w:t>
            </w:r>
          </w:p>
        </w:tc>
      </w:tr>
      <w:tr w:rsidR="005624B1" w:rsidRPr="005A397C" w:rsidTr="005624B1">
        <w:trPr>
          <w:jc w:val="center"/>
        </w:trPr>
        <w:tc>
          <w:tcPr>
            <w:tcW w:w="2239" w:type="dxa"/>
            <w:shd w:val="clear" w:color="auto" w:fill="auto"/>
          </w:tcPr>
          <w:p w:rsidR="005624B1" w:rsidRPr="005A397C" w:rsidRDefault="005624B1" w:rsidP="00895DEE">
            <w:pPr>
              <w:spacing w:before="40" w:after="40"/>
              <w:ind w:left="85" w:right="-79"/>
              <w:rPr>
                <w:sz w:val="18"/>
                <w:szCs w:val="18"/>
              </w:rPr>
            </w:pPr>
            <w:r>
              <w:rPr>
                <w:sz w:val="18"/>
                <w:szCs w:val="18"/>
              </w:rPr>
              <w:t xml:space="preserve">Adjusted </w:t>
            </w:r>
            <w:r w:rsidRPr="005A397C">
              <w:rPr>
                <w:sz w:val="18"/>
                <w:szCs w:val="18"/>
              </w:rPr>
              <w:t xml:space="preserve">Difference </w:t>
            </w:r>
            <w:r w:rsidRPr="005A397C">
              <w:rPr>
                <w:sz w:val="18"/>
                <w:szCs w:val="18"/>
                <w:vertAlign w:val="superscript"/>
              </w:rPr>
              <w:t>c,</w:t>
            </w:r>
            <w:r>
              <w:rPr>
                <w:sz w:val="18"/>
                <w:szCs w:val="18"/>
                <w:vertAlign w:val="superscript"/>
              </w:rPr>
              <w:t xml:space="preserve"> d,</w:t>
            </w:r>
            <w:r w:rsidRPr="005A397C">
              <w:rPr>
                <w:sz w:val="18"/>
                <w:szCs w:val="18"/>
                <w:vertAlign w:val="superscript"/>
              </w:rPr>
              <w:t xml:space="preserve"> e</w:t>
            </w:r>
            <w:r w:rsidRPr="005A397C">
              <w:rPr>
                <w:sz w:val="18"/>
                <w:szCs w:val="18"/>
              </w:rPr>
              <w:br/>
              <w:t>(97.5% CI)</w:t>
            </w:r>
          </w:p>
          <w:p w:rsidR="005624B1" w:rsidRPr="005A397C" w:rsidRDefault="005624B1" w:rsidP="00895DEE">
            <w:pPr>
              <w:spacing w:before="40" w:after="40"/>
              <w:ind w:left="85" w:right="-79"/>
              <w:rPr>
                <w:sz w:val="18"/>
                <w:szCs w:val="18"/>
              </w:rPr>
            </w:pPr>
            <w:r w:rsidRPr="005A397C">
              <w:rPr>
                <w:sz w:val="18"/>
                <w:szCs w:val="18"/>
              </w:rPr>
              <w:t>p-value</w:t>
            </w:r>
          </w:p>
        </w:tc>
        <w:tc>
          <w:tcPr>
            <w:tcW w:w="1025" w:type="dxa"/>
            <w:shd w:val="clear" w:color="auto" w:fill="auto"/>
            <w:vAlign w:val="center"/>
          </w:tcPr>
          <w:p w:rsidR="005624B1" w:rsidRPr="00763B65" w:rsidRDefault="005624B1" w:rsidP="00895DEE">
            <w:pPr>
              <w:keepNext/>
              <w:keepLines/>
              <w:spacing w:before="40" w:after="40"/>
              <w:ind w:left="-93" w:right="-112"/>
              <w:jc w:val="center"/>
              <w:rPr>
                <w:spacing w:val="-6"/>
                <w:sz w:val="18"/>
                <w:szCs w:val="18"/>
              </w:rPr>
            </w:pPr>
            <w:r w:rsidRPr="00763B65">
              <w:rPr>
                <w:spacing w:val="-6"/>
                <w:sz w:val="18"/>
                <w:szCs w:val="18"/>
              </w:rPr>
              <w:t>24.2%</w:t>
            </w:r>
            <w:r w:rsidRPr="00763B65">
              <w:rPr>
                <w:spacing w:val="-6"/>
                <w:sz w:val="18"/>
                <w:szCs w:val="18"/>
              </w:rPr>
              <w:br/>
              <w:t>(13.5, 34.9)</w:t>
            </w:r>
          </w:p>
          <w:p w:rsidR="005624B1" w:rsidRPr="00763B65" w:rsidRDefault="005624B1" w:rsidP="00895DEE">
            <w:pPr>
              <w:keepNext/>
              <w:keepLines/>
              <w:spacing w:before="40" w:after="40"/>
              <w:ind w:left="-93" w:right="-112"/>
              <w:jc w:val="center"/>
              <w:rPr>
                <w:spacing w:val="-6"/>
                <w:sz w:val="18"/>
                <w:szCs w:val="18"/>
              </w:rPr>
            </w:pPr>
            <w:r w:rsidRPr="00763B65">
              <w:rPr>
                <w:spacing w:val="-6"/>
                <w:sz w:val="18"/>
                <w:szCs w:val="18"/>
              </w:rPr>
              <w:t>p &lt; 0.0001</w:t>
            </w:r>
          </w:p>
        </w:tc>
        <w:tc>
          <w:tcPr>
            <w:tcW w:w="1025" w:type="dxa"/>
            <w:shd w:val="clear" w:color="auto" w:fill="auto"/>
            <w:vAlign w:val="center"/>
          </w:tcPr>
          <w:p w:rsidR="005624B1" w:rsidRPr="00763B65" w:rsidRDefault="005624B1" w:rsidP="00895DEE">
            <w:pPr>
              <w:keepNext/>
              <w:keepLines/>
              <w:spacing w:before="40" w:after="40"/>
              <w:ind w:left="-93" w:right="-86"/>
              <w:jc w:val="center"/>
              <w:rPr>
                <w:spacing w:val="-6"/>
                <w:sz w:val="18"/>
                <w:szCs w:val="18"/>
              </w:rPr>
            </w:pPr>
            <w:r w:rsidRPr="00763B65">
              <w:rPr>
                <w:spacing w:val="-6"/>
                <w:sz w:val="18"/>
                <w:szCs w:val="18"/>
              </w:rPr>
              <w:t>23.3%</w:t>
            </w:r>
            <w:r w:rsidRPr="00763B65">
              <w:rPr>
                <w:spacing w:val="-6"/>
                <w:sz w:val="18"/>
                <w:szCs w:val="18"/>
              </w:rPr>
              <w:br/>
              <w:t>(12.6, 33.9)</w:t>
            </w:r>
          </w:p>
          <w:p w:rsidR="005624B1" w:rsidRPr="00763B65" w:rsidRDefault="005624B1" w:rsidP="00895DEE">
            <w:pPr>
              <w:keepNext/>
              <w:keepLines/>
              <w:spacing w:before="40" w:after="40"/>
              <w:ind w:left="-93" w:right="-86"/>
              <w:jc w:val="center"/>
              <w:rPr>
                <w:spacing w:val="-6"/>
                <w:sz w:val="18"/>
                <w:szCs w:val="18"/>
              </w:rPr>
            </w:pPr>
            <w:r w:rsidRPr="00763B65">
              <w:rPr>
                <w:spacing w:val="-6"/>
                <w:sz w:val="18"/>
                <w:szCs w:val="18"/>
              </w:rPr>
              <w:t>p &lt; 0.0001</w:t>
            </w:r>
          </w:p>
        </w:tc>
        <w:tc>
          <w:tcPr>
            <w:tcW w:w="1026" w:type="dxa"/>
            <w:shd w:val="clear" w:color="auto" w:fill="auto"/>
            <w:vAlign w:val="center"/>
          </w:tcPr>
          <w:p w:rsidR="005624B1" w:rsidRPr="00763B65" w:rsidRDefault="005624B1" w:rsidP="00895DEE">
            <w:pPr>
              <w:keepNext/>
              <w:keepLines/>
              <w:spacing w:before="40" w:after="40"/>
              <w:ind w:left="-167" w:right="-147"/>
              <w:jc w:val="center"/>
              <w:rPr>
                <w:spacing w:val="-6"/>
                <w:sz w:val="18"/>
                <w:szCs w:val="18"/>
              </w:rPr>
            </w:pPr>
          </w:p>
        </w:tc>
        <w:tc>
          <w:tcPr>
            <w:tcW w:w="1025" w:type="dxa"/>
            <w:shd w:val="clear" w:color="auto" w:fill="auto"/>
            <w:vAlign w:val="center"/>
          </w:tcPr>
          <w:p w:rsidR="005624B1" w:rsidRPr="00763B65" w:rsidRDefault="005624B1" w:rsidP="00481943">
            <w:pPr>
              <w:keepNext/>
              <w:keepLines/>
              <w:spacing w:before="40" w:after="40"/>
              <w:ind w:left="-93" w:right="-108"/>
              <w:jc w:val="center"/>
              <w:rPr>
                <w:spacing w:val="-6"/>
                <w:sz w:val="18"/>
                <w:szCs w:val="18"/>
              </w:rPr>
            </w:pPr>
            <w:r w:rsidRPr="00763B65">
              <w:rPr>
                <w:spacing w:val="-6"/>
                <w:sz w:val="18"/>
                <w:szCs w:val="18"/>
              </w:rPr>
              <w:t>23.3%</w:t>
            </w:r>
            <w:r w:rsidRPr="00763B65">
              <w:rPr>
                <w:spacing w:val="-6"/>
                <w:sz w:val="18"/>
                <w:szCs w:val="18"/>
              </w:rPr>
              <w:br/>
              <w:t>(13.5, 33.1)</w:t>
            </w:r>
          </w:p>
          <w:p w:rsidR="005624B1" w:rsidRPr="00763B65" w:rsidRDefault="005624B1" w:rsidP="00481943">
            <w:pPr>
              <w:keepNext/>
              <w:keepLines/>
              <w:spacing w:before="40" w:after="40"/>
              <w:ind w:left="-93" w:right="-108"/>
              <w:jc w:val="center"/>
              <w:rPr>
                <w:spacing w:val="-6"/>
                <w:sz w:val="18"/>
                <w:szCs w:val="18"/>
              </w:rPr>
            </w:pPr>
            <w:r w:rsidRPr="00763B65">
              <w:rPr>
                <w:spacing w:val="-6"/>
                <w:sz w:val="18"/>
                <w:szCs w:val="18"/>
              </w:rPr>
              <w:t>p &lt; 0.0001</w:t>
            </w:r>
          </w:p>
        </w:tc>
        <w:tc>
          <w:tcPr>
            <w:tcW w:w="1026" w:type="dxa"/>
            <w:shd w:val="clear" w:color="auto" w:fill="auto"/>
            <w:vAlign w:val="center"/>
          </w:tcPr>
          <w:p w:rsidR="005624B1" w:rsidRPr="00763B65" w:rsidRDefault="005624B1" w:rsidP="00481943">
            <w:pPr>
              <w:keepNext/>
              <w:keepLines/>
              <w:spacing w:before="40" w:after="40"/>
              <w:ind w:left="-93" w:right="-108"/>
              <w:jc w:val="center"/>
              <w:rPr>
                <w:spacing w:val="-6"/>
                <w:sz w:val="18"/>
                <w:szCs w:val="18"/>
              </w:rPr>
            </w:pPr>
            <w:r w:rsidRPr="00763B65">
              <w:rPr>
                <w:spacing w:val="-6"/>
                <w:sz w:val="18"/>
                <w:szCs w:val="18"/>
              </w:rPr>
              <w:t>34.2%</w:t>
            </w:r>
            <w:r w:rsidRPr="00763B65">
              <w:rPr>
                <w:spacing w:val="-6"/>
                <w:sz w:val="18"/>
                <w:szCs w:val="18"/>
              </w:rPr>
              <w:br/>
              <w:t>(24.1, 44.4)</w:t>
            </w:r>
          </w:p>
          <w:p w:rsidR="005624B1" w:rsidRPr="00763B65" w:rsidRDefault="005624B1" w:rsidP="00481943">
            <w:pPr>
              <w:keepNext/>
              <w:keepLines/>
              <w:spacing w:before="40" w:after="40"/>
              <w:ind w:left="-93" w:right="-108"/>
              <w:jc w:val="center"/>
              <w:rPr>
                <w:spacing w:val="-6"/>
                <w:sz w:val="18"/>
                <w:szCs w:val="18"/>
              </w:rPr>
            </w:pPr>
            <w:r w:rsidRPr="00763B65">
              <w:rPr>
                <w:spacing w:val="-6"/>
                <w:sz w:val="18"/>
                <w:szCs w:val="18"/>
              </w:rPr>
              <w:t>p &lt; 0.0001</w:t>
            </w:r>
          </w:p>
        </w:tc>
        <w:tc>
          <w:tcPr>
            <w:tcW w:w="1025" w:type="dxa"/>
            <w:shd w:val="clear" w:color="auto" w:fill="auto"/>
            <w:vAlign w:val="center"/>
          </w:tcPr>
          <w:p w:rsidR="005624B1" w:rsidRPr="00763B65" w:rsidRDefault="005624B1" w:rsidP="00481943">
            <w:pPr>
              <w:keepNext/>
              <w:keepLines/>
              <w:spacing w:before="40" w:after="40"/>
              <w:jc w:val="center"/>
              <w:rPr>
                <w:spacing w:val="-6"/>
                <w:sz w:val="18"/>
                <w:szCs w:val="18"/>
              </w:rPr>
            </w:pPr>
          </w:p>
        </w:tc>
        <w:tc>
          <w:tcPr>
            <w:tcW w:w="1026" w:type="dxa"/>
            <w:vAlign w:val="center"/>
          </w:tcPr>
          <w:p w:rsidR="005624B1" w:rsidRPr="00763B65" w:rsidRDefault="005624B1" w:rsidP="00CB2284">
            <w:pPr>
              <w:keepNext/>
              <w:keepLines/>
              <w:spacing w:before="40" w:after="40"/>
              <w:ind w:left="-113" w:right="-113"/>
              <w:jc w:val="center"/>
              <w:rPr>
                <w:spacing w:val="-6"/>
                <w:sz w:val="18"/>
                <w:szCs w:val="18"/>
              </w:rPr>
            </w:pPr>
            <w:r w:rsidRPr="00763B65">
              <w:rPr>
                <w:spacing w:val="-6"/>
                <w:sz w:val="18"/>
                <w:szCs w:val="18"/>
              </w:rPr>
              <w:t>20.1</w:t>
            </w:r>
            <w:r w:rsidRPr="00763B65">
              <w:rPr>
                <w:spacing w:val="-6"/>
                <w:sz w:val="18"/>
                <w:szCs w:val="18"/>
              </w:rPr>
              <w:br/>
              <w:t>(9.6, 30.6)</w:t>
            </w:r>
          </w:p>
          <w:p w:rsidR="005624B1" w:rsidRPr="00763B65" w:rsidRDefault="005624B1" w:rsidP="00CB2284">
            <w:pPr>
              <w:keepNext/>
              <w:keepLines/>
              <w:spacing w:before="40" w:after="40"/>
              <w:ind w:left="-113" w:right="-113"/>
              <w:jc w:val="center"/>
              <w:rPr>
                <w:spacing w:val="-6"/>
                <w:sz w:val="18"/>
                <w:szCs w:val="18"/>
              </w:rPr>
            </w:pPr>
            <w:r w:rsidRPr="00763B65">
              <w:rPr>
                <w:spacing w:val="-6"/>
                <w:sz w:val="18"/>
                <w:szCs w:val="18"/>
              </w:rPr>
              <w:t>p &lt; 0.0001</w:t>
            </w:r>
          </w:p>
        </w:tc>
        <w:tc>
          <w:tcPr>
            <w:tcW w:w="1025" w:type="dxa"/>
            <w:vAlign w:val="center"/>
          </w:tcPr>
          <w:p w:rsidR="005624B1" w:rsidRPr="00763B65" w:rsidRDefault="005624B1" w:rsidP="00CB2284">
            <w:pPr>
              <w:keepNext/>
              <w:keepLines/>
              <w:spacing w:before="40" w:after="40"/>
              <w:ind w:left="-113" w:right="-113"/>
              <w:jc w:val="center"/>
              <w:rPr>
                <w:spacing w:val="-6"/>
                <w:sz w:val="18"/>
                <w:szCs w:val="18"/>
              </w:rPr>
            </w:pPr>
            <w:r w:rsidRPr="00763B65">
              <w:rPr>
                <w:spacing w:val="-6"/>
                <w:sz w:val="18"/>
                <w:szCs w:val="18"/>
              </w:rPr>
              <w:t>25.8</w:t>
            </w:r>
            <w:r w:rsidRPr="00763B65">
              <w:rPr>
                <w:spacing w:val="-6"/>
                <w:sz w:val="18"/>
                <w:szCs w:val="18"/>
              </w:rPr>
              <w:br/>
              <w:t>(15.1, 36.6)</w:t>
            </w:r>
          </w:p>
          <w:p w:rsidR="005624B1" w:rsidRPr="00763B65" w:rsidRDefault="005624B1" w:rsidP="00CB2284">
            <w:pPr>
              <w:keepNext/>
              <w:keepLines/>
              <w:spacing w:before="40" w:after="40"/>
              <w:ind w:left="-113" w:right="-113"/>
              <w:jc w:val="center"/>
              <w:rPr>
                <w:spacing w:val="-6"/>
                <w:sz w:val="18"/>
                <w:szCs w:val="18"/>
              </w:rPr>
            </w:pPr>
            <w:r w:rsidRPr="00763B65">
              <w:rPr>
                <w:spacing w:val="-6"/>
                <w:sz w:val="18"/>
                <w:szCs w:val="18"/>
              </w:rPr>
              <w:t>p &lt; 0.0001</w:t>
            </w:r>
          </w:p>
        </w:tc>
        <w:tc>
          <w:tcPr>
            <w:tcW w:w="1026" w:type="dxa"/>
            <w:vAlign w:val="center"/>
          </w:tcPr>
          <w:p w:rsidR="005624B1" w:rsidRPr="00763B65" w:rsidRDefault="005624B1" w:rsidP="00CB2284">
            <w:pPr>
              <w:keepNext/>
              <w:keepLines/>
              <w:spacing w:before="40" w:after="40"/>
              <w:jc w:val="center"/>
              <w:rPr>
                <w:spacing w:val="-6"/>
                <w:sz w:val="18"/>
                <w:szCs w:val="18"/>
              </w:rPr>
            </w:pPr>
          </w:p>
        </w:tc>
      </w:tr>
      <w:tr w:rsidR="005624B1" w:rsidRPr="005A397C" w:rsidTr="005624B1">
        <w:trPr>
          <w:jc w:val="center"/>
        </w:trPr>
        <w:tc>
          <w:tcPr>
            <w:tcW w:w="2239" w:type="dxa"/>
            <w:shd w:val="clear" w:color="auto" w:fill="auto"/>
          </w:tcPr>
          <w:p w:rsidR="005624B1" w:rsidRPr="005A397C" w:rsidRDefault="005624B1" w:rsidP="00895DEE">
            <w:pPr>
              <w:spacing w:before="40" w:after="40"/>
              <w:ind w:right="-81"/>
              <w:rPr>
                <w:sz w:val="18"/>
                <w:szCs w:val="18"/>
              </w:rPr>
            </w:pPr>
            <w:r w:rsidRPr="005A397C">
              <w:rPr>
                <w:sz w:val="18"/>
                <w:szCs w:val="18"/>
              </w:rPr>
              <w:t>Proportion of patients with an improvement of &gt;=</w:t>
            </w:r>
            <w:r>
              <w:rPr>
                <w:sz w:val="18"/>
                <w:szCs w:val="18"/>
              </w:rPr>
              <w:t> </w:t>
            </w:r>
            <w:r w:rsidRPr="005A397C">
              <w:rPr>
                <w:sz w:val="18"/>
                <w:szCs w:val="18"/>
              </w:rPr>
              <w:t>2 steps on the ETDRS</w:t>
            </w:r>
            <w:r w:rsidRPr="005A397C">
              <w:rPr>
                <w:sz w:val="18"/>
                <w:szCs w:val="18"/>
                <w:lang w:bidi="or-IN"/>
              </w:rPr>
              <w:t xml:space="preserve"> DRSS</w:t>
            </w:r>
            <w:r>
              <w:rPr>
                <w:sz w:val="18"/>
                <w:szCs w:val="18"/>
                <w:lang w:bidi="or-IN"/>
              </w:rPr>
              <w:t xml:space="preserve"> </w:t>
            </w:r>
            <w:r w:rsidRPr="005A397C">
              <w:rPr>
                <w:sz w:val="18"/>
                <w:szCs w:val="18"/>
                <w:vertAlign w:val="superscript"/>
              </w:rPr>
              <w:t>e</w:t>
            </w:r>
            <w:r>
              <w:rPr>
                <w:sz w:val="18"/>
                <w:szCs w:val="18"/>
                <w:vertAlign w:val="superscript"/>
              </w:rPr>
              <w:t>, f</w:t>
            </w:r>
            <w:r w:rsidRPr="005A397C">
              <w:rPr>
                <w:sz w:val="18"/>
                <w:szCs w:val="18"/>
                <w:lang w:bidi="or-IN"/>
              </w:rPr>
              <w:t xml:space="preserve"> from Baseline</w:t>
            </w:r>
          </w:p>
        </w:tc>
        <w:tc>
          <w:tcPr>
            <w:tcW w:w="1025" w:type="dxa"/>
            <w:shd w:val="clear" w:color="auto" w:fill="auto"/>
            <w:vAlign w:val="center"/>
          </w:tcPr>
          <w:p w:rsidR="005624B1" w:rsidRPr="00763B65" w:rsidRDefault="005624B1" w:rsidP="00895DEE">
            <w:pPr>
              <w:keepNext/>
              <w:keepLines/>
              <w:spacing w:before="40" w:after="40"/>
              <w:ind w:left="-93" w:right="-112"/>
              <w:jc w:val="center"/>
              <w:rPr>
                <w:spacing w:val="-6"/>
                <w:sz w:val="18"/>
                <w:szCs w:val="18"/>
              </w:rPr>
            </w:pPr>
            <w:r w:rsidRPr="00763B65">
              <w:rPr>
                <w:spacing w:val="-6"/>
                <w:sz w:val="18"/>
                <w:szCs w:val="18"/>
              </w:rPr>
              <w:t>27.7%</w:t>
            </w:r>
          </w:p>
        </w:tc>
        <w:tc>
          <w:tcPr>
            <w:tcW w:w="1025" w:type="dxa"/>
            <w:shd w:val="clear" w:color="auto" w:fill="auto"/>
            <w:vAlign w:val="center"/>
          </w:tcPr>
          <w:p w:rsidR="005624B1" w:rsidRPr="00763B65" w:rsidRDefault="005624B1" w:rsidP="00895DEE">
            <w:pPr>
              <w:keepNext/>
              <w:keepLines/>
              <w:spacing w:before="40" w:after="40"/>
              <w:ind w:left="-93" w:right="-86"/>
              <w:jc w:val="center"/>
              <w:rPr>
                <w:spacing w:val="-6"/>
                <w:sz w:val="18"/>
                <w:szCs w:val="18"/>
              </w:rPr>
            </w:pPr>
            <w:r w:rsidRPr="00763B65">
              <w:rPr>
                <w:spacing w:val="-6"/>
                <w:sz w:val="18"/>
                <w:szCs w:val="18"/>
              </w:rPr>
              <w:t>33.3%</w:t>
            </w:r>
          </w:p>
        </w:tc>
        <w:tc>
          <w:tcPr>
            <w:tcW w:w="1026" w:type="dxa"/>
            <w:shd w:val="clear" w:color="auto" w:fill="auto"/>
            <w:vAlign w:val="center"/>
          </w:tcPr>
          <w:p w:rsidR="005624B1" w:rsidRPr="00763B65" w:rsidRDefault="005624B1" w:rsidP="00895DEE">
            <w:pPr>
              <w:keepNext/>
              <w:keepLines/>
              <w:spacing w:before="40" w:after="40"/>
              <w:ind w:left="-167" w:right="-147"/>
              <w:jc w:val="center"/>
              <w:rPr>
                <w:spacing w:val="-6"/>
                <w:sz w:val="18"/>
                <w:szCs w:val="18"/>
              </w:rPr>
            </w:pPr>
            <w:r w:rsidRPr="00763B65">
              <w:rPr>
                <w:spacing w:val="-6"/>
                <w:sz w:val="18"/>
                <w:szCs w:val="18"/>
              </w:rPr>
              <w:t>7.5%</w:t>
            </w:r>
          </w:p>
        </w:tc>
        <w:tc>
          <w:tcPr>
            <w:tcW w:w="1025" w:type="dxa"/>
            <w:shd w:val="clear" w:color="auto" w:fill="auto"/>
            <w:vAlign w:val="center"/>
          </w:tcPr>
          <w:p w:rsidR="005624B1" w:rsidRPr="00763B65" w:rsidRDefault="005624B1" w:rsidP="00481943">
            <w:pPr>
              <w:keepNext/>
              <w:keepLines/>
              <w:spacing w:before="40" w:after="40"/>
              <w:ind w:left="-93" w:right="-108"/>
              <w:jc w:val="center"/>
              <w:rPr>
                <w:spacing w:val="-6"/>
                <w:sz w:val="18"/>
                <w:szCs w:val="18"/>
              </w:rPr>
            </w:pPr>
            <w:r w:rsidRPr="00763B65">
              <w:rPr>
                <w:spacing w:val="-6"/>
                <w:sz w:val="18"/>
                <w:szCs w:val="18"/>
              </w:rPr>
              <w:t>29.1%</w:t>
            </w:r>
          </w:p>
        </w:tc>
        <w:tc>
          <w:tcPr>
            <w:tcW w:w="1026" w:type="dxa"/>
            <w:shd w:val="clear" w:color="auto" w:fill="auto"/>
            <w:vAlign w:val="center"/>
          </w:tcPr>
          <w:p w:rsidR="005624B1" w:rsidRPr="00763B65" w:rsidRDefault="005624B1" w:rsidP="00481943">
            <w:pPr>
              <w:keepNext/>
              <w:keepLines/>
              <w:spacing w:before="40" w:after="40"/>
              <w:ind w:left="-93" w:right="-108"/>
              <w:jc w:val="center"/>
              <w:rPr>
                <w:spacing w:val="-6"/>
                <w:sz w:val="18"/>
                <w:szCs w:val="18"/>
              </w:rPr>
            </w:pPr>
            <w:r w:rsidRPr="00763B65">
              <w:rPr>
                <w:spacing w:val="-6"/>
                <w:sz w:val="18"/>
                <w:szCs w:val="18"/>
              </w:rPr>
              <w:t>33.8%</w:t>
            </w:r>
          </w:p>
        </w:tc>
        <w:tc>
          <w:tcPr>
            <w:tcW w:w="1025" w:type="dxa"/>
            <w:shd w:val="clear" w:color="auto" w:fill="auto"/>
            <w:vAlign w:val="center"/>
          </w:tcPr>
          <w:p w:rsidR="005624B1" w:rsidRPr="00763B65" w:rsidRDefault="005624B1" w:rsidP="00481943">
            <w:pPr>
              <w:keepNext/>
              <w:keepLines/>
              <w:spacing w:before="40" w:after="40"/>
              <w:jc w:val="center"/>
              <w:rPr>
                <w:spacing w:val="-6"/>
                <w:sz w:val="18"/>
                <w:szCs w:val="18"/>
              </w:rPr>
            </w:pPr>
            <w:r w:rsidRPr="00763B65">
              <w:rPr>
                <w:spacing w:val="-6"/>
                <w:sz w:val="18"/>
                <w:szCs w:val="18"/>
              </w:rPr>
              <w:t>14.3%</w:t>
            </w:r>
          </w:p>
        </w:tc>
        <w:tc>
          <w:tcPr>
            <w:tcW w:w="1026" w:type="dxa"/>
            <w:vAlign w:val="center"/>
          </w:tcPr>
          <w:p w:rsidR="005624B1" w:rsidRPr="00763B65" w:rsidRDefault="005624B1" w:rsidP="00CB2284">
            <w:pPr>
              <w:keepNext/>
              <w:keepLines/>
              <w:spacing w:before="40" w:after="40"/>
              <w:ind w:left="-113" w:right="-113"/>
              <w:jc w:val="center"/>
              <w:rPr>
                <w:spacing w:val="-6"/>
                <w:sz w:val="18"/>
                <w:szCs w:val="18"/>
              </w:rPr>
            </w:pPr>
            <w:r w:rsidRPr="00763B65">
              <w:rPr>
                <w:spacing w:val="-6"/>
                <w:sz w:val="18"/>
                <w:szCs w:val="18"/>
              </w:rPr>
              <w:t>37.1</w:t>
            </w:r>
            <w:r w:rsidR="003323A7">
              <w:rPr>
                <w:spacing w:val="-6"/>
                <w:sz w:val="18"/>
                <w:szCs w:val="18"/>
              </w:rPr>
              <w:t>%</w:t>
            </w:r>
          </w:p>
        </w:tc>
        <w:tc>
          <w:tcPr>
            <w:tcW w:w="1025" w:type="dxa"/>
            <w:vAlign w:val="center"/>
          </w:tcPr>
          <w:p w:rsidR="005624B1" w:rsidRPr="00763B65" w:rsidRDefault="005624B1" w:rsidP="00CB2284">
            <w:pPr>
              <w:keepNext/>
              <w:keepLines/>
              <w:spacing w:before="40" w:after="40"/>
              <w:ind w:left="-113" w:right="-113"/>
              <w:jc w:val="center"/>
              <w:rPr>
                <w:spacing w:val="-6"/>
                <w:sz w:val="18"/>
                <w:szCs w:val="18"/>
              </w:rPr>
            </w:pPr>
            <w:r w:rsidRPr="00763B65">
              <w:rPr>
                <w:spacing w:val="-6"/>
                <w:sz w:val="18"/>
                <w:szCs w:val="18"/>
              </w:rPr>
              <w:t>37.0</w:t>
            </w:r>
            <w:r w:rsidR="003323A7">
              <w:rPr>
                <w:spacing w:val="-6"/>
                <w:sz w:val="18"/>
                <w:szCs w:val="18"/>
              </w:rPr>
              <w:t>%</w:t>
            </w:r>
          </w:p>
        </w:tc>
        <w:tc>
          <w:tcPr>
            <w:tcW w:w="1026" w:type="dxa"/>
            <w:vAlign w:val="center"/>
          </w:tcPr>
          <w:p w:rsidR="005624B1" w:rsidRPr="00763B65" w:rsidRDefault="005624B1" w:rsidP="00CB2284">
            <w:pPr>
              <w:keepNext/>
              <w:keepLines/>
              <w:spacing w:before="40" w:after="40"/>
              <w:jc w:val="center"/>
              <w:rPr>
                <w:spacing w:val="-6"/>
                <w:sz w:val="18"/>
                <w:szCs w:val="18"/>
              </w:rPr>
            </w:pPr>
            <w:r w:rsidRPr="00763B65">
              <w:rPr>
                <w:spacing w:val="-6"/>
                <w:sz w:val="18"/>
                <w:szCs w:val="18"/>
              </w:rPr>
              <w:t>15.6</w:t>
            </w:r>
            <w:r w:rsidR="003323A7">
              <w:rPr>
                <w:spacing w:val="-6"/>
                <w:sz w:val="18"/>
                <w:szCs w:val="18"/>
              </w:rPr>
              <w:t>%</w:t>
            </w:r>
          </w:p>
        </w:tc>
      </w:tr>
      <w:tr w:rsidR="005624B1" w:rsidRPr="005A397C" w:rsidTr="005624B1">
        <w:trPr>
          <w:jc w:val="center"/>
        </w:trPr>
        <w:tc>
          <w:tcPr>
            <w:tcW w:w="2239" w:type="dxa"/>
            <w:shd w:val="clear" w:color="auto" w:fill="auto"/>
          </w:tcPr>
          <w:p w:rsidR="005624B1" w:rsidRPr="005A397C" w:rsidRDefault="005624B1" w:rsidP="00895DEE">
            <w:pPr>
              <w:spacing w:before="40" w:after="40"/>
              <w:ind w:left="85" w:right="-79"/>
              <w:rPr>
                <w:sz w:val="18"/>
                <w:szCs w:val="18"/>
              </w:rPr>
            </w:pPr>
            <w:r w:rsidRPr="005A397C">
              <w:rPr>
                <w:sz w:val="18"/>
                <w:szCs w:val="18"/>
              </w:rPr>
              <w:t>Adjusted</w:t>
            </w:r>
            <w:r>
              <w:rPr>
                <w:sz w:val="18"/>
                <w:szCs w:val="18"/>
              </w:rPr>
              <w:t xml:space="preserve"> </w:t>
            </w:r>
            <w:r w:rsidRPr="005A397C">
              <w:rPr>
                <w:sz w:val="18"/>
                <w:szCs w:val="18"/>
              </w:rPr>
              <w:t xml:space="preserve">Difference </w:t>
            </w:r>
            <w:r w:rsidRPr="005A397C">
              <w:rPr>
                <w:sz w:val="18"/>
                <w:szCs w:val="18"/>
                <w:vertAlign w:val="superscript"/>
              </w:rPr>
              <w:t>c</w:t>
            </w:r>
            <w:r>
              <w:rPr>
                <w:sz w:val="18"/>
                <w:szCs w:val="18"/>
                <w:vertAlign w:val="superscript"/>
              </w:rPr>
              <w:t>, d</w:t>
            </w:r>
            <w:r w:rsidRPr="005A397C">
              <w:rPr>
                <w:sz w:val="18"/>
                <w:szCs w:val="18"/>
              </w:rPr>
              <w:br/>
              <w:t>(97.5% CI)</w:t>
            </w:r>
          </w:p>
          <w:p w:rsidR="005624B1" w:rsidRPr="005A397C" w:rsidRDefault="005624B1" w:rsidP="00895DEE">
            <w:pPr>
              <w:spacing w:before="40" w:after="40"/>
              <w:ind w:left="85" w:right="-79"/>
              <w:rPr>
                <w:sz w:val="18"/>
                <w:szCs w:val="18"/>
              </w:rPr>
            </w:pPr>
            <w:r w:rsidRPr="005A397C">
              <w:rPr>
                <w:sz w:val="18"/>
                <w:szCs w:val="18"/>
              </w:rPr>
              <w:t>p-value</w:t>
            </w:r>
          </w:p>
        </w:tc>
        <w:tc>
          <w:tcPr>
            <w:tcW w:w="1025" w:type="dxa"/>
            <w:shd w:val="clear" w:color="auto" w:fill="auto"/>
            <w:vAlign w:val="center"/>
          </w:tcPr>
          <w:p w:rsidR="005624B1" w:rsidRPr="00763B65" w:rsidRDefault="005624B1" w:rsidP="00481943">
            <w:pPr>
              <w:keepNext/>
              <w:keepLines/>
              <w:spacing w:before="40" w:after="40"/>
              <w:jc w:val="center"/>
              <w:rPr>
                <w:spacing w:val="-6"/>
                <w:sz w:val="18"/>
                <w:szCs w:val="18"/>
              </w:rPr>
            </w:pPr>
            <w:r w:rsidRPr="00763B65">
              <w:rPr>
                <w:spacing w:val="-6"/>
                <w:sz w:val="18"/>
                <w:szCs w:val="18"/>
              </w:rPr>
              <w:t>19.3</w:t>
            </w:r>
            <w:r w:rsidRPr="00763B65">
              <w:rPr>
                <w:spacing w:val="-6"/>
                <w:sz w:val="18"/>
                <w:szCs w:val="18"/>
              </w:rPr>
              <w:br/>
              <w:t>(6.6, 32.1)</w:t>
            </w:r>
          </w:p>
          <w:p w:rsidR="005624B1" w:rsidRPr="00763B65" w:rsidRDefault="005624B1" w:rsidP="00481943">
            <w:pPr>
              <w:keepNext/>
              <w:keepLines/>
              <w:spacing w:before="40" w:after="40"/>
              <w:jc w:val="center"/>
              <w:rPr>
                <w:spacing w:val="-6"/>
                <w:sz w:val="18"/>
                <w:szCs w:val="18"/>
              </w:rPr>
            </w:pPr>
            <w:r w:rsidRPr="00763B65">
              <w:rPr>
                <w:spacing w:val="-6"/>
                <w:sz w:val="18"/>
                <w:szCs w:val="18"/>
              </w:rPr>
              <w:t>p = 0.0006</w:t>
            </w:r>
          </w:p>
        </w:tc>
        <w:tc>
          <w:tcPr>
            <w:tcW w:w="1025" w:type="dxa"/>
            <w:shd w:val="clear" w:color="auto" w:fill="auto"/>
            <w:vAlign w:val="center"/>
          </w:tcPr>
          <w:p w:rsidR="005624B1" w:rsidRPr="00763B65" w:rsidRDefault="005624B1" w:rsidP="00895DEE">
            <w:pPr>
              <w:keepNext/>
              <w:keepLines/>
              <w:spacing w:before="40" w:after="40"/>
              <w:ind w:left="-93" w:right="-86"/>
              <w:jc w:val="center"/>
              <w:rPr>
                <w:spacing w:val="-6"/>
                <w:sz w:val="18"/>
                <w:szCs w:val="18"/>
              </w:rPr>
            </w:pPr>
            <w:r w:rsidRPr="00763B65">
              <w:rPr>
                <w:spacing w:val="-6"/>
                <w:sz w:val="18"/>
                <w:szCs w:val="18"/>
              </w:rPr>
              <w:t>25.8</w:t>
            </w:r>
            <w:r w:rsidRPr="00763B65">
              <w:rPr>
                <w:spacing w:val="-6"/>
                <w:sz w:val="18"/>
                <w:szCs w:val="18"/>
              </w:rPr>
              <w:br/>
              <w:t>(12.2, 39.4)</w:t>
            </w:r>
          </w:p>
          <w:p w:rsidR="005624B1" w:rsidRPr="00763B65" w:rsidRDefault="005624B1" w:rsidP="00895DEE">
            <w:pPr>
              <w:keepNext/>
              <w:keepLines/>
              <w:spacing w:before="40" w:after="40"/>
              <w:ind w:left="-93" w:right="-86"/>
              <w:jc w:val="center"/>
              <w:rPr>
                <w:spacing w:val="-6"/>
                <w:sz w:val="18"/>
                <w:szCs w:val="18"/>
              </w:rPr>
            </w:pPr>
            <w:r w:rsidRPr="00763B65">
              <w:rPr>
                <w:spacing w:val="-6"/>
                <w:sz w:val="18"/>
                <w:szCs w:val="18"/>
              </w:rPr>
              <w:t>p &lt; 0.0001</w:t>
            </w:r>
          </w:p>
        </w:tc>
        <w:tc>
          <w:tcPr>
            <w:tcW w:w="1026" w:type="dxa"/>
            <w:shd w:val="clear" w:color="auto" w:fill="auto"/>
            <w:vAlign w:val="center"/>
          </w:tcPr>
          <w:p w:rsidR="005624B1" w:rsidRPr="00763B65" w:rsidRDefault="005624B1" w:rsidP="00481943">
            <w:pPr>
              <w:keepNext/>
              <w:keepLines/>
              <w:spacing w:before="40" w:after="40"/>
              <w:jc w:val="center"/>
              <w:rPr>
                <w:spacing w:val="-6"/>
                <w:sz w:val="18"/>
                <w:szCs w:val="18"/>
              </w:rPr>
            </w:pPr>
          </w:p>
        </w:tc>
        <w:tc>
          <w:tcPr>
            <w:tcW w:w="1025" w:type="dxa"/>
            <w:shd w:val="clear" w:color="auto" w:fill="auto"/>
            <w:vAlign w:val="center"/>
          </w:tcPr>
          <w:p w:rsidR="005624B1" w:rsidRPr="00763B65" w:rsidRDefault="005624B1" w:rsidP="00481943">
            <w:pPr>
              <w:keepNext/>
              <w:keepLines/>
              <w:spacing w:before="40" w:after="40"/>
              <w:ind w:left="-93" w:right="-108"/>
              <w:jc w:val="center"/>
              <w:rPr>
                <w:spacing w:val="-6"/>
                <w:sz w:val="18"/>
                <w:szCs w:val="18"/>
              </w:rPr>
            </w:pPr>
            <w:r w:rsidRPr="00763B65">
              <w:rPr>
                <w:spacing w:val="-6"/>
                <w:sz w:val="18"/>
                <w:szCs w:val="18"/>
              </w:rPr>
              <w:t>14.9</w:t>
            </w:r>
            <w:r w:rsidRPr="00763B65">
              <w:rPr>
                <w:spacing w:val="-6"/>
                <w:sz w:val="18"/>
                <w:szCs w:val="18"/>
              </w:rPr>
              <w:br/>
              <w:t>(4.4, 25.4)</w:t>
            </w:r>
          </w:p>
          <w:p w:rsidR="005624B1" w:rsidRPr="00763B65" w:rsidRDefault="005624B1" w:rsidP="00481943">
            <w:pPr>
              <w:keepNext/>
              <w:keepLines/>
              <w:spacing w:before="40" w:after="40"/>
              <w:ind w:left="-93" w:right="-108"/>
              <w:jc w:val="center"/>
              <w:rPr>
                <w:spacing w:val="-6"/>
                <w:sz w:val="18"/>
                <w:szCs w:val="18"/>
              </w:rPr>
            </w:pPr>
            <w:r w:rsidRPr="00763B65">
              <w:rPr>
                <w:spacing w:val="-6"/>
                <w:sz w:val="18"/>
                <w:szCs w:val="18"/>
              </w:rPr>
              <w:t>p = 0.0017</w:t>
            </w:r>
          </w:p>
        </w:tc>
        <w:tc>
          <w:tcPr>
            <w:tcW w:w="1026" w:type="dxa"/>
            <w:shd w:val="clear" w:color="auto" w:fill="auto"/>
            <w:vAlign w:val="center"/>
          </w:tcPr>
          <w:p w:rsidR="005624B1" w:rsidRPr="00763B65" w:rsidRDefault="005624B1" w:rsidP="00481943">
            <w:pPr>
              <w:keepNext/>
              <w:keepLines/>
              <w:spacing w:before="40" w:after="40"/>
              <w:ind w:left="-93" w:right="-108"/>
              <w:jc w:val="center"/>
              <w:rPr>
                <w:spacing w:val="-6"/>
                <w:sz w:val="18"/>
                <w:szCs w:val="18"/>
              </w:rPr>
            </w:pPr>
            <w:r w:rsidRPr="00763B65">
              <w:rPr>
                <w:spacing w:val="-6"/>
                <w:sz w:val="18"/>
                <w:szCs w:val="18"/>
              </w:rPr>
              <w:t>19.7</w:t>
            </w:r>
            <w:r w:rsidRPr="00763B65">
              <w:rPr>
                <w:spacing w:val="-6"/>
                <w:sz w:val="18"/>
                <w:szCs w:val="18"/>
              </w:rPr>
              <w:br/>
              <w:t>(9.0, 30.4)</w:t>
            </w:r>
          </w:p>
          <w:p w:rsidR="005624B1" w:rsidRPr="00763B65" w:rsidRDefault="005624B1" w:rsidP="00481943">
            <w:pPr>
              <w:keepNext/>
              <w:keepLines/>
              <w:spacing w:before="40" w:after="40"/>
              <w:ind w:left="-93" w:right="-108"/>
              <w:jc w:val="center"/>
              <w:rPr>
                <w:spacing w:val="-6"/>
                <w:sz w:val="18"/>
                <w:szCs w:val="18"/>
              </w:rPr>
            </w:pPr>
            <w:r w:rsidRPr="00763B65">
              <w:rPr>
                <w:spacing w:val="-6"/>
                <w:sz w:val="18"/>
                <w:szCs w:val="18"/>
              </w:rPr>
              <w:t>p &lt; 0.0001</w:t>
            </w:r>
          </w:p>
        </w:tc>
        <w:tc>
          <w:tcPr>
            <w:tcW w:w="1025" w:type="dxa"/>
            <w:shd w:val="clear" w:color="auto" w:fill="auto"/>
            <w:vAlign w:val="center"/>
          </w:tcPr>
          <w:p w:rsidR="005624B1" w:rsidRPr="00763B65" w:rsidRDefault="005624B1" w:rsidP="00481943">
            <w:pPr>
              <w:keepNext/>
              <w:keepLines/>
              <w:spacing w:before="40" w:after="40"/>
              <w:jc w:val="center"/>
              <w:rPr>
                <w:spacing w:val="-6"/>
                <w:sz w:val="18"/>
                <w:szCs w:val="18"/>
              </w:rPr>
            </w:pPr>
          </w:p>
        </w:tc>
        <w:tc>
          <w:tcPr>
            <w:tcW w:w="1026" w:type="dxa"/>
            <w:vAlign w:val="center"/>
          </w:tcPr>
          <w:p w:rsidR="005624B1" w:rsidRPr="00763B65" w:rsidRDefault="005624B1" w:rsidP="00CB2284">
            <w:pPr>
              <w:keepNext/>
              <w:keepLines/>
              <w:spacing w:before="40" w:after="40"/>
              <w:ind w:left="-113" w:right="-113"/>
              <w:jc w:val="center"/>
              <w:rPr>
                <w:spacing w:val="-6"/>
                <w:sz w:val="18"/>
                <w:szCs w:val="18"/>
              </w:rPr>
            </w:pPr>
            <w:r w:rsidRPr="00763B65">
              <w:rPr>
                <w:spacing w:val="-6"/>
                <w:sz w:val="18"/>
                <w:szCs w:val="18"/>
              </w:rPr>
              <w:t>21.5</w:t>
            </w:r>
            <w:r w:rsidRPr="00763B65">
              <w:rPr>
                <w:spacing w:val="-6"/>
                <w:sz w:val="18"/>
                <w:szCs w:val="18"/>
              </w:rPr>
              <w:br/>
              <w:t>(10.4, 32.5)</w:t>
            </w:r>
          </w:p>
          <w:p w:rsidR="005624B1" w:rsidRPr="00763B65" w:rsidRDefault="005624B1" w:rsidP="00CB2284">
            <w:pPr>
              <w:keepNext/>
              <w:keepLines/>
              <w:spacing w:before="40" w:after="40"/>
              <w:ind w:left="-113" w:right="-113"/>
              <w:jc w:val="center"/>
              <w:rPr>
                <w:spacing w:val="-6"/>
                <w:sz w:val="18"/>
                <w:szCs w:val="18"/>
              </w:rPr>
            </w:pPr>
            <w:r w:rsidRPr="00763B65">
              <w:rPr>
                <w:spacing w:val="-6"/>
                <w:sz w:val="18"/>
                <w:szCs w:val="18"/>
              </w:rPr>
              <w:t>p = 0.0001</w:t>
            </w:r>
          </w:p>
        </w:tc>
        <w:tc>
          <w:tcPr>
            <w:tcW w:w="1025" w:type="dxa"/>
            <w:vAlign w:val="center"/>
          </w:tcPr>
          <w:p w:rsidR="005624B1" w:rsidRPr="00763B65" w:rsidRDefault="005624B1" w:rsidP="00CB2284">
            <w:pPr>
              <w:keepNext/>
              <w:keepLines/>
              <w:spacing w:before="40" w:after="40"/>
              <w:ind w:left="-113" w:right="-113"/>
              <w:jc w:val="center"/>
              <w:rPr>
                <w:spacing w:val="-6"/>
                <w:sz w:val="18"/>
                <w:szCs w:val="18"/>
              </w:rPr>
            </w:pPr>
            <w:r w:rsidRPr="00763B65">
              <w:rPr>
                <w:spacing w:val="-6"/>
                <w:sz w:val="18"/>
                <w:szCs w:val="18"/>
              </w:rPr>
              <w:t>21.7</w:t>
            </w:r>
            <w:r w:rsidRPr="00763B65">
              <w:rPr>
                <w:spacing w:val="-6"/>
                <w:sz w:val="18"/>
                <w:szCs w:val="18"/>
              </w:rPr>
              <w:br/>
              <w:t>(10.8, 32.6)</w:t>
            </w:r>
          </w:p>
          <w:p w:rsidR="005624B1" w:rsidRPr="00763B65" w:rsidRDefault="005624B1" w:rsidP="00CB2284">
            <w:pPr>
              <w:keepNext/>
              <w:keepLines/>
              <w:spacing w:before="40" w:after="40"/>
              <w:ind w:left="-113" w:right="-113"/>
              <w:jc w:val="center"/>
              <w:rPr>
                <w:spacing w:val="-6"/>
                <w:sz w:val="18"/>
                <w:szCs w:val="18"/>
              </w:rPr>
            </w:pPr>
            <w:r w:rsidRPr="00763B65">
              <w:rPr>
                <w:spacing w:val="-6"/>
                <w:sz w:val="18"/>
                <w:szCs w:val="18"/>
              </w:rPr>
              <w:t>p &lt; 0.0001</w:t>
            </w:r>
          </w:p>
        </w:tc>
        <w:tc>
          <w:tcPr>
            <w:tcW w:w="1026" w:type="dxa"/>
            <w:vAlign w:val="center"/>
          </w:tcPr>
          <w:p w:rsidR="005624B1" w:rsidRPr="00763B65" w:rsidRDefault="005624B1" w:rsidP="00CB2284">
            <w:pPr>
              <w:keepNext/>
              <w:keepLines/>
              <w:spacing w:before="40" w:after="40"/>
              <w:jc w:val="center"/>
              <w:rPr>
                <w:spacing w:val="-6"/>
                <w:sz w:val="18"/>
                <w:szCs w:val="18"/>
              </w:rPr>
            </w:pPr>
          </w:p>
        </w:tc>
      </w:tr>
      <w:tr w:rsidR="00CB2284" w:rsidRPr="005A397C" w:rsidTr="005624B1">
        <w:trPr>
          <w:jc w:val="center"/>
        </w:trPr>
        <w:tc>
          <w:tcPr>
            <w:tcW w:w="11468" w:type="dxa"/>
            <w:gridSpan w:val="10"/>
            <w:vAlign w:val="center"/>
          </w:tcPr>
          <w:p w:rsidR="00CB2284" w:rsidRPr="005A397C" w:rsidRDefault="00CB2284" w:rsidP="00264F2B">
            <w:pPr>
              <w:spacing w:before="120" w:after="120"/>
              <w:ind w:left="-91" w:right="-108"/>
              <w:jc w:val="center"/>
              <w:rPr>
                <w:sz w:val="18"/>
                <w:szCs w:val="18"/>
              </w:rPr>
            </w:pPr>
            <w:r w:rsidRPr="005A397C">
              <w:rPr>
                <w:sz w:val="18"/>
                <w:szCs w:val="18"/>
              </w:rPr>
              <w:lastRenderedPageBreak/>
              <w:t xml:space="preserve">See </w:t>
            </w:r>
            <w:r w:rsidRPr="00A103AC">
              <w:rPr>
                <w:b/>
                <w:sz w:val="18"/>
                <w:szCs w:val="18"/>
              </w:rPr>
              <w:t xml:space="preserve">Table </w:t>
            </w:r>
            <w:r>
              <w:rPr>
                <w:b/>
                <w:sz w:val="18"/>
                <w:szCs w:val="18"/>
              </w:rPr>
              <w:t xml:space="preserve">2 </w:t>
            </w:r>
            <w:r w:rsidRPr="005A397C">
              <w:rPr>
                <w:sz w:val="18"/>
                <w:szCs w:val="18"/>
              </w:rPr>
              <w:t>for Mean Change in CRT from Baseline</w:t>
            </w:r>
          </w:p>
        </w:tc>
      </w:tr>
      <w:tr w:rsidR="005624B1" w:rsidRPr="005A397C" w:rsidTr="003D0959">
        <w:trPr>
          <w:jc w:val="center"/>
        </w:trPr>
        <w:tc>
          <w:tcPr>
            <w:tcW w:w="2239" w:type="dxa"/>
            <w:shd w:val="clear" w:color="auto" w:fill="auto"/>
          </w:tcPr>
          <w:p w:rsidR="005624B1" w:rsidRPr="005A397C" w:rsidRDefault="005624B1" w:rsidP="003D0959">
            <w:pPr>
              <w:keepNext/>
              <w:keepLines/>
              <w:spacing w:before="40" w:after="40"/>
              <w:rPr>
                <w:sz w:val="18"/>
                <w:szCs w:val="18"/>
              </w:rPr>
            </w:pPr>
            <w:r w:rsidRPr="005A397C">
              <w:rPr>
                <w:sz w:val="18"/>
                <w:szCs w:val="18"/>
              </w:rPr>
              <w:t xml:space="preserve">Mean change in </w:t>
            </w:r>
            <w:r>
              <w:rPr>
                <w:sz w:val="18"/>
                <w:szCs w:val="18"/>
              </w:rPr>
              <w:br/>
            </w:r>
            <w:r w:rsidRPr="005A397C">
              <w:rPr>
                <w:sz w:val="18"/>
                <w:szCs w:val="18"/>
              </w:rPr>
              <w:t>NEI VFQ-25</w:t>
            </w:r>
            <w:r w:rsidRPr="005A397C">
              <w:rPr>
                <w:sz w:val="18"/>
                <w:szCs w:val="18"/>
                <w:vertAlign w:val="superscript"/>
              </w:rPr>
              <w:t xml:space="preserve"> e</w:t>
            </w:r>
            <w:r w:rsidRPr="005A397C">
              <w:rPr>
                <w:sz w:val="18"/>
                <w:szCs w:val="18"/>
              </w:rPr>
              <w:t xml:space="preserve"> near activities subscale from Baseline</w:t>
            </w:r>
          </w:p>
        </w:tc>
        <w:tc>
          <w:tcPr>
            <w:tcW w:w="1025" w:type="dxa"/>
            <w:shd w:val="clear" w:color="auto" w:fill="auto"/>
            <w:vAlign w:val="center"/>
          </w:tcPr>
          <w:p w:rsidR="005624B1" w:rsidRPr="00763B65" w:rsidRDefault="005624B1" w:rsidP="003D0959">
            <w:pPr>
              <w:keepNext/>
              <w:keepLines/>
              <w:spacing w:before="40" w:after="40"/>
              <w:ind w:left="-136" w:right="-113"/>
              <w:jc w:val="center"/>
              <w:rPr>
                <w:spacing w:val="-6"/>
                <w:sz w:val="18"/>
                <w:szCs w:val="18"/>
              </w:rPr>
            </w:pPr>
            <w:r w:rsidRPr="00763B65">
              <w:rPr>
                <w:spacing w:val="-6"/>
                <w:sz w:val="18"/>
                <w:szCs w:val="18"/>
              </w:rPr>
              <w:t>5.29</w:t>
            </w:r>
            <w:r w:rsidRPr="00763B65">
              <w:rPr>
                <w:spacing w:val="-6"/>
                <w:sz w:val="18"/>
                <w:szCs w:val="18"/>
              </w:rPr>
              <w:br/>
              <w:t>(19.058)</w:t>
            </w:r>
          </w:p>
        </w:tc>
        <w:tc>
          <w:tcPr>
            <w:tcW w:w="1025" w:type="dxa"/>
            <w:shd w:val="clear" w:color="auto" w:fill="auto"/>
            <w:vAlign w:val="center"/>
          </w:tcPr>
          <w:p w:rsidR="005624B1" w:rsidRPr="00763B65" w:rsidRDefault="005624B1" w:rsidP="003D0959">
            <w:pPr>
              <w:keepNext/>
              <w:keepLines/>
              <w:spacing w:before="40" w:after="40"/>
              <w:ind w:left="-160" w:right="-172"/>
              <w:jc w:val="center"/>
              <w:rPr>
                <w:spacing w:val="-6"/>
                <w:sz w:val="18"/>
                <w:szCs w:val="18"/>
              </w:rPr>
            </w:pPr>
            <w:r w:rsidRPr="00763B65">
              <w:rPr>
                <w:spacing w:val="-6"/>
                <w:sz w:val="18"/>
                <w:szCs w:val="18"/>
              </w:rPr>
              <w:t>5.73</w:t>
            </w:r>
            <w:r w:rsidRPr="00763B65">
              <w:rPr>
                <w:spacing w:val="-6"/>
                <w:sz w:val="18"/>
                <w:szCs w:val="18"/>
              </w:rPr>
              <w:br/>
              <w:t>(18.932)</w:t>
            </w:r>
          </w:p>
        </w:tc>
        <w:tc>
          <w:tcPr>
            <w:tcW w:w="1026" w:type="dxa"/>
            <w:shd w:val="clear" w:color="auto" w:fill="auto"/>
            <w:vAlign w:val="center"/>
          </w:tcPr>
          <w:p w:rsidR="005624B1" w:rsidRPr="00763B65" w:rsidRDefault="005624B1" w:rsidP="003D0959">
            <w:pPr>
              <w:keepNext/>
              <w:keepLines/>
              <w:spacing w:before="40" w:after="40"/>
              <w:jc w:val="center"/>
              <w:rPr>
                <w:spacing w:val="-6"/>
                <w:sz w:val="18"/>
                <w:szCs w:val="18"/>
              </w:rPr>
            </w:pPr>
            <w:r w:rsidRPr="00763B65">
              <w:rPr>
                <w:spacing w:val="-6"/>
                <w:sz w:val="18"/>
                <w:szCs w:val="18"/>
              </w:rPr>
              <w:t>3.54</w:t>
            </w:r>
            <w:r w:rsidRPr="00763B65">
              <w:rPr>
                <w:spacing w:val="-6"/>
                <w:sz w:val="18"/>
                <w:szCs w:val="18"/>
              </w:rPr>
              <w:br/>
              <w:t>(16.768)</w:t>
            </w:r>
          </w:p>
        </w:tc>
        <w:tc>
          <w:tcPr>
            <w:tcW w:w="1025" w:type="dxa"/>
            <w:shd w:val="clear" w:color="auto" w:fill="auto"/>
            <w:vAlign w:val="center"/>
          </w:tcPr>
          <w:p w:rsidR="005624B1" w:rsidRPr="00763B65" w:rsidRDefault="005624B1" w:rsidP="003D0959">
            <w:pPr>
              <w:keepNext/>
              <w:keepLines/>
              <w:spacing w:before="40" w:after="40"/>
              <w:ind w:left="-93" w:right="-108"/>
              <w:jc w:val="center"/>
              <w:rPr>
                <w:spacing w:val="-6"/>
                <w:sz w:val="18"/>
                <w:szCs w:val="18"/>
              </w:rPr>
            </w:pPr>
            <w:r w:rsidRPr="00763B65">
              <w:rPr>
                <w:spacing w:val="-6"/>
                <w:sz w:val="18"/>
                <w:szCs w:val="18"/>
              </w:rPr>
              <w:t>9.4</w:t>
            </w:r>
            <w:r w:rsidRPr="00763B65">
              <w:rPr>
                <w:spacing w:val="-6"/>
                <w:sz w:val="18"/>
                <w:szCs w:val="18"/>
              </w:rPr>
              <w:br/>
              <w:t>(18.50)</w:t>
            </w:r>
          </w:p>
        </w:tc>
        <w:tc>
          <w:tcPr>
            <w:tcW w:w="1026" w:type="dxa"/>
            <w:shd w:val="clear" w:color="auto" w:fill="auto"/>
            <w:vAlign w:val="center"/>
          </w:tcPr>
          <w:p w:rsidR="005624B1" w:rsidRPr="00763B65" w:rsidRDefault="005624B1" w:rsidP="003D0959">
            <w:pPr>
              <w:keepNext/>
              <w:keepLines/>
              <w:spacing w:before="40" w:after="40"/>
              <w:ind w:left="-93" w:right="-108"/>
              <w:jc w:val="center"/>
              <w:rPr>
                <w:spacing w:val="-6"/>
                <w:sz w:val="18"/>
                <w:szCs w:val="18"/>
              </w:rPr>
            </w:pPr>
            <w:r w:rsidRPr="00763B65">
              <w:rPr>
                <w:spacing w:val="-6"/>
                <w:sz w:val="18"/>
                <w:szCs w:val="18"/>
              </w:rPr>
              <w:t>9.0</w:t>
            </w:r>
            <w:r w:rsidRPr="00763B65">
              <w:rPr>
                <w:spacing w:val="-6"/>
                <w:sz w:val="18"/>
                <w:szCs w:val="18"/>
              </w:rPr>
              <w:br/>
              <w:t>(20.60)</w:t>
            </w:r>
          </w:p>
        </w:tc>
        <w:tc>
          <w:tcPr>
            <w:tcW w:w="1025" w:type="dxa"/>
            <w:shd w:val="clear" w:color="auto" w:fill="auto"/>
            <w:vAlign w:val="center"/>
          </w:tcPr>
          <w:p w:rsidR="005624B1" w:rsidRPr="00763B65" w:rsidRDefault="005624B1" w:rsidP="003D0959">
            <w:pPr>
              <w:keepNext/>
              <w:keepLines/>
              <w:spacing w:before="40" w:after="40"/>
              <w:jc w:val="center"/>
              <w:rPr>
                <w:spacing w:val="-6"/>
                <w:sz w:val="18"/>
                <w:szCs w:val="18"/>
              </w:rPr>
            </w:pPr>
            <w:r w:rsidRPr="00763B65">
              <w:rPr>
                <w:spacing w:val="-6"/>
                <w:sz w:val="18"/>
                <w:szCs w:val="18"/>
              </w:rPr>
              <w:t>5.4</w:t>
            </w:r>
            <w:r w:rsidRPr="00763B65">
              <w:rPr>
                <w:spacing w:val="-6"/>
                <w:sz w:val="18"/>
                <w:szCs w:val="18"/>
              </w:rPr>
              <w:br/>
              <w:t>(20.44)</w:t>
            </w:r>
          </w:p>
        </w:tc>
        <w:tc>
          <w:tcPr>
            <w:tcW w:w="1026" w:type="dxa"/>
            <w:vAlign w:val="center"/>
          </w:tcPr>
          <w:p w:rsidR="005624B1" w:rsidRPr="00763B65" w:rsidRDefault="005624B1" w:rsidP="003D0959">
            <w:pPr>
              <w:keepNext/>
              <w:keepLines/>
              <w:spacing w:before="40" w:after="40"/>
              <w:ind w:left="-113" w:right="-113"/>
              <w:jc w:val="center"/>
              <w:rPr>
                <w:spacing w:val="-6"/>
                <w:sz w:val="18"/>
                <w:szCs w:val="18"/>
              </w:rPr>
            </w:pPr>
            <w:r w:rsidRPr="00763B65">
              <w:rPr>
                <w:spacing w:val="-6"/>
                <w:sz w:val="18"/>
                <w:szCs w:val="18"/>
              </w:rPr>
              <w:t>12.8</w:t>
            </w:r>
            <w:r w:rsidRPr="00763B65">
              <w:rPr>
                <w:spacing w:val="-6"/>
                <w:sz w:val="18"/>
                <w:szCs w:val="18"/>
              </w:rPr>
              <w:br/>
              <w:t>(21.36)</w:t>
            </w:r>
          </w:p>
        </w:tc>
        <w:tc>
          <w:tcPr>
            <w:tcW w:w="1025" w:type="dxa"/>
            <w:vAlign w:val="center"/>
          </w:tcPr>
          <w:p w:rsidR="005624B1" w:rsidRPr="00763B65" w:rsidRDefault="005624B1" w:rsidP="003D0959">
            <w:pPr>
              <w:keepNext/>
              <w:keepLines/>
              <w:spacing w:before="40" w:after="40"/>
              <w:ind w:left="-113" w:right="-113"/>
              <w:jc w:val="center"/>
              <w:rPr>
                <w:spacing w:val="-6"/>
                <w:sz w:val="18"/>
                <w:szCs w:val="18"/>
              </w:rPr>
            </w:pPr>
            <w:r w:rsidRPr="00763B65">
              <w:rPr>
                <w:spacing w:val="-6"/>
                <w:sz w:val="18"/>
                <w:szCs w:val="18"/>
              </w:rPr>
              <w:t>10.9</w:t>
            </w:r>
            <w:r w:rsidRPr="00763B65">
              <w:rPr>
                <w:spacing w:val="-6"/>
                <w:sz w:val="18"/>
                <w:szCs w:val="18"/>
              </w:rPr>
              <w:br/>
              <w:t>(23.12)</w:t>
            </w:r>
          </w:p>
        </w:tc>
        <w:tc>
          <w:tcPr>
            <w:tcW w:w="1026" w:type="dxa"/>
            <w:vAlign w:val="center"/>
          </w:tcPr>
          <w:p w:rsidR="005624B1" w:rsidRPr="00763B65" w:rsidRDefault="005624B1" w:rsidP="003D0959">
            <w:pPr>
              <w:keepNext/>
              <w:keepLines/>
              <w:spacing w:before="40" w:after="40"/>
              <w:jc w:val="center"/>
              <w:rPr>
                <w:spacing w:val="-6"/>
                <w:sz w:val="18"/>
                <w:szCs w:val="18"/>
              </w:rPr>
            </w:pPr>
            <w:r w:rsidRPr="00763B65">
              <w:rPr>
                <w:spacing w:val="-6"/>
                <w:sz w:val="18"/>
                <w:szCs w:val="18"/>
              </w:rPr>
              <w:t>8.1</w:t>
            </w:r>
            <w:r w:rsidRPr="00763B65">
              <w:rPr>
                <w:spacing w:val="-6"/>
                <w:sz w:val="18"/>
                <w:szCs w:val="18"/>
              </w:rPr>
              <w:br/>
              <w:t>(22.10)</w:t>
            </w:r>
          </w:p>
        </w:tc>
      </w:tr>
      <w:tr w:rsidR="005624B1" w:rsidRPr="005A397C" w:rsidTr="003D0959">
        <w:trPr>
          <w:jc w:val="center"/>
        </w:trPr>
        <w:tc>
          <w:tcPr>
            <w:tcW w:w="2239" w:type="dxa"/>
            <w:shd w:val="clear" w:color="auto" w:fill="auto"/>
          </w:tcPr>
          <w:p w:rsidR="005624B1" w:rsidRPr="005A397C" w:rsidRDefault="005624B1" w:rsidP="003D0959">
            <w:pPr>
              <w:spacing w:before="40" w:after="40"/>
              <w:ind w:left="85" w:right="-79"/>
              <w:rPr>
                <w:sz w:val="18"/>
                <w:szCs w:val="18"/>
              </w:rPr>
            </w:pPr>
            <w:r>
              <w:rPr>
                <w:sz w:val="18"/>
                <w:szCs w:val="18"/>
              </w:rPr>
              <w:t xml:space="preserve">Difference in LS </w:t>
            </w:r>
            <w:r w:rsidRPr="005A397C">
              <w:rPr>
                <w:sz w:val="18"/>
                <w:szCs w:val="18"/>
              </w:rPr>
              <w:t>mean</w:t>
            </w:r>
            <w:r w:rsidRPr="005A397C">
              <w:rPr>
                <w:sz w:val="18"/>
                <w:szCs w:val="18"/>
                <w:vertAlign w:val="superscript"/>
              </w:rPr>
              <w:t xml:space="preserve"> b, c, e</w:t>
            </w:r>
            <w:r w:rsidRPr="005A397C">
              <w:rPr>
                <w:sz w:val="18"/>
                <w:szCs w:val="18"/>
              </w:rPr>
              <w:br/>
              <w:t>(97.5% CI)</w:t>
            </w:r>
          </w:p>
          <w:p w:rsidR="005624B1" w:rsidRPr="005A397C" w:rsidRDefault="005624B1" w:rsidP="003D0959">
            <w:pPr>
              <w:spacing w:before="40" w:after="40"/>
              <w:ind w:left="85" w:right="-79"/>
              <w:rPr>
                <w:sz w:val="18"/>
                <w:szCs w:val="18"/>
              </w:rPr>
            </w:pPr>
            <w:r w:rsidRPr="005A397C">
              <w:rPr>
                <w:sz w:val="18"/>
                <w:szCs w:val="18"/>
              </w:rPr>
              <w:t>p-value</w:t>
            </w:r>
          </w:p>
        </w:tc>
        <w:tc>
          <w:tcPr>
            <w:tcW w:w="1025" w:type="dxa"/>
            <w:shd w:val="clear" w:color="auto" w:fill="auto"/>
            <w:vAlign w:val="center"/>
          </w:tcPr>
          <w:p w:rsidR="005624B1" w:rsidRPr="00763B65" w:rsidRDefault="005624B1" w:rsidP="003D0959">
            <w:pPr>
              <w:keepNext/>
              <w:keepLines/>
              <w:spacing w:before="40" w:after="40"/>
              <w:ind w:left="-136" w:right="-113"/>
              <w:jc w:val="center"/>
              <w:rPr>
                <w:spacing w:val="-6"/>
                <w:sz w:val="18"/>
                <w:szCs w:val="18"/>
              </w:rPr>
            </w:pPr>
            <w:r w:rsidRPr="00763B65">
              <w:rPr>
                <w:spacing w:val="-6"/>
                <w:sz w:val="18"/>
                <w:szCs w:val="18"/>
              </w:rPr>
              <w:t>-1.21</w:t>
            </w:r>
            <w:r w:rsidRPr="00763B65">
              <w:rPr>
                <w:spacing w:val="-6"/>
                <w:sz w:val="18"/>
                <w:szCs w:val="18"/>
              </w:rPr>
              <w:br/>
              <w:t>(-5.79, 3.37)</w:t>
            </w:r>
          </w:p>
          <w:p w:rsidR="005624B1" w:rsidRPr="00763B65" w:rsidRDefault="005624B1" w:rsidP="003D0959">
            <w:pPr>
              <w:keepNext/>
              <w:keepLines/>
              <w:spacing w:before="40" w:after="40"/>
              <w:ind w:left="-136" w:right="-113"/>
              <w:jc w:val="center"/>
              <w:rPr>
                <w:spacing w:val="-6"/>
                <w:sz w:val="18"/>
                <w:szCs w:val="18"/>
              </w:rPr>
            </w:pPr>
            <w:r w:rsidRPr="00763B65">
              <w:rPr>
                <w:spacing w:val="-6"/>
                <w:sz w:val="18"/>
                <w:szCs w:val="18"/>
              </w:rPr>
              <w:t>p = 0.5537</w:t>
            </w:r>
          </w:p>
        </w:tc>
        <w:tc>
          <w:tcPr>
            <w:tcW w:w="1025" w:type="dxa"/>
            <w:shd w:val="clear" w:color="auto" w:fill="auto"/>
            <w:vAlign w:val="center"/>
          </w:tcPr>
          <w:p w:rsidR="005624B1" w:rsidRPr="00763B65" w:rsidRDefault="005624B1" w:rsidP="003D0959">
            <w:pPr>
              <w:keepNext/>
              <w:keepLines/>
              <w:spacing w:before="40" w:after="40"/>
              <w:ind w:left="-160" w:right="-172"/>
              <w:jc w:val="center"/>
              <w:rPr>
                <w:spacing w:val="-6"/>
                <w:sz w:val="18"/>
                <w:szCs w:val="18"/>
              </w:rPr>
            </w:pPr>
            <w:r w:rsidRPr="00763B65">
              <w:rPr>
                <w:spacing w:val="-6"/>
                <w:sz w:val="18"/>
                <w:szCs w:val="18"/>
              </w:rPr>
              <w:t>2.41</w:t>
            </w:r>
            <w:r w:rsidRPr="00763B65">
              <w:rPr>
                <w:spacing w:val="-6"/>
                <w:sz w:val="18"/>
                <w:szCs w:val="18"/>
              </w:rPr>
              <w:br/>
              <w:t>(-2.01, 6.82)</w:t>
            </w:r>
          </w:p>
          <w:p w:rsidR="005624B1" w:rsidRPr="00763B65" w:rsidRDefault="005624B1" w:rsidP="003D0959">
            <w:pPr>
              <w:keepNext/>
              <w:keepLines/>
              <w:spacing w:before="40" w:after="40"/>
              <w:ind w:left="-160" w:right="-172"/>
              <w:jc w:val="center"/>
              <w:rPr>
                <w:spacing w:val="-6"/>
                <w:sz w:val="18"/>
                <w:szCs w:val="18"/>
              </w:rPr>
            </w:pPr>
            <w:r w:rsidRPr="00763B65">
              <w:rPr>
                <w:spacing w:val="-6"/>
                <w:sz w:val="18"/>
                <w:szCs w:val="18"/>
              </w:rPr>
              <w:t>p = 0.2208</w:t>
            </w:r>
          </w:p>
        </w:tc>
        <w:tc>
          <w:tcPr>
            <w:tcW w:w="1026" w:type="dxa"/>
            <w:shd w:val="clear" w:color="auto" w:fill="auto"/>
            <w:vAlign w:val="center"/>
          </w:tcPr>
          <w:p w:rsidR="005624B1" w:rsidRPr="00763B65" w:rsidRDefault="005624B1" w:rsidP="003D0959">
            <w:pPr>
              <w:keepNext/>
              <w:keepLines/>
              <w:spacing w:before="40" w:after="40"/>
              <w:jc w:val="center"/>
              <w:rPr>
                <w:spacing w:val="-6"/>
                <w:sz w:val="18"/>
                <w:szCs w:val="18"/>
              </w:rPr>
            </w:pPr>
          </w:p>
        </w:tc>
        <w:tc>
          <w:tcPr>
            <w:tcW w:w="1025" w:type="dxa"/>
            <w:shd w:val="clear" w:color="auto" w:fill="auto"/>
            <w:vAlign w:val="center"/>
          </w:tcPr>
          <w:p w:rsidR="005624B1" w:rsidRPr="00763B65" w:rsidRDefault="005624B1" w:rsidP="003D0959">
            <w:pPr>
              <w:keepNext/>
              <w:keepLines/>
              <w:spacing w:before="40" w:after="40"/>
              <w:ind w:left="-93" w:right="-108"/>
              <w:jc w:val="center"/>
              <w:rPr>
                <w:spacing w:val="-6"/>
                <w:sz w:val="18"/>
                <w:szCs w:val="18"/>
              </w:rPr>
            </w:pPr>
            <w:r w:rsidRPr="00763B65">
              <w:rPr>
                <w:spacing w:val="-6"/>
                <w:sz w:val="18"/>
                <w:szCs w:val="18"/>
              </w:rPr>
              <w:t>4.36</w:t>
            </w:r>
            <w:r w:rsidRPr="00763B65">
              <w:rPr>
                <w:spacing w:val="-6"/>
                <w:sz w:val="18"/>
                <w:szCs w:val="18"/>
              </w:rPr>
              <w:br/>
              <w:t>(-0.21, 8.93)</w:t>
            </w:r>
          </w:p>
          <w:p w:rsidR="005624B1" w:rsidRPr="00763B65" w:rsidRDefault="005624B1" w:rsidP="003D0959">
            <w:pPr>
              <w:keepNext/>
              <w:keepLines/>
              <w:spacing w:before="40" w:after="40"/>
              <w:ind w:left="-93" w:right="-108"/>
              <w:jc w:val="center"/>
              <w:rPr>
                <w:spacing w:val="-6"/>
                <w:sz w:val="18"/>
                <w:szCs w:val="18"/>
              </w:rPr>
            </w:pPr>
            <w:r w:rsidRPr="00763B65">
              <w:rPr>
                <w:spacing w:val="-6"/>
                <w:sz w:val="18"/>
                <w:szCs w:val="18"/>
              </w:rPr>
              <w:t>p = 0.0323</w:t>
            </w:r>
          </w:p>
        </w:tc>
        <w:tc>
          <w:tcPr>
            <w:tcW w:w="1026" w:type="dxa"/>
            <w:shd w:val="clear" w:color="auto" w:fill="auto"/>
            <w:vAlign w:val="center"/>
          </w:tcPr>
          <w:p w:rsidR="005624B1" w:rsidRPr="00763B65" w:rsidRDefault="005624B1" w:rsidP="003D0959">
            <w:pPr>
              <w:keepNext/>
              <w:keepLines/>
              <w:spacing w:before="40" w:after="40"/>
              <w:ind w:left="-93" w:right="-108"/>
              <w:jc w:val="center"/>
              <w:rPr>
                <w:spacing w:val="-6"/>
                <w:sz w:val="18"/>
                <w:szCs w:val="18"/>
              </w:rPr>
            </w:pPr>
            <w:r w:rsidRPr="00763B65">
              <w:rPr>
                <w:spacing w:val="-6"/>
                <w:sz w:val="18"/>
                <w:szCs w:val="18"/>
              </w:rPr>
              <w:t>5.19</w:t>
            </w:r>
            <w:r w:rsidRPr="00763B65">
              <w:rPr>
                <w:spacing w:val="-6"/>
                <w:sz w:val="18"/>
                <w:szCs w:val="18"/>
              </w:rPr>
              <w:br/>
              <w:t>(0.33, 10.04)</w:t>
            </w:r>
          </w:p>
          <w:p w:rsidR="005624B1" w:rsidRPr="00763B65" w:rsidRDefault="005624B1" w:rsidP="003D0959">
            <w:pPr>
              <w:keepNext/>
              <w:keepLines/>
              <w:spacing w:before="40" w:after="40"/>
              <w:ind w:left="-93" w:right="-108"/>
              <w:jc w:val="center"/>
              <w:rPr>
                <w:spacing w:val="-6"/>
                <w:sz w:val="18"/>
                <w:szCs w:val="18"/>
              </w:rPr>
            </w:pPr>
            <w:r w:rsidRPr="00763B65">
              <w:rPr>
                <w:spacing w:val="-6"/>
                <w:sz w:val="18"/>
                <w:szCs w:val="18"/>
              </w:rPr>
              <w:t>p = 0.0168</w:t>
            </w:r>
          </w:p>
        </w:tc>
        <w:tc>
          <w:tcPr>
            <w:tcW w:w="1025" w:type="dxa"/>
            <w:shd w:val="clear" w:color="auto" w:fill="auto"/>
            <w:vAlign w:val="center"/>
          </w:tcPr>
          <w:p w:rsidR="005624B1" w:rsidRPr="00763B65" w:rsidRDefault="005624B1" w:rsidP="003D0959">
            <w:pPr>
              <w:keepNext/>
              <w:keepLines/>
              <w:spacing w:before="40" w:after="40"/>
              <w:jc w:val="center"/>
              <w:rPr>
                <w:spacing w:val="-6"/>
                <w:sz w:val="18"/>
                <w:szCs w:val="18"/>
              </w:rPr>
            </w:pPr>
          </w:p>
        </w:tc>
        <w:tc>
          <w:tcPr>
            <w:tcW w:w="1026" w:type="dxa"/>
            <w:vAlign w:val="center"/>
          </w:tcPr>
          <w:p w:rsidR="005624B1" w:rsidRPr="00763B65" w:rsidRDefault="005624B1" w:rsidP="003D0959">
            <w:pPr>
              <w:keepNext/>
              <w:keepLines/>
              <w:spacing w:before="40" w:after="40"/>
              <w:ind w:left="-113" w:right="-113"/>
              <w:jc w:val="center"/>
              <w:rPr>
                <w:spacing w:val="-6"/>
                <w:sz w:val="18"/>
                <w:szCs w:val="18"/>
              </w:rPr>
            </w:pPr>
            <w:r w:rsidRPr="00763B65">
              <w:rPr>
                <w:spacing w:val="-6"/>
                <w:sz w:val="18"/>
                <w:szCs w:val="18"/>
              </w:rPr>
              <w:t>5.05</w:t>
            </w:r>
            <w:r w:rsidRPr="00763B65">
              <w:rPr>
                <w:spacing w:val="-6"/>
                <w:sz w:val="18"/>
                <w:szCs w:val="18"/>
              </w:rPr>
              <w:br/>
              <w:t>(0.12, 9.98)</w:t>
            </w:r>
          </w:p>
          <w:p w:rsidR="005624B1" w:rsidRPr="00763B65" w:rsidRDefault="005624B1" w:rsidP="003D0959">
            <w:pPr>
              <w:keepNext/>
              <w:keepLines/>
              <w:spacing w:before="40" w:after="40"/>
              <w:ind w:left="-113" w:right="-113"/>
              <w:jc w:val="center"/>
              <w:rPr>
                <w:spacing w:val="-6"/>
                <w:sz w:val="18"/>
                <w:szCs w:val="18"/>
              </w:rPr>
            </w:pPr>
            <w:r w:rsidRPr="00763B65">
              <w:rPr>
                <w:spacing w:val="-6"/>
                <w:sz w:val="18"/>
                <w:szCs w:val="18"/>
              </w:rPr>
              <w:t>p = 0.0218</w:t>
            </w:r>
          </w:p>
        </w:tc>
        <w:tc>
          <w:tcPr>
            <w:tcW w:w="1025" w:type="dxa"/>
            <w:vAlign w:val="center"/>
          </w:tcPr>
          <w:p w:rsidR="005624B1" w:rsidRPr="00763B65" w:rsidRDefault="005624B1" w:rsidP="003D0959">
            <w:pPr>
              <w:keepNext/>
              <w:keepLines/>
              <w:spacing w:before="40" w:after="40"/>
              <w:ind w:left="-113" w:right="-113"/>
              <w:jc w:val="center"/>
              <w:rPr>
                <w:spacing w:val="-6"/>
                <w:sz w:val="18"/>
                <w:szCs w:val="18"/>
              </w:rPr>
            </w:pPr>
            <w:r w:rsidRPr="00763B65">
              <w:rPr>
                <w:spacing w:val="-6"/>
                <w:sz w:val="18"/>
                <w:szCs w:val="18"/>
              </w:rPr>
              <w:t>4.59</w:t>
            </w:r>
            <w:r w:rsidRPr="00763B65">
              <w:rPr>
                <w:spacing w:val="-6"/>
                <w:sz w:val="18"/>
                <w:szCs w:val="18"/>
              </w:rPr>
              <w:br/>
              <w:t>(-0.73, 9.90)</w:t>
            </w:r>
          </w:p>
          <w:p w:rsidR="005624B1" w:rsidRPr="00763B65" w:rsidRDefault="005624B1" w:rsidP="003D0959">
            <w:pPr>
              <w:keepNext/>
              <w:keepLines/>
              <w:spacing w:before="40" w:after="40"/>
              <w:ind w:left="-113" w:right="-113"/>
              <w:jc w:val="center"/>
              <w:rPr>
                <w:spacing w:val="-6"/>
                <w:sz w:val="18"/>
                <w:szCs w:val="18"/>
              </w:rPr>
            </w:pPr>
            <w:r w:rsidRPr="00763B65">
              <w:rPr>
                <w:spacing w:val="-6"/>
                <w:sz w:val="18"/>
                <w:szCs w:val="18"/>
              </w:rPr>
              <w:t>p = 0.0529</w:t>
            </w:r>
          </w:p>
        </w:tc>
        <w:tc>
          <w:tcPr>
            <w:tcW w:w="1026" w:type="dxa"/>
            <w:vAlign w:val="center"/>
          </w:tcPr>
          <w:p w:rsidR="005624B1" w:rsidRPr="00763B65" w:rsidRDefault="005624B1" w:rsidP="003D0959">
            <w:pPr>
              <w:keepNext/>
              <w:keepLines/>
              <w:spacing w:before="40" w:after="40"/>
              <w:jc w:val="center"/>
              <w:rPr>
                <w:spacing w:val="-6"/>
                <w:sz w:val="18"/>
                <w:szCs w:val="18"/>
              </w:rPr>
            </w:pPr>
          </w:p>
        </w:tc>
      </w:tr>
      <w:tr w:rsidR="005624B1" w:rsidRPr="005A397C" w:rsidTr="003D0959">
        <w:trPr>
          <w:jc w:val="center"/>
        </w:trPr>
        <w:tc>
          <w:tcPr>
            <w:tcW w:w="2239" w:type="dxa"/>
            <w:shd w:val="clear" w:color="auto" w:fill="auto"/>
          </w:tcPr>
          <w:p w:rsidR="005624B1" w:rsidRPr="005A397C" w:rsidRDefault="005624B1" w:rsidP="003D0959">
            <w:pPr>
              <w:spacing w:before="40" w:after="40"/>
              <w:rPr>
                <w:sz w:val="18"/>
                <w:szCs w:val="18"/>
              </w:rPr>
            </w:pPr>
            <w:r w:rsidRPr="005A397C">
              <w:rPr>
                <w:sz w:val="18"/>
                <w:szCs w:val="18"/>
              </w:rPr>
              <w:t xml:space="preserve">Mean change in </w:t>
            </w:r>
            <w:r>
              <w:rPr>
                <w:sz w:val="18"/>
                <w:szCs w:val="18"/>
              </w:rPr>
              <w:br/>
            </w:r>
            <w:r w:rsidRPr="005A397C">
              <w:rPr>
                <w:sz w:val="18"/>
                <w:szCs w:val="18"/>
              </w:rPr>
              <w:t xml:space="preserve">NEI VFQ-25 </w:t>
            </w:r>
            <w:r w:rsidRPr="005A397C">
              <w:rPr>
                <w:sz w:val="18"/>
                <w:szCs w:val="18"/>
                <w:vertAlign w:val="superscript"/>
              </w:rPr>
              <w:t>e</w:t>
            </w:r>
            <w:r w:rsidRPr="005A397C">
              <w:rPr>
                <w:sz w:val="18"/>
                <w:szCs w:val="18"/>
              </w:rPr>
              <w:t xml:space="preserve"> distance activities subscale from Baseline</w:t>
            </w:r>
          </w:p>
        </w:tc>
        <w:tc>
          <w:tcPr>
            <w:tcW w:w="1025" w:type="dxa"/>
            <w:shd w:val="clear" w:color="auto" w:fill="auto"/>
            <w:vAlign w:val="center"/>
          </w:tcPr>
          <w:p w:rsidR="005624B1" w:rsidRPr="00763B65" w:rsidRDefault="005624B1" w:rsidP="003D0959">
            <w:pPr>
              <w:keepNext/>
              <w:keepLines/>
              <w:spacing w:before="40" w:after="40"/>
              <w:ind w:left="-136" w:right="-113"/>
              <w:jc w:val="center"/>
              <w:rPr>
                <w:spacing w:val="-6"/>
                <w:sz w:val="18"/>
                <w:szCs w:val="18"/>
              </w:rPr>
            </w:pPr>
            <w:r w:rsidRPr="00763B65">
              <w:rPr>
                <w:spacing w:val="-6"/>
                <w:sz w:val="18"/>
                <w:szCs w:val="18"/>
              </w:rPr>
              <w:t>5.32</w:t>
            </w:r>
            <w:r w:rsidRPr="00763B65">
              <w:rPr>
                <w:spacing w:val="-6"/>
                <w:sz w:val="18"/>
                <w:szCs w:val="18"/>
              </w:rPr>
              <w:br/>
              <w:t>(18.475)</w:t>
            </w:r>
          </w:p>
        </w:tc>
        <w:tc>
          <w:tcPr>
            <w:tcW w:w="1025" w:type="dxa"/>
            <w:shd w:val="clear" w:color="auto" w:fill="auto"/>
            <w:vAlign w:val="center"/>
          </w:tcPr>
          <w:p w:rsidR="005624B1" w:rsidRPr="00763B65" w:rsidRDefault="005624B1" w:rsidP="003D0959">
            <w:pPr>
              <w:keepNext/>
              <w:keepLines/>
              <w:spacing w:before="40" w:after="40"/>
              <w:ind w:left="-160" w:right="-172"/>
              <w:jc w:val="center"/>
              <w:rPr>
                <w:spacing w:val="-6"/>
                <w:sz w:val="18"/>
                <w:szCs w:val="18"/>
              </w:rPr>
            </w:pPr>
            <w:r w:rsidRPr="00763B65">
              <w:rPr>
                <w:spacing w:val="-6"/>
                <w:sz w:val="18"/>
                <w:szCs w:val="18"/>
              </w:rPr>
              <w:t>0.94</w:t>
            </w:r>
            <w:r w:rsidRPr="00763B65">
              <w:rPr>
                <w:spacing w:val="-6"/>
                <w:sz w:val="18"/>
                <w:szCs w:val="18"/>
              </w:rPr>
              <w:br/>
              <w:t>(16.487)</w:t>
            </w:r>
          </w:p>
        </w:tc>
        <w:tc>
          <w:tcPr>
            <w:tcW w:w="1026" w:type="dxa"/>
            <w:shd w:val="clear" w:color="auto" w:fill="auto"/>
            <w:vAlign w:val="center"/>
          </w:tcPr>
          <w:p w:rsidR="005624B1" w:rsidRPr="00763B65" w:rsidRDefault="005624B1" w:rsidP="003D0959">
            <w:pPr>
              <w:keepNext/>
              <w:keepLines/>
              <w:spacing w:before="40" w:after="40"/>
              <w:jc w:val="center"/>
              <w:rPr>
                <w:spacing w:val="-6"/>
                <w:sz w:val="18"/>
                <w:szCs w:val="18"/>
              </w:rPr>
            </w:pPr>
            <w:r w:rsidRPr="00763B65">
              <w:rPr>
                <w:spacing w:val="-6"/>
                <w:sz w:val="18"/>
                <w:szCs w:val="18"/>
              </w:rPr>
              <w:t>2.26</w:t>
            </w:r>
            <w:r w:rsidRPr="00763B65">
              <w:rPr>
                <w:spacing w:val="-6"/>
                <w:sz w:val="18"/>
                <w:szCs w:val="18"/>
              </w:rPr>
              <w:br/>
              <w:t>(15.923)</w:t>
            </w:r>
          </w:p>
        </w:tc>
        <w:tc>
          <w:tcPr>
            <w:tcW w:w="1025" w:type="dxa"/>
            <w:shd w:val="clear" w:color="auto" w:fill="auto"/>
            <w:vAlign w:val="center"/>
          </w:tcPr>
          <w:p w:rsidR="005624B1" w:rsidRPr="00763B65" w:rsidRDefault="005624B1" w:rsidP="003D0959">
            <w:pPr>
              <w:keepNext/>
              <w:keepLines/>
              <w:spacing w:before="40" w:after="40"/>
              <w:ind w:left="-93" w:right="-108"/>
              <w:jc w:val="center"/>
              <w:rPr>
                <w:spacing w:val="-6"/>
                <w:sz w:val="18"/>
                <w:szCs w:val="18"/>
              </w:rPr>
            </w:pPr>
            <w:r w:rsidRPr="00763B65">
              <w:rPr>
                <w:spacing w:val="-6"/>
                <w:sz w:val="18"/>
                <w:szCs w:val="18"/>
              </w:rPr>
              <w:t>7.3</w:t>
            </w:r>
            <w:r w:rsidRPr="00763B65">
              <w:rPr>
                <w:spacing w:val="-6"/>
                <w:sz w:val="18"/>
                <w:szCs w:val="18"/>
              </w:rPr>
              <w:br/>
              <w:t>(19.32)</w:t>
            </w:r>
          </w:p>
        </w:tc>
        <w:tc>
          <w:tcPr>
            <w:tcW w:w="1026" w:type="dxa"/>
            <w:shd w:val="clear" w:color="auto" w:fill="auto"/>
            <w:vAlign w:val="center"/>
          </w:tcPr>
          <w:p w:rsidR="005624B1" w:rsidRPr="00763B65" w:rsidRDefault="005624B1" w:rsidP="003D0959">
            <w:pPr>
              <w:keepNext/>
              <w:keepLines/>
              <w:spacing w:before="40" w:after="40"/>
              <w:ind w:left="-93" w:right="-108"/>
              <w:jc w:val="center"/>
              <w:rPr>
                <w:spacing w:val="-6"/>
                <w:sz w:val="18"/>
                <w:szCs w:val="18"/>
              </w:rPr>
            </w:pPr>
            <w:r w:rsidRPr="00763B65">
              <w:rPr>
                <w:spacing w:val="-6"/>
                <w:sz w:val="18"/>
                <w:szCs w:val="18"/>
              </w:rPr>
              <w:t>8.6</w:t>
            </w:r>
            <w:r w:rsidRPr="00763B65">
              <w:rPr>
                <w:spacing w:val="-6"/>
                <w:sz w:val="18"/>
                <w:szCs w:val="18"/>
              </w:rPr>
              <w:br/>
              <w:t>(20.99)</w:t>
            </w:r>
          </w:p>
        </w:tc>
        <w:tc>
          <w:tcPr>
            <w:tcW w:w="1025" w:type="dxa"/>
            <w:shd w:val="clear" w:color="auto" w:fill="auto"/>
            <w:vAlign w:val="center"/>
          </w:tcPr>
          <w:p w:rsidR="005624B1" w:rsidRPr="00763B65" w:rsidRDefault="005624B1" w:rsidP="003D0959">
            <w:pPr>
              <w:keepNext/>
              <w:keepLines/>
              <w:spacing w:before="40" w:after="40"/>
              <w:jc w:val="center"/>
              <w:rPr>
                <w:spacing w:val="-6"/>
                <w:sz w:val="18"/>
                <w:szCs w:val="18"/>
              </w:rPr>
            </w:pPr>
            <w:r w:rsidRPr="00763B65">
              <w:rPr>
                <w:spacing w:val="-6"/>
                <w:sz w:val="18"/>
                <w:szCs w:val="18"/>
              </w:rPr>
              <w:t>6.7</w:t>
            </w:r>
            <w:r w:rsidRPr="00763B65">
              <w:rPr>
                <w:spacing w:val="-6"/>
                <w:sz w:val="18"/>
                <w:szCs w:val="18"/>
              </w:rPr>
              <w:br/>
              <w:t>(19.85)</w:t>
            </w:r>
          </w:p>
        </w:tc>
        <w:tc>
          <w:tcPr>
            <w:tcW w:w="1026" w:type="dxa"/>
            <w:vAlign w:val="center"/>
          </w:tcPr>
          <w:p w:rsidR="005624B1" w:rsidRPr="00763B65" w:rsidRDefault="005624B1" w:rsidP="003D0959">
            <w:pPr>
              <w:keepNext/>
              <w:keepLines/>
              <w:spacing w:before="40" w:after="40"/>
              <w:ind w:left="-113" w:right="-113"/>
              <w:jc w:val="center"/>
              <w:rPr>
                <w:spacing w:val="-6"/>
                <w:sz w:val="18"/>
                <w:szCs w:val="18"/>
              </w:rPr>
            </w:pPr>
            <w:r w:rsidRPr="00763B65">
              <w:rPr>
                <w:spacing w:val="-6"/>
                <w:sz w:val="18"/>
                <w:szCs w:val="18"/>
              </w:rPr>
              <w:t>8.5</w:t>
            </w:r>
            <w:r w:rsidRPr="00763B65">
              <w:rPr>
                <w:spacing w:val="-6"/>
                <w:sz w:val="18"/>
                <w:szCs w:val="18"/>
              </w:rPr>
              <w:br/>
              <w:t>(20.35)</w:t>
            </w:r>
          </w:p>
        </w:tc>
        <w:tc>
          <w:tcPr>
            <w:tcW w:w="1025" w:type="dxa"/>
            <w:vAlign w:val="center"/>
          </w:tcPr>
          <w:p w:rsidR="005624B1" w:rsidRPr="00763B65" w:rsidRDefault="005624B1" w:rsidP="003D0959">
            <w:pPr>
              <w:keepNext/>
              <w:keepLines/>
              <w:spacing w:before="40" w:after="40"/>
              <w:ind w:left="-113" w:right="-113"/>
              <w:jc w:val="center"/>
              <w:rPr>
                <w:spacing w:val="-6"/>
                <w:sz w:val="18"/>
                <w:szCs w:val="18"/>
              </w:rPr>
            </w:pPr>
            <w:r w:rsidRPr="00763B65">
              <w:rPr>
                <w:spacing w:val="-6"/>
                <w:sz w:val="18"/>
                <w:szCs w:val="18"/>
              </w:rPr>
              <w:t>10.9</w:t>
            </w:r>
            <w:r w:rsidRPr="00763B65">
              <w:rPr>
                <w:spacing w:val="-6"/>
                <w:sz w:val="18"/>
                <w:szCs w:val="18"/>
              </w:rPr>
              <w:br/>
              <w:t>(22.05)</w:t>
            </w:r>
          </w:p>
        </w:tc>
        <w:tc>
          <w:tcPr>
            <w:tcW w:w="1026" w:type="dxa"/>
            <w:vAlign w:val="center"/>
          </w:tcPr>
          <w:p w:rsidR="005624B1" w:rsidRPr="00763B65" w:rsidRDefault="005624B1" w:rsidP="003D0959">
            <w:pPr>
              <w:keepNext/>
              <w:keepLines/>
              <w:spacing w:before="40" w:after="40"/>
              <w:jc w:val="center"/>
              <w:rPr>
                <w:spacing w:val="-6"/>
                <w:sz w:val="18"/>
                <w:szCs w:val="18"/>
              </w:rPr>
            </w:pPr>
            <w:r w:rsidRPr="00763B65">
              <w:rPr>
                <w:spacing w:val="-6"/>
                <w:sz w:val="18"/>
                <w:szCs w:val="18"/>
              </w:rPr>
              <w:t>6.1</w:t>
            </w:r>
            <w:r w:rsidRPr="00763B65">
              <w:rPr>
                <w:spacing w:val="-6"/>
                <w:sz w:val="18"/>
                <w:szCs w:val="18"/>
              </w:rPr>
              <w:br/>
              <w:t>(20.42)</w:t>
            </w:r>
          </w:p>
        </w:tc>
      </w:tr>
      <w:tr w:rsidR="005624B1" w:rsidRPr="005A397C" w:rsidTr="003D0959">
        <w:trPr>
          <w:jc w:val="center"/>
        </w:trPr>
        <w:tc>
          <w:tcPr>
            <w:tcW w:w="2239" w:type="dxa"/>
            <w:shd w:val="clear" w:color="auto" w:fill="auto"/>
          </w:tcPr>
          <w:p w:rsidR="005624B1" w:rsidRPr="005A397C" w:rsidRDefault="005624B1" w:rsidP="003D0959">
            <w:pPr>
              <w:keepNext/>
              <w:keepLines/>
              <w:spacing w:before="40" w:after="40"/>
              <w:ind w:left="85" w:right="-79"/>
              <w:rPr>
                <w:sz w:val="18"/>
                <w:szCs w:val="18"/>
              </w:rPr>
            </w:pPr>
            <w:r>
              <w:rPr>
                <w:sz w:val="18"/>
                <w:szCs w:val="18"/>
              </w:rPr>
              <w:t>Difference in</w:t>
            </w:r>
            <w:r w:rsidRPr="005A397C">
              <w:rPr>
                <w:sz w:val="18"/>
                <w:szCs w:val="18"/>
              </w:rPr>
              <w:t xml:space="preserve"> </w:t>
            </w:r>
            <w:r>
              <w:rPr>
                <w:sz w:val="18"/>
                <w:szCs w:val="18"/>
              </w:rPr>
              <w:t xml:space="preserve">LS </w:t>
            </w:r>
            <w:r w:rsidRPr="005A397C">
              <w:rPr>
                <w:sz w:val="18"/>
                <w:szCs w:val="18"/>
              </w:rPr>
              <w:t>mean</w:t>
            </w:r>
            <w:r w:rsidRPr="005A397C">
              <w:rPr>
                <w:sz w:val="18"/>
                <w:szCs w:val="18"/>
                <w:vertAlign w:val="superscript"/>
              </w:rPr>
              <w:t xml:space="preserve"> b, c, e</w:t>
            </w:r>
            <w:r w:rsidRPr="005A397C">
              <w:rPr>
                <w:sz w:val="18"/>
                <w:szCs w:val="18"/>
              </w:rPr>
              <w:br/>
              <w:t>(97.5% CI)</w:t>
            </w:r>
          </w:p>
          <w:p w:rsidR="005624B1" w:rsidRPr="005A397C" w:rsidRDefault="005624B1" w:rsidP="003D0959">
            <w:pPr>
              <w:keepNext/>
              <w:keepLines/>
              <w:spacing w:before="40" w:after="40"/>
              <w:ind w:left="85" w:right="-79"/>
              <w:rPr>
                <w:sz w:val="18"/>
                <w:szCs w:val="18"/>
              </w:rPr>
            </w:pPr>
            <w:r w:rsidRPr="005A397C">
              <w:rPr>
                <w:sz w:val="18"/>
                <w:szCs w:val="18"/>
              </w:rPr>
              <w:t>p-value</w:t>
            </w:r>
          </w:p>
        </w:tc>
        <w:tc>
          <w:tcPr>
            <w:tcW w:w="1025" w:type="dxa"/>
            <w:shd w:val="clear" w:color="auto" w:fill="auto"/>
            <w:vAlign w:val="center"/>
          </w:tcPr>
          <w:p w:rsidR="005624B1" w:rsidRPr="00763B65" w:rsidRDefault="005624B1" w:rsidP="003D0959">
            <w:pPr>
              <w:keepNext/>
              <w:keepLines/>
              <w:spacing w:before="40" w:after="40"/>
              <w:ind w:left="-136" w:right="-113"/>
              <w:jc w:val="center"/>
              <w:rPr>
                <w:spacing w:val="-6"/>
                <w:sz w:val="18"/>
                <w:szCs w:val="18"/>
              </w:rPr>
            </w:pPr>
            <w:r w:rsidRPr="00763B65">
              <w:rPr>
                <w:spacing w:val="-6"/>
                <w:sz w:val="18"/>
                <w:szCs w:val="18"/>
              </w:rPr>
              <w:t>-0.37</w:t>
            </w:r>
            <w:r w:rsidRPr="00763B65">
              <w:rPr>
                <w:spacing w:val="-6"/>
                <w:sz w:val="18"/>
                <w:szCs w:val="18"/>
              </w:rPr>
              <w:br/>
              <w:t>(-4.79, 4.05)</w:t>
            </w:r>
          </w:p>
          <w:p w:rsidR="005624B1" w:rsidRPr="00763B65" w:rsidRDefault="005624B1" w:rsidP="003D0959">
            <w:pPr>
              <w:keepNext/>
              <w:keepLines/>
              <w:spacing w:before="40" w:after="40"/>
              <w:ind w:left="-136" w:right="-113"/>
              <w:jc w:val="center"/>
              <w:rPr>
                <w:spacing w:val="-6"/>
                <w:sz w:val="18"/>
                <w:szCs w:val="18"/>
              </w:rPr>
            </w:pPr>
            <w:r w:rsidRPr="00763B65">
              <w:rPr>
                <w:spacing w:val="-6"/>
                <w:sz w:val="18"/>
                <w:szCs w:val="18"/>
              </w:rPr>
              <w:t>p = 0.8498</w:t>
            </w:r>
          </w:p>
        </w:tc>
        <w:tc>
          <w:tcPr>
            <w:tcW w:w="1025" w:type="dxa"/>
            <w:shd w:val="clear" w:color="auto" w:fill="auto"/>
            <w:vAlign w:val="center"/>
          </w:tcPr>
          <w:p w:rsidR="005624B1" w:rsidRPr="00763B65" w:rsidRDefault="005624B1" w:rsidP="003D0959">
            <w:pPr>
              <w:keepNext/>
              <w:keepLines/>
              <w:spacing w:before="40" w:after="40"/>
              <w:ind w:left="-160" w:right="-172"/>
              <w:jc w:val="center"/>
              <w:rPr>
                <w:spacing w:val="-6"/>
                <w:sz w:val="18"/>
                <w:szCs w:val="18"/>
              </w:rPr>
            </w:pPr>
            <w:r w:rsidRPr="00763B65">
              <w:rPr>
                <w:spacing w:val="-6"/>
                <w:sz w:val="18"/>
                <w:szCs w:val="18"/>
              </w:rPr>
              <w:t>-1.19</w:t>
            </w:r>
            <w:r w:rsidRPr="00763B65">
              <w:rPr>
                <w:spacing w:val="-6"/>
                <w:sz w:val="18"/>
                <w:szCs w:val="18"/>
              </w:rPr>
              <w:br/>
              <w:t>(-5.29, 2.91)</w:t>
            </w:r>
          </w:p>
          <w:p w:rsidR="005624B1" w:rsidRPr="00763B65" w:rsidRDefault="005624B1" w:rsidP="003D0959">
            <w:pPr>
              <w:keepNext/>
              <w:keepLines/>
              <w:spacing w:before="40" w:after="40"/>
              <w:ind w:left="-160" w:right="-172"/>
              <w:jc w:val="center"/>
              <w:rPr>
                <w:spacing w:val="-6"/>
                <w:sz w:val="18"/>
                <w:szCs w:val="18"/>
              </w:rPr>
            </w:pPr>
            <w:r w:rsidRPr="00763B65">
              <w:rPr>
                <w:spacing w:val="-6"/>
                <w:sz w:val="18"/>
                <w:szCs w:val="18"/>
              </w:rPr>
              <w:t>p = 0.5138</w:t>
            </w:r>
          </w:p>
        </w:tc>
        <w:tc>
          <w:tcPr>
            <w:tcW w:w="1026" w:type="dxa"/>
            <w:shd w:val="clear" w:color="auto" w:fill="auto"/>
            <w:vAlign w:val="center"/>
          </w:tcPr>
          <w:p w:rsidR="005624B1" w:rsidRPr="00763B65" w:rsidRDefault="005624B1" w:rsidP="003D0959">
            <w:pPr>
              <w:keepNext/>
              <w:keepLines/>
              <w:spacing w:before="40" w:after="40"/>
              <w:jc w:val="center"/>
              <w:rPr>
                <w:spacing w:val="-6"/>
                <w:sz w:val="18"/>
                <w:szCs w:val="18"/>
              </w:rPr>
            </w:pPr>
          </w:p>
        </w:tc>
        <w:tc>
          <w:tcPr>
            <w:tcW w:w="1025" w:type="dxa"/>
            <w:shd w:val="clear" w:color="auto" w:fill="auto"/>
            <w:vAlign w:val="center"/>
          </w:tcPr>
          <w:p w:rsidR="005624B1" w:rsidRPr="00763B65" w:rsidRDefault="005624B1" w:rsidP="003D0959">
            <w:pPr>
              <w:keepNext/>
              <w:keepLines/>
              <w:spacing w:before="40" w:after="40"/>
              <w:ind w:left="-93" w:right="-108"/>
              <w:jc w:val="center"/>
              <w:rPr>
                <w:spacing w:val="-6"/>
                <w:sz w:val="18"/>
                <w:szCs w:val="18"/>
              </w:rPr>
            </w:pPr>
            <w:r w:rsidRPr="00763B65">
              <w:rPr>
                <w:spacing w:val="-6"/>
                <w:sz w:val="18"/>
                <w:szCs w:val="18"/>
              </w:rPr>
              <w:t>1.65</w:t>
            </w:r>
            <w:r w:rsidRPr="00763B65">
              <w:rPr>
                <w:spacing w:val="-6"/>
                <w:sz w:val="18"/>
                <w:szCs w:val="18"/>
              </w:rPr>
              <w:br/>
              <w:t>(-2.83, 6.13)</w:t>
            </w:r>
          </w:p>
          <w:p w:rsidR="005624B1" w:rsidRPr="00763B65" w:rsidRDefault="005624B1" w:rsidP="003D0959">
            <w:pPr>
              <w:keepNext/>
              <w:keepLines/>
              <w:spacing w:before="40" w:after="40"/>
              <w:ind w:left="-93" w:right="-108"/>
              <w:jc w:val="center"/>
              <w:rPr>
                <w:spacing w:val="-6"/>
                <w:sz w:val="18"/>
                <w:szCs w:val="18"/>
              </w:rPr>
            </w:pPr>
            <w:r w:rsidRPr="00763B65">
              <w:rPr>
                <w:spacing w:val="-6"/>
                <w:sz w:val="18"/>
                <w:szCs w:val="18"/>
              </w:rPr>
              <w:t>p = 0.4067</w:t>
            </w:r>
          </w:p>
        </w:tc>
        <w:tc>
          <w:tcPr>
            <w:tcW w:w="1026" w:type="dxa"/>
            <w:shd w:val="clear" w:color="auto" w:fill="auto"/>
            <w:vAlign w:val="center"/>
          </w:tcPr>
          <w:p w:rsidR="005624B1" w:rsidRPr="00763B65" w:rsidRDefault="005624B1" w:rsidP="003D0959">
            <w:pPr>
              <w:keepNext/>
              <w:keepLines/>
              <w:spacing w:before="40" w:after="40"/>
              <w:ind w:left="-93" w:right="-108"/>
              <w:jc w:val="center"/>
              <w:rPr>
                <w:spacing w:val="-6"/>
                <w:sz w:val="18"/>
                <w:szCs w:val="18"/>
              </w:rPr>
            </w:pPr>
            <w:r w:rsidRPr="00763B65">
              <w:rPr>
                <w:spacing w:val="-6"/>
                <w:sz w:val="18"/>
                <w:szCs w:val="18"/>
              </w:rPr>
              <w:t>2.86</w:t>
            </w:r>
            <w:r w:rsidRPr="00763B65">
              <w:rPr>
                <w:spacing w:val="-6"/>
                <w:sz w:val="18"/>
                <w:szCs w:val="18"/>
              </w:rPr>
              <w:br/>
              <w:t>(-1.82, 7.54)</w:t>
            </w:r>
          </w:p>
          <w:p w:rsidR="005624B1" w:rsidRPr="00763B65" w:rsidRDefault="005624B1" w:rsidP="003D0959">
            <w:pPr>
              <w:keepNext/>
              <w:keepLines/>
              <w:spacing w:before="40" w:after="40"/>
              <w:ind w:left="-93" w:right="-108"/>
              <w:jc w:val="center"/>
              <w:rPr>
                <w:spacing w:val="-6"/>
                <w:sz w:val="18"/>
                <w:szCs w:val="18"/>
              </w:rPr>
            </w:pPr>
            <w:r w:rsidRPr="00763B65">
              <w:rPr>
                <w:spacing w:val="-6"/>
                <w:sz w:val="18"/>
                <w:szCs w:val="18"/>
              </w:rPr>
              <w:t>p = 0.1702</w:t>
            </w:r>
          </w:p>
        </w:tc>
        <w:tc>
          <w:tcPr>
            <w:tcW w:w="1025" w:type="dxa"/>
            <w:shd w:val="clear" w:color="auto" w:fill="auto"/>
            <w:vAlign w:val="center"/>
          </w:tcPr>
          <w:p w:rsidR="005624B1" w:rsidRPr="00763B65" w:rsidRDefault="005624B1" w:rsidP="003D0959">
            <w:pPr>
              <w:keepNext/>
              <w:keepLines/>
              <w:spacing w:before="40" w:after="40"/>
              <w:jc w:val="center"/>
              <w:rPr>
                <w:spacing w:val="-6"/>
                <w:sz w:val="18"/>
                <w:szCs w:val="18"/>
              </w:rPr>
            </w:pPr>
          </w:p>
        </w:tc>
        <w:tc>
          <w:tcPr>
            <w:tcW w:w="1026" w:type="dxa"/>
            <w:vAlign w:val="center"/>
          </w:tcPr>
          <w:p w:rsidR="005624B1" w:rsidRPr="00763B65" w:rsidRDefault="005624B1" w:rsidP="003D0959">
            <w:pPr>
              <w:keepNext/>
              <w:keepLines/>
              <w:spacing w:before="40" w:after="40"/>
              <w:ind w:left="-113" w:right="-113"/>
              <w:jc w:val="center"/>
              <w:rPr>
                <w:spacing w:val="-6"/>
                <w:sz w:val="18"/>
                <w:szCs w:val="18"/>
              </w:rPr>
            </w:pPr>
            <w:r w:rsidRPr="00763B65">
              <w:rPr>
                <w:spacing w:val="-6"/>
                <w:sz w:val="18"/>
                <w:szCs w:val="18"/>
              </w:rPr>
              <w:t>3.57</w:t>
            </w:r>
            <w:r w:rsidRPr="00763B65">
              <w:rPr>
                <w:spacing w:val="-6"/>
                <w:sz w:val="18"/>
                <w:szCs w:val="18"/>
              </w:rPr>
              <w:br/>
              <w:t>(-0.96, 8.11)</w:t>
            </w:r>
          </w:p>
          <w:p w:rsidR="005624B1" w:rsidRPr="00763B65" w:rsidRDefault="005624B1" w:rsidP="003D0959">
            <w:pPr>
              <w:keepNext/>
              <w:keepLines/>
              <w:spacing w:before="40" w:after="40"/>
              <w:ind w:left="-113" w:right="-113"/>
              <w:jc w:val="center"/>
              <w:rPr>
                <w:spacing w:val="-6"/>
                <w:sz w:val="18"/>
                <w:szCs w:val="18"/>
              </w:rPr>
            </w:pPr>
            <w:r w:rsidRPr="00763B65">
              <w:rPr>
                <w:spacing w:val="-6"/>
                <w:sz w:val="18"/>
                <w:szCs w:val="18"/>
              </w:rPr>
              <w:t>p = 0.0772</w:t>
            </w:r>
          </w:p>
        </w:tc>
        <w:tc>
          <w:tcPr>
            <w:tcW w:w="1025" w:type="dxa"/>
            <w:vAlign w:val="center"/>
          </w:tcPr>
          <w:p w:rsidR="005624B1" w:rsidRPr="00763B65" w:rsidRDefault="005624B1" w:rsidP="003D0959">
            <w:pPr>
              <w:keepNext/>
              <w:keepLines/>
              <w:spacing w:before="40" w:after="40"/>
              <w:ind w:left="-113" w:right="-113"/>
              <w:jc w:val="center"/>
              <w:rPr>
                <w:spacing w:val="-6"/>
                <w:sz w:val="18"/>
                <w:szCs w:val="18"/>
              </w:rPr>
            </w:pPr>
            <w:r w:rsidRPr="00763B65">
              <w:rPr>
                <w:spacing w:val="-6"/>
                <w:sz w:val="18"/>
                <w:szCs w:val="18"/>
              </w:rPr>
              <w:t>5.80</w:t>
            </w:r>
            <w:r w:rsidRPr="00763B65">
              <w:rPr>
                <w:spacing w:val="-6"/>
                <w:sz w:val="18"/>
                <w:szCs w:val="18"/>
              </w:rPr>
              <w:br/>
              <w:t>(0.97, 10.64)</w:t>
            </w:r>
          </w:p>
          <w:p w:rsidR="005624B1" w:rsidRPr="00763B65" w:rsidRDefault="005624B1" w:rsidP="003D0959">
            <w:pPr>
              <w:keepNext/>
              <w:keepLines/>
              <w:spacing w:before="40" w:after="40"/>
              <w:ind w:left="-113" w:right="-113"/>
              <w:jc w:val="center"/>
              <w:rPr>
                <w:spacing w:val="-6"/>
                <w:sz w:val="18"/>
                <w:szCs w:val="18"/>
              </w:rPr>
            </w:pPr>
            <w:r w:rsidRPr="00763B65">
              <w:rPr>
                <w:spacing w:val="-6"/>
                <w:sz w:val="18"/>
                <w:szCs w:val="18"/>
              </w:rPr>
              <w:t>p = 0.0072</w:t>
            </w:r>
          </w:p>
        </w:tc>
        <w:tc>
          <w:tcPr>
            <w:tcW w:w="1026" w:type="dxa"/>
            <w:vAlign w:val="center"/>
          </w:tcPr>
          <w:p w:rsidR="005624B1" w:rsidRPr="00763B65" w:rsidRDefault="005624B1" w:rsidP="003D0959">
            <w:pPr>
              <w:keepNext/>
              <w:keepLines/>
              <w:spacing w:before="40" w:after="40"/>
              <w:jc w:val="center"/>
              <w:rPr>
                <w:spacing w:val="-6"/>
                <w:sz w:val="18"/>
                <w:szCs w:val="18"/>
              </w:rPr>
            </w:pPr>
          </w:p>
        </w:tc>
      </w:tr>
    </w:tbl>
    <w:p w:rsidR="004A2828" w:rsidRPr="005A397C" w:rsidRDefault="004A2828" w:rsidP="005624B1">
      <w:pPr>
        <w:pStyle w:val="C-TableFootnote"/>
        <w:keepNext/>
        <w:keepLines/>
        <w:tabs>
          <w:tab w:val="clear" w:pos="144"/>
        </w:tabs>
        <w:spacing w:before="60"/>
        <w:ind w:left="1208" w:right="964" w:hanging="187"/>
        <w:rPr>
          <w:vertAlign w:val="superscript"/>
        </w:rPr>
      </w:pPr>
      <w:proofErr w:type="spellStart"/>
      <w:proofErr w:type="gramStart"/>
      <w:r w:rsidRPr="005A397C">
        <w:rPr>
          <w:vertAlign w:val="superscript"/>
        </w:rPr>
        <w:t>a</w:t>
      </w:r>
      <w:proofErr w:type="spellEnd"/>
      <w:proofErr w:type="gramEnd"/>
      <w:r w:rsidRPr="005A397C">
        <w:rPr>
          <w:vertAlign w:val="superscript"/>
        </w:rPr>
        <w:tab/>
      </w:r>
      <w:r w:rsidRPr="005A397C">
        <w:t xml:space="preserve">After treatment initiation with 5 monthly injections </w:t>
      </w:r>
    </w:p>
    <w:p w:rsidR="004A2828" w:rsidRPr="005A397C" w:rsidRDefault="004A2828" w:rsidP="005624B1">
      <w:pPr>
        <w:pStyle w:val="BayerBodyTextFull"/>
        <w:keepNext/>
        <w:keepLines/>
        <w:spacing w:before="0" w:after="0"/>
        <w:ind w:left="1208" w:right="964" w:hanging="187"/>
        <w:jc w:val="both"/>
        <w:rPr>
          <w:sz w:val="20"/>
        </w:rPr>
      </w:pPr>
      <w:proofErr w:type="gramStart"/>
      <w:r w:rsidRPr="005A397C">
        <w:rPr>
          <w:sz w:val="20"/>
          <w:vertAlign w:val="superscript"/>
        </w:rPr>
        <w:t>b</w:t>
      </w:r>
      <w:proofErr w:type="gramEnd"/>
      <w:r w:rsidRPr="005A397C">
        <w:rPr>
          <w:sz w:val="20"/>
          <w:vertAlign w:val="superscript"/>
        </w:rPr>
        <w:t xml:space="preserve">  </w:t>
      </w:r>
      <w:r w:rsidRPr="005A397C">
        <w:rPr>
          <w:sz w:val="20"/>
          <w:vertAlign w:val="superscript"/>
        </w:rPr>
        <w:tab/>
      </w:r>
      <w:r w:rsidRPr="005A397C">
        <w:rPr>
          <w:sz w:val="20"/>
        </w:rPr>
        <w:t xml:space="preserve">LS mean and CI based on an ANCOVA model with baseline BCVA measurement as a covariate and a factor for treatment group. Additionally, region (Europe/Australia vs. Japan) had been included as a factor for </w:t>
      </w:r>
      <w:proofErr w:type="gramStart"/>
      <w:r w:rsidRPr="005A397C">
        <w:rPr>
          <w:sz w:val="20"/>
        </w:rPr>
        <w:t>VIVID</w:t>
      </w:r>
      <w:r w:rsidRPr="005A397C">
        <w:rPr>
          <w:sz w:val="20"/>
          <w:vertAlign w:val="superscript"/>
        </w:rPr>
        <w:t>DME</w:t>
      </w:r>
      <w:r w:rsidRPr="005A397C">
        <w:rPr>
          <w:sz w:val="20"/>
        </w:rPr>
        <w:t>,</w:t>
      </w:r>
      <w:proofErr w:type="gramEnd"/>
      <w:r w:rsidRPr="005A397C">
        <w:rPr>
          <w:sz w:val="20"/>
        </w:rPr>
        <w:t xml:space="preserve"> and history of MI and/or CVA as a factor for VISTA</w:t>
      </w:r>
      <w:r w:rsidRPr="005A397C">
        <w:rPr>
          <w:sz w:val="20"/>
          <w:vertAlign w:val="superscript"/>
        </w:rPr>
        <w:t>DME</w:t>
      </w:r>
      <w:r w:rsidRPr="005A397C">
        <w:rPr>
          <w:sz w:val="20"/>
        </w:rPr>
        <w:t>.</w:t>
      </w:r>
    </w:p>
    <w:p w:rsidR="004A2828" w:rsidRPr="005A397C" w:rsidRDefault="004A2828" w:rsidP="005624B1">
      <w:pPr>
        <w:pStyle w:val="C-TableFootnote"/>
        <w:keepNext/>
        <w:keepLines/>
        <w:tabs>
          <w:tab w:val="clear" w:pos="144"/>
        </w:tabs>
        <w:ind w:left="1208" w:right="964" w:hanging="187"/>
        <w:jc w:val="both"/>
      </w:pPr>
      <w:proofErr w:type="gramStart"/>
      <w:r w:rsidRPr="005A397C">
        <w:rPr>
          <w:vertAlign w:val="superscript"/>
        </w:rPr>
        <w:t>c</w:t>
      </w:r>
      <w:proofErr w:type="gramEnd"/>
      <w:r w:rsidRPr="005A397C">
        <w:t xml:space="preserve"> </w:t>
      </w:r>
      <w:r w:rsidRPr="005A397C">
        <w:tab/>
      </w:r>
      <w:r w:rsidRPr="005A397C">
        <w:rPr>
          <w:rFonts w:cs="Times New Roman"/>
        </w:rPr>
        <w:t>Difference</w:t>
      </w:r>
      <w:r w:rsidRPr="005A397C">
        <w:t xml:space="preserve"> is EYLEA group minus active control (laser) group</w:t>
      </w:r>
    </w:p>
    <w:p w:rsidR="004A2828" w:rsidRPr="005A397C" w:rsidRDefault="004A2828" w:rsidP="005624B1">
      <w:pPr>
        <w:pStyle w:val="C-BodyText"/>
        <w:spacing w:before="0" w:after="0" w:line="240" w:lineRule="auto"/>
        <w:ind w:left="1208" w:right="964" w:hanging="187"/>
        <w:jc w:val="both"/>
        <w:rPr>
          <w:sz w:val="20"/>
        </w:rPr>
      </w:pPr>
      <w:proofErr w:type="gramStart"/>
      <w:r w:rsidRPr="005A397C">
        <w:rPr>
          <w:sz w:val="20"/>
          <w:vertAlign w:val="superscript"/>
        </w:rPr>
        <w:t>d</w:t>
      </w:r>
      <w:proofErr w:type="gramEnd"/>
      <w:r w:rsidRPr="005A397C">
        <w:rPr>
          <w:sz w:val="20"/>
          <w:vertAlign w:val="superscript"/>
        </w:rPr>
        <w:t xml:space="preserve"> </w:t>
      </w:r>
      <w:r w:rsidRPr="005A397C">
        <w:rPr>
          <w:sz w:val="20"/>
          <w:vertAlign w:val="superscript"/>
        </w:rPr>
        <w:tab/>
      </w:r>
      <w:r w:rsidRPr="005A397C">
        <w:rPr>
          <w:sz w:val="20"/>
        </w:rPr>
        <w:t>Difference with confidence interval (CI) and statistical test  is calculated using Mantel-</w:t>
      </w:r>
      <w:proofErr w:type="spellStart"/>
      <w:r w:rsidRPr="005A397C">
        <w:rPr>
          <w:sz w:val="20"/>
        </w:rPr>
        <w:t>Haenszel</w:t>
      </w:r>
      <w:proofErr w:type="spellEnd"/>
      <w:r w:rsidRPr="005A397C">
        <w:rPr>
          <w:sz w:val="20"/>
        </w:rPr>
        <w:t xml:space="preserve"> weighting scheme adjusted by region (Europe/Australia vs. Japan) for VIVID</w:t>
      </w:r>
      <w:r w:rsidRPr="005A397C">
        <w:rPr>
          <w:sz w:val="20"/>
          <w:vertAlign w:val="superscript"/>
        </w:rPr>
        <w:t>DME</w:t>
      </w:r>
      <w:r w:rsidRPr="005A397C">
        <w:rPr>
          <w:sz w:val="20"/>
        </w:rPr>
        <w:t xml:space="preserve"> and medical history of MI or CVA for VISTA</w:t>
      </w:r>
      <w:r w:rsidRPr="005A397C">
        <w:rPr>
          <w:sz w:val="20"/>
          <w:vertAlign w:val="superscript"/>
        </w:rPr>
        <w:t>DME</w:t>
      </w:r>
    </w:p>
    <w:p w:rsidR="004A2828" w:rsidRDefault="004A2828" w:rsidP="005624B1">
      <w:pPr>
        <w:pStyle w:val="BayerBodyTextFull"/>
        <w:spacing w:before="0" w:after="0"/>
        <w:ind w:left="1208" w:right="964" w:hanging="187"/>
        <w:rPr>
          <w:sz w:val="20"/>
        </w:rPr>
      </w:pPr>
      <w:proofErr w:type="gramStart"/>
      <w:r w:rsidRPr="005A397C">
        <w:rPr>
          <w:sz w:val="20"/>
          <w:vertAlign w:val="superscript"/>
        </w:rPr>
        <w:t>e</w:t>
      </w:r>
      <w:proofErr w:type="gramEnd"/>
      <w:r w:rsidRPr="005A397C">
        <w:rPr>
          <w:sz w:val="20"/>
        </w:rPr>
        <w:tab/>
        <w:t>BCVA: Best Corrected Visual Acuity</w:t>
      </w:r>
      <w:r w:rsidR="00264F2B">
        <w:rPr>
          <w:sz w:val="20"/>
        </w:rPr>
        <w:br/>
      </w:r>
      <w:r w:rsidRPr="005A397C">
        <w:rPr>
          <w:sz w:val="20"/>
        </w:rPr>
        <w:t>ETDRS: Early Treatment Diabetic Retinopathy Study</w:t>
      </w:r>
      <w:r w:rsidR="00264F2B">
        <w:rPr>
          <w:sz w:val="20"/>
        </w:rPr>
        <w:br/>
      </w:r>
      <w:r w:rsidRPr="005A397C">
        <w:rPr>
          <w:sz w:val="20"/>
        </w:rPr>
        <w:t>LOCF: Last Observation Carried Forward</w:t>
      </w:r>
      <w:r w:rsidR="00264F2B">
        <w:rPr>
          <w:sz w:val="20"/>
        </w:rPr>
        <w:br/>
      </w:r>
      <w:r w:rsidRPr="005A397C">
        <w:rPr>
          <w:sz w:val="20"/>
        </w:rPr>
        <w:t>SD: Standard deviation</w:t>
      </w:r>
      <w:r w:rsidRPr="005A397C">
        <w:rPr>
          <w:sz w:val="20"/>
        </w:rPr>
        <w:br/>
        <w:t>LS: Least square means derived from ANCOVA</w:t>
      </w:r>
      <w:r w:rsidR="00264F2B">
        <w:rPr>
          <w:sz w:val="20"/>
        </w:rPr>
        <w:br/>
      </w:r>
      <w:r w:rsidRPr="005A397C">
        <w:rPr>
          <w:sz w:val="20"/>
        </w:rPr>
        <w:t>DRSS: Diabetic Retinopathy Severity Scale</w:t>
      </w:r>
      <w:r w:rsidR="00264F2B">
        <w:rPr>
          <w:sz w:val="20"/>
        </w:rPr>
        <w:br/>
      </w:r>
      <w:r w:rsidRPr="005A397C">
        <w:rPr>
          <w:sz w:val="20"/>
        </w:rPr>
        <w:lastRenderedPageBreak/>
        <w:t>CI: Confidence interval</w:t>
      </w:r>
      <w:r w:rsidRPr="005A397C">
        <w:rPr>
          <w:sz w:val="20"/>
        </w:rPr>
        <w:br/>
        <w:t>NEI VFQ-25: National Eye Institute Visual Function Questionnaire</w:t>
      </w:r>
    </w:p>
    <w:p w:rsidR="009D146B" w:rsidRPr="00AF2880" w:rsidRDefault="009D146B" w:rsidP="005624B1">
      <w:pPr>
        <w:pStyle w:val="BayerBodyTextFull"/>
        <w:spacing w:before="0" w:after="0"/>
        <w:ind w:left="1208" w:right="964" w:hanging="187"/>
        <w:rPr>
          <w:sz w:val="20"/>
        </w:rPr>
      </w:pPr>
      <w:proofErr w:type="gramStart"/>
      <w:r>
        <w:rPr>
          <w:sz w:val="20"/>
          <w:vertAlign w:val="superscript"/>
        </w:rPr>
        <w:t>f</w:t>
      </w:r>
      <w:proofErr w:type="gramEnd"/>
      <w:r w:rsidRPr="005A397C">
        <w:rPr>
          <w:sz w:val="20"/>
        </w:rPr>
        <w:tab/>
      </w:r>
      <w:r>
        <w:rPr>
          <w:sz w:val="20"/>
        </w:rPr>
        <w:t>VIVID</w:t>
      </w:r>
      <w:r>
        <w:rPr>
          <w:sz w:val="20"/>
          <w:vertAlign w:val="superscript"/>
        </w:rPr>
        <w:t>DME</w:t>
      </w:r>
      <w:r>
        <w:rPr>
          <w:sz w:val="20"/>
        </w:rPr>
        <w:t xml:space="preserve"> based on the patients with gradable images at baseline and post-baseline:</w:t>
      </w:r>
      <w:r w:rsidRPr="00AF2880">
        <w:rPr>
          <w:sz w:val="20"/>
        </w:rPr>
        <w:t xml:space="preserve"> </w:t>
      </w:r>
      <w:r w:rsidR="00027D43">
        <w:rPr>
          <w:sz w:val="20"/>
        </w:rPr>
        <w:t>N</w:t>
      </w:r>
      <w:r>
        <w:rPr>
          <w:sz w:val="20"/>
        </w:rPr>
        <w:t xml:space="preserve"> </w:t>
      </w:r>
      <w:r w:rsidRPr="00AF2880">
        <w:rPr>
          <w:sz w:val="20"/>
        </w:rPr>
        <w:t>=</w:t>
      </w:r>
      <w:r>
        <w:rPr>
          <w:sz w:val="20"/>
        </w:rPr>
        <w:t xml:space="preserve"> </w:t>
      </w:r>
      <w:r w:rsidRPr="00AF2880">
        <w:rPr>
          <w:sz w:val="20"/>
        </w:rPr>
        <w:t>83 (EYLEA 2</w:t>
      </w:r>
      <w:r>
        <w:rPr>
          <w:sz w:val="20"/>
        </w:rPr>
        <w:t> </w:t>
      </w:r>
      <w:r w:rsidRPr="00AF2880">
        <w:rPr>
          <w:sz w:val="20"/>
        </w:rPr>
        <w:t xml:space="preserve">mg Q8), </w:t>
      </w:r>
      <w:r w:rsidR="00027D43">
        <w:rPr>
          <w:sz w:val="20"/>
        </w:rPr>
        <w:t>N</w:t>
      </w:r>
      <w:r>
        <w:rPr>
          <w:sz w:val="20"/>
        </w:rPr>
        <w:t xml:space="preserve"> </w:t>
      </w:r>
      <w:r w:rsidRPr="00AF2880">
        <w:rPr>
          <w:sz w:val="20"/>
        </w:rPr>
        <w:t>=</w:t>
      </w:r>
      <w:r>
        <w:rPr>
          <w:sz w:val="20"/>
        </w:rPr>
        <w:t xml:space="preserve"> 81 (EYLEA </w:t>
      </w:r>
      <w:r w:rsidRPr="00AF2880">
        <w:rPr>
          <w:sz w:val="20"/>
        </w:rPr>
        <w:t>2</w:t>
      </w:r>
      <w:r>
        <w:rPr>
          <w:sz w:val="20"/>
        </w:rPr>
        <w:t xml:space="preserve"> </w:t>
      </w:r>
      <w:r w:rsidRPr="00AF2880">
        <w:rPr>
          <w:sz w:val="20"/>
        </w:rPr>
        <w:t xml:space="preserve">mg Q4), </w:t>
      </w:r>
      <w:r w:rsidR="00027D43">
        <w:rPr>
          <w:sz w:val="20"/>
        </w:rPr>
        <w:t>N</w:t>
      </w:r>
      <w:r>
        <w:rPr>
          <w:sz w:val="20"/>
        </w:rPr>
        <w:t xml:space="preserve"> </w:t>
      </w:r>
      <w:r w:rsidRPr="00AF2880">
        <w:rPr>
          <w:sz w:val="20"/>
        </w:rPr>
        <w:t>=</w:t>
      </w:r>
      <w:r>
        <w:rPr>
          <w:sz w:val="20"/>
        </w:rPr>
        <w:t xml:space="preserve"> </w:t>
      </w:r>
      <w:r w:rsidRPr="00AF2880">
        <w:rPr>
          <w:sz w:val="20"/>
        </w:rPr>
        <w:t>80 (laser)</w:t>
      </w:r>
    </w:p>
    <w:p w:rsidR="009D146B" w:rsidRPr="005A397C" w:rsidRDefault="009D146B" w:rsidP="001504C8">
      <w:pPr>
        <w:pStyle w:val="BayerBodyTextFull"/>
        <w:keepLines/>
        <w:tabs>
          <w:tab w:val="left" w:pos="180"/>
        </w:tabs>
        <w:spacing w:before="0" w:after="0"/>
        <w:ind w:left="187" w:hanging="187"/>
        <w:rPr>
          <w:sz w:val="20"/>
        </w:rPr>
      </w:pPr>
    </w:p>
    <w:p w:rsidR="00895DEE" w:rsidRDefault="00895DEE" w:rsidP="004A2828">
      <w:pPr>
        <w:pStyle w:val="BayerBodyTextFull"/>
        <w:keepNext/>
        <w:keepLines/>
        <w:spacing w:before="0" w:after="0"/>
        <w:rPr>
          <w:b/>
          <w:szCs w:val="24"/>
        </w:rPr>
        <w:sectPr w:rsidR="00895DEE" w:rsidSect="00895DEE">
          <w:pgSz w:w="16840" w:h="11907" w:orient="landscape" w:code="9"/>
          <w:pgMar w:top="1134" w:right="1701" w:bottom="1418" w:left="1701" w:header="709" w:footer="709" w:gutter="0"/>
          <w:cols w:space="708"/>
          <w:docGrid w:linePitch="360"/>
        </w:sectPr>
      </w:pPr>
    </w:p>
    <w:p w:rsidR="004A2828" w:rsidRPr="005A397C" w:rsidRDefault="004A2828" w:rsidP="004A2828">
      <w:pPr>
        <w:pStyle w:val="BayerBodyTextFull"/>
        <w:keepNext/>
        <w:keepLines/>
        <w:spacing w:before="0" w:after="0"/>
        <w:rPr>
          <w:rStyle w:val="CaptionChar"/>
          <w:b w:val="0"/>
          <w:szCs w:val="24"/>
        </w:rPr>
      </w:pPr>
      <w:r w:rsidRPr="005A397C">
        <w:rPr>
          <w:b/>
          <w:szCs w:val="24"/>
        </w:rPr>
        <w:lastRenderedPageBreak/>
        <w:t xml:space="preserve">Figure </w:t>
      </w:r>
      <w:r w:rsidR="00EC27BE">
        <w:rPr>
          <w:b/>
          <w:szCs w:val="24"/>
        </w:rPr>
        <w:t>5</w:t>
      </w:r>
      <w:r w:rsidRPr="005A397C">
        <w:rPr>
          <w:rStyle w:val="CaptionChar"/>
          <w:szCs w:val="24"/>
        </w:rPr>
        <w:t>:</w:t>
      </w:r>
      <w:r>
        <w:rPr>
          <w:rStyle w:val="CaptionChar"/>
          <w:szCs w:val="24"/>
        </w:rPr>
        <w:t xml:space="preserve"> </w:t>
      </w:r>
      <w:r w:rsidRPr="005A397C">
        <w:rPr>
          <w:b/>
          <w:bCs/>
          <w:szCs w:val="24"/>
        </w:rPr>
        <w:t>Mean change in BCVA as Measured ETDRS Letter Score from Baseline to Week</w:t>
      </w:r>
      <w:r w:rsidR="00895DEE">
        <w:rPr>
          <w:b/>
          <w:bCs/>
          <w:szCs w:val="24"/>
        </w:rPr>
        <w:t xml:space="preserve"> </w:t>
      </w:r>
      <w:r w:rsidR="00D3700A">
        <w:rPr>
          <w:b/>
          <w:bCs/>
          <w:szCs w:val="24"/>
        </w:rPr>
        <w:t>52</w:t>
      </w:r>
      <w:r w:rsidRPr="005A397C">
        <w:rPr>
          <w:b/>
          <w:bCs/>
          <w:szCs w:val="24"/>
        </w:rPr>
        <w:t xml:space="preserve"> in VIVID</w:t>
      </w:r>
      <w:r w:rsidRPr="005A397C">
        <w:rPr>
          <w:b/>
          <w:bCs/>
          <w:szCs w:val="24"/>
          <w:vertAlign w:val="superscript"/>
        </w:rPr>
        <w:t>DME</w:t>
      </w:r>
      <w:r w:rsidRPr="005A397C">
        <w:rPr>
          <w:b/>
          <w:bCs/>
          <w:szCs w:val="24"/>
        </w:rPr>
        <w:t xml:space="preserve"> </w:t>
      </w:r>
      <w:r w:rsidR="00D3700A">
        <w:rPr>
          <w:b/>
          <w:bCs/>
          <w:szCs w:val="24"/>
        </w:rPr>
        <w:t xml:space="preserve">Study </w:t>
      </w:r>
      <w:r w:rsidRPr="005A397C">
        <w:rPr>
          <w:b/>
          <w:bCs/>
          <w:szCs w:val="24"/>
        </w:rPr>
        <w:t xml:space="preserve">and </w:t>
      </w:r>
      <w:r w:rsidR="00D3700A">
        <w:rPr>
          <w:b/>
          <w:bCs/>
          <w:szCs w:val="24"/>
        </w:rPr>
        <w:t xml:space="preserve">to Week 100 in </w:t>
      </w:r>
      <w:r w:rsidRPr="005A397C">
        <w:rPr>
          <w:b/>
          <w:bCs/>
          <w:szCs w:val="24"/>
        </w:rPr>
        <w:t>VISTA</w:t>
      </w:r>
      <w:r w:rsidRPr="005A397C">
        <w:rPr>
          <w:b/>
          <w:bCs/>
          <w:szCs w:val="24"/>
          <w:vertAlign w:val="superscript"/>
        </w:rPr>
        <w:t>DME</w:t>
      </w:r>
      <w:r w:rsidRPr="005A397C">
        <w:rPr>
          <w:b/>
          <w:bCs/>
          <w:szCs w:val="24"/>
        </w:rPr>
        <w:t xml:space="preserve"> Stud</w:t>
      </w:r>
      <w:r w:rsidR="00D3700A">
        <w:rPr>
          <w:b/>
          <w:bCs/>
          <w:szCs w:val="24"/>
        </w:rPr>
        <w:t>y</w:t>
      </w:r>
    </w:p>
    <w:p w:rsidR="004A2828" w:rsidRDefault="004A2828" w:rsidP="004A2828">
      <w:pPr>
        <w:keepLines/>
        <w:jc w:val="both"/>
      </w:pPr>
    </w:p>
    <w:p w:rsidR="00D3700A" w:rsidRDefault="00D3700A" w:rsidP="004A2828">
      <w:pPr>
        <w:keepLines/>
        <w:jc w:val="both"/>
        <w:rPr>
          <w:sz w:val="20"/>
          <w:highlight w:val="lightGray"/>
        </w:rPr>
      </w:pPr>
    </w:p>
    <w:p w:rsidR="00D3700A" w:rsidRDefault="003E56D2" w:rsidP="004A2828">
      <w:pPr>
        <w:keepLines/>
        <w:jc w:val="both"/>
        <w:rPr>
          <w:sz w:val="20"/>
          <w:highlight w:val="lightGray"/>
        </w:rPr>
      </w:pPr>
      <w:r>
        <w:rPr>
          <w:sz w:val="20"/>
        </w:rPr>
        <w:pict>
          <v:shape id="_x0000_i1029" type="#_x0000_t75" style="width:369pt;height:183.75pt;mso-position-horizontal-relative:char;mso-position-vertical-relative:line">
            <v:imagedata r:id="rId17" o:title="" cropbottom="37402f" cropright="1143f"/>
          </v:shape>
        </w:pict>
      </w:r>
    </w:p>
    <w:p w:rsidR="00D3700A" w:rsidRDefault="00D3700A" w:rsidP="004A2828">
      <w:pPr>
        <w:keepLines/>
        <w:jc w:val="both"/>
        <w:rPr>
          <w:sz w:val="20"/>
          <w:highlight w:val="lightGray"/>
        </w:rPr>
      </w:pPr>
    </w:p>
    <w:p w:rsidR="004A2828" w:rsidRDefault="003E56D2" w:rsidP="004A2828">
      <w:pPr>
        <w:keepLines/>
        <w:jc w:val="both"/>
      </w:pPr>
      <w:r>
        <w:rPr>
          <w:sz w:val="20"/>
          <w:highlight w:val="lightGray"/>
        </w:rPr>
        <w:pict>
          <v:shape id="_x0000_i1030" type="#_x0000_t75" style="width:419.25pt;height:227.25pt">
            <v:imagedata r:id="rId18" o:title="" croptop="30853f"/>
          </v:shape>
        </w:pict>
      </w:r>
    </w:p>
    <w:p w:rsidR="001B5410" w:rsidRDefault="001B5410" w:rsidP="004A2828">
      <w:pPr>
        <w:keepLines/>
        <w:jc w:val="both"/>
      </w:pPr>
    </w:p>
    <w:p w:rsidR="004A2828" w:rsidRDefault="004A2828" w:rsidP="004A2828">
      <w:pPr>
        <w:keepLines/>
        <w:jc w:val="both"/>
      </w:pPr>
      <w:r>
        <w:t>At week 52, 33.3% and 33.8% of 2Q4 patients, 27.7% and 29.1% of 2Q8 patients, and 7.5% and 14.3% of laser control patients in the VIVID</w:t>
      </w:r>
      <w:r w:rsidRPr="005A397C">
        <w:rPr>
          <w:vertAlign w:val="superscript"/>
        </w:rPr>
        <w:t>DME</w:t>
      </w:r>
      <w:r>
        <w:t xml:space="preserve"> and VISTA</w:t>
      </w:r>
      <w:r w:rsidRPr="005A397C">
        <w:rPr>
          <w:vertAlign w:val="superscript"/>
        </w:rPr>
        <w:t>DME</w:t>
      </w:r>
      <w:r>
        <w:t xml:space="preserve"> studies, respectively experienced an improvement in the severity of diabetic retinopathy, as measured by a ≥ 2 step </w:t>
      </w:r>
      <w:proofErr w:type="gramStart"/>
      <w:r>
        <w:t>improvement</w:t>
      </w:r>
      <w:proofErr w:type="gramEnd"/>
      <w:r>
        <w:t xml:space="preserve"> in the diabetic retinopathy severity scale (DRSS).</w:t>
      </w:r>
      <w:r w:rsidR="00895DEE">
        <w:t xml:space="preserve">  </w:t>
      </w:r>
      <w:r w:rsidR="00895DEE" w:rsidRPr="00895DEE">
        <w:t>This improvement was maintained through week 100 (</w:t>
      </w:r>
      <w:r w:rsidR="00895DEE">
        <w:t>see Table 5</w:t>
      </w:r>
      <w:r w:rsidR="00895DEE" w:rsidRPr="00895DEE">
        <w:t>).</w:t>
      </w:r>
      <w:r>
        <w:t xml:space="preserve"> </w:t>
      </w:r>
    </w:p>
    <w:p w:rsidR="004A2828" w:rsidRDefault="004A2828" w:rsidP="004A2828">
      <w:pPr>
        <w:keepLines/>
        <w:jc w:val="both"/>
      </w:pPr>
    </w:p>
    <w:p w:rsidR="004A2828" w:rsidRDefault="004A2828" w:rsidP="004A2828">
      <w:pPr>
        <w:jc w:val="both"/>
      </w:pPr>
      <w:r>
        <w:t>Treatment effects in evaluable subgroups (e.g., age, gender, race, baseline HbA1c, baseline visual acuity, prior anti-VEGF therapy) in each study and in the combined analysis were generally consistent with the results in the overall populations.</w:t>
      </w:r>
    </w:p>
    <w:p w:rsidR="004A2828" w:rsidRDefault="004A2828" w:rsidP="004A2828">
      <w:pPr>
        <w:jc w:val="both"/>
      </w:pPr>
    </w:p>
    <w:p w:rsidR="004A2828" w:rsidRDefault="004A2828" w:rsidP="004A2828">
      <w:pPr>
        <w:jc w:val="both"/>
      </w:pPr>
      <w:r>
        <w:t>In the VIVID</w:t>
      </w:r>
      <w:r w:rsidRPr="005A397C">
        <w:rPr>
          <w:vertAlign w:val="superscript"/>
        </w:rPr>
        <w:t>DME</w:t>
      </w:r>
      <w:r>
        <w:t xml:space="preserve"> and VISTA</w:t>
      </w:r>
      <w:r w:rsidRPr="005A397C">
        <w:rPr>
          <w:vertAlign w:val="superscript"/>
        </w:rPr>
        <w:t>DME</w:t>
      </w:r>
      <w:r>
        <w:t xml:space="preserve"> studies, 36 (8.9%) and 197 (42.9%) patients received prior anti-VEGF therapy, respectively, with a 3-month or longer washout period. Treatment effects in the subgroup of patients who had previously been treated with a </w:t>
      </w:r>
      <w:r>
        <w:lastRenderedPageBreak/>
        <w:t>VEGF inhibitor prior to study participation were similar to those seen in patients who were VEGF inhibitor naïve prior to study participation.</w:t>
      </w:r>
    </w:p>
    <w:p w:rsidR="004A2828" w:rsidRDefault="004A2828" w:rsidP="004A2828">
      <w:pPr>
        <w:jc w:val="both"/>
      </w:pPr>
    </w:p>
    <w:p w:rsidR="004A2828" w:rsidRPr="0059188A" w:rsidRDefault="004A2828" w:rsidP="004A2828">
      <w:pPr>
        <w:jc w:val="both"/>
      </w:pPr>
      <w:r>
        <w:t>Patients with bilateral disease were eligible to receive anti-VEGF tr</w:t>
      </w:r>
      <w:r w:rsidR="002F1ED8">
        <w:t xml:space="preserve">eatment in their fellow eye.  </w:t>
      </w:r>
      <w:r>
        <w:t>In the VISTA</w:t>
      </w:r>
      <w:r w:rsidRPr="005A397C">
        <w:rPr>
          <w:vertAlign w:val="superscript"/>
        </w:rPr>
        <w:t>DME</w:t>
      </w:r>
      <w:r>
        <w:t xml:space="preserve"> study, </w:t>
      </w:r>
      <w:r w:rsidR="00895DEE">
        <w:t xml:space="preserve">217 </w:t>
      </w:r>
      <w:r>
        <w:t>(</w:t>
      </w:r>
      <w:r w:rsidR="00895DEE">
        <w:t>70.7</w:t>
      </w:r>
      <w:r>
        <w:t>%) of EYLEA patients received bilateral EYLEA injections</w:t>
      </w:r>
      <w:r w:rsidR="00895DEE">
        <w:t xml:space="preserve"> until week 100</w:t>
      </w:r>
      <w:r>
        <w:t>; in the VIVID</w:t>
      </w:r>
      <w:r w:rsidRPr="005A397C">
        <w:rPr>
          <w:vertAlign w:val="superscript"/>
        </w:rPr>
        <w:t>DME</w:t>
      </w:r>
      <w:r>
        <w:t xml:space="preserve"> study, </w:t>
      </w:r>
      <w:r w:rsidR="004F5FA4">
        <w:t xml:space="preserve">70 </w:t>
      </w:r>
      <w:r>
        <w:t>(</w:t>
      </w:r>
      <w:r w:rsidR="004F5FA4">
        <w:t>26</w:t>
      </w:r>
      <w:r>
        <w:t>%) of EYLEA patients received a different anti</w:t>
      </w:r>
      <w:r w:rsidR="001B5410">
        <w:noBreakHyphen/>
      </w:r>
      <w:r>
        <w:t>VEGF treatment in their fellow eye</w:t>
      </w:r>
      <w:r w:rsidR="004F5FA4">
        <w:t xml:space="preserve"> until week 52</w:t>
      </w:r>
      <w:r>
        <w:t>.</w:t>
      </w:r>
    </w:p>
    <w:p w:rsidR="0070498D" w:rsidRPr="0059188A" w:rsidRDefault="0070498D" w:rsidP="0070498D">
      <w:pPr>
        <w:pStyle w:val="BayerBodyTextFull"/>
        <w:spacing w:before="0" w:after="0"/>
        <w:jc w:val="both"/>
      </w:pPr>
    </w:p>
    <w:p w:rsidR="00A1753F" w:rsidRPr="0059188A" w:rsidRDefault="00A1753F" w:rsidP="00D4671A">
      <w:pPr>
        <w:pStyle w:val="Heading1"/>
        <w:rPr>
          <w:rFonts w:ascii="Times New Roman Bold" w:hAnsi="Times New Roman Bold"/>
          <w:lang w:val="en-AU"/>
        </w:rPr>
      </w:pPr>
      <w:r w:rsidRPr="0059188A">
        <w:rPr>
          <w:rFonts w:ascii="Times New Roman Bold" w:hAnsi="Times New Roman Bold"/>
          <w:lang w:val="en-AU"/>
        </w:rPr>
        <w:t xml:space="preserve">INDICATIONS </w:t>
      </w:r>
    </w:p>
    <w:p w:rsidR="00A1753F" w:rsidRPr="0059188A" w:rsidRDefault="00A1753F" w:rsidP="00C010BA">
      <w:pPr>
        <w:jc w:val="both"/>
        <w:rPr>
          <w:lang w:val="en-AU"/>
        </w:rPr>
      </w:pPr>
    </w:p>
    <w:p w:rsidR="00A11AB0" w:rsidRPr="0059188A" w:rsidRDefault="009A4E6E" w:rsidP="00C010BA">
      <w:pPr>
        <w:jc w:val="both"/>
        <w:rPr>
          <w:lang w:val="en-AU"/>
        </w:rPr>
      </w:pPr>
      <w:r w:rsidRPr="0059188A">
        <w:rPr>
          <w:lang w:val="en-AU"/>
        </w:rPr>
        <w:t>EYLEA (</w:t>
      </w:r>
      <w:proofErr w:type="spellStart"/>
      <w:r w:rsidRPr="0059188A">
        <w:rPr>
          <w:lang w:val="en-AU"/>
        </w:rPr>
        <w:t>aflibercept</w:t>
      </w:r>
      <w:proofErr w:type="spellEnd"/>
      <w:r w:rsidRPr="0059188A">
        <w:rPr>
          <w:lang w:val="en-AU"/>
        </w:rPr>
        <w:t xml:space="preserve">) is indicated </w:t>
      </w:r>
      <w:r w:rsidR="00872D2E">
        <w:rPr>
          <w:lang w:val="en-AU"/>
        </w:rPr>
        <w:t xml:space="preserve">in adults </w:t>
      </w:r>
      <w:r w:rsidRPr="0059188A">
        <w:rPr>
          <w:lang w:val="en-AU"/>
        </w:rPr>
        <w:t>for the treatment of</w:t>
      </w:r>
      <w:r w:rsidR="00A11AB0" w:rsidRPr="0059188A">
        <w:rPr>
          <w:lang w:val="en-AU"/>
        </w:rPr>
        <w:t>:</w:t>
      </w:r>
    </w:p>
    <w:p w:rsidR="00A11AB0" w:rsidRPr="0059188A" w:rsidRDefault="009A4E6E" w:rsidP="00A23702">
      <w:pPr>
        <w:numPr>
          <w:ilvl w:val="0"/>
          <w:numId w:val="9"/>
        </w:numPr>
        <w:jc w:val="both"/>
        <w:rPr>
          <w:lang w:val="en-AU"/>
        </w:rPr>
      </w:pPr>
      <w:proofErr w:type="spellStart"/>
      <w:r w:rsidRPr="0059188A">
        <w:rPr>
          <w:lang w:val="en-AU"/>
        </w:rPr>
        <w:t>neovascular</w:t>
      </w:r>
      <w:proofErr w:type="spellEnd"/>
      <w:r w:rsidRPr="0059188A">
        <w:rPr>
          <w:lang w:val="en-AU"/>
        </w:rPr>
        <w:t xml:space="preserve"> (wet) age-related macular degeneration (</w:t>
      </w:r>
      <w:r w:rsidR="00570D7C" w:rsidRPr="0059188A">
        <w:rPr>
          <w:lang w:val="en-AU"/>
        </w:rPr>
        <w:t>w</w:t>
      </w:r>
      <w:r w:rsidR="00275C34" w:rsidRPr="0059188A">
        <w:rPr>
          <w:lang w:val="en-AU"/>
        </w:rPr>
        <w:t xml:space="preserve">et </w:t>
      </w:r>
      <w:r w:rsidRPr="0059188A">
        <w:rPr>
          <w:lang w:val="en-AU"/>
        </w:rPr>
        <w:t>AMD)</w:t>
      </w:r>
    </w:p>
    <w:p w:rsidR="004A2828" w:rsidRPr="004A2828" w:rsidRDefault="00943E79" w:rsidP="00A23702">
      <w:pPr>
        <w:numPr>
          <w:ilvl w:val="0"/>
          <w:numId w:val="9"/>
        </w:numPr>
        <w:jc w:val="both"/>
        <w:rPr>
          <w:lang w:val="en-AU"/>
        </w:rPr>
      </w:pPr>
      <w:r w:rsidRPr="0059188A">
        <w:t xml:space="preserve">visual impairment due to </w:t>
      </w:r>
      <w:r w:rsidR="00A11AB0" w:rsidRPr="0059188A">
        <w:t xml:space="preserve">macular </w:t>
      </w:r>
      <w:proofErr w:type="spellStart"/>
      <w:r w:rsidR="00A11AB0" w:rsidRPr="0059188A">
        <w:t>oedema</w:t>
      </w:r>
      <w:proofErr w:type="spellEnd"/>
      <w:r w:rsidRPr="0059188A">
        <w:t xml:space="preserve"> secondary to</w:t>
      </w:r>
      <w:r w:rsidR="00A11AB0" w:rsidRPr="0059188A">
        <w:t xml:space="preserve"> central retinal vein occlusion (CRVO)</w:t>
      </w:r>
    </w:p>
    <w:p w:rsidR="00A1753F" w:rsidRPr="0059188A" w:rsidRDefault="004A2828" w:rsidP="00A23702">
      <w:pPr>
        <w:numPr>
          <w:ilvl w:val="0"/>
          <w:numId w:val="9"/>
        </w:numPr>
        <w:jc w:val="both"/>
        <w:rPr>
          <w:lang w:val="en-AU"/>
        </w:rPr>
      </w:pPr>
      <w:proofErr w:type="gramStart"/>
      <w:r>
        <w:rPr>
          <w:lang w:val="en-AU"/>
        </w:rPr>
        <w:t>diabetic</w:t>
      </w:r>
      <w:proofErr w:type="gramEnd"/>
      <w:r>
        <w:rPr>
          <w:lang w:val="en-AU"/>
        </w:rPr>
        <w:t xml:space="preserve"> macular oedema (DME)</w:t>
      </w:r>
      <w:r w:rsidR="009A4E6E" w:rsidRPr="0059188A">
        <w:rPr>
          <w:lang w:val="en-AU"/>
        </w:rPr>
        <w:t>.</w:t>
      </w:r>
    </w:p>
    <w:p w:rsidR="00A1753F" w:rsidRPr="0059188A" w:rsidRDefault="00A1753F" w:rsidP="00C010BA">
      <w:pPr>
        <w:jc w:val="both"/>
        <w:rPr>
          <w:lang w:val="en-AU"/>
        </w:rPr>
      </w:pPr>
    </w:p>
    <w:p w:rsidR="00A1753F" w:rsidRPr="0059188A" w:rsidRDefault="00A1753F" w:rsidP="00D4671A">
      <w:pPr>
        <w:pStyle w:val="Heading1"/>
        <w:rPr>
          <w:rFonts w:ascii="Times New Roman Bold" w:hAnsi="Times New Roman Bold"/>
          <w:lang w:val="en-AU"/>
        </w:rPr>
      </w:pPr>
      <w:r w:rsidRPr="0059188A">
        <w:rPr>
          <w:rFonts w:ascii="Times New Roman Bold" w:hAnsi="Times New Roman Bold"/>
          <w:lang w:val="en-AU"/>
        </w:rPr>
        <w:t>CONTRAINDICATIONS</w:t>
      </w:r>
    </w:p>
    <w:p w:rsidR="00AD0B2F" w:rsidRPr="0059188A" w:rsidRDefault="00AD0B2F" w:rsidP="00AD0B2F">
      <w:pPr>
        <w:ind w:left="360"/>
        <w:jc w:val="both"/>
        <w:rPr>
          <w:lang w:val="en-AU"/>
        </w:rPr>
      </w:pPr>
    </w:p>
    <w:p w:rsidR="00A1753F" w:rsidRPr="0059188A" w:rsidRDefault="00C43EB8" w:rsidP="00C43EB8">
      <w:pPr>
        <w:numPr>
          <w:ilvl w:val="0"/>
          <w:numId w:val="8"/>
        </w:numPr>
        <w:jc w:val="both"/>
        <w:rPr>
          <w:lang w:val="en-AU"/>
        </w:rPr>
      </w:pPr>
      <w:r w:rsidRPr="0059188A">
        <w:rPr>
          <w:lang w:val="en-AU"/>
        </w:rPr>
        <w:t xml:space="preserve">Known hypersensitivity to </w:t>
      </w:r>
      <w:proofErr w:type="spellStart"/>
      <w:r w:rsidRPr="0059188A">
        <w:rPr>
          <w:lang w:val="en-AU"/>
        </w:rPr>
        <w:t>aflibercept</w:t>
      </w:r>
      <w:proofErr w:type="spellEnd"/>
      <w:r w:rsidRPr="0059188A">
        <w:rPr>
          <w:lang w:val="en-AU"/>
        </w:rPr>
        <w:t xml:space="preserve"> or to any of the excipients</w:t>
      </w:r>
    </w:p>
    <w:p w:rsidR="00402CE6" w:rsidRPr="0059188A" w:rsidRDefault="00402CE6" w:rsidP="00402CE6">
      <w:pPr>
        <w:numPr>
          <w:ilvl w:val="0"/>
          <w:numId w:val="8"/>
        </w:numPr>
        <w:jc w:val="both"/>
        <w:rPr>
          <w:lang w:val="en-AU"/>
        </w:rPr>
      </w:pPr>
      <w:r w:rsidRPr="0059188A">
        <w:rPr>
          <w:lang w:val="en-AU"/>
        </w:rPr>
        <w:t xml:space="preserve">Ocular or </w:t>
      </w:r>
      <w:proofErr w:type="spellStart"/>
      <w:r w:rsidRPr="0059188A">
        <w:rPr>
          <w:lang w:val="en-AU"/>
        </w:rPr>
        <w:t>periocular</w:t>
      </w:r>
      <w:proofErr w:type="spellEnd"/>
      <w:r w:rsidRPr="0059188A">
        <w:rPr>
          <w:lang w:val="en-AU"/>
        </w:rPr>
        <w:t xml:space="preserve"> infection</w:t>
      </w:r>
    </w:p>
    <w:p w:rsidR="00402CE6" w:rsidRPr="0059188A" w:rsidRDefault="00402CE6" w:rsidP="00402CE6">
      <w:pPr>
        <w:numPr>
          <w:ilvl w:val="0"/>
          <w:numId w:val="8"/>
        </w:numPr>
        <w:jc w:val="both"/>
        <w:rPr>
          <w:lang w:val="en-AU"/>
        </w:rPr>
      </w:pPr>
      <w:r w:rsidRPr="0059188A">
        <w:rPr>
          <w:lang w:val="en-AU"/>
        </w:rPr>
        <w:t>Active severe intraocular inflammation</w:t>
      </w:r>
      <w:r w:rsidR="00A11AB0" w:rsidRPr="0059188A">
        <w:rPr>
          <w:lang w:val="en-AU"/>
        </w:rPr>
        <w:t>.</w:t>
      </w:r>
    </w:p>
    <w:p w:rsidR="00A1753F" w:rsidRPr="0059188A" w:rsidRDefault="00A1753F" w:rsidP="00C010BA">
      <w:pPr>
        <w:jc w:val="both"/>
        <w:rPr>
          <w:lang w:val="en-AU"/>
        </w:rPr>
      </w:pPr>
    </w:p>
    <w:p w:rsidR="00A1753F" w:rsidRPr="0059188A" w:rsidRDefault="00A1753F" w:rsidP="00D4671A">
      <w:pPr>
        <w:pStyle w:val="Heading1"/>
        <w:rPr>
          <w:rFonts w:ascii="Times New Roman Bold" w:hAnsi="Times New Roman Bold"/>
          <w:lang w:val="en-AU"/>
        </w:rPr>
      </w:pPr>
      <w:r w:rsidRPr="0059188A">
        <w:rPr>
          <w:rFonts w:ascii="Times New Roman Bold" w:hAnsi="Times New Roman Bold"/>
          <w:lang w:val="en-AU"/>
        </w:rPr>
        <w:t xml:space="preserve">PRECAUTIONS </w:t>
      </w:r>
    </w:p>
    <w:p w:rsidR="00230EFD" w:rsidRPr="0059188A" w:rsidRDefault="00230EFD" w:rsidP="00D4671A">
      <w:pPr>
        <w:pStyle w:val="Heading2"/>
        <w:rPr>
          <w:rFonts w:ascii="Times New Roman Bold" w:hAnsi="Times New Roman Bold"/>
          <w:i w:val="0"/>
          <w:lang w:val="en-AU"/>
        </w:rPr>
      </w:pPr>
      <w:proofErr w:type="spellStart"/>
      <w:r w:rsidRPr="0059188A">
        <w:rPr>
          <w:rFonts w:ascii="Times New Roman Bold" w:hAnsi="Times New Roman Bold"/>
          <w:i w:val="0"/>
          <w:lang w:val="en-AU"/>
        </w:rPr>
        <w:t>Endophthalmitis</w:t>
      </w:r>
      <w:proofErr w:type="spellEnd"/>
    </w:p>
    <w:p w:rsidR="00AD0B2F" w:rsidRPr="0059188A" w:rsidRDefault="00AD0B2F" w:rsidP="00230EFD">
      <w:pPr>
        <w:jc w:val="both"/>
        <w:rPr>
          <w:lang w:val="en-AU"/>
        </w:rPr>
      </w:pPr>
    </w:p>
    <w:p w:rsidR="00230EFD" w:rsidRPr="0059188A" w:rsidRDefault="00230EFD" w:rsidP="00230EFD">
      <w:pPr>
        <w:jc w:val="both"/>
        <w:rPr>
          <w:lang w:val="en-AU"/>
        </w:rPr>
      </w:pPr>
      <w:proofErr w:type="spellStart"/>
      <w:r w:rsidRPr="0059188A">
        <w:rPr>
          <w:lang w:val="en-AU"/>
        </w:rPr>
        <w:t>Intravitreal</w:t>
      </w:r>
      <w:proofErr w:type="spellEnd"/>
      <w:r w:rsidRPr="0059188A">
        <w:rPr>
          <w:lang w:val="en-AU"/>
        </w:rPr>
        <w:t xml:space="preserve"> injections, including those with EYLEA, have been associated with </w:t>
      </w:r>
      <w:proofErr w:type="spellStart"/>
      <w:r w:rsidRPr="0059188A">
        <w:rPr>
          <w:lang w:val="en-AU"/>
        </w:rPr>
        <w:t>endophthalmitis</w:t>
      </w:r>
      <w:proofErr w:type="spellEnd"/>
      <w:r w:rsidRPr="0059188A">
        <w:rPr>
          <w:lang w:val="en-AU"/>
        </w:rPr>
        <w:t xml:space="preserve"> (see </w:t>
      </w:r>
      <w:r w:rsidRPr="0059188A">
        <w:rPr>
          <w:b/>
          <w:lang w:val="en-AU"/>
        </w:rPr>
        <w:t>ADVERSE EFFECTS</w:t>
      </w:r>
      <w:r w:rsidRPr="0059188A">
        <w:rPr>
          <w:lang w:val="en-AU"/>
        </w:rPr>
        <w:t xml:space="preserve">). Proper aseptic injection technique must always be used when administering EYLEA. Patients should be instructed to report any symptoms suggestive of </w:t>
      </w:r>
      <w:proofErr w:type="spellStart"/>
      <w:r w:rsidRPr="0059188A">
        <w:rPr>
          <w:lang w:val="en-AU"/>
        </w:rPr>
        <w:t>endophthalmitis</w:t>
      </w:r>
      <w:proofErr w:type="spellEnd"/>
      <w:r w:rsidRPr="0059188A">
        <w:rPr>
          <w:lang w:val="en-AU"/>
        </w:rPr>
        <w:t xml:space="preserve"> without delay and should be managed appropriately.</w:t>
      </w:r>
    </w:p>
    <w:p w:rsidR="00230EFD" w:rsidRPr="0059188A" w:rsidRDefault="00230EFD" w:rsidP="00D4671A">
      <w:pPr>
        <w:pStyle w:val="Heading2"/>
        <w:rPr>
          <w:rFonts w:ascii="Times New Roman Bold" w:hAnsi="Times New Roman Bold"/>
          <w:i w:val="0"/>
          <w:lang w:val="en-AU"/>
        </w:rPr>
      </w:pPr>
      <w:r w:rsidRPr="0059188A">
        <w:rPr>
          <w:rFonts w:ascii="Times New Roman Bold" w:hAnsi="Times New Roman Bold"/>
          <w:i w:val="0"/>
          <w:lang w:val="en-AU"/>
        </w:rPr>
        <w:t>Increase in intraocular pressure</w:t>
      </w:r>
    </w:p>
    <w:p w:rsidR="00AD0B2F" w:rsidRPr="0059188A" w:rsidRDefault="00AD0B2F" w:rsidP="00230EFD">
      <w:pPr>
        <w:jc w:val="both"/>
        <w:rPr>
          <w:lang w:val="en-AU"/>
        </w:rPr>
      </w:pPr>
    </w:p>
    <w:p w:rsidR="00C43EB8" w:rsidRPr="0059188A" w:rsidRDefault="00230EFD" w:rsidP="00230EFD">
      <w:pPr>
        <w:jc w:val="both"/>
        <w:rPr>
          <w:lang w:val="en-AU"/>
        </w:rPr>
      </w:pPr>
      <w:r w:rsidRPr="0059188A">
        <w:rPr>
          <w:lang w:val="en-AU"/>
        </w:rPr>
        <w:t xml:space="preserve">Increases in intraocular pressure have been seen within 60 minutes </w:t>
      </w:r>
      <w:r w:rsidRPr="00872D2E">
        <w:rPr>
          <w:lang w:val="en-AU"/>
        </w:rPr>
        <w:t xml:space="preserve">of an </w:t>
      </w:r>
      <w:proofErr w:type="spellStart"/>
      <w:r w:rsidRPr="00872D2E">
        <w:rPr>
          <w:lang w:val="en-AU"/>
        </w:rPr>
        <w:t>intravitreal</w:t>
      </w:r>
      <w:proofErr w:type="spellEnd"/>
      <w:r w:rsidRPr="00872D2E">
        <w:rPr>
          <w:lang w:val="en-AU"/>
        </w:rPr>
        <w:t xml:space="preserve"> injection, including with EYLEA (see </w:t>
      </w:r>
      <w:r w:rsidRPr="00872D2E">
        <w:rPr>
          <w:b/>
          <w:lang w:val="en-AU"/>
        </w:rPr>
        <w:t>ADVERSE EFFECTS</w:t>
      </w:r>
      <w:r w:rsidRPr="00872D2E">
        <w:rPr>
          <w:lang w:val="en-AU"/>
        </w:rPr>
        <w:t>). Special precaution is needed in patients with poorly controlled glaucoma. In all cases both</w:t>
      </w:r>
      <w:r w:rsidR="003D5366" w:rsidRPr="00872D2E">
        <w:rPr>
          <w:lang w:val="en-AU"/>
        </w:rPr>
        <w:t xml:space="preserve"> the</w:t>
      </w:r>
      <w:r w:rsidRPr="00872D2E">
        <w:rPr>
          <w:lang w:val="en-AU"/>
        </w:rPr>
        <w:t xml:space="preserve"> in</w:t>
      </w:r>
      <w:r w:rsidRPr="0059188A">
        <w:rPr>
          <w:lang w:val="en-AU"/>
        </w:rPr>
        <w:t>traocular pressure and the perfusion of the optic nerve head must therefore be monitored and managed appropriately.</w:t>
      </w:r>
    </w:p>
    <w:p w:rsidR="001F29C0" w:rsidRPr="0059188A" w:rsidRDefault="001F29C0" w:rsidP="003E56D2">
      <w:pPr>
        <w:pStyle w:val="Heading2"/>
        <w:pageBreakBefore/>
        <w:rPr>
          <w:rFonts w:ascii="Times New Roman Bold" w:hAnsi="Times New Roman Bold"/>
          <w:i w:val="0"/>
          <w:lang w:val="en-AU"/>
        </w:rPr>
      </w:pPr>
      <w:r>
        <w:rPr>
          <w:rFonts w:ascii="Times New Roman Bold" w:hAnsi="Times New Roman Bold"/>
          <w:i w:val="0"/>
          <w:lang w:val="en-AU"/>
        </w:rPr>
        <w:lastRenderedPageBreak/>
        <w:t>Immunogenicity</w:t>
      </w:r>
    </w:p>
    <w:p w:rsidR="001F29C0" w:rsidRPr="001F29C0" w:rsidRDefault="001F29C0" w:rsidP="001F29C0">
      <w:pPr>
        <w:jc w:val="both"/>
        <w:rPr>
          <w:lang w:val="en-GB"/>
        </w:rPr>
      </w:pPr>
    </w:p>
    <w:p w:rsidR="001F29C0" w:rsidRPr="001F29C0" w:rsidRDefault="001F29C0" w:rsidP="001F29C0">
      <w:pPr>
        <w:jc w:val="both"/>
        <w:rPr>
          <w:lang w:val="en-GB"/>
        </w:rPr>
      </w:pPr>
      <w:r w:rsidRPr="001F29C0">
        <w:rPr>
          <w:lang w:val="en-GB"/>
        </w:rPr>
        <w:t xml:space="preserve">As this is a therapeutic protein, there is a potential for immunogenicity. </w:t>
      </w:r>
      <w:r>
        <w:rPr>
          <w:lang w:val="en-GB"/>
        </w:rPr>
        <w:t xml:space="preserve"> </w:t>
      </w:r>
      <w:r w:rsidRPr="001F29C0">
        <w:rPr>
          <w:lang w:val="en-GB"/>
        </w:rPr>
        <w:t>Patients should be instructed to report any signs or symptoms of intraocular inflammation, e.g. pain, photophobia, or redness, which may be a clinical sign attributable to hypersensitivity.</w:t>
      </w:r>
    </w:p>
    <w:p w:rsidR="00630191" w:rsidRPr="0059188A" w:rsidRDefault="00630191" w:rsidP="00763B65">
      <w:pPr>
        <w:pStyle w:val="Heading2"/>
        <w:keepLines/>
        <w:rPr>
          <w:rFonts w:ascii="Times New Roman Bold" w:hAnsi="Times New Roman Bold"/>
          <w:i w:val="0"/>
          <w:lang w:val="en-AU"/>
        </w:rPr>
      </w:pPr>
      <w:r>
        <w:rPr>
          <w:rFonts w:ascii="Times New Roman Bold" w:hAnsi="Times New Roman Bold"/>
          <w:i w:val="0"/>
          <w:lang w:val="en-AU"/>
        </w:rPr>
        <w:t>Arterial thromboembolic events</w:t>
      </w:r>
    </w:p>
    <w:p w:rsidR="00630191" w:rsidRPr="0059188A" w:rsidRDefault="00630191" w:rsidP="00763B65">
      <w:pPr>
        <w:keepNext/>
        <w:jc w:val="both"/>
        <w:rPr>
          <w:lang w:val="en-AU"/>
        </w:rPr>
      </w:pPr>
    </w:p>
    <w:p w:rsidR="002D12A5" w:rsidRDefault="00630191" w:rsidP="00630191">
      <w:pPr>
        <w:jc w:val="both"/>
        <w:rPr>
          <w:lang w:val="en-GB"/>
        </w:rPr>
      </w:pPr>
      <w:r>
        <w:rPr>
          <w:lang w:val="en-GB"/>
        </w:rPr>
        <w:t xml:space="preserve">There is a potential risk of arterial thromboembolic events (ATEs) following </w:t>
      </w:r>
      <w:proofErr w:type="spellStart"/>
      <w:r>
        <w:rPr>
          <w:lang w:val="en-GB"/>
        </w:rPr>
        <w:t>intravitreal</w:t>
      </w:r>
      <w:proofErr w:type="spellEnd"/>
      <w:r>
        <w:rPr>
          <w:lang w:val="en-GB"/>
        </w:rPr>
        <w:t xml:space="preserve"> use of VEGF inhibitors (see </w:t>
      </w:r>
      <w:r w:rsidRPr="00630191">
        <w:rPr>
          <w:b/>
          <w:lang w:val="en-GB"/>
        </w:rPr>
        <w:t>ADVERSE EFFECTS</w:t>
      </w:r>
      <w:r>
        <w:rPr>
          <w:lang w:val="en-GB"/>
        </w:rPr>
        <w:t>). ATEs include vascular death (e.g.,</w:t>
      </w:r>
      <w:r w:rsidR="002D12A5">
        <w:rPr>
          <w:lang w:val="en-GB"/>
        </w:rPr>
        <w:t> </w:t>
      </w:r>
      <w:r>
        <w:rPr>
          <w:lang w:val="en-GB"/>
        </w:rPr>
        <w:t xml:space="preserve">due to stroke or myocardial infarction), non-fatal strokes and non-fatal myocardial infarction. </w:t>
      </w:r>
    </w:p>
    <w:p w:rsidR="002D12A5" w:rsidRDefault="002D12A5" w:rsidP="00630191">
      <w:pPr>
        <w:jc w:val="both"/>
        <w:rPr>
          <w:lang w:val="en-GB"/>
        </w:rPr>
      </w:pPr>
    </w:p>
    <w:p w:rsidR="00427EC7" w:rsidRDefault="0001447E" w:rsidP="00427EC7">
      <w:pPr>
        <w:jc w:val="both"/>
        <w:rPr>
          <w:rFonts w:ascii="Times New Roman Bold" w:hAnsi="Times New Roman Bold"/>
          <w:i/>
          <w:lang w:val="en-AU"/>
        </w:rPr>
      </w:pPr>
      <w:r>
        <w:rPr>
          <w:lang w:val="en-GB"/>
        </w:rPr>
        <w:t>T</w:t>
      </w:r>
      <w:r w:rsidR="00630191">
        <w:rPr>
          <w:lang w:val="en-GB"/>
        </w:rPr>
        <w:t xml:space="preserve">he risk of stroke may be greater in patients with known risk factors including a history of stroke or </w:t>
      </w:r>
      <w:r>
        <w:rPr>
          <w:lang w:val="en-GB"/>
        </w:rPr>
        <w:t>transient ischaemic attack (</w:t>
      </w:r>
      <w:r w:rsidR="00630191">
        <w:rPr>
          <w:lang w:val="en-GB"/>
        </w:rPr>
        <w:t>TIA</w:t>
      </w:r>
      <w:r>
        <w:rPr>
          <w:lang w:val="en-GB"/>
        </w:rPr>
        <w:t>)</w:t>
      </w:r>
      <w:r w:rsidR="00630191">
        <w:rPr>
          <w:lang w:val="en-GB"/>
        </w:rPr>
        <w:t xml:space="preserve">. </w:t>
      </w:r>
      <w:r w:rsidR="002D12A5">
        <w:rPr>
          <w:lang w:val="en-GB"/>
        </w:rPr>
        <w:t>P</w:t>
      </w:r>
      <w:r w:rsidR="00630191">
        <w:rPr>
          <w:lang w:val="en-GB"/>
        </w:rPr>
        <w:t xml:space="preserve">atients should be carefully evaluated by their doctor to assess whether the benefits of treatment outweigh the </w:t>
      </w:r>
      <w:r w:rsidR="002D12A5">
        <w:rPr>
          <w:lang w:val="en-GB"/>
        </w:rPr>
        <w:t xml:space="preserve">potential </w:t>
      </w:r>
      <w:r w:rsidR="00630191">
        <w:rPr>
          <w:lang w:val="en-GB"/>
        </w:rPr>
        <w:t>risks.</w:t>
      </w:r>
    </w:p>
    <w:p w:rsidR="001F29C0" w:rsidRPr="0059188A" w:rsidRDefault="001F29C0" w:rsidP="001F29C0">
      <w:pPr>
        <w:pStyle w:val="Heading2"/>
        <w:rPr>
          <w:rFonts w:ascii="Times New Roman Bold" w:hAnsi="Times New Roman Bold"/>
          <w:i w:val="0"/>
          <w:lang w:val="en-AU"/>
        </w:rPr>
      </w:pPr>
      <w:r>
        <w:rPr>
          <w:rFonts w:ascii="Times New Roman Bold" w:hAnsi="Times New Roman Bold"/>
          <w:i w:val="0"/>
          <w:lang w:val="en-AU"/>
        </w:rPr>
        <w:t>Other</w:t>
      </w:r>
    </w:p>
    <w:p w:rsidR="001F29C0" w:rsidRDefault="001F29C0" w:rsidP="001F29C0">
      <w:pPr>
        <w:jc w:val="both"/>
        <w:rPr>
          <w:lang w:val="en-GB"/>
        </w:rPr>
      </w:pPr>
    </w:p>
    <w:p w:rsidR="001F29C0" w:rsidRDefault="001F29C0" w:rsidP="001F29C0">
      <w:pPr>
        <w:jc w:val="both"/>
        <w:rPr>
          <w:lang w:val="en-AU"/>
        </w:rPr>
      </w:pPr>
      <w:r>
        <w:rPr>
          <w:lang w:val="en-AU"/>
        </w:rPr>
        <w:t xml:space="preserve">The </w:t>
      </w:r>
      <w:r w:rsidRPr="001F29C0">
        <w:rPr>
          <w:lang w:val="en-AU"/>
        </w:rPr>
        <w:t>safety and efficacy of E</w:t>
      </w:r>
      <w:r>
        <w:rPr>
          <w:lang w:val="en-AU"/>
        </w:rPr>
        <w:t>YLEA</w:t>
      </w:r>
      <w:r w:rsidRPr="001F29C0">
        <w:rPr>
          <w:lang w:val="en-AU"/>
        </w:rPr>
        <w:t xml:space="preserve"> therapy administered to both eyes concurrently have not been systematically studied (see </w:t>
      </w:r>
      <w:r w:rsidRPr="001F29C0">
        <w:rPr>
          <w:b/>
          <w:lang w:val="en-AU"/>
        </w:rPr>
        <w:t>CLINICAL TRIALS</w:t>
      </w:r>
      <w:r w:rsidRPr="001F29C0">
        <w:rPr>
          <w:lang w:val="en-AU"/>
        </w:rPr>
        <w:t xml:space="preserve">). </w:t>
      </w:r>
      <w:r w:rsidR="000146CF" w:rsidRPr="00E75557">
        <w:rPr>
          <w:lang w:val="en-AU"/>
        </w:rPr>
        <w:t xml:space="preserve">As with other </w:t>
      </w:r>
      <w:proofErr w:type="spellStart"/>
      <w:r w:rsidR="000146CF" w:rsidRPr="00E75557">
        <w:rPr>
          <w:lang w:val="en-AU"/>
        </w:rPr>
        <w:t>intravitreal</w:t>
      </w:r>
      <w:proofErr w:type="spellEnd"/>
      <w:r w:rsidR="000146CF" w:rsidRPr="00E75557">
        <w:rPr>
          <w:lang w:val="en-AU"/>
        </w:rPr>
        <w:t xml:space="preserve"> injections, i</w:t>
      </w:r>
      <w:r w:rsidRPr="00E75557">
        <w:rPr>
          <w:lang w:val="en-AU"/>
        </w:rPr>
        <w:t xml:space="preserve">f bilateral treatment is performed at the same time this </w:t>
      </w:r>
      <w:r w:rsidR="008F5CA6">
        <w:rPr>
          <w:lang w:val="en-AU"/>
        </w:rPr>
        <w:t>could lead to an increased systemic exposure, which could increase the risk of systemic adverse events</w:t>
      </w:r>
      <w:r w:rsidRPr="00E75557">
        <w:rPr>
          <w:lang w:val="en-AU"/>
        </w:rPr>
        <w:t>.</w:t>
      </w:r>
    </w:p>
    <w:p w:rsidR="001F29C0" w:rsidRDefault="001F29C0" w:rsidP="001F29C0">
      <w:pPr>
        <w:jc w:val="both"/>
        <w:rPr>
          <w:lang w:val="en-AU"/>
        </w:rPr>
      </w:pPr>
    </w:p>
    <w:p w:rsidR="001F29C0" w:rsidRDefault="001F29C0" w:rsidP="001F29C0">
      <w:pPr>
        <w:jc w:val="both"/>
        <w:rPr>
          <w:lang w:val="en-AU"/>
        </w:rPr>
      </w:pPr>
      <w:r w:rsidRPr="00E75557">
        <w:rPr>
          <w:lang w:val="en-AU"/>
        </w:rPr>
        <w:t>Risk factors associated with the development of a retinal pigment epithelial tear after anti-VEGF therapy for wet AMD, include a large and/or high pigment epithelial retinal detachment.  When initiating anti-VEGF therapy, caution should be used in patients with these risk factors for retinal pigment epithelial tears.</w:t>
      </w:r>
    </w:p>
    <w:p w:rsidR="001F29C0" w:rsidRPr="001F29C0" w:rsidRDefault="001F29C0" w:rsidP="001F29C0">
      <w:pPr>
        <w:jc w:val="both"/>
        <w:rPr>
          <w:lang w:val="en-AU"/>
        </w:rPr>
      </w:pPr>
    </w:p>
    <w:p w:rsidR="001F29C0" w:rsidRPr="001F29C0" w:rsidRDefault="001F29C0" w:rsidP="001F29C0">
      <w:pPr>
        <w:jc w:val="both"/>
        <w:rPr>
          <w:lang w:val="en-AU"/>
        </w:rPr>
      </w:pPr>
      <w:r w:rsidRPr="001F29C0">
        <w:rPr>
          <w:lang w:val="en-AU"/>
        </w:rPr>
        <w:t xml:space="preserve">Treatment should be withheld in patients with </w:t>
      </w:r>
      <w:proofErr w:type="spellStart"/>
      <w:r w:rsidRPr="001F29C0">
        <w:rPr>
          <w:lang w:val="en-AU"/>
        </w:rPr>
        <w:t>rhegmatogenous</w:t>
      </w:r>
      <w:proofErr w:type="spellEnd"/>
      <w:r w:rsidRPr="001F29C0">
        <w:rPr>
          <w:lang w:val="en-AU"/>
        </w:rPr>
        <w:t xml:space="preserve"> retinal detachment or stage 3 or 4 macular holes.</w:t>
      </w:r>
    </w:p>
    <w:p w:rsidR="001F29C0" w:rsidRDefault="001F29C0" w:rsidP="001F29C0">
      <w:pPr>
        <w:jc w:val="both"/>
        <w:rPr>
          <w:lang w:val="en-AU"/>
        </w:rPr>
      </w:pPr>
    </w:p>
    <w:p w:rsidR="001F29C0" w:rsidRDefault="001F29C0" w:rsidP="001F29C0">
      <w:pPr>
        <w:jc w:val="both"/>
        <w:rPr>
          <w:lang w:val="en-AU"/>
        </w:rPr>
      </w:pPr>
      <w:r w:rsidRPr="001F29C0">
        <w:rPr>
          <w:lang w:val="en-AU"/>
        </w:rPr>
        <w:t>In the event of a retinal break the dose should be withheld and treatment should not be resumed until the break is adequately repaired.</w:t>
      </w:r>
    </w:p>
    <w:p w:rsidR="00A221AA" w:rsidRDefault="00A221AA" w:rsidP="001F29C0">
      <w:pPr>
        <w:jc w:val="both"/>
        <w:rPr>
          <w:lang w:val="en-AU"/>
        </w:rPr>
      </w:pPr>
    </w:p>
    <w:p w:rsidR="00EF6A1A" w:rsidRPr="00A221AA" w:rsidRDefault="00EF6A1A" w:rsidP="00EF6A1A">
      <w:pPr>
        <w:jc w:val="both"/>
        <w:rPr>
          <w:lang w:val="en-AU"/>
        </w:rPr>
      </w:pPr>
      <w:r>
        <w:rPr>
          <w:lang w:val="en-AU"/>
        </w:rPr>
        <w:t xml:space="preserve">In the event of either </w:t>
      </w:r>
      <w:r w:rsidR="00A221AA" w:rsidRPr="00A221AA">
        <w:rPr>
          <w:lang w:val="en-AU"/>
        </w:rPr>
        <w:t>a decrease in best-corrected visual acuity (BCVA) of ≥30 letters compared with the last assessment of visual acuity;</w:t>
      </w:r>
      <w:r>
        <w:rPr>
          <w:lang w:val="en-AU"/>
        </w:rPr>
        <w:t xml:space="preserve"> or </w:t>
      </w:r>
      <w:r w:rsidR="00A221AA" w:rsidRPr="00A221AA">
        <w:rPr>
          <w:lang w:val="en-AU"/>
        </w:rPr>
        <w:t xml:space="preserve">a </w:t>
      </w:r>
      <w:proofErr w:type="spellStart"/>
      <w:r w:rsidR="00A221AA" w:rsidRPr="00A221AA">
        <w:rPr>
          <w:lang w:val="en-AU"/>
        </w:rPr>
        <w:t>subretinal</w:t>
      </w:r>
      <w:proofErr w:type="spellEnd"/>
      <w:r w:rsidR="00A221AA" w:rsidRPr="00A221AA">
        <w:rPr>
          <w:lang w:val="en-AU"/>
        </w:rPr>
        <w:t xml:space="preserve"> haemorrhage involving the centre of the fovea or if the </w:t>
      </w:r>
      <w:r>
        <w:rPr>
          <w:lang w:val="en-AU"/>
        </w:rPr>
        <w:t>size of the haemorrhage is ≥50%</w:t>
      </w:r>
      <w:r w:rsidR="00A221AA" w:rsidRPr="00A221AA">
        <w:rPr>
          <w:lang w:val="en-AU"/>
        </w:rPr>
        <w:t xml:space="preserve"> of the total lesion</w:t>
      </w:r>
      <w:r w:rsidR="00A221AA">
        <w:rPr>
          <w:lang w:val="en-AU"/>
        </w:rPr>
        <w:t xml:space="preserve"> area</w:t>
      </w:r>
      <w:r>
        <w:t xml:space="preserve">, </w:t>
      </w:r>
      <w:r>
        <w:rPr>
          <w:lang w:val="en-AU"/>
        </w:rPr>
        <w:t xml:space="preserve">the dose </w:t>
      </w:r>
      <w:r w:rsidRPr="00A221AA">
        <w:rPr>
          <w:lang w:val="en-AU"/>
        </w:rPr>
        <w:t>should be withheld and treatment should not be resumed earlier than the next scheduled treatment</w:t>
      </w:r>
      <w:r>
        <w:rPr>
          <w:lang w:val="en-AU"/>
        </w:rPr>
        <w:t>.</w:t>
      </w:r>
      <w:r w:rsidRPr="00A221AA">
        <w:rPr>
          <w:lang w:val="en-AU"/>
        </w:rPr>
        <w:t xml:space="preserve"> </w:t>
      </w:r>
    </w:p>
    <w:p w:rsidR="001F29C0" w:rsidRDefault="001F29C0" w:rsidP="001F29C0">
      <w:pPr>
        <w:jc w:val="both"/>
        <w:rPr>
          <w:lang w:val="en-AU"/>
        </w:rPr>
      </w:pPr>
    </w:p>
    <w:p w:rsidR="001F29C0" w:rsidRDefault="001F29C0" w:rsidP="001F29C0">
      <w:pPr>
        <w:jc w:val="both"/>
        <w:rPr>
          <w:lang w:val="en-AU"/>
        </w:rPr>
      </w:pPr>
      <w:r w:rsidRPr="001F29C0">
        <w:rPr>
          <w:lang w:val="en-AU"/>
        </w:rPr>
        <w:t xml:space="preserve">The dose should be withheld </w:t>
      </w:r>
      <w:r w:rsidR="00DA34AD">
        <w:rPr>
          <w:lang w:val="en-AU"/>
        </w:rPr>
        <w:t xml:space="preserve">in the event of </w:t>
      </w:r>
      <w:r w:rsidRPr="001F29C0">
        <w:rPr>
          <w:lang w:val="en-AU"/>
        </w:rPr>
        <w:t>performed or planned intraocular surgery</w:t>
      </w:r>
      <w:r w:rsidR="00DA34AD" w:rsidRPr="00DA34AD">
        <w:rPr>
          <w:lang w:val="en-AU"/>
        </w:rPr>
        <w:t xml:space="preserve"> </w:t>
      </w:r>
      <w:r w:rsidR="00DA34AD" w:rsidRPr="001F29C0">
        <w:rPr>
          <w:lang w:val="en-AU"/>
        </w:rPr>
        <w:t>within the previous or next 28 days</w:t>
      </w:r>
      <w:r>
        <w:rPr>
          <w:lang w:val="en-AU"/>
        </w:rPr>
        <w:t>.</w:t>
      </w:r>
    </w:p>
    <w:p w:rsidR="00A221AA" w:rsidRDefault="00A221AA" w:rsidP="001F29C0">
      <w:pPr>
        <w:jc w:val="both"/>
        <w:rPr>
          <w:lang w:val="en-AU"/>
        </w:rPr>
      </w:pPr>
    </w:p>
    <w:p w:rsidR="00A221AA" w:rsidRDefault="00A221AA" w:rsidP="001F29C0">
      <w:pPr>
        <w:jc w:val="both"/>
        <w:rPr>
          <w:lang w:val="en-AU"/>
        </w:rPr>
      </w:pPr>
      <w:r>
        <w:rPr>
          <w:lang w:val="en-AU"/>
        </w:rPr>
        <w:t>In</w:t>
      </w:r>
      <w:r w:rsidRPr="00A221AA">
        <w:rPr>
          <w:lang w:val="en-AU"/>
        </w:rPr>
        <w:t xml:space="preserve"> patients presenting with clinical signs of irreversible ischaemic visual function loss, the treatment is not recommended.</w:t>
      </w:r>
    </w:p>
    <w:p w:rsidR="00427EC7" w:rsidRDefault="00427EC7" w:rsidP="001F29C0">
      <w:pPr>
        <w:jc w:val="both"/>
        <w:rPr>
          <w:lang w:val="en-AU"/>
        </w:rPr>
      </w:pPr>
    </w:p>
    <w:p w:rsidR="001F29C0" w:rsidRPr="001F29C0" w:rsidRDefault="001F29C0" w:rsidP="00427EC7">
      <w:pPr>
        <w:jc w:val="both"/>
        <w:rPr>
          <w:u w:val="single"/>
          <w:lang w:val="en-AU"/>
        </w:rPr>
      </w:pPr>
      <w:r w:rsidRPr="001F29C0">
        <w:rPr>
          <w:u w:val="single"/>
          <w:lang w:val="en-AU"/>
        </w:rPr>
        <w:lastRenderedPageBreak/>
        <w:t>Populations with limited data</w:t>
      </w:r>
    </w:p>
    <w:p w:rsidR="00A221AA" w:rsidRPr="00A221AA" w:rsidRDefault="00A221AA" w:rsidP="00763B65">
      <w:pPr>
        <w:numPr>
          <w:ilvl w:val="0"/>
          <w:numId w:val="25"/>
        </w:numPr>
        <w:spacing w:before="120"/>
        <w:jc w:val="both"/>
        <w:rPr>
          <w:lang w:val="en-AU"/>
        </w:rPr>
      </w:pPr>
      <w:r w:rsidRPr="00A221AA">
        <w:rPr>
          <w:lang w:val="en-AU"/>
        </w:rPr>
        <w:t>Diabetic macular oedema due to type</w:t>
      </w:r>
      <w:r>
        <w:rPr>
          <w:lang w:val="en-AU"/>
        </w:rPr>
        <w:t xml:space="preserve"> </w:t>
      </w:r>
      <w:r w:rsidRPr="00A221AA">
        <w:rPr>
          <w:lang w:val="en-AU"/>
        </w:rPr>
        <w:t>1 diabetes</w:t>
      </w:r>
    </w:p>
    <w:p w:rsidR="00A221AA" w:rsidRPr="00A221AA" w:rsidRDefault="00A221AA" w:rsidP="00A221AA">
      <w:pPr>
        <w:numPr>
          <w:ilvl w:val="0"/>
          <w:numId w:val="25"/>
        </w:numPr>
        <w:jc w:val="both"/>
        <w:rPr>
          <w:lang w:val="en-AU"/>
        </w:rPr>
      </w:pPr>
      <w:r w:rsidRPr="00A221AA">
        <w:rPr>
          <w:lang w:val="en-AU"/>
        </w:rPr>
        <w:t>Diabetic patients with HbA1c &gt; 12%</w:t>
      </w:r>
    </w:p>
    <w:p w:rsidR="00A221AA" w:rsidRPr="00A221AA" w:rsidRDefault="00A221AA" w:rsidP="00A221AA">
      <w:pPr>
        <w:numPr>
          <w:ilvl w:val="0"/>
          <w:numId w:val="25"/>
        </w:numPr>
        <w:jc w:val="both"/>
        <w:rPr>
          <w:lang w:val="en-AU"/>
        </w:rPr>
      </w:pPr>
      <w:r w:rsidRPr="00A221AA">
        <w:rPr>
          <w:lang w:val="en-AU"/>
        </w:rPr>
        <w:t>Proliferative diabetic retinopathy</w:t>
      </w:r>
    </w:p>
    <w:p w:rsidR="00A221AA" w:rsidRPr="00A221AA" w:rsidRDefault="00A221AA" w:rsidP="00A221AA">
      <w:pPr>
        <w:numPr>
          <w:ilvl w:val="0"/>
          <w:numId w:val="25"/>
        </w:numPr>
        <w:jc w:val="both"/>
        <w:rPr>
          <w:lang w:val="en-AU"/>
        </w:rPr>
      </w:pPr>
      <w:r w:rsidRPr="00A221AA">
        <w:rPr>
          <w:lang w:val="en-AU"/>
        </w:rPr>
        <w:t>Active systemic infections</w:t>
      </w:r>
    </w:p>
    <w:p w:rsidR="00A221AA" w:rsidRPr="00A221AA" w:rsidRDefault="00A221AA" w:rsidP="00A221AA">
      <w:pPr>
        <w:numPr>
          <w:ilvl w:val="0"/>
          <w:numId w:val="25"/>
        </w:numPr>
        <w:jc w:val="both"/>
        <w:rPr>
          <w:lang w:val="en-AU"/>
        </w:rPr>
      </w:pPr>
      <w:r w:rsidRPr="00A221AA">
        <w:rPr>
          <w:lang w:val="en-AU"/>
        </w:rPr>
        <w:t>Concurrent eye conditions (e.g., retinal detachment, macular hole)</w:t>
      </w:r>
    </w:p>
    <w:p w:rsidR="00A221AA" w:rsidRDefault="00A221AA" w:rsidP="00A221AA">
      <w:pPr>
        <w:numPr>
          <w:ilvl w:val="0"/>
          <w:numId w:val="25"/>
        </w:numPr>
        <w:jc w:val="both"/>
        <w:rPr>
          <w:lang w:val="en-AU"/>
        </w:rPr>
      </w:pPr>
      <w:r w:rsidRPr="00A221AA">
        <w:rPr>
          <w:lang w:val="en-AU"/>
        </w:rPr>
        <w:t>Uncontrolled hypertension</w:t>
      </w:r>
    </w:p>
    <w:p w:rsidR="00230EFD" w:rsidRPr="0059188A" w:rsidRDefault="00230EFD" w:rsidP="00630191">
      <w:pPr>
        <w:pStyle w:val="Heading2"/>
        <w:keepLines/>
        <w:rPr>
          <w:rFonts w:ascii="Times New Roman Bold" w:hAnsi="Times New Roman Bold"/>
          <w:i w:val="0"/>
          <w:lang w:val="en-AU"/>
        </w:rPr>
      </w:pPr>
      <w:r w:rsidRPr="0059188A">
        <w:rPr>
          <w:rFonts w:ascii="Times New Roman Bold" w:hAnsi="Times New Roman Bold"/>
          <w:i w:val="0"/>
          <w:lang w:val="en-AU"/>
        </w:rPr>
        <w:t>Effects on fertility</w:t>
      </w:r>
    </w:p>
    <w:p w:rsidR="00AD0B2F" w:rsidRPr="0059188A" w:rsidRDefault="00AD0B2F" w:rsidP="00630191">
      <w:pPr>
        <w:keepNext/>
        <w:keepLines/>
        <w:jc w:val="both"/>
        <w:rPr>
          <w:lang w:val="en-AU"/>
        </w:rPr>
      </w:pPr>
    </w:p>
    <w:p w:rsidR="00230EFD" w:rsidRPr="0059188A" w:rsidRDefault="00230EFD" w:rsidP="00C010BA">
      <w:pPr>
        <w:jc w:val="both"/>
        <w:rPr>
          <w:lang w:val="en-AU"/>
        </w:rPr>
      </w:pPr>
      <w:r w:rsidRPr="0059188A">
        <w:rPr>
          <w:lang w:val="en-AU"/>
        </w:rPr>
        <w:t xml:space="preserve">Effects on male and female fertility were assessed as part of a 6-month study in monkeys with intravenous administration of </w:t>
      </w:r>
      <w:proofErr w:type="spellStart"/>
      <w:r w:rsidRPr="0059188A">
        <w:rPr>
          <w:lang w:val="en-AU"/>
        </w:rPr>
        <w:t>aflibercept</w:t>
      </w:r>
      <w:proofErr w:type="spellEnd"/>
      <w:r w:rsidRPr="0059188A">
        <w:rPr>
          <w:lang w:val="en-AU"/>
        </w:rPr>
        <w:t xml:space="preserve"> at doses ranging from 3 to 30 mg/kg</w:t>
      </w:r>
      <w:r w:rsidR="00937AC6" w:rsidRPr="0059188A">
        <w:rPr>
          <w:lang w:val="en-AU"/>
        </w:rPr>
        <w:t xml:space="preserve"> every one to two weeks</w:t>
      </w:r>
      <w:r w:rsidRPr="0059188A">
        <w:rPr>
          <w:lang w:val="en-AU"/>
        </w:rPr>
        <w:t xml:space="preserve">. Absent or irregular menses associated with alterations in female reproductive hormone levels and changes in sperm morphology and motility </w:t>
      </w:r>
      <w:r w:rsidR="00435F94" w:rsidRPr="0059188A">
        <w:rPr>
          <w:lang w:val="en-AU"/>
        </w:rPr>
        <w:t>(considered consequential to male fertility)</w:t>
      </w:r>
      <w:r w:rsidR="00650DEE" w:rsidRPr="0059188A">
        <w:rPr>
          <w:lang w:val="en-AU"/>
        </w:rPr>
        <w:t xml:space="preserve"> </w:t>
      </w:r>
      <w:r w:rsidRPr="0059188A">
        <w:rPr>
          <w:lang w:val="en-AU"/>
        </w:rPr>
        <w:t xml:space="preserve">were observed at all dose levels. Based on </w:t>
      </w:r>
      <w:proofErr w:type="spellStart"/>
      <w:r w:rsidRPr="0059188A">
        <w:rPr>
          <w:lang w:val="en-AU"/>
        </w:rPr>
        <w:t>C</w:t>
      </w:r>
      <w:r w:rsidRPr="0059188A">
        <w:rPr>
          <w:vertAlign w:val="subscript"/>
          <w:lang w:val="en-AU"/>
        </w:rPr>
        <w:t>max</w:t>
      </w:r>
      <w:proofErr w:type="spellEnd"/>
      <w:r w:rsidRPr="0059188A">
        <w:rPr>
          <w:vertAlign w:val="subscript"/>
          <w:lang w:val="en-AU"/>
        </w:rPr>
        <w:t xml:space="preserve"> </w:t>
      </w:r>
      <w:r w:rsidRPr="0059188A">
        <w:rPr>
          <w:lang w:val="en-AU"/>
        </w:rPr>
        <w:t xml:space="preserve">and AUC for free </w:t>
      </w:r>
      <w:proofErr w:type="spellStart"/>
      <w:r w:rsidRPr="0059188A">
        <w:rPr>
          <w:lang w:val="en-AU"/>
        </w:rPr>
        <w:t>aflibercept</w:t>
      </w:r>
      <w:proofErr w:type="spellEnd"/>
      <w:r w:rsidRPr="0059188A">
        <w:rPr>
          <w:lang w:val="en-AU"/>
        </w:rPr>
        <w:t xml:space="preserve"> observed at the 3 mg/kg intravenous dose, the systemic exposures were approximately</w:t>
      </w:r>
      <w:r w:rsidR="00650DEE" w:rsidRPr="0059188A">
        <w:rPr>
          <w:lang w:val="en-AU"/>
        </w:rPr>
        <w:t xml:space="preserve"> </w:t>
      </w:r>
      <w:r w:rsidRPr="0059188A">
        <w:rPr>
          <w:lang w:val="en-AU"/>
        </w:rPr>
        <w:t xml:space="preserve">4900-fold and 1500-fold higher, respectively, than the exposure observed in humans after an </w:t>
      </w:r>
      <w:proofErr w:type="spellStart"/>
      <w:r w:rsidRPr="0059188A">
        <w:rPr>
          <w:lang w:val="en-AU"/>
        </w:rPr>
        <w:t>intravitreal</w:t>
      </w:r>
      <w:proofErr w:type="spellEnd"/>
      <w:r w:rsidRPr="0059188A">
        <w:rPr>
          <w:lang w:val="en-AU"/>
        </w:rPr>
        <w:t xml:space="preserve"> dose of 2 mg. All changes were reversible.</w:t>
      </w:r>
    </w:p>
    <w:p w:rsidR="002641E4" w:rsidRPr="0059188A" w:rsidRDefault="002641E4" w:rsidP="00D4671A">
      <w:pPr>
        <w:pStyle w:val="Heading2"/>
        <w:rPr>
          <w:rFonts w:ascii="Times New Roman Bold" w:hAnsi="Times New Roman Bold"/>
          <w:i w:val="0"/>
          <w:lang w:val="en-AU"/>
        </w:rPr>
      </w:pPr>
      <w:r w:rsidRPr="0059188A">
        <w:rPr>
          <w:rFonts w:ascii="Times New Roman Bold" w:hAnsi="Times New Roman Bold"/>
          <w:i w:val="0"/>
          <w:lang w:val="en-AU"/>
        </w:rPr>
        <w:t>Use in pregnancy</w:t>
      </w:r>
      <w:r w:rsidR="003E257C" w:rsidRPr="0059188A">
        <w:rPr>
          <w:rFonts w:ascii="Times New Roman Bold" w:hAnsi="Times New Roman Bold"/>
          <w:i w:val="0"/>
          <w:lang w:val="en-AU"/>
        </w:rPr>
        <w:t xml:space="preserve"> (Category </w:t>
      </w:r>
      <w:r w:rsidR="00581A52" w:rsidRPr="0059188A">
        <w:rPr>
          <w:rFonts w:ascii="Times New Roman Bold" w:hAnsi="Times New Roman Bold"/>
          <w:i w:val="0"/>
          <w:lang w:val="en-AU"/>
        </w:rPr>
        <w:t>D</w:t>
      </w:r>
      <w:r w:rsidR="00230EFD" w:rsidRPr="0059188A">
        <w:rPr>
          <w:rFonts w:ascii="Times New Roman Bold" w:hAnsi="Times New Roman Bold"/>
          <w:i w:val="0"/>
          <w:lang w:val="en-AU"/>
        </w:rPr>
        <w:t>)</w:t>
      </w:r>
    </w:p>
    <w:p w:rsidR="00230EFD" w:rsidRPr="0059188A" w:rsidRDefault="00230EFD" w:rsidP="00BA7679">
      <w:pPr>
        <w:keepNext/>
        <w:jc w:val="both"/>
        <w:rPr>
          <w:lang w:val="en-AU"/>
        </w:rPr>
      </w:pPr>
    </w:p>
    <w:p w:rsidR="00230EFD" w:rsidRPr="0059188A" w:rsidRDefault="002641E4" w:rsidP="00BA7679">
      <w:pPr>
        <w:keepNext/>
        <w:keepLines/>
        <w:jc w:val="both"/>
        <w:rPr>
          <w:lang w:val="en-AU"/>
        </w:rPr>
      </w:pPr>
      <w:r w:rsidRPr="0059188A">
        <w:rPr>
          <w:lang w:val="en-AU"/>
        </w:rPr>
        <w:t xml:space="preserve">There are no </w:t>
      </w:r>
      <w:r w:rsidR="006B7EAD" w:rsidRPr="0059188A">
        <w:rPr>
          <w:lang w:val="en-AU"/>
        </w:rPr>
        <w:t xml:space="preserve">data on the use of </w:t>
      </w:r>
      <w:proofErr w:type="spellStart"/>
      <w:r w:rsidR="006B7EAD" w:rsidRPr="0059188A">
        <w:rPr>
          <w:lang w:val="en-AU"/>
        </w:rPr>
        <w:t>aflibercept</w:t>
      </w:r>
      <w:proofErr w:type="spellEnd"/>
      <w:r w:rsidR="006B7EAD" w:rsidRPr="0059188A">
        <w:rPr>
          <w:lang w:val="en-AU"/>
        </w:rPr>
        <w:t xml:space="preserve"> in pregnant women. Studies in animals have shown reproductive toxicity</w:t>
      </w:r>
      <w:r w:rsidR="00785846" w:rsidRPr="0059188A">
        <w:rPr>
          <w:lang w:val="en-AU"/>
        </w:rPr>
        <w:t xml:space="preserve">, </w:t>
      </w:r>
      <w:r w:rsidR="00435F94" w:rsidRPr="0059188A">
        <w:rPr>
          <w:lang w:val="en-AU"/>
        </w:rPr>
        <w:t xml:space="preserve">including a series of external, visceral, skeletal malformations, </w:t>
      </w:r>
      <w:r w:rsidR="00230EFD" w:rsidRPr="0059188A">
        <w:rPr>
          <w:lang w:val="en-AU"/>
        </w:rPr>
        <w:t>after syste</w:t>
      </w:r>
      <w:r w:rsidR="00230EFD" w:rsidRPr="00872D2E">
        <w:rPr>
          <w:lang w:val="en-AU"/>
        </w:rPr>
        <w:t>mic administration</w:t>
      </w:r>
      <w:r w:rsidR="006B7EAD" w:rsidRPr="00872D2E">
        <w:rPr>
          <w:lang w:val="en-AU"/>
        </w:rPr>
        <w:t>. EYLEA</w:t>
      </w:r>
      <w:r w:rsidR="003D5366" w:rsidRPr="00872D2E">
        <w:rPr>
          <w:lang w:val="en-AU"/>
        </w:rPr>
        <w:t xml:space="preserve"> should not be used</w:t>
      </w:r>
      <w:r w:rsidR="006B7EAD" w:rsidRPr="00872D2E">
        <w:rPr>
          <w:lang w:val="en-AU"/>
        </w:rPr>
        <w:t xml:space="preserve"> during pregnancy</w:t>
      </w:r>
      <w:r w:rsidR="00230EFD" w:rsidRPr="00872D2E">
        <w:rPr>
          <w:lang w:val="en-AU"/>
        </w:rPr>
        <w:t xml:space="preserve"> unless the potential benefit outweighs the potential risk to the </w:t>
      </w:r>
      <w:proofErr w:type="spellStart"/>
      <w:r w:rsidR="00230EFD" w:rsidRPr="00872D2E">
        <w:rPr>
          <w:lang w:val="en-AU"/>
        </w:rPr>
        <w:t>fetus</w:t>
      </w:r>
      <w:proofErr w:type="spellEnd"/>
      <w:r w:rsidR="00230EFD" w:rsidRPr="00872D2E">
        <w:rPr>
          <w:lang w:val="en-AU"/>
        </w:rPr>
        <w:t xml:space="preserve">. </w:t>
      </w:r>
      <w:r w:rsidRPr="00872D2E">
        <w:rPr>
          <w:lang w:val="en-AU"/>
        </w:rPr>
        <w:t>Women of childbearing potential</w:t>
      </w:r>
      <w:r w:rsidR="003D5366" w:rsidRPr="00872D2E">
        <w:rPr>
          <w:lang w:val="en-AU"/>
        </w:rPr>
        <w:t xml:space="preserve"> have to</w:t>
      </w:r>
      <w:r w:rsidRPr="00872D2E">
        <w:rPr>
          <w:lang w:val="en-AU"/>
        </w:rPr>
        <w:t xml:space="preserve"> use</w:t>
      </w:r>
      <w:r w:rsidRPr="0059188A">
        <w:rPr>
          <w:lang w:val="en-AU"/>
        </w:rPr>
        <w:t xml:space="preserve"> effective contraception during treatment</w:t>
      </w:r>
      <w:r w:rsidR="00AA3E6F" w:rsidRPr="0059188A">
        <w:rPr>
          <w:lang w:val="en-AU"/>
        </w:rPr>
        <w:t xml:space="preserve"> and for at least 3 months after the last </w:t>
      </w:r>
      <w:proofErr w:type="spellStart"/>
      <w:r w:rsidR="00AA3E6F" w:rsidRPr="0059188A">
        <w:rPr>
          <w:lang w:val="en-AU"/>
        </w:rPr>
        <w:t>intravitreal</w:t>
      </w:r>
      <w:proofErr w:type="spellEnd"/>
      <w:r w:rsidR="00AA3E6F" w:rsidRPr="0059188A">
        <w:rPr>
          <w:lang w:val="en-AU"/>
        </w:rPr>
        <w:t xml:space="preserve"> injection of </w:t>
      </w:r>
      <w:proofErr w:type="spellStart"/>
      <w:r w:rsidR="00AA3E6F" w:rsidRPr="0059188A">
        <w:rPr>
          <w:lang w:val="en-AU"/>
        </w:rPr>
        <w:t>aflibercept</w:t>
      </w:r>
      <w:proofErr w:type="spellEnd"/>
      <w:r w:rsidRPr="0059188A">
        <w:rPr>
          <w:lang w:val="en-AU"/>
        </w:rPr>
        <w:t>.</w:t>
      </w:r>
    </w:p>
    <w:p w:rsidR="00230EFD" w:rsidRPr="0059188A" w:rsidRDefault="00230EFD" w:rsidP="00230EFD">
      <w:pPr>
        <w:jc w:val="both"/>
        <w:rPr>
          <w:lang w:val="en-AU"/>
        </w:rPr>
      </w:pPr>
    </w:p>
    <w:p w:rsidR="002641E4" w:rsidRPr="0059188A" w:rsidRDefault="00230EFD" w:rsidP="00230EFD">
      <w:pPr>
        <w:jc w:val="both"/>
        <w:rPr>
          <w:lang w:val="en-AU"/>
        </w:rPr>
      </w:pPr>
      <w:proofErr w:type="spellStart"/>
      <w:r w:rsidRPr="0059188A">
        <w:rPr>
          <w:lang w:val="en-AU"/>
        </w:rPr>
        <w:t>Aflibercept</w:t>
      </w:r>
      <w:proofErr w:type="spellEnd"/>
      <w:r w:rsidRPr="0059188A">
        <w:rPr>
          <w:lang w:val="en-AU"/>
        </w:rPr>
        <w:t xml:space="preserve"> produced</w:t>
      </w:r>
      <w:r w:rsidR="00435F94" w:rsidRPr="0059188A">
        <w:rPr>
          <w:lang w:val="en-AU"/>
        </w:rPr>
        <w:t xml:space="preserve"> malformations and other </w:t>
      </w:r>
      <w:proofErr w:type="spellStart"/>
      <w:r w:rsidR="00435F94" w:rsidRPr="0059188A">
        <w:rPr>
          <w:lang w:val="en-AU"/>
        </w:rPr>
        <w:t>fetal</w:t>
      </w:r>
      <w:proofErr w:type="spellEnd"/>
      <w:r w:rsidR="00435F94" w:rsidRPr="0059188A">
        <w:rPr>
          <w:lang w:val="en-AU"/>
        </w:rPr>
        <w:t xml:space="preserve"> abnormalities </w:t>
      </w:r>
      <w:r w:rsidRPr="0059188A">
        <w:rPr>
          <w:lang w:val="en-AU"/>
        </w:rPr>
        <w:t>in pregnant rabbits with intravenous administration (</w:t>
      </w:r>
      <w:r w:rsidR="00435F94" w:rsidRPr="0059188A">
        <w:rPr>
          <w:lang w:val="en-AU"/>
        </w:rPr>
        <w:t xml:space="preserve">at </w:t>
      </w:r>
      <w:r w:rsidRPr="0059188A">
        <w:rPr>
          <w:lang w:val="en-AU"/>
        </w:rPr>
        <w:t>3 to 60 mg/kg</w:t>
      </w:r>
      <w:r w:rsidR="00435F94" w:rsidRPr="0059188A">
        <w:rPr>
          <w:lang w:val="en-AU"/>
        </w:rPr>
        <w:t xml:space="preserve"> once every 3 days during the period of organogenesis</w:t>
      </w:r>
      <w:r w:rsidRPr="0059188A">
        <w:rPr>
          <w:lang w:val="en-AU"/>
        </w:rPr>
        <w:t>)</w:t>
      </w:r>
      <w:r w:rsidR="0014081C" w:rsidRPr="0059188A">
        <w:rPr>
          <w:lang w:val="en-AU"/>
        </w:rPr>
        <w:t xml:space="preserve"> and with </w:t>
      </w:r>
      <w:r w:rsidR="0014081C" w:rsidRPr="0059188A">
        <w:t>subcutaneous administration (0.1 to 1 mg/kg on gestational days 1, 7</w:t>
      </w:r>
      <w:r w:rsidR="00ED6320" w:rsidRPr="0059188A">
        <w:t>,</w:t>
      </w:r>
      <w:r w:rsidR="0014081C" w:rsidRPr="0059188A">
        <w:t xml:space="preserve"> and 13)</w:t>
      </w:r>
      <w:r w:rsidRPr="0059188A">
        <w:rPr>
          <w:lang w:val="en-AU"/>
        </w:rPr>
        <w:t>.</w:t>
      </w:r>
      <w:r w:rsidR="00C85820" w:rsidRPr="0059188A">
        <w:rPr>
          <w:lang w:val="en-AU"/>
        </w:rPr>
        <w:t xml:space="preserve">  A No Observed Effect Level (NOEL) for adverse effects on embryo</w:t>
      </w:r>
      <w:r w:rsidR="00217474" w:rsidRPr="0059188A">
        <w:rPr>
          <w:lang w:val="en-AU"/>
        </w:rPr>
        <w:t>-</w:t>
      </w:r>
      <w:proofErr w:type="spellStart"/>
      <w:r w:rsidR="00C85820" w:rsidRPr="0059188A">
        <w:rPr>
          <w:lang w:val="en-AU"/>
        </w:rPr>
        <w:t>fetal</w:t>
      </w:r>
      <w:proofErr w:type="spellEnd"/>
      <w:r w:rsidR="00C85820" w:rsidRPr="0059188A">
        <w:rPr>
          <w:lang w:val="en-AU"/>
        </w:rPr>
        <w:t xml:space="preserve"> development was not established. </w:t>
      </w:r>
      <w:r w:rsidRPr="0059188A">
        <w:rPr>
          <w:lang w:val="en-AU"/>
        </w:rPr>
        <w:t>At</w:t>
      </w:r>
      <w:r w:rsidR="00C85820" w:rsidRPr="0059188A">
        <w:rPr>
          <w:lang w:val="en-AU"/>
        </w:rPr>
        <w:t xml:space="preserve"> the lowest </w:t>
      </w:r>
      <w:r w:rsidRPr="0059188A">
        <w:rPr>
          <w:lang w:val="en-AU"/>
        </w:rPr>
        <w:t>dose</w:t>
      </w:r>
      <w:r w:rsidR="00C85820" w:rsidRPr="0059188A">
        <w:rPr>
          <w:lang w:val="en-AU"/>
        </w:rPr>
        <w:t xml:space="preserve"> tested (</w:t>
      </w:r>
      <w:r w:rsidR="0014081C" w:rsidRPr="0059188A">
        <w:rPr>
          <w:lang w:val="en-AU"/>
        </w:rPr>
        <w:t>0.1</w:t>
      </w:r>
      <w:r w:rsidR="00C85820" w:rsidRPr="0059188A">
        <w:rPr>
          <w:lang w:val="en-AU"/>
        </w:rPr>
        <w:t xml:space="preserve"> mg/kg)</w:t>
      </w:r>
      <w:r w:rsidRPr="0059188A">
        <w:rPr>
          <w:lang w:val="en-AU"/>
        </w:rPr>
        <w:t xml:space="preserve">, the systemic exposures based on </w:t>
      </w:r>
      <w:proofErr w:type="spellStart"/>
      <w:r w:rsidRPr="0059188A">
        <w:rPr>
          <w:lang w:val="en-AU"/>
        </w:rPr>
        <w:t>C</w:t>
      </w:r>
      <w:r w:rsidRPr="0059188A">
        <w:rPr>
          <w:vertAlign w:val="subscript"/>
          <w:lang w:val="en-AU"/>
        </w:rPr>
        <w:t>max</w:t>
      </w:r>
      <w:proofErr w:type="spellEnd"/>
      <w:r w:rsidRPr="0059188A">
        <w:rPr>
          <w:lang w:val="en-AU"/>
        </w:rPr>
        <w:t xml:space="preserve"> and </w:t>
      </w:r>
      <w:r w:rsidR="0014081C" w:rsidRPr="0059188A">
        <w:rPr>
          <w:lang w:val="en-AU"/>
        </w:rPr>
        <w:t xml:space="preserve">cumulative </w:t>
      </w:r>
      <w:r w:rsidRPr="0059188A">
        <w:rPr>
          <w:lang w:val="en-AU"/>
        </w:rPr>
        <w:t xml:space="preserve">AUC for free </w:t>
      </w:r>
      <w:proofErr w:type="spellStart"/>
      <w:r w:rsidRPr="0059188A">
        <w:rPr>
          <w:lang w:val="en-AU"/>
        </w:rPr>
        <w:t>aflibercept</w:t>
      </w:r>
      <w:proofErr w:type="spellEnd"/>
      <w:r w:rsidRPr="0059188A">
        <w:rPr>
          <w:lang w:val="en-AU"/>
        </w:rPr>
        <w:t xml:space="preserve"> were approximately </w:t>
      </w:r>
      <w:r w:rsidR="00943E79" w:rsidRPr="0059188A">
        <w:rPr>
          <w:lang w:val="en-AU"/>
        </w:rPr>
        <w:t>13</w:t>
      </w:r>
      <w:r w:rsidR="00217474" w:rsidRPr="0059188A">
        <w:rPr>
          <w:lang w:val="en-AU"/>
        </w:rPr>
        <w:t>-</w:t>
      </w:r>
      <w:r w:rsidRPr="0059188A">
        <w:rPr>
          <w:lang w:val="en-AU"/>
        </w:rPr>
        <w:t xml:space="preserve"> and </w:t>
      </w:r>
      <w:r w:rsidR="0014081C" w:rsidRPr="0059188A">
        <w:rPr>
          <w:lang w:val="en-AU"/>
        </w:rPr>
        <w:t>10</w:t>
      </w:r>
      <w:r w:rsidRPr="0059188A">
        <w:rPr>
          <w:lang w:val="en-AU"/>
        </w:rPr>
        <w:t xml:space="preserve">-fold higher, respectively, when compared to corresponding values observed in humans after an </w:t>
      </w:r>
      <w:proofErr w:type="spellStart"/>
      <w:r w:rsidRPr="0059188A">
        <w:rPr>
          <w:lang w:val="en-AU"/>
        </w:rPr>
        <w:t>intravitreal</w:t>
      </w:r>
      <w:proofErr w:type="spellEnd"/>
      <w:r w:rsidRPr="0059188A">
        <w:rPr>
          <w:lang w:val="en-AU"/>
        </w:rPr>
        <w:t xml:space="preserve"> dose of 2 mg.</w:t>
      </w:r>
      <w:r w:rsidR="002641E4" w:rsidRPr="0059188A">
        <w:rPr>
          <w:lang w:val="en-AU"/>
        </w:rPr>
        <w:t xml:space="preserve"> </w:t>
      </w:r>
    </w:p>
    <w:p w:rsidR="002641E4" w:rsidRPr="0059188A" w:rsidRDefault="002641E4" w:rsidP="00D4671A">
      <w:pPr>
        <w:pStyle w:val="Heading2"/>
        <w:rPr>
          <w:rFonts w:ascii="Times New Roman Bold" w:hAnsi="Times New Roman Bold"/>
          <w:i w:val="0"/>
          <w:lang w:val="en-AU"/>
        </w:rPr>
      </w:pPr>
      <w:r w:rsidRPr="0059188A">
        <w:rPr>
          <w:rFonts w:ascii="Times New Roman Bold" w:hAnsi="Times New Roman Bold"/>
          <w:i w:val="0"/>
          <w:lang w:val="en-AU"/>
        </w:rPr>
        <w:t>Use in lactation</w:t>
      </w:r>
    </w:p>
    <w:p w:rsidR="00AD0B2F" w:rsidRPr="0059188A" w:rsidRDefault="00AD0B2F" w:rsidP="00C010BA">
      <w:pPr>
        <w:jc w:val="both"/>
        <w:rPr>
          <w:lang w:val="en-AU"/>
        </w:rPr>
      </w:pPr>
    </w:p>
    <w:p w:rsidR="00A1753F" w:rsidRPr="0059188A" w:rsidRDefault="00CF64A0" w:rsidP="00C010BA">
      <w:pPr>
        <w:jc w:val="both"/>
        <w:rPr>
          <w:lang w:val="en-AU"/>
        </w:rPr>
      </w:pPr>
      <w:r w:rsidRPr="0059188A">
        <w:rPr>
          <w:lang w:val="en-AU"/>
        </w:rPr>
        <w:t>It is un</w:t>
      </w:r>
      <w:r w:rsidR="002641E4" w:rsidRPr="0059188A">
        <w:rPr>
          <w:lang w:val="en-AU"/>
        </w:rPr>
        <w:t xml:space="preserve">known whether </w:t>
      </w:r>
      <w:proofErr w:type="spellStart"/>
      <w:r w:rsidR="002641E4" w:rsidRPr="0059188A">
        <w:rPr>
          <w:lang w:val="en-AU"/>
        </w:rPr>
        <w:t>aflibercept</w:t>
      </w:r>
      <w:proofErr w:type="spellEnd"/>
      <w:r w:rsidR="002641E4" w:rsidRPr="0059188A">
        <w:rPr>
          <w:lang w:val="en-AU"/>
        </w:rPr>
        <w:t xml:space="preserve"> </w:t>
      </w:r>
      <w:r w:rsidR="006B7EAD" w:rsidRPr="0059188A">
        <w:rPr>
          <w:lang w:val="en-AU"/>
        </w:rPr>
        <w:t>is excreted in</w:t>
      </w:r>
      <w:r w:rsidR="002641E4" w:rsidRPr="0059188A">
        <w:rPr>
          <w:lang w:val="en-AU"/>
        </w:rPr>
        <w:t xml:space="preserve"> human milk. </w:t>
      </w:r>
      <w:r w:rsidR="006B7EAD" w:rsidRPr="0059188A">
        <w:rPr>
          <w:lang w:val="en-AU"/>
        </w:rPr>
        <w:t xml:space="preserve">A risk to the breast-fed child cannot be excluded. </w:t>
      </w:r>
      <w:r w:rsidR="002641E4" w:rsidRPr="0059188A">
        <w:rPr>
          <w:lang w:val="en-AU"/>
        </w:rPr>
        <w:t>EYLEA is not recommended during breast-feeding.</w:t>
      </w:r>
      <w:r w:rsidR="006B7EAD" w:rsidRPr="0059188A">
        <w:rPr>
          <w:lang w:val="en-AU"/>
        </w:rPr>
        <w:t xml:space="preserve"> A decision must be made whether to discontinue breast-feeding or to abstain from EYLEA therapy. </w:t>
      </w:r>
      <w:r w:rsidR="002641E4" w:rsidRPr="0059188A">
        <w:rPr>
          <w:lang w:val="en-AU"/>
        </w:rPr>
        <w:t xml:space="preserve"> </w:t>
      </w:r>
    </w:p>
    <w:p w:rsidR="00CF64A0" w:rsidRPr="0059188A" w:rsidRDefault="00CF64A0" w:rsidP="003E56D2">
      <w:pPr>
        <w:pStyle w:val="Heading2"/>
        <w:pageBreakBefore/>
        <w:rPr>
          <w:rFonts w:ascii="Times New Roman Bold" w:hAnsi="Times New Roman Bold"/>
          <w:i w:val="0"/>
          <w:lang w:val="en-AU"/>
        </w:rPr>
      </w:pPr>
      <w:bookmarkStart w:id="0" w:name="_GoBack"/>
      <w:bookmarkEnd w:id="0"/>
      <w:r w:rsidRPr="0059188A">
        <w:rPr>
          <w:rFonts w:ascii="Times New Roman Bold" w:hAnsi="Times New Roman Bold"/>
          <w:i w:val="0"/>
          <w:lang w:val="en-AU"/>
        </w:rPr>
        <w:lastRenderedPageBreak/>
        <w:t>Paediatric use</w:t>
      </w:r>
    </w:p>
    <w:p w:rsidR="00CF64A0" w:rsidRPr="0059188A" w:rsidRDefault="00CF64A0" w:rsidP="00C010BA">
      <w:pPr>
        <w:jc w:val="both"/>
        <w:rPr>
          <w:lang w:val="en-AU"/>
        </w:rPr>
      </w:pPr>
    </w:p>
    <w:p w:rsidR="006F79BA" w:rsidRPr="0059188A" w:rsidRDefault="0009686D" w:rsidP="00CF64A0">
      <w:pPr>
        <w:jc w:val="both"/>
        <w:rPr>
          <w:lang w:val="en-AU"/>
        </w:rPr>
      </w:pPr>
      <w:r w:rsidRPr="0059188A">
        <w:rPr>
          <w:lang w:val="en-AU"/>
        </w:rPr>
        <w:t>T</w:t>
      </w:r>
      <w:r w:rsidR="00CF64A0" w:rsidRPr="0059188A">
        <w:rPr>
          <w:lang w:val="en-AU"/>
        </w:rPr>
        <w:t xml:space="preserve">he safety and efficacy of EYLEA have not been studied in </w:t>
      </w:r>
      <w:r w:rsidRPr="0059188A">
        <w:rPr>
          <w:lang w:val="en-AU"/>
        </w:rPr>
        <w:t>children or adolescents</w:t>
      </w:r>
      <w:r w:rsidR="00CF64A0" w:rsidRPr="0059188A">
        <w:rPr>
          <w:lang w:val="en-AU"/>
        </w:rPr>
        <w:t>.</w:t>
      </w:r>
    </w:p>
    <w:p w:rsidR="00CF64A0" w:rsidRPr="0059188A" w:rsidRDefault="00CF64A0" w:rsidP="001F29C0">
      <w:pPr>
        <w:pStyle w:val="Heading2"/>
        <w:rPr>
          <w:rFonts w:ascii="Times New Roman Bold" w:hAnsi="Times New Roman Bold"/>
          <w:i w:val="0"/>
          <w:lang w:val="en-AU"/>
        </w:rPr>
      </w:pPr>
      <w:r w:rsidRPr="0059188A">
        <w:rPr>
          <w:rFonts w:ascii="Times New Roman Bold" w:hAnsi="Times New Roman Bold"/>
          <w:i w:val="0"/>
          <w:lang w:val="en-AU"/>
        </w:rPr>
        <w:t>Use in the elderly</w:t>
      </w:r>
    </w:p>
    <w:p w:rsidR="00CF64A0" w:rsidRPr="0059188A" w:rsidRDefault="00CF64A0" w:rsidP="001F29C0">
      <w:pPr>
        <w:keepNext/>
        <w:jc w:val="both"/>
        <w:rPr>
          <w:lang w:val="en-AU"/>
        </w:rPr>
      </w:pPr>
    </w:p>
    <w:p w:rsidR="00CF64A0" w:rsidRPr="001F29C0" w:rsidRDefault="00CF64A0" w:rsidP="00C010BA">
      <w:pPr>
        <w:jc w:val="both"/>
        <w:rPr>
          <w:lang w:val="en-AU"/>
        </w:rPr>
      </w:pPr>
      <w:r w:rsidRPr="0059188A">
        <w:rPr>
          <w:lang w:val="en-AU"/>
        </w:rPr>
        <w:t>No special considerations are needed.</w:t>
      </w:r>
      <w:r w:rsidR="001F29C0">
        <w:rPr>
          <w:lang w:val="en-AU"/>
        </w:rPr>
        <w:t xml:space="preserve">  There is limited experience in patients older than 75 years with DME (see </w:t>
      </w:r>
      <w:r w:rsidR="001F29C0">
        <w:rPr>
          <w:b/>
          <w:lang w:val="en-AU"/>
        </w:rPr>
        <w:t>CLINICAL TRIALS</w:t>
      </w:r>
      <w:r w:rsidR="001F29C0">
        <w:rPr>
          <w:lang w:val="en-AU"/>
        </w:rPr>
        <w:t>).</w:t>
      </w:r>
    </w:p>
    <w:p w:rsidR="00CF64A0" w:rsidRPr="0059188A" w:rsidRDefault="00CF64A0" w:rsidP="00630191">
      <w:pPr>
        <w:pStyle w:val="Heading2"/>
        <w:keepLines/>
        <w:rPr>
          <w:rFonts w:ascii="Times New Roman Bold" w:hAnsi="Times New Roman Bold"/>
          <w:i w:val="0"/>
          <w:lang w:val="en-AU"/>
        </w:rPr>
      </w:pPr>
      <w:proofErr w:type="spellStart"/>
      <w:r w:rsidRPr="0059188A">
        <w:rPr>
          <w:rFonts w:ascii="Times New Roman Bold" w:hAnsi="Times New Roman Bold"/>
          <w:i w:val="0"/>
          <w:lang w:val="en-AU"/>
        </w:rPr>
        <w:t>Genotoxicity</w:t>
      </w:r>
      <w:proofErr w:type="spellEnd"/>
    </w:p>
    <w:p w:rsidR="00CF64A0" w:rsidRPr="0059188A" w:rsidRDefault="00CF64A0" w:rsidP="00630191">
      <w:pPr>
        <w:keepNext/>
        <w:keepLines/>
        <w:jc w:val="both"/>
        <w:rPr>
          <w:lang w:val="en-AU"/>
        </w:rPr>
      </w:pPr>
    </w:p>
    <w:p w:rsidR="00CF64A0" w:rsidRPr="0059188A" w:rsidRDefault="00CF64A0" w:rsidP="00CF64A0">
      <w:pPr>
        <w:jc w:val="both"/>
        <w:rPr>
          <w:lang w:val="en-AU"/>
        </w:rPr>
      </w:pPr>
      <w:r w:rsidRPr="0059188A">
        <w:rPr>
          <w:lang w:val="en-AU"/>
        </w:rPr>
        <w:t xml:space="preserve">No studies have been conducted on the mutagenic </w:t>
      </w:r>
      <w:r w:rsidR="00E060C7" w:rsidRPr="0059188A">
        <w:rPr>
          <w:lang w:val="en-AU"/>
        </w:rPr>
        <w:t xml:space="preserve">or </w:t>
      </w:r>
      <w:proofErr w:type="spellStart"/>
      <w:r w:rsidR="00E060C7" w:rsidRPr="0059188A">
        <w:rPr>
          <w:lang w:val="en-AU"/>
        </w:rPr>
        <w:t>clastogenic</w:t>
      </w:r>
      <w:proofErr w:type="spellEnd"/>
      <w:r w:rsidR="00E060C7" w:rsidRPr="0059188A">
        <w:rPr>
          <w:lang w:val="en-AU"/>
        </w:rPr>
        <w:t xml:space="preserve"> </w:t>
      </w:r>
      <w:r w:rsidRPr="0059188A">
        <w:rPr>
          <w:lang w:val="en-AU"/>
        </w:rPr>
        <w:t xml:space="preserve">potential of </w:t>
      </w:r>
      <w:proofErr w:type="spellStart"/>
      <w:r w:rsidRPr="0059188A">
        <w:rPr>
          <w:lang w:val="en-AU"/>
        </w:rPr>
        <w:t>aflibercept</w:t>
      </w:r>
      <w:proofErr w:type="spellEnd"/>
      <w:r w:rsidRPr="0059188A">
        <w:rPr>
          <w:lang w:val="en-AU"/>
        </w:rPr>
        <w:t>.</w:t>
      </w:r>
      <w:r w:rsidR="00026EFE" w:rsidRPr="0059188A">
        <w:rPr>
          <w:lang w:val="en-AU"/>
        </w:rPr>
        <w:t xml:space="preserve"> </w:t>
      </w:r>
      <w:r w:rsidR="00C85820" w:rsidRPr="0059188A">
        <w:rPr>
          <w:lang w:val="en-AU"/>
        </w:rPr>
        <w:t xml:space="preserve">As a large protein molecule, </w:t>
      </w:r>
      <w:proofErr w:type="spellStart"/>
      <w:r w:rsidR="00C85820" w:rsidRPr="0059188A">
        <w:rPr>
          <w:lang w:val="en-AU"/>
        </w:rPr>
        <w:t>aflibercept</w:t>
      </w:r>
      <w:proofErr w:type="spellEnd"/>
      <w:r w:rsidR="00C85820" w:rsidRPr="0059188A">
        <w:rPr>
          <w:lang w:val="en-AU"/>
        </w:rPr>
        <w:t xml:space="preserve"> is not expected to interact directly with DNA or other chromosomal material.</w:t>
      </w:r>
    </w:p>
    <w:p w:rsidR="00026EFE" w:rsidRPr="0059188A" w:rsidRDefault="00026EFE" w:rsidP="00D4671A">
      <w:pPr>
        <w:pStyle w:val="Heading2"/>
        <w:rPr>
          <w:rFonts w:ascii="Times New Roman Bold" w:hAnsi="Times New Roman Bold"/>
          <w:i w:val="0"/>
          <w:lang w:val="en-AU"/>
        </w:rPr>
      </w:pPr>
      <w:r w:rsidRPr="0059188A">
        <w:rPr>
          <w:rFonts w:ascii="Times New Roman Bold" w:hAnsi="Times New Roman Bold"/>
          <w:i w:val="0"/>
          <w:lang w:val="en-AU"/>
        </w:rPr>
        <w:t>Carcinogenicity</w:t>
      </w:r>
    </w:p>
    <w:p w:rsidR="00026EFE" w:rsidRPr="0059188A" w:rsidRDefault="00026EFE" w:rsidP="00026EFE">
      <w:pPr>
        <w:jc w:val="both"/>
        <w:rPr>
          <w:lang w:val="en-AU"/>
        </w:rPr>
      </w:pPr>
    </w:p>
    <w:p w:rsidR="00026EFE" w:rsidRPr="0059188A" w:rsidRDefault="00026EFE" w:rsidP="00026EFE">
      <w:pPr>
        <w:jc w:val="both"/>
        <w:rPr>
          <w:lang w:val="en-AU"/>
        </w:rPr>
      </w:pPr>
      <w:r w:rsidRPr="0059188A">
        <w:rPr>
          <w:lang w:val="en-AU"/>
        </w:rPr>
        <w:t xml:space="preserve">No studies have been conducted on the carcinogenic potential of </w:t>
      </w:r>
      <w:proofErr w:type="spellStart"/>
      <w:r w:rsidRPr="0059188A">
        <w:rPr>
          <w:lang w:val="en-AU"/>
        </w:rPr>
        <w:t>aflibercept</w:t>
      </w:r>
      <w:proofErr w:type="spellEnd"/>
      <w:r w:rsidRPr="0059188A">
        <w:rPr>
          <w:lang w:val="en-AU"/>
        </w:rPr>
        <w:t>.</w:t>
      </w:r>
    </w:p>
    <w:p w:rsidR="00FE1BD1" w:rsidRPr="0059188A" w:rsidRDefault="00FE1BD1" w:rsidP="00D4671A">
      <w:pPr>
        <w:pStyle w:val="Heading2"/>
        <w:rPr>
          <w:rFonts w:ascii="Times New Roman Bold" w:hAnsi="Times New Roman Bold"/>
          <w:i w:val="0"/>
          <w:lang w:val="en-AU"/>
        </w:rPr>
      </w:pPr>
      <w:r w:rsidRPr="0059188A">
        <w:rPr>
          <w:rFonts w:ascii="Times New Roman Bold" w:hAnsi="Times New Roman Bold"/>
          <w:i w:val="0"/>
          <w:lang w:val="en-AU"/>
        </w:rPr>
        <w:t>Effects on ability to drive or use machines</w:t>
      </w:r>
    </w:p>
    <w:p w:rsidR="00FE1BD1" w:rsidRPr="0059188A" w:rsidRDefault="00FE1BD1" w:rsidP="00BA7679">
      <w:pPr>
        <w:keepNext/>
        <w:jc w:val="both"/>
        <w:rPr>
          <w:lang w:val="en-AU"/>
        </w:rPr>
      </w:pPr>
    </w:p>
    <w:p w:rsidR="00FE1BD1" w:rsidRPr="0059188A" w:rsidRDefault="00FE1BD1" w:rsidP="00FE1BD1">
      <w:pPr>
        <w:jc w:val="both"/>
        <w:rPr>
          <w:lang w:val="en-AU"/>
        </w:rPr>
      </w:pPr>
      <w:r w:rsidRPr="0059188A">
        <w:rPr>
          <w:lang w:val="en-AU"/>
        </w:rPr>
        <w:t xml:space="preserve">Patients may experience temporary visual disturbances after an </w:t>
      </w:r>
      <w:proofErr w:type="spellStart"/>
      <w:r w:rsidRPr="0059188A">
        <w:rPr>
          <w:lang w:val="en-AU"/>
        </w:rPr>
        <w:t>intravitreal</w:t>
      </w:r>
      <w:proofErr w:type="spellEnd"/>
      <w:r w:rsidRPr="0059188A">
        <w:rPr>
          <w:lang w:val="en-AU"/>
        </w:rPr>
        <w:t xml:space="preserve"> injection with EYLEA and the associated eye examinations. They should not drive or use machinery until visual function has recovered sufficiently.</w:t>
      </w:r>
    </w:p>
    <w:p w:rsidR="00CF64A0" w:rsidRPr="0059188A" w:rsidRDefault="00CF64A0" w:rsidP="00C010BA">
      <w:pPr>
        <w:jc w:val="both"/>
        <w:rPr>
          <w:lang w:val="en-AU"/>
        </w:rPr>
      </w:pPr>
    </w:p>
    <w:p w:rsidR="00CF64A0" w:rsidRPr="0059188A" w:rsidRDefault="00D4671A" w:rsidP="00D4671A">
      <w:pPr>
        <w:pStyle w:val="Heading1"/>
        <w:rPr>
          <w:rFonts w:ascii="Times New Roman Bold" w:hAnsi="Times New Roman Bold"/>
          <w:lang w:val="en-AU"/>
        </w:rPr>
      </w:pPr>
      <w:r w:rsidRPr="0059188A">
        <w:rPr>
          <w:rFonts w:ascii="Times New Roman Bold" w:hAnsi="Times New Roman Bold"/>
          <w:lang w:val="en-AU"/>
        </w:rPr>
        <w:t>INTERACTIONS WITH OTHER MEDICINES</w:t>
      </w:r>
    </w:p>
    <w:p w:rsidR="00CF64A0" w:rsidRPr="0059188A" w:rsidRDefault="00CF64A0" w:rsidP="00C010BA">
      <w:pPr>
        <w:jc w:val="both"/>
        <w:rPr>
          <w:lang w:val="en-AU"/>
        </w:rPr>
      </w:pPr>
    </w:p>
    <w:p w:rsidR="00CF64A0" w:rsidRPr="0059188A" w:rsidRDefault="00CF64A0" w:rsidP="00C010BA">
      <w:pPr>
        <w:jc w:val="both"/>
        <w:rPr>
          <w:lang w:val="en-AU"/>
        </w:rPr>
      </w:pPr>
      <w:r w:rsidRPr="0059188A">
        <w:rPr>
          <w:lang w:val="en-AU"/>
        </w:rPr>
        <w:t>No formal drug interaction studies have been performed with EYLEA.</w:t>
      </w:r>
    </w:p>
    <w:p w:rsidR="002641E4" w:rsidRPr="0059188A" w:rsidRDefault="002641E4" w:rsidP="00C010BA">
      <w:pPr>
        <w:jc w:val="both"/>
        <w:rPr>
          <w:lang w:val="en-AU"/>
        </w:rPr>
      </w:pPr>
    </w:p>
    <w:p w:rsidR="00A1753F" w:rsidRPr="0059188A" w:rsidRDefault="00A1753F" w:rsidP="00D4671A">
      <w:pPr>
        <w:pStyle w:val="Heading1"/>
        <w:rPr>
          <w:rFonts w:ascii="Times New Roman Bold" w:hAnsi="Times New Roman Bold"/>
          <w:lang w:val="en-AU"/>
        </w:rPr>
      </w:pPr>
      <w:r w:rsidRPr="0059188A">
        <w:rPr>
          <w:rFonts w:ascii="Times New Roman Bold" w:hAnsi="Times New Roman Bold"/>
          <w:lang w:val="en-AU"/>
        </w:rPr>
        <w:t xml:space="preserve">ADVERSE EFFECTS </w:t>
      </w:r>
    </w:p>
    <w:p w:rsidR="00D462D7" w:rsidRPr="001B5410" w:rsidRDefault="00D462D7" w:rsidP="001B5410">
      <w:pPr>
        <w:pStyle w:val="Heading2"/>
        <w:rPr>
          <w:rFonts w:ascii="Times New Roman Bold" w:hAnsi="Times New Roman Bold"/>
          <w:i w:val="0"/>
          <w:lang w:val="en-AU"/>
        </w:rPr>
      </w:pPr>
      <w:r w:rsidRPr="0059188A">
        <w:rPr>
          <w:rFonts w:ascii="Times New Roman Bold" w:hAnsi="Times New Roman Bold"/>
          <w:i w:val="0"/>
          <w:lang w:val="en-AU"/>
        </w:rPr>
        <w:t>Summary of the safety profile</w:t>
      </w:r>
    </w:p>
    <w:p w:rsidR="008E025F" w:rsidRPr="0059188A" w:rsidRDefault="008E025F" w:rsidP="004463FA">
      <w:pPr>
        <w:jc w:val="both"/>
        <w:rPr>
          <w:lang w:val="en-AU"/>
        </w:rPr>
      </w:pPr>
    </w:p>
    <w:p w:rsidR="004A2828" w:rsidRDefault="004A2828" w:rsidP="004A2828">
      <w:pPr>
        <w:jc w:val="both"/>
        <w:rPr>
          <w:lang w:val="en-AU"/>
        </w:rPr>
      </w:pPr>
      <w:r w:rsidRPr="004463FA">
        <w:rPr>
          <w:lang w:val="en-AU"/>
        </w:rPr>
        <w:t xml:space="preserve">A total of </w:t>
      </w:r>
      <w:r>
        <w:rPr>
          <w:lang w:val="en-AU"/>
        </w:rPr>
        <w:t>2890</w:t>
      </w:r>
      <w:r w:rsidRPr="004463FA">
        <w:rPr>
          <w:lang w:val="en-AU"/>
        </w:rPr>
        <w:t xml:space="preserve"> patients </w:t>
      </w:r>
      <w:r>
        <w:rPr>
          <w:lang w:val="en-AU"/>
        </w:rPr>
        <w:t xml:space="preserve">treated with EYLEA </w:t>
      </w:r>
      <w:r w:rsidRPr="004463FA">
        <w:rPr>
          <w:lang w:val="en-AU"/>
        </w:rPr>
        <w:t>constituted the safety population in</w:t>
      </w:r>
      <w:r>
        <w:rPr>
          <w:lang w:val="en-AU"/>
        </w:rPr>
        <w:t xml:space="preserve"> seven</w:t>
      </w:r>
      <w:r w:rsidRPr="004463FA">
        <w:rPr>
          <w:lang w:val="en-AU"/>
        </w:rPr>
        <w:t xml:space="preserve"> </w:t>
      </w:r>
      <w:r>
        <w:rPr>
          <w:lang w:val="en-AU"/>
        </w:rPr>
        <w:t>P</w:t>
      </w:r>
      <w:r w:rsidRPr="004463FA">
        <w:rPr>
          <w:lang w:val="en-AU"/>
        </w:rPr>
        <w:t>hase III studies</w:t>
      </w:r>
      <w:r>
        <w:rPr>
          <w:lang w:val="en-AU"/>
        </w:rPr>
        <w:t xml:space="preserve">.  Amongst those, 2289 patients were treated with the recommended dose of 2 </w:t>
      </w:r>
      <w:r w:rsidRPr="004463FA">
        <w:rPr>
          <w:lang w:val="en-AU"/>
        </w:rPr>
        <w:t>mg.</w:t>
      </w:r>
    </w:p>
    <w:p w:rsidR="004A2828" w:rsidRDefault="004A2828" w:rsidP="004463FA">
      <w:pPr>
        <w:jc w:val="both"/>
        <w:rPr>
          <w:lang w:val="en-AU"/>
        </w:rPr>
      </w:pPr>
    </w:p>
    <w:p w:rsidR="004463FA" w:rsidRPr="0059188A" w:rsidRDefault="004463FA" w:rsidP="004463FA">
      <w:pPr>
        <w:jc w:val="both"/>
        <w:rPr>
          <w:lang w:val="en-AU"/>
        </w:rPr>
      </w:pPr>
      <w:r w:rsidRPr="0059188A">
        <w:rPr>
          <w:lang w:val="en-AU"/>
        </w:rPr>
        <w:t>Serious adverse reactions related to the injection procedure</w:t>
      </w:r>
      <w:r w:rsidR="00C84BE7" w:rsidRPr="0059188A">
        <w:rPr>
          <w:lang w:val="en-AU"/>
        </w:rPr>
        <w:t xml:space="preserve"> have occurred in less than 1 in </w:t>
      </w:r>
      <w:r w:rsidR="004A2828">
        <w:rPr>
          <w:lang w:val="en-AU"/>
        </w:rPr>
        <w:t>2600</w:t>
      </w:r>
      <w:r w:rsidR="00C84BE7" w:rsidRPr="0059188A">
        <w:rPr>
          <w:lang w:val="en-AU"/>
        </w:rPr>
        <w:t xml:space="preserve"> </w:t>
      </w:r>
      <w:proofErr w:type="spellStart"/>
      <w:r w:rsidR="00C84BE7" w:rsidRPr="0059188A">
        <w:rPr>
          <w:lang w:val="en-AU"/>
        </w:rPr>
        <w:t>intravitreal</w:t>
      </w:r>
      <w:proofErr w:type="spellEnd"/>
      <w:r w:rsidR="00C84BE7" w:rsidRPr="0059188A">
        <w:rPr>
          <w:lang w:val="en-AU"/>
        </w:rPr>
        <w:t xml:space="preserve"> injections with EYLEA and</w:t>
      </w:r>
      <w:r w:rsidRPr="0059188A">
        <w:rPr>
          <w:lang w:val="en-AU"/>
        </w:rPr>
        <w:t xml:space="preserve"> included</w:t>
      </w:r>
      <w:r w:rsidR="004A2828">
        <w:rPr>
          <w:lang w:val="en-AU"/>
        </w:rPr>
        <w:t xml:space="preserve"> cataract, retinal detachment, vitreous detachment,</w:t>
      </w:r>
      <w:r w:rsidRPr="0059188A">
        <w:rPr>
          <w:lang w:val="en-AU"/>
        </w:rPr>
        <w:t xml:space="preserve"> </w:t>
      </w:r>
      <w:proofErr w:type="spellStart"/>
      <w:r w:rsidRPr="0059188A">
        <w:rPr>
          <w:lang w:val="en-AU"/>
        </w:rPr>
        <w:t>endophthalmitis</w:t>
      </w:r>
      <w:proofErr w:type="spellEnd"/>
      <w:r w:rsidRPr="0059188A">
        <w:rPr>
          <w:lang w:val="en-AU"/>
        </w:rPr>
        <w:t xml:space="preserve">, and increased intraocular pressure (see </w:t>
      </w:r>
      <w:r w:rsidRPr="0059188A">
        <w:rPr>
          <w:b/>
          <w:lang w:val="en-AU"/>
        </w:rPr>
        <w:t>PRECAUTIONS</w:t>
      </w:r>
      <w:r w:rsidRPr="0059188A">
        <w:rPr>
          <w:lang w:val="en-AU"/>
        </w:rPr>
        <w:t>).</w:t>
      </w:r>
    </w:p>
    <w:p w:rsidR="004463FA" w:rsidRPr="0059188A" w:rsidRDefault="004463FA" w:rsidP="004463FA">
      <w:pPr>
        <w:jc w:val="both"/>
        <w:rPr>
          <w:lang w:val="en-AU"/>
        </w:rPr>
      </w:pPr>
    </w:p>
    <w:p w:rsidR="004A2828" w:rsidRDefault="004463FA" w:rsidP="004463FA">
      <w:pPr>
        <w:jc w:val="both"/>
        <w:rPr>
          <w:lang w:val="en-AU"/>
        </w:rPr>
      </w:pPr>
      <w:r w:rsidRPr="0059188A">
        <w:rPr>
          <w:lang w:val="en-AU"/>
        </w:rPr>
        <w:t>The most</w:t>
      </w:r>
      <w:r w:rsidR="004A2828">
        <w:rPr>
          <w:lang w:val="en-AU"/>
        </w:rPr>
        <w:t xml:space="preserve"> frequently observed</w:t>
      </w:r>
      <w:r w:rsidRPr="0059188A">
        <w:rPr>
          <w:lang w:val="en-AU"/>
        </w:rPr>
        <w:t xml:space="preserve"> adverse reactions</w:t>
      </w:r>
      <w:r w:rsidR="00C84BE7" w:rsidRPr="0059188A">
        <w:rPr>
          <w:lang w:val="en-AU"/>
        </w:rPr>
        <w:t xml:space="preserve"> (in at least 5% of patients treated with EYLEA)</w:t>
      </w:r>
      <w:r w:rsidRPr="0059188A">
        <w:rPr>
          <w:lang w:val="en-AU"/>
        </w:rPr>
        <w:t xml:space="preserve"> were conjunctival haemorrhage (</w:t>
      </w:r>
      <w:r w:rsidR="004A2828">
        <w:rPr>
          <w:lang w:val="en-AU"/>
        </w:rPr>
        <w:t>24.7</w:t>
      </w:r>
      <w:r w:rsidRPr="0059188A">
        <w:rPr>
          <w:lang w:val="en-AU"/>
        </w:rPr>
        <w:t xml:space="preserve">%), </w:t>
      </w:r>
      <w:r w:rsidR="00C444FB" w:rsidRPr="0059188A">
        <w:rPr>
          <w:lang w:val="en-AU"/>
        </w:rPr>
        <w:t>eye pain (10.</w:t>
      </w:r>
      <w:r w:rsidR="004A2828">
        <w:rPr>
          <w:lang w:val="en-AU"/>
        </w:rPr>
        <w:t>1</w:t>
      </w:r>
      <w:r w:rsidR="00C444FB" w:rsidRPr="0059188A">
        <w:rPr>
          <w:lang w:val="en-AU"/>
        </w:rPr>
        <w:t>%),</w:t>
      </w:r>
      <w:r w:rsidRPr="0059188A">
        <w:rPr>
          <w:lang w:val="en-AU"/>
        </w:rPr>
        <w:t xml:space="preserve"> </w:t>
      </w:r>
      <w:r w:rsidR="004A2828">
        <w:rPr>
          <w:lang w:val="en-AU"/>
        </w:rPr>
        <w:t xml:space="preserve">intraocular </w:t>
      </w:r>
      <w:r w:rsidR="004A2828">
        <w:rPr>
          <w:lang w:val="en-AU"/>
        </w:rPr>
        <w:lastRenderedPageBreak/>
        <w:t xml:space="preserve">pressure increased (7.1%), </w:t>
      </w:r>
      <w:r w:rsidRPr="0059188A">
        <w:rPr>
          <w:lang w:val="en-AU"/>
        </w:rPr>
        <w:t>vitreous detachment (</w:t>
      </w:r>
      <w:r w:rsidR="004A2828">
        <w:rPr>
          <w:lang w:val="en-AU"/>
        </w:rPr>
        <w:t>6.</w:t>
      </w:r>
      <w:r w:rsidR="00C444FB" w:rsidRPr="0059188A">
        <w:rPr>
          <w:lang w:val="en-AU"/>
        </w:rPr>
        <w:t>8</w:t>
      </w:r>
      <w:r w:rsidRPr="0059188A">
        <w:rPr>
          <w:lang w:val="en-AU"/>
        </w:rPr>
        <w:t>%), vitreous floaters (</w:t>
      </w:r>
      <w:r w:rsidR="00C444FB" w:rsidRPr="0059188A">
        <w:rPr>
          <w:lang w:val="en-AU"/>
        </w:rPr>
        <w:t>6</w:t>
      </w:r>
      <w:r w:rsidR="004A2828">
        <w:rPr>
          <w:lang w:val="en-AU"/>
        </w:rPr>
        <w:t>.7</w:t>
      </w:r>
      <w:r w:rsidRPr="0059188A">
        <w:rPr>
          <w:lang w:val="en-AU"/>
        </w:rPr>
        <w:t>%) and</w:t>
      </w:r>
      <w:r w:rsidR="004A2828" w:rsidRPr="004A2828">
        <w:rPr>
          <w:lang w:val="en-AU"/>
        </w:rPr>
        <w:t xml:space="preserve"> </w:t>
      </w:r>
      <w:r w:rsidR="004A2828">
        <w:rPr>
          <w:lang w:val="en-AU"/>
        </w:rPr>
        <w:t>cataract (6.6%)</w:t>
      </w:r>
      <w:r w:rsidRPr="0059188A">
        <w:rPr>
          <w:lang w:val="en-AU"/>
        </w:rPr>
        <w:t>.</w:t>
      </w:r>
    </w:p>
    <w:p w:rsidR="00F75699" w:rsidRDefault="00F75699" w:rsidP="004463FA">
      <w:pPr>
        <w:jc w:val="both"/>
        <w:rPr>
          <w:lang w:val="en-AU"/>
        </w:rPr>
      </w:pPr>
    </w:p>
    <w:p w:rsidR="004463FA" w:rsidRPr="0059188A" w:rsidRDefault="004A2828" w:rsidP="004463FA">
      <w:pPr>
        <w:jc w:val="both"/>
        <w:rPr>
          <w:lang w:val="en-AU"/>
        </w:rPr>
      </w:pPr>
      <w:r>
        <w:rPr>
          <w:lang w:val="en-AU"/>
        </w:rPr>
        <w:t>In wet AMD, t</w:t>
      </w:r>
      <w:r w:rsidR="00C84BE7" w:rsidRPr="0059188A">
        <w:rPr>
          <w:lang w:val="en-AU"/>
        </w:rPr>
        <w:t xml:space="preserve">hese adverse reactions occurred with a similar incidence in the </w:t>
      </w:r>
      <w:proofErr w:type="spellStart"/>
      <w:r w:rsidR="00C84BE7" w:rsidRPr="0059188A">
        <w:rPr>
          <w:lang w:val="en-AU"/>
        </w:rPr>
        <w:t>ranibizumab</w:t>
      </w:r>
      <w:proofErr w:type="spellEnd"/>
      <w:r w:rsidR="00C84BE7" w:rsidRPr="0059188A">
        <w:rPr>
          <w:lang w:val="en-AU"/>
        </w:rPr>
        <w:t xml:space="preserve"> treatment group.</w:t>
      </w:r>
    </w:p>
    <w:p w:rsidR="00C444FB" w:rsidRPr="0059188A" w:rsidRDefault="00C444FB" w:rsidP="00D4671A">
      <w:pPr>
        <w:pStyle w:val="Heading2"/>
        <w:rPr>
          <w:rFonts w:ascii="Times New Roman Bold" w:hAnsi="Times New Roman Bold"/>
          <w:i w:val="0"/>
          <w:lang w:val="en-AU"/>
        </w:rPr>
      </w:pPr>
      <w:r w:rsidRPr="0059188A">
        <w:rPr>
          <w:rFonts w:ascii="Times New Roman Bold" w:hAnsi="Times New Roman Bold"/>
          <w:i w:val="0"/>
          <w:lang w:val="en-AU"/>
        </w:rPr>
        <w:t>Tabulated list of adverse reactions</w:t>
      </w:r>
      <w:r w:rsidR="00D462D7" w:rsidRPr="0059188A">
        <w:rPr>
          <w:rFonts w:ascii="Times New Roman Bold" w:hAnsi="Times New Roman Bold"/>
          <w:i w:val="0"/>
          <w:lang w:val="en-AU"/>
        </w:rPr>
        <w:t xml:space="preserve"> </w:t>
      </w:r>
    </w:p>
    <w:p w:rsidR="00C444FB" w:rsidRPr="0059188A" w:rsidRDefault="00C444FB" w:rsidP="004463FA">
      <w:pPr>
        <w:jc w:val="both"/>
        <w:rPr>
          <w:lang w:val="en-AU"/>
        </w:rPr>
      </w:pPr>
    </w:p>
    <w:p w:rsidR="004463FA" w:rsidRPr="0059188A" w:rsidRDefault="004463FA" w:rsidP="00BD6343">
      <w:pPr>
        <w:jc w:val="both"/>
        <w:rPr>
          <w:lang w:val="en-AU" w:eastAsia="en-AU"/>
        </w:rPr>
      </w:pPr>
      <w:r w:rsidRPr="0059188A">
        <w:rPr>
          <w:lang w:val="en-AU"/>
        </w:rPr>
        <w:t>The safety data described below include all adverse reactions</w:t>
      </w:r>
      <w:r w:rsidR="00C84BE7" w:rsidRPr="0059188A">
        <w:rPr>
          <w:lang w:val="en-AU"/>
        </w:rPr>
        <w:t xml:space="preserve"> (serious and non-serious) </w:t>
      </w:r>
      <w:r w:rsidR="004A2828">
        <w:rPr>
          <w:lang w:val="en-AU"/>
        </w:rPr>
        <w:t xml:space="preserve">from seven Phase III studies </w:t>
      </w:r>
      <w:r w:rsidRPr="0059188A">
        <w:rPr>
          <w:lang w:val="en-AU"/>
        </w:rPr>
        <w:t>with a reasonable possibility of causality to the injection procedure or medicinal product</w:t>
      </w:r>
      <w:r w:rsidR="00BD6343">
        <w:rPr>
          <w:lang w:val="en-AU"/>
        </w:rPr>
        <w:t xml:space="preserve"> over the 96 weeks study duration for wet AMD, over 100 weeks for CRVO and over 100 weeks for DME</w:t>
      </w:r>
      <w:r w:rsidRPr="0059188A">
        <w:rPr>
          <w:lang w:val="en-AU"/>
        </w:rPr>
        <w:t xml:space="preserve">. </w:t>
      </w:r>
    </w:p>
    <w:p w:rsidR="004463FA" w:rsidRPr="0059188A" w:rsidRDefault="004463FA" w:rsidP="004463FA">
      <w:pPr>
        <w:jc w:val="both"/>
        <w:rPr>
          <w:lang w:val="en-AU"/>
        </w:rPr>
      </w:pPr>
    </w:p>
    <w:p w:rsidR="00A1753F" w:rsidRPr="0059188A" w:rsidRDefault="004463FA" w:rsidP="004463FA">
      <w:pPr>
        <w:jc w:val="both"/>
        <w:rPr>
          <w:lang w:val="en-AU"/>
        </w:rPr>
      </w:pPr>
      <w:r w:rsidRPr="0059188A">
        <w:rPr>
          <w:lang w:val="en-AU"/>
        </w:rPr>
        <w:t xml:space="preserve">The adverse reactions are listed by system organ class and frequency using the following convention: </w:t>
      </w:r>
      <w:r w:rsidR="00CE4AC1" w:rsidRPr="0059188A">
        <w:rPr>
          <w:lang w:val="en-AU"/>
        </w:rPr>
        <w:t>very</w:t>
      </w:r>
      <w:r w:rsidRPr="0059188A">
        <w:rPr>
          <w:lang w:val="en-AU"/>
        </w:rPr>
        <w:t xml:space="preserve"> common (≥1/10)</w:t>
      </w:r>
      <w:r w:rsidR="00CE4AC1" w:rsidRPr="0059188A">
        <w:rPr>
          <w:lang w:val="en-AU"/>
        </w:rPr>
        <w:t>, common (≥1/100 to &lt;1/10), uncommon</w:t>
      </w:r>
      <w:r w:rsidRPr="0059188A">
        <w:rPr>
          <w:lang w:val="en-AU"/>
        </w:rPr>
        <w:t xml:space="preserve"> (≥1/1,000 to &lt;1/100)</w:t>
      </w:r>
      <w:r w:rsidR="00E401A0" w:rsidRPr="0059188A">
        <w:rPr>
          <w:lang w:val="en-AU"/>
        </w:rPr>
        <w:t>, rare (</w:t>
      </w:r>
      <w:r w:rsidR="00E401A0" w:rsidRPr="0059188A">
        <w:sym w:font="Symbol" w:char="00B3"/>
      </w:r>
      <w:r w:rsidR="00E401A0" w:rsidRPr="0059188A">
        <w:rPr>
          <w:lang w:val="en-GB"/>
        </w:rPr>
        <w:t xml:space="preserve"> 1/10,000 to &lt; 1/1,000 patients)</w:t>
      </w:r>
      <w:r w:rsidR="00CE4AC1" w:rsidRPr="0059188A">
        <w:rPr>
          <w:lang w:val="en-AU"/>
        </w:rPr>
        <w:t>.</w:t>
      </w:r>
      <w:r w:rsidR="004A2828">
        <w:rPr>
          <w:lang w:val="en-AU"/>
        </w:rPr>
        <w:t xml:space="preserve">  Within each frequency grouping, adverse drug reactions are presented in order of decreasing seriousness.</w:t>
      </w:r>
    </w:p>
    <w:p w:rsidR="00CE4AC1" w:rsidRPr="0059188A" w:rsidRDefault="00CE4AC1" w:rsidP="004463FA">
      <w:pPr>
        <w:jc w:val="both"/>
        <w:rPr>
          <w:lang w:val="en-AU"/>
        </w:rPr>
      </w:pPr>
    </w:p>
    <w:p w:rsidR="00CE4AC1" w:rsidRPr="0059188A" w:rsidRDefault="00CE4AC1" w:rsidP="001504C8">
      <w:pPr>
        <w:keepNext/>
        <w:keepLines/>
        <w:jc w:val="both"/>
        <w:rPr>
          <w:b/>
          <w:lang w:val="en-AU"/>
        </w:rPr>
      </w:pPr>
      <w:r w:rsidRPr="0059188A">
        <w:rPr>
          <w:b/>
          <w:lang w:val="en-AU"/>
        </w:rPr>
        <w:t>Table</w:t>
      </w:r>
      <w:r w:rsidR="009D146B">
        <w:rPr>
          <w:b/>
          <w:lang w:val="en-AU"/>
        </w:rPr>
        <w:t xml:space="preserve"> 6</w:t>
      </w:r>
      <w:r w:rsidRPr="0059188A">
        <w:rPr>
          <w:b/>
          <w:lang w:val="en-AU"/>
        </w:rPr>
        <w:t xml:space="preserve">: </w:t>
      </w:r>
      <w:r w:rsidR="004A2828">
        <w:rPr>
          <w:b/>
          <w:lang w:val="en-AU"/>
        </w:rPr>
        <w:t>All treatment-emergent a</w:t>
      </w:r>
      <w:r w:rsidRPr="0059188A">
        <w:rPr>
          <w:b/>
          <w:lang w:val="en-AU"/>
        </w:rPr>
        <w:t xml:space="preserve">dverse reactions </w:t>
      </w:r>
      <w:r w:rsidR="004A2828">
        <w:rPr>
          <w:b/>
          <w:lang w:val="en-AU"/>
        </w:rPr>
        <w:t xml:space="preserve">reported in patients </w:t>
      </w:r>
      <w:r w:rsidRPr="0059188A">
        <w:rPr>
          <w:b/>
          <w:lang w:val="en-AU"/>
        </w:rPr>
        <w:t xml:space="preserve">in </w:t>
      </w:r>
      <w:r w:rsidR="004A2828">
        <w:rPr>
          <w:b/>
          <w:lang w:val="en-AU"/>
        </w:rPr>
        <w:t>P</w:t>
      </w:r>
      <w:r w:rsidRPr="0059188A">
        <w:rPr>
          <w:b/>
          <w:lang w:val="en-AU"/>
        </w:rPr>
        <w:t>hase III studies</w:t>
      </w:r>
    </w:p>
    <w:p w:rsidR="00CE4AC1" w:rsidRPr="0059188A" w:rsidRDefault="00CE4AC1" w:rsidP="00166067">
      <w:pPr>
        <w:keepLines/>
        <w:jc w:val="both"/>
        <w:rPr>
          <w:lang w:val="en-AU"/>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1625"/>
        <w:gridCol w:w="2405"/>
        <w:gridCol w:w="1992"/>
        <w:gridCol w:w="1446"/>
      </w:tblGrid>
      <w:tr w:rsidR="00E401A0" w:rsidRPr="0059188A" w:rsidTr="00166067">
        <w:trPr>
          <w:tblHeader/>
        </w:trPr>
        <w:tc>
          <w:tcPr>
            <w:tcW w:w="1280" w:type="dxa"/>
            <w:shd w:val="clear" w:color="auto" w:fill="E6E6E6"/>
          </w:tcPr>
          <w:p w:rsidR="00E401A0" w:rsidRPr="0059188A" w:rsidRDefault="00E401A0" w:rsidP="00166067">
            <w:pPr>
              <w:keepLines/>
              <w:rPr>
                <w:b/>
                <w:sz w:val="20"/>
                <w:szCs w:val="20"/>
                <w:lang w:val="en-AU"/>
              </w:rPr>
            </w:pPr>
            <w:r w:rsidRPr="0059188A">
              <w:rPr>
                <w:b/>
                <w:sz w:val="20"/>
                <w:szCs w:val="20"/>
                <w:lang w:val="en-AU"/>
              </w:rPr>
              <w:t>System Organ Class</w:t>
            </w:r>
          </w:p>
        </w:tc>
        <w:tc>
          <w:tcPr>
            <w:tcW w:w="1625" w:type="dxa"/>
            <w:shd w:val="clear" w:color="auto" w:fill="E6E6E6"/>
          </w:tcPr>
          <w:p w:rsidR="00E401A0" w:rsidRPr="0059188A" w:rsidRDefault="00E401A0" w:rsidP="00166067">
            <w:pPr>
              <w:keepLines/>
              <w:jc w:val="center"/>
              <w:rPr>
                <w:b/>
                <w:sz w:val="20"/>
                <w:szCs w:val="20"/>
                <w:lang w:val="en-AU"/>
              </w:rPr>
            </w:pPr>
            <w:r w:rsidRPr="0059188A">
              <w:rPr>
                <w:b/>
                <w:sz w:val="20"/>
                <w:szCs w:val="20"/>
                <w:lang w:val="en-AU"/>
              </w:rPr>
              <w:t>Very common</w:t>
            </w:r>
          </w:p>
          <w:p w:rsidR="00E401A0" w:rsidRPr="0059188A" w:rsidRDefault="00E401A0" w:rsidP="00166067">
            <w:pPr>
              <w:keepLines/>
              <w:jc w:val="center"/>
              <w:rPr>
                <w:b/>
                <w:sz w:val="20"/>
                <w:szCs w:val="20"/>
                <w:lang w:val="en-AU"/>
              </w:rPr>
            </w:pPr>
            <w:r w:rsidRPr="0059188A">
              <w:rPr>
                <w:b/>
                <w:sz w:val="20"/>
                <w:szCs w:val="20"/>
                <w:lang w:val="en-AU"/>
              </w:rPr>
              <w:t>(≥1/10)</w:t>
            </w:r>
          </w:p>
        </w:tc>
        <w:tc>
          <w:tcPr>
            <w:tcW w:w="2405" w:type="dxa"/>
            <w:shd w:val="clear" w:color="auto" w:fill="E6E6E6"/>
          </w:tcPr>
          <w:p w:rsidR="00E401A0" w:rsidRPr="0059188A" w:rsidRDefault="00E401A0" w:rsidP="00166067">
            <w:pPr>
              <w:keepLines/>
              <w:jc w:val="center"/>
              <w:rPr>
                <w:b/>
                <w:sz w:val="20"/>
                <w:szCs w:val="20"/>
                <w:lang w:val="en-AU"/>
              </w:rPr>
            </w:pPr>
            <w:r w:rsidRPr="0059188A">
              <w:rPr>
                <w:b/>
                <w:sz w:val="20"/>
                <w:szCs w:val="20"/>
                <w:lang w:val="en-AU"/>
              </w:rPr>
              <w:t>Common</w:t>
            </w:r>
          </w:p>
          <w:p w:rsidR="00E401A0" w:rsidRPr="0059188A" w:rsidRDefault="00E401A0" w:rsidP="00166067">
            <w:pPr>
              <w:keepLines/>
              <w:jc w:val="center"/>
              <w:rPr>
                <w:b/>
                <w:sz w:val="20"/>
                <w:szCs w:val="20"/>
                <w:lang w:val="en-AU"/>
              </w:rPr>
            </w:pPr>
            <w:r w:rsidRPr="0059188A">
              <w:rPr>
                <w:b/>
                <w:sz w:val="20"/>
                <w:szCs w:val="20"/>
                <w:lang w:val="en-AU"/>
              </w:rPr>
              <w:t>(≥1/100 to &lt;1/10)</w:t>
            </w:r>
          </w:p>
        </w:tc>
        <w:tc>
          <w:tcPr>
            <w:tcW w:w="1992" w:type="dxa"/>
            <w:shd w:val="clear" w:color="auto" w:fill="E6E6E6"/>
          </w:tcPr>
          <w:p w:rsidR="00E401A0" w:rsidRPr="0059188A" w:rsidRDefault="00E401A0" w:rsidP="002A68C2">
            <w:pPr>
              <w:keepLines/>
              <w:ind w:right="-144"/>
              <w:jc w:val="center"/>
              <w:rPr>
                <w:b/>
                <w:sz w:val="20"/>
                <w:szCs w:val="20"/>
                <w:lang w:val="en-AU"/>
              </w:rPr>
            </w:pPr>
            <w:r w:rsidRPr="0059188A">
              <w:rPr>
                <w:b/>
                <w:sz w:val="20"/>
                <w:szCs w:val="20"/>
                <w:lang w:val="en-AU"/>
              </w:rPr>
              <w:t>Uncommon</w:t>
            </w:r>
          </w:p>
          <w:p w:rsidR="00E401A0" w:rsidRPr="0059188A" w:rsidRDefault="00E401A0" w:rsidP="002A68C2">
            <w:pPr>
              <w:keepLines/>
              <w:ind w:left="-65" w:right="-144"/>
              <w:jc w:val="center"/>
              <w:rPr>
                <w:b/>
                <w:sz w:val="20"/>
                <w:szCs w:val="20"/>
                <w:lang w:val="en-AU"/>
              </w:rPr>
            </w:pPr>
            <w:r w:rsidRPr="0059188A">
              <w:rPr>
                <w:b/>
                <w:sz w:val="20"/>
                <w:szCs w:val="20"/>
                <w:lang w:val="en-AU"/>
              </w:rPr>
              <w:t>(≥1/1,000 to &lt;1/100)</w:t>
            </w:r>
          </w:p>
        </w:tc>
        <w:tc>
          <w:tcPr>
            <w:tcW w:w="1446" w:type="dxa"/>
            <w:shd w:val="clear" w:color="auto" w:fill="E6E6E6"/>
          </w:tcPr>
          <w:p w:rsidR="00E401A0" w:rsidRPr="0059188A" w:rsidRDefault="00E401A0" w:rsidP="00166067">
            <w:pPr>
              <w:keepLines/>
              <w:jc w:val="center"/>
              <w:rPr>
                <w:b/>
                <w:sz w:val="20"/>
                <w:szCs w:val="20"/>
                <w:lang w:val="en-AU"/>
              </w:rPr>
            </w:pPr>
            <w:r w:rsidRPr="0059188A">
              <w:rPr>
                <w:b/>
                <w:sz w:val="20"/>
                <w:szCs w:val="20"/>
                <w:lang w:val="en-AU"/>
              </w:rPr>
              <w:t>Rare</w:t>
            </w:r>
          </w:p>
          <w:p w:rsidR="00E401A0" w:rsidRPr="0059188A" w:rsidRDefault="00E401A0" w:rsidP="00166067">
            <w:pPr>
              <w:keepLines/>
              <w:jc w:val="center"/>
              <w:rPr>
                <w:b/>
                <w:sz w:val="20"/>
                <w:szCs w:val="20"/>
                <w:lang w:val="en-AU"/>
              </w:rPr>
            </w:pPr>
            <w:r w:rsidRPr="0059188A">
              <w:rPr>
                <w:b/>
                <w:sz w:val="20"/>
                <w:szCs w:val="20"/>
                <w:lang w:val="en-AU"/>
              </w:rPr>
              <w:t>(</w:t>
            </w:r>
            <w:r w:rsidRPr="0059188A">
              <w:rPr>
                <w:b/>
                <w:sz w:val="20"/>
                <w:szCs w:val="20"/>
                <w:lang w:val="en-AU"/>
              </w:rPr>
              <w:sym w:font="Symbol" w:char="00B3"/>
            </w:r>
            <w:r w:rsidRPr="0059188A">
              <w:rPr>
                <w:b/>
                <w:sz w:val="20"/>
                <w:szCs w:val="20"/>
                <w:lang w:val="en-AU"/>
              </w:rPr>
              <w:t xml:space="preserve"> 1/10,000 to &lt; 1/1,000)</w:t>
            </w:r>
          </w:p>
        </w:tc>
      </w:tr>
      <w:tr w:rsidR="000C4D1A" w:rsidRPr="0059188A" w:rsidTr="000C4D1A">
        <w:tc>
          <w:tcPr>
            <w:tcW w:w="1280" w:type="dxa"/>
            <w:shd w:val="clear" w:color="auto" w:fill="auto"/>
          </w:tcPr>
          <w:p w:rsidR="000C4D1A" w:rsidRPr="0059188A" w:rsidRDefault="000C4D1A" w:rsidP="00166067">
            <w:pPr>
              <w:keepLines/>
              <w:rPr>
                <w:sz w:val="20"/>
                <w:szCs w:val="20"/>
                <w:lang w:val="en-AU"/>
              </w:rPr>
            </w:pPr>
            <w:r w:rsidRPr="0059188A">
              <w:rPr>
                <w:sz w:val="20"/>
                <w:szCs w:val="20"/>
                <w:lang w:val="en-AU"/>
              </w:rPr>
              <w:t>Immune system disorders</w:t>
            </w:r>
          </w:p>
        </w:tc>
        <w:tc>
          <w:tcPr>
            <w:tcW w:w="1625" w:type="dxa"/>
            <w:shd w:val="clear" w:color="auto" w:fill="auto"/>
          </w:tcPr>
          <w:p w:rsidR="000C4D1A" w:rsidRPr="0059188A" w:rsidRDefault="000C4D1A" w:rsidP="00166067">
            <w:pPr>
              <w:keepLines/>
              <w:rPr>
                <w:sz w:val="20"/>
                <w:szCs w:val="20"/>
                <w:lang w:val="en-AU"/>
              </w:rPr>
            </w:pPr>
          </w:p>
        </w:tc>
        <w:tc>
          <w:tcPr>
            <w:tcW w:w="2405" w:type="dxa"/>
            <w:shd w:val="clear" w:color="auto" w:fill="auto"/>
          </w:tcPr>
          <w:p w:rsidR="000C4D1A" w:rsidRPr="0059188A" w:rsidRDefault="000C4D1A" w:rsidP="00166067">
            <w:pPr>
              <w:keepLines/>
              <w:rPr>
                <w:sz w:val="20"/>
                <w:szCs w:val="20"/>
                <w:lang w:val="en-AU"/>
              </w:rPr>
            </w:pPr>
          </w:p>
        </w:tc>
        <w:tc>
          <w:tcPr>
            <w:tcW w:w="1992" w:type="dxa"/>
            <w:shd w:val="clear" w:color="auto" w:fill="auto"/>
          </w:tcPr>
          <w:p w:rsidR="000C4D1A" w:rsidRPr="0059188A" w:rsidRDefault="000C4D1A" w:rsidP="002A68C2">
            <w:pPr>
              <w:keepLines/>
              <w:ind w:right="-144"/>
              <w:rPr>
                <w:sz w:val="20"/>
                <w:szCs w:val="20"/>
                <w:lang w:val="en-AU"/>
              </w:rPr>
            </w:pPr>
            <w:r w:rsidRPr="0059188A">
              <w:rPr>
                <w:sz w:val="20"/>
                <w:szCs w:val="20"/>
                <w:lang w:val="en-AU"/>
              </w:rPr>
              <w:t>Hypersensitivity</w:t>
            </w:r>
            <w:r w:rsidR="002A68C2">
              <w:rPr>
                <w:sz w:val="20"/>
                <w:szCs w:val="20"/>
                <w:lang w:val="en-AU"/>
              </w:rPr>
              <w:t>***</w:t>
            </w:r>
          </w:p>
        </w:tc>
        <w:tc>
          <w:tcPr>
            <w:tcW w:w="1446" w:type="dxa"/>
          </w:tcPr>
          <w:p w:rsidR="000C4D1A" w:rsidRPr="0059188A" w:rsidRDefault="000C4D1A" w:rsidP="00166067">
            <w:pPr>
              <w:keepLines/>
              <w:rPr>
                <w:sz w:val="20"/>
                <w:szCs w:val="20"/>
                <w:lang w:val="en-AU"/>
              </w:rPr>
            </w:pPr>
          </w:p>
        </w:tc>
      </w:tr>
      <w:tr w:rsidR="00E401A0" w:rsidRPr="0059188A" w:rsidTr="000C4D1A">
        <w:tc>
          <w:tcPr>
            <w:tcW w:w="1280" w:type="dxa"/>
            <w:shd w:val="clear" w:color="auto" w:fill="auto"/>
          </w:tcPr>
          <w:p w:rsidR="00E401A0" w:rsidRPr="0059188A" w:rsidRDefault="00E401A0" w:rsidP="00497542">
            <w:pPr>
              <w:rPr>
                <w:sz w:val="20"/>
                <w:szCs w:val="20"/>
                <w:lang w:val="en-AU"/>
              </w:rPr>
            </w:pPr>
            <w:r w:rsidRPr="0059188A">
              <w:rPr>
                <w:sz w:val="20"/>
                <w:szCs w:val="20"/>
                <w:lang w:val="en-AU"/>
              </w:rPr>
              <w:t>Eye disorders</w:t>
            </w:r>
          </w:p>
        </w:tc>
        <w:tc>
          <w:tcPr>
            <w:tcW w:w="1625" w:type="dxa"/>
            <w:shd w:val="clear" w:color="auto" w:fill="auto"/>
          </w:tcPr>
          <w:p w:rsidR="005305DE" w:rsidRPr="0059188A" w:rsidRDefault="00E401A0" w:rsidP="00497542">
            <w:pPr>
              <w:rPr>
                <w:sz w:val="20"/>
                <w:szCs w:val="20"/>
                <w:lang w:val="en-AU"/>
              </w:rPr>
            </w:pPr>
            <w:r w:rsidRPr="0059188A">
              <w:rPr>
                <w:sz w:val="20"/>
                <w:szCs w:val="20"/>
                <w:lang w:val="en-AU"/>
              </w:rPr>
              <w:t>Conjunctival haemorrhage,</w:t>
            </w:r>
          </w:p>
          <w:p w:rsidR="00307197" w:rsidRDefault="00307197" w:rsidP="00497542">
            <w:pPr>
              <w:rPr>
                <w:sz w:val="20"/>
                <w:szCs w:val="20"/>
                <w:lang w:val="en-AU"/>
              </w:rPr>
            </w:pPr>
            <w:r>
              <w:rPr>
                <w:sz w:val="20"/>
                <w:szCs w:val="20"/>
                <w:lang w:val="en-AU"/>
              </w:rPr>
              <w:t>Visual acuity reduced,</w:t>
            </w:r>
            <w:r>
              <w:rPr>
                <w:sz w:val="20"/>
                <w:szCs w:val="20"/>
                <w:lang w:val="en-AU"/>
              </w:rPr>
              <w:br/>
            </w:r>
            <w:r w:rsidR="00E401A0" w:rsidRPr="0059188A">
              <w:rPr>
                <w:sz w:val="20"/>
                <w:szCs w:val="20"/>
                <w:lang w:val="en-AU"/>
              </w:rPr>
              <w:t>Eye pain</w:t>
            </w:r>
          </w:p>
          <w:p w:rsidR="00307197" w:rsidRPr="0059188A" w:rsidRDefault="00307197" w:rsidP="00497542">
            <w:pPr>
              <w:rPr>
                <w:sz w:val="20"/>
                <w:szCs w:val="20"/>
                <w:lang w:val="en-AU"/>
              </w:rPr>
            </w:pPr>
          </w:p>
        </w:tc>
        <w:tc>
          <w:tcPr>
            <w:tcW w:w="2405" w:type="dxa"/>
            <w:shd w:val="clear" w:color="auto" w:fill="auto"/>
          </w:tcPr>
          <w:p w:rsidR="00E401A0" w:rsidRPr="0059188A" w:rsidRDefault="00E401A0" w:rsidP="00497542">
            <w:pPr>
              <w:rPr>
                <w:sz w:val="20"/>
                <w:szCs w:val="20"/>
                <w:lang w:val="en-AU"/>
              </w:rPr>
            </w:pPr>
            <w:r w:rsidRPr="0059188A">
              <w:rPr>
                <w:sz w:val="20"/>
                <w:szCs w:val="20"/>
                <w:lang w:val="en-AU"/>
              </w:rPr>
              <w:t>Retinal pigment epitheli</w:t>
            </w:r>
            <w:r w:rsidR="00214AB9">
              <w:rPr>
                <w:sz w:val="20"/>
                <w:szCs w:val="20"/>
                <w:lang w:val="en-AU"/>
              </w:rPr>
              <w:t>al</w:t>
            </w:r>
            <w:r w:rsidRPr="0059188A">
              <w:rPr>
                <w:sz w:val="20"/>
                <w:szCs w:val="20"/>
                <w:lang w:val="en-AU"/>
              </w:rPr>
              <w:t xml:space="preserve"> tear</w:t>
            </w:r>
            <w:r w:rsidR="002A68C2">
              <w:rPr>
                <w:sz w:val="20"/>
                <w:szCs w:val="20"/>
                <w:lang w:val="en-AU"/>
              </w:rPr>
              <w:t>*</w:t>
            </w:r>
            <w:r w:rsidRPr="0059188A">
              <w:rPr>
                <w:sz w:val="20"/>
                <w:szCs w:val="20"/>
                <w:lang w:val="en-AU"/>
              </w:rPr>
              <w:t>,</w:t>
            </w:r>
          </w:p>
          <w:p w:rsidR="00E401A0" w:rsidRDefault="00E401A0" w:rsidP="00497542">
            <w:pPr>
              <w:rPr>
                <w:sz w:val="20"/>
                <w:szCs w:val="20"/>
                <w:lang w:val="en-AU"/>
              </w:rPr>
            </w:pPr>
            <w:r w:rsidRPr="0059188A">
              <w:rPr>
                <w:sz w:val="20"/>
                <w:szCs w:val="20"/>
                <w:lang w:val="en-AU"/>
              </w:rPr>
              <w:t>Detachment of the retinal pigment epithelium,</w:t>
            </w:r>
          </w:p>
          <w:p w:rsidR="00307197" w:rsidRDefault="00307197" w:rsidP="00497542">
            <w:pPr>
              <w:rPr>
                <w:sz w:val="20"/>
                <w:szCs w:val="20"/>
                <w:lang w:val="en-AU"/>
              </w:rPr>
            </w:pPr>
            <w:r>
              <w:rPr>
                <w:sz w:val="20"/>
                <w:szCs w:val="20"/>
                <w:lang w:val="en-AU"/>
              </w:rPr>
              <w:t>Retinal degeneration,</w:t>
            </w:r>
          </w:p>
          <w:p w:rsidR="00307197" w:rsidRPr="0059188A" w:rsidRDefault="00307197" w:rsidP="00497542">
            <w:pPr>
              <w:rPr>
                <w:sz w:val="20"/>
                <w:szCs w:val="20"/>
                <w:lang w:val="en-AU"/>
              </w:rPr>
            </w:pPr>
            <w:r>
              <w:rPr>
                <w:sz w:val="20"/>
                <w:szCs w:val="20"/>
                <w:lang w:val="en-AU"/>
              </w:rPr>
              <w:t>Vitreous haemorrhage,</w:t>
            </w:r>
          </w:p>
          <w:p w:rsidR="00E401A0" w:rsidRPr="0059188A" w:rsidRDefault="00E401A0" w:rsidP="005305DE">
            <w:pPr>
              <w:rPr>
                <w:sz w:val="20"/>
                <w:szCs w:val="20"/>
                <w:lang w:val="en-AU"/>
              </w:rPr>
            </w:pPr>
            <w:r w:rsidRPr="0059188A">
              <w:rPr>
                <w:sz w:val="20"/>
                <w:szCs w:val="20"/>
                <w:lang w:val="en-AU"/>
              </w:rPr>
              <w:t>Cataract,</w:t>
            </w:r>
          </w:p>
          <w:p w:rsidR="00E401A0" w:rsidRPr="0059188A" w:rsidRDefault="00E401A0" w:rsidP="00497542">
            <w:pPr>
              <w:rPr>
                <w:sz w:val="20"/>
                <w:szCs w:val="20"/>
                <w:lang w:val="en-AU"/>
              </w:rPr>
            </w:pPr>
            <w:r w:rsidRPr="0059188A">
              <w:rPr>
                <w:sz w:val="20"/>
                <w:szCs w:val="20"/>
                <w:lang w:val="en-AU"/>
              </w:rPr>
              <w:t>Cataract nuclear,</w:t>
            </w:r>
          </w:p>
          <w:p w:rsidR="00E401A0" w:rsidRDefault="00E401A0" w:rsidP="00497542">
            <w:pPr>
              <w:rPr>
                <w:sz w:val="20"/>
                <w:szCs w:val="20"/>
                <w:lang w:val="en-AU"/>
              </w:rPr>
            </w:pPr>
            <w:r w:rsidRPr="0059188A">
              <w:rPr>
                <w:sz w:val="20"/>
                <w:szCs w:val="20"/>
                <w:lang w:val="en-AU"/>
              </w:rPr>
              <w:t xml:space="preserve">Cataract </w:t>
            </w:r>
            <w:proofErr w:type="spellStart"/>
            <w:r w:rsidRPr="0059188A">
              <w:rPr>
                <w:sz w:val="20"/>
                <w:szCs w:val="20"/>
                <w:lang w:val="en-AU"/>
              </w:rPr>
              <w:t>subcapsular</w:t>
            </w:r>
            <w:proofErr w:type="spellEnd"/>
            <w:r w:rsidRPr="0059188A">
              <w:rPr>
                <w:sz w:val="20"/>
                <w:szCs w:val="20"/>
                <w:lang w:val="en-AU"/>
              </w:rPr>
              <w:t>,</w:t>
            </w:r>
          </w:p>
          <w:p w:rsidR="002A68C2" w:rsidRPr="0059188A" w:rsidRDefault="002A68C2" w:rsidP="00497542">
            <w:pPr>
              <w:rPr>
                <w:sz w:val="20"/>
                <w:szCs w:val="20"/>
                <w:lang w:val="en-AU"/>
              </w:rPr>
            </w:pPr>
            <w:r w:rsidRPr="0059188A">
              <w:rPr>
                <w:sz w:val="20"/>
                <w:szCs w:val="20"/>
                <w:lang w:val="en-AU"/>
              </w:rPr>
              <w:t>Cataract cortical,</w:t>
            </w:r>
          </w:p>
          <w:p w:rsidR="00E401A0" w:rsidRPr="0059188A" w:rsidRDefault="00E401A0" w:rsidP="00497542">
            <w:pPr>
              <w:rPr>
                <w:sz w:val="20"/>
                <w:szCs w:val="20"/>
                <w:lang w:val="en-AU"/>
              </w:rPr>
            </w:pPr>
            <w:r w:rsidRPr="0059188A">
              <w:rPr>
                <w:sz w:val="20"/>
                <w:szCs w:val="20"/>
                <w:lang w:val="en-AU"/>
              </w:rPr>
              <w:t>Corneal erosion,</w:t>
            </w:r>
          </w:p>
          <w:p w:rsidR="00E401A0" w:rsidRPr="0059188A" w:rsidRDefault="00E401A0" w:rsidP="00497542">
            <w:pPr>
              <w:rPr>
                <w:sz w:val="20"/>
                <w:szCs w:val="20"/>
                <w:lang w:val="en-AU"/>
              </w:rPr>
            </w:pPr>
            <w:r w:rsidRPr="0059188A">
              <w:rPr>
                <w:sz w:val="20"/>
                <w:szCs w:val="20"/>
                <w:lang w:val="en-AU"/>
              </w:rPr>
              <w:t>Corneal abrasion,</w:t>
            </w:r>
          </w:p>
          <w:p w:rsidR="00E401A0" w:rsidRPr="0059188A" w:rsidRDefault="00E401A0" w:rsidP="00497542">
            <w:pPr>
              <w:rPr>
                <w:sz w:val="20"/>
                <w:szCs w:val="20"/>
                <w:lang w:val="en-AU"/>
              </w:rPr>
            </w:pPr>
            <w:r w:rsidRPr="0059188A">
              <w:rPr>
                <w:sz w:val="20"/>
                <w:szCs w:val="20"/>
                <w:lang w:val="en-AU"/>
              </w:rPr>
              <w:t>Intraocular pressure increased,</w:t>
            </w:r>
          </w:p>
          <w:p w:rsidR="00E401A0" w:rsidRPr="0059188A" w:rsidRDefault="00E401A0" w:rsidP="00497542">
            <w:pPr>
              <w:rPr>
                <w:sz w:val="20"/>
                <w:szCs w:val="20"/>
                <w:lang w:val="en-AU"/>
              </w:rPr>
            </w:pPr>
            <w:r w:rsidRPr="0059188A">
              <w:rPr>
                <w:sz w:val="20"/>
                <w:szCs w:val="20"/>
                <w:lang w:val="en-AU"/>
              </w:rPr>
              <w:t>Vision blurred,</w:t>
            </w:r>
          </w:p>
          <w:p w:rsidR="00E401A0" w:rsidRPr="0059188A" w:rsidRDefault="00E401A0" w:rsidP="00497542">
            <w:pPr>
              <w:rPr>
                <w:sz w:val="20"/>
                <w:szCs w:val="20"/>
                <w:lang w:val="en-AU"/>
              </w:rPr>
            </w:pPr>
            <w:r w:rsidRPr="0059188A">
              <w:rPr>
                <w:sz w:val="20"/>
                <w:szCs w:val="20"/>
                <w:lang w:val="en-AU"/>
              </w:rPr>
              <w:t>Vitreous floaters,</w:t>
            </w:r>
          </w:p>
          <w:p w:rsidR="00E401A0" w:rsidRPr="0059188A" w:rsidRDefault="00E401A0" w:rsidP="00497542">
            <w:pPr>
              <w:rPr>
                <w:sz w:val="20"/>
                <w:szCs w:val="20"/>
                <w:lang w:val="en-AU"/>
              </w:rPr>
            </w:pPr>
            <w:r w:rsidRPr="0059188A">
              <w:rPr>
                <w:sz w:val="20"/>
                <w:szCs w:val="20"/>
                <w:lang w:val="en-AU"/>
              </w:rPr>
              <w:t>Corneal oedema,</w:t>
            </w:r>
          </w:p>
          <w:p w:rsidR="00E401A0" w:rsidRPr="0059188A" w:rsidRDefault="00E401A0" w:rsidP="00497542">
            <w:pPr>
              <w:rPr>
                <w:sz w:val="20"/>
                <w:szCs w:val="20"/>
                <w:lang w:val="en-AU"/>
              </w:rPr>
            </w:pPr>
            <w:r w:rsidRPr="0059188A">
              <w:rPr>
                <w:sz w:val="20"/>
                <w:szCs w:val="20"/>
                <w:lang w:val="en-AU"/>
              </w:rPr>
              <w:t>Vitreous detachment,</w:t>
            </w:r>
          </w:p>
          <w:p w:rsidR="00E401A0" w:rsidRPr="0059188A" w:rsidRDefault="00E401A0" w:rsidP="00497542">
            <w:pPr>
              <w:rPr>
                <w:sz w:val="20"/>
                <w:szCs w:val="20"/>
                <w:lang w:val="en-AU"/>
              </w:rPr>
            </w:pPr>
            <w:r w:rsidRPr="0059188A">
              <w:rPr>
                <w:sz w:val="20"/>
                <w:szCs w:val="20"/>
                <w:lang w:val="en-AU"/>
              </w:rPr>
              <w:t>Injection site pain,</w:t>
            </w:r>
          </w:p>
          <w:p w:rsidR="00E401A0" w:rsidRPr="0059188A" w:rsidRDefault="00E401A0" w:rsidP="00497542">
            <w:pPr>
              <w:rPr>
                <w:sz w:val="20"/>
                <w:szCs w:val="20"/>
                <w:lang w:val="en-AU"/>
              </w:rPr>
            </w:pPr>
            <w:r w:rsidRPr="0059188A">
              <w:rPr>
                <w:sz w:val="20"/>
                <w:szCs w:val="20"/>
                <w:lang w:val="en-AU"/>
              </w:rPr>
              <w:t>Foreign body sensation in eyes,</w:t>
            </w:r>
          </w:p>
          <w:p w:rsidR="00E401A0" w:rsidRPr="0059188A" w:rsidRDefault="00E401A0" w:rsidP="00497542">
            <w:pPr>
              <w:rPr>
                <w:sz w:val="20"/>
                <w:szCs w:val="20"/>
                <w:lang w:val="en-AU"/>
              </w:rPr>
            </w:pPr>
            <w:r w:rsidRPr="0059188A">
              <w:rPr>
                <w:sz w:val="20"/>
                <w:szCs w:val="20"/>
                <w:lang w:val="en-AU"/>
              </w:rPr>
              <w:t>Lacrimation increased,</w:t>
            </w:r>
          </w:p>
          <w:p w:rsidR="00E401A0" w:rsidRPr="0059188A" w:rsidRDefault="00E401A0" w:rsidP="00497542">
            <w:pPr>
              <w:rPr>
                <w:sz w:val="20"/>
                <w:szCs w:val="20"/>
                <w:lang w:val="en-AU"/>
              </w:rPr>
            </w:pPr>
            <w:r w:rsidRPr="0059188A">
              <w:rPr>
                <w:sz w:val="20"/>
                <w:szCs w:val="20"/>
                <w:lang w:val="en-AU"/>
              </w:rPr>
              <w:t>Eyelid oedema,</w:t>
            </w:r>
          </w:p>
          <w:p w:rsidR="00E401A0" w:rsidRDefault="00E401A0" w:rsidP="00497542">
            <w:pPr>
              <w:rPr>
                <w:sz w:val="20"/>
                <w:szCs w:val="20"/>
                <w:lang w:val="en-AU"/>
              </w:rPr>
            </w:pPr>
            <w:r w:rsidRPr="0059188A">
              <w:rPr>
                <w:sz w:val="20"/>
                <w:szCs w:val="20"/>
                <w:lang w:val="en-AU"/>
              </w:rPr>
              <w:t>Injection site haemorrhage,</w:t>
            </w:r>
          </w:p>
          <w:p w:rsidR="002A68C2" w:rsidRPr="0059188A" w:rsidRDefault="002A68C2" w:rsidP="00497542">
            <w:pPr>
              <w:rPr>
                <w:sz w:val="20"/>
                <w:szCs w:val="20"/>
                <w:lang w:val="en-AU"/>
              </w:rPr>
            </w:pPr>
            <w:r>
              <w:rPr>
                <w:sz w:val="20"/>
                <w:szCs w:val="20"/>
                <w:lang w:val="en-AU"/>
              </w:rPr>
              <w:t>Punctate keratitis,</w:t>
            </w:r>
          </w:p>
          <w:p w:rsidR="00E401A0" w:rsidRPr="0059188A" w:rsidRDefault="00E401A0" w:rsidP="00497542">
            <w:pPr>
              <w:rPr>
                <w:sz w:val="20"/>
                <w:szCs w:val="20"/>
                <w:lang w:val="en-AU"/>
              </w:rPr>
            </w:pPr>
            <w:r w:rsidRPr="0059188A">
              <w:rPr>
                <w:sz w:val="20"/>
                <w:szCs w:val="20"/>
                <w:lang w:val="en-AU"/>
              </w:rPr>
              <w:t>Conjunctival hyperaemia</w:t>
            </w:r>
          </w:p>
          <w:p w:rsidR="00E401A0" w:rsidRPr="0059188A" w:rsidRDefault="00E401A0" w:rsidP="00497542">
            <w:pPr>
              <w:rPr>
                <w:sz w:val="20"/>
                <w:szCs w:val="20"/>
                <w:lang w:val="en-AU"/>
              </w:rPr>
            </w:pPr>
            <w:r w:rsidRPr="0059188A">
              <w:rPr>
                <w:sz w:val="20"/>
                <w:szCs w:val="20"/>
                <w:lang w:val="en-AU"/>
              </w:rPr>
              <w:t>Ocular hyperaemia</w:t>
            </w:r>
          </w:p>
        </w:tc>
        <w:tc>
          <w:tcPr>
            <w:tcW w:w="1992" w:type="dxa"/>
            <w:shd w:val="clear" w:color="auto" w:fill="auto"/>
          </w:tcPr>
          <w:p w:rsidR="00E401A0" w:rsidRPr="0059188A" w:rsidRDefault="00307197" w:rsidP="002A68C2">
            <w:pPr>
              <w:ind w:right="-144"/>
              <w:rPr>
                <w:sz w:val="20"/>
                <w:szCs w:val="20"/>
                <w:lang w:val="en-AU"/>
              </w:rPr>
            </w:pPr>
            <w:r>
              <w:rPr>
                <w:sz w:val="20"/>
                <w:szCs w:val="20"/>
                <w:lang w:val="en-AU"/>
              </w:rPr>
              <w:t>Blindness</w:t>
            </w:r>
            <w:r w:rsidR="002A68C2">
              <w:rPr>
                <w:sz w:val="20"/>
                <w:szCs w:val="20"/>
                <w:lang w:val="en-AU"/>
              </w:rPr>
              <w:t>,</w:t>
            </w:r>
            <w:r w:rsidRPr="0059188A">
              <w:rPr>
                <w:sz w:val="20"/>
                <w:szCs w:val="20"/>
                <w:lang w:val="en-AU"/>
              </w:rPr>
              <w:t xml:space="preserve"> </w:t>
            </w:r>
            <w:proofErr w:type="spellStart"/>
            <w:r w:rsidR="00E401A0" w:rsidRPr="0059188A">
              <w:rPr>
                <w:sz w:val="20"/>
                <w:szCs w:val="20"/>
                <w:lang w:val="en-AU"/>
              </w:rPr>
              <w:t>Endophthalmitis</w:t>
            </w:r>
            <w:proofErr w:type="spellEnd"/>
            <w:r w:rsidR="002A68C2">
              <w:rPr>
                <w:sz w:val="20"/>
                <w:szCs w:val="20"/>
                <w:lang w:val="en-AU"/>
              </w:rPr>
              <w:t>**</w:t>
            </w:r>
            <w:r w:rsidR="00E401A0" w:rsidRPr="0059188A">
              <w:rPr>
                <w:sz w:val="20"/>
                <w:szCs w:val="20"/>
                <w:lang w:val="en-AU"/>
              </w:rPr>
              <w:t>,</w:t>
            </w:r>
          </w:p>
          <w:p w:rsidR="000875C5" w:rsidRPr="0059188A" w:rsidRDefault="000875C5" w:rsidP="002A68C2">
            <w:pPr>
              <w:ind w:right="-144"/>
              <w:rPr>
                <w:sz w:val="20"/>
                <w:szCs w:val="20"/>
                <w:lang w:val="en-AU"/>
              </w:rPr>
            </w:pPr>
            <w:r w:rsidRPr="0059188A">
              <w:rPr>
                <w:sz w:val="20"/>
                <w:szCs w:val="20"/>
                <w:lang w:val="en-AU"/>
              </w:rPr>
              <w:t>Retinal detachment,</w:t>
            </w:r>
          </w:p>
          <w:p w:rsidR="004F1DB0" w:rsidRPr="0059188A" w:rsidRDefault="00E401A0" w:rsidP="002A68C2">
            <w:pPr>
              <w:ind w:right="-144"/>
              <w:rPr>
                <w:sz w:val="20"/>
                <w:szCs w:val="20"/>
                <w:lang w:val="en-AU"/>
              </w:rPr>
            </w:pPr>
            <w:r w:rsidRPr="0059188A">
              <w:rPr>
                <w:sz w:val="20"/>
                <w:szCs w:val="20"/>
                <w:lang w:val="en-AU"/>
              </w:rPr>
              <w:t>Retinal tear</w:t>
            </w:r>
            <w:r w:rsidR="000875C5" w:rsidRPr="0059188A">
              <w:rPr>
                <w:sz w:val="20"/>
                <w:szCs w:val="20"/>
                <w:lang w:val="en-AU"/>
              </w:rPr>
              <w:t>,</w:t>
            </w:r>
          </w:p>
          <w:p w:rsidR="00844F25" w:rsidRDefault="00844F25" w:rsidP="002A68C2">
            <w:pPr>
              <w:ind w:right="-144"/>
              <w:rPr>
                <w:sz w:val="20"/>
                <w:szCs w:val="20"/>
                <w:lang w:val="en-AU"/>
              </w:rPr>
            </w:pPr>
            <w:proofErr w:type="spellStart"/>
            <w:r w:rsidRPr="0059188A">
              <w:rPr>
                <w:sz w:val="20"/>
                <w:szCs w:val="20"/>
                <w:lang w:val="en-AU"/>
              </w:rPr>
              <w:t>Iritis</w:t>
            </w:r>
            <w:proofErr w:type="spellEnd"/>
            <w:r w:rsidRPr="0059188A">
              <w:rPr>
                <w:sz w:val="20"/>
                <w:szCs w:val="20"/>
                <w:lang w:val="en-AU"/>
              </w:rPr>
              <w:t>,</w:t>
            </w:r>
          </w:p>
          <w:p w:rsidR="004A2828" w:rsidRPr="0059188A" w:rsidRDefault="004A2828" w:rsidP="002A68C2">
            <w:pPr>
              <w:ind w:right="-144"/>
              <w:rPr>
                <w:sz w:val="20"/>
                <w:szCs w:val="20"/>
                <w:lang w:val="en-AU"/>
              </w:rPr>
            </w:pPr>
            <w:r>
              <w:rPr>
                <w:sz w:val="20"/>
                <w:szCs w:val="20"/>
                <w:lang w:val="en-AU"/>
              </w:rPr>
              <w:t>Uveitis,</w:t>
            </w:r>
          </w:p>
          <w:p w:rsidR="000875C5" w:rsidRPr="0059188A" w:rsidRDefault="000875C5" w:rsidP="002A68C2">
            <w:pPr>
              <w:ind w:right="-144"/>
              <w:rPr>
                <w:sz w:val="20"/>
                <w:szCs w:val="20"/>
                <w:lang w:val="en-AU"/>
              </w:rPr>
            </w:pPr>
            <w:proofErr w:type="spellStart"/>
            <w:r w:rsidRPr="0059188A">
              <w:rPr>
                <w:sz w:val="20"/>
                <w:szCs w:val="20"/>
                <w:lang w:val="en-AU"/>
              </w:rPr>
              <w:t>Iridocyclitis</w:t>
            </w:r>
            <w:proofErr w:type="spellEnd"/>
            <w:r w:rsidRPr="0059188A">
              <w:rPr>
                <w:sz w:val="20"/>
                <w:szCs w:val="20"/>
                <w:lang w:val="en-AU"/>
              </w:rPr>
              <w:t xml:space="preserve">, </w:t>
            </w:r>
          </w:p>
          <w:p w:rsidR="000875C5" w:rsidRPr="0059188A" w:rsidRDefault="000875C5" w:rsidP="002A68C2">
            <w:pPr>
              <w:ind w:right="-144"/>
              <w:rPr>
                <w:sz w:val="20"/>
                <w:szCs w:val="20"/>
                <w:lang w:val="en-AU"/>
              </w:rPr>
            </w:pPr>
            <w:r w:rsidRPr="0059188A">
              <w:rPr>
                <w:sz w:val="20"/>
                <w:szCs w:val="20"/>
                <w:lang w:val="en-AU"/>
              </w:rPr>
              <w:t>Lenticular opacities,</w:t>
            </w:r>
          </w:p>
          <w:p w:rsidR="000875C5" w:rsidRDefault="000875C5" w:rsidP="002A68C2">
            <w:pPr>
              <w:ind w:right="-144"/>
              <w:rPr>
                <w:sz w:val="20"/>
                <w:szCs w:val="20"/>
                <w:lang w:val="en-AU"/>
              </w:rPr>
            </w:pPr>
            <w:r w:rsidRPr="0059188A">
              <w:rPr>
                <w:sz w:val="20"/>
                <w:szCs w:val="20"/>
                <w:lang w:val="en-AU"/>
              </w:rPr>
              <w:t>Corneal epithelium defect,</w:t>
            </w:r>
          </w:p>
          <w:p w:rsidR="002A68C2" w:rsidRPr="002A68C2" w:rsidRDefault="002A68C2" w:rsidP="002A68C2">
            <w:pPr>
              <w:ind w:right="-144"/>
              <w:rPr>
                <w:sz w:val="20"/>
                <w:szCs w:val="20"/>
                <w:lang w:val="en-AU"/>
              </w:rPr>
            </w:pPr>
            <w:r>
              <w:rPr>
                <w:sz w:val="20"/>
                <w:szCs w:val="20"/>
                <w:lang w:val="en-AU"/>
              </w:rPr>
              <w:t>Injection site i</w:t>
            </w:r>
            <w:r w:rsidRPr="002A68C2">
              <w:rPr>
                <w:sz w:val="20"/>
                <w:szCs w:val="20"/>
                <w:lang w:val="en-AU"/>
              </w:rPr>
              <w:t>rritation,</w:t>
            </w:r>
          </w:p>
          <w:p w:rsidR="002A68C2" w:rsidRPr="002A68C2" w:rsidRDefault="002A68C2" w:rsidP="002A68C2">
            <w:pPr>
              <w:ind w:right="-144"/>
              <w:rPr>
                <w:sz w:val="20"/>
                <w:szCs w:val="20"/>
                <w:lang w:val="en-AU"/>
              </w:rPr>
            </w:pPr>
            <w:r w:rsidRPr="002A68C2">
              <w:rPr>
                <w:sz w:val="20"/>
                <w:szCs w:val="20"/>
                <w:lang w:val="en-AU"/>
              </w:rPr>
              <w:t>Abnormal sensation in eye,</w:t>
            </w:r>
          </w:p>
          <w:p w:rsidR="002A68C2" w:rsidRPr="0059188A" w:rsidRDefault="002A68C2" w:rsidP="002A68C2">
            <w:pPr>
              <w:ind w:right="-144"/>
              <w:rPr>
                <w:sz w:val="20"/>
                <w:szCs w:val="20"/>
                <w:lang w:val="en-AU"/>
              </w:rPr>
            </w:pPr>
            <w:r w:rsidRPr="002A68C2">
              <w:rPr>
                <w:sz w:val="20"/>
                <w:szCs w:val="20"/>
                <w:lang w:val="en-AU"/>
              </w:rPr>
              <w:t>Eyelid irritation</w:t>
            </w:r>
            <w:r>
              <w:rPr>
                <w:sz w:val="20"/>
                <w:szCs w:val="20"/>
                <w:lang w:val="en-AU"/>
              </w:rPr>
              <w:t>,</w:t>
            </w:r>
          </w:p>
          <w:p w:rsidR="000875C5" w:rsidRPr="0059188A" w:rsidRDefault="000875C5" w:rsidP="002A68C2">
            <w:pPr>
              <w:ind w:right="-144"/>
              <w:rPr>
                <w:sz w:val="20"/>
                <w:szCs w:val="20"/>
                <w:lang w:val="en-AU"/>
              </w:rPr>
            </w:pPr>
            <w:r w:rsidRPr="0059188A">
              <w:rPr>
                <w:sz w:val="20"/>
                <w:szCs w:val="20"/>
                <w:lang w:val="en-AU"/>
              </w:rPr>
              <w:t>Anterior chamber flare</w:t>
            </w:r>
            <w:r w:rsidR="00307197">
              <w:rPr>
                <w:sz w:val="20"/>
                <w:szCs w:val="20"/>
                <w:lang w:val="en-AU"/>
              </w:rPr>
              <w:br/>
            </w:r>
          </w:p>
          <w:p w:rsidR="00E401A0" w:rsidRPr="0059188A" w:rsidRDefault="00E401A0" w:rsidP="002A68C2">
            <w:pPr>
              <w:ind w:right="-144"/>
              <w:rPr>
                <w:sz w:val="20"/>
                <w:szCs w:val="20"/>
                <w:lang w:val="en-AU"/>
              </w:rPr>
            </w:pPr>
          </w:p>
        </w:tc>
        <w:tc>
          <w:tcPr>
            <w:tcW w:w="1446" w:type="dxa"/>
          </w:tcPr>
          <w:p w:rsidR="000875C5" w:rsidRPr="0059188A" w:rsidRDefault="000875C5" w:rsidP="00497542">
            <w:pPr>
              <w:rPr>
                <w:sz w:val="20"/>
                <w:szCs w:val="20"/>
                <w:lang w:val="en-AU"/>
              </w:rPr>
            </w:pPr>
            <w:proofErr w:type="spellStart"/>
            <w:r w:rsidRPr="0059188A">
              <w:rPr>
                <w:sz w:val="20"/>
                <w:szCs w:val="20"/>
                <w:lang w:val="en-AU"/>
              </w:rPr>
              <w:t>Vitritis</w:t>
            </w:r>
            <w:proofErr w:type="spellEnd"/>
            <w:r w:rsidR="004A2828">
              <w:rPr>
                <w:sz w:val="20"/>
                <w:szCs w:val="20"/>
                <w:lang w:val="en-AU"/>
              </w:rPr>
              <w:t>,</w:t>
            </w:r>
          </w:p>
          <w:p w:rsidR="00E401A0" w:rsidRPr="0059188A" w:rsidRDefault="000875C5" w:rsidP="00497542">
            <w:pPr>
              <w:rPr>
                <w:sz w:val="20"/>
                <w:szCs w:val="20"/>
                <w:lang w:val="en-AU"/>
              </w:rPr>
            </w:pPr>
            <w:proofErr w:type="spellStart"/>
            <w:r w:rsidRPr="0059188A">
              <w:rPr>
                <w:sz w:val="20"/>
                <w:szCs w:val="20"/>
                <w:lang w:val="en-AU"/>
              </w:rPr>
              <w:t>Hypopyon</w:t>
            </w:r>
            <w:proofErr w:type="spellEnd"/>
          </w:p>
        </w:tc>
      </w:tr>
    </w:tbl>
    <w:p w:rsidR="00CE4AC1" w:rsidRPr="0059188A" w:rsidRDefault="002A68C2" w:rsidP="00F73859">
      <w:pPr>
        <w:pStyle w:val="BayerBodyTextFull"/>
        <w:tabs>
          <w:tab w:val="left" w:pos="360"/>
        </w:tabs>
        <w:spacing w:before="0" w:after="0"/>
        <w:ind w:left="360" w:hanging="360"/>
        <w:rPr>
          <w:sz w:val="20"/>
          <w:szCs w:val="22"/>
          <w:lang w:val="en-GB"/>
        </w:rPr>
      </w:pPr>
      <w:r>
        <w:rPr>
          <w:sz w:val="20"/>
          <w:vertAlign w:val="superscript"/>
          <w:lang w:val="en-GB"/>
        </w:rPr>
        <w:lastRenderedPageBreak/>
        <w:t>*</w:t>
      </w:r>
      <w:r w:rsidR="001A577E" w:rsidRPr="0059188A">
        <w:rPr>
          <w:sz w:val="20"/>
          <w:lang w:val="en-GB"/>
        </w:rPr>
        <w:tab/>
        <w:t xml:space="preserve">Conditions known to be associated with wet AMD. </w:t>
      </w:r>
      <w:proofErr w:type="gramStart"/>
      <w:r w:rsidR="001A577E" w:rsidRPr="0059188A">
        <w:rPr>
          <w:sz w:val="20"/>
          <w:lang w:val="en-GB"/>
        </w:rPr>
        <w:t xml:space="preserve">Observed in the wet AMD studies </w:t>
      </w:r>
      <w:r w:rsidR="001A577E" w:rsidRPr="0059188A">
        <w:rPr>
          <w:sz w:val="20"/>
          <w:szCs w:val="22"/>
          <w:lang w:val="en-GB"/>
        </w:rPr>
        <w:t>only</w:t>
      </w:r>
      <w:r>
        <w:rPr>
          <w:sz w:val="20"/>
          <w:szCs w:val="22"/>
          <w:lang w:val="en-GB"/>
        </w:rPr>
        <w:t>.</w:t>
      </w:r>
      <w:proofErr w:type="gramEnd"/>
    </w:p>
    <w:p w:rsidR="002C49EA" w:rsidRDefault="002A68C2" w:rsidP="002C49EA">
      <w:pPr>
        <w:pStyle w:val="BayerBodyTextFull"/>
        <w:tabs>
          <w:tab w:val="left" w:pos="360"/>
        </w:tabs>
        <w:spacing w:before="0" w:after="0"/>
        <w:ind w:left="360" w:hanging="360"/>
        <w:rPr>
          <w:sz w:val="20"/>
          <w:szCs w:val="22"/>
          <w:lang w:val="en-GB"/>
        </w:rPr>
      </w:pPr>
      <w:r>
        <w:rPr>
          <w:sz w:val="20"/>
          <w:vertAlign w:val="superscript"/>
          <w:lang w:val="en-GB"/>
        </w:rPr>
        <w:t>**</w:t>
      </w:r>
      <w:r w:rsidR="002C49EA" w:rsidRPr="0059188A">
        <w:rPr>
          <w:sz w:val="20"/>
          <w:lang w:val="en-GB"/>
        </w:rPr>
        <w:tab/>
        <w:t xml:space="preserve">Culture positive and culture negative </w:t>
      </w:r>
      <w:proofErr w:type="spellStart"/>
      <w:r w:rsidR="002C49EA" w:rsidRPr="0059188A">
        <w:rPr>
          <w:sz w:val="20"/>
          <w:lang w:val="en-GB"/>
        </w:rPr>
        <w:t>endophthalmitis</w:t>
      </w:r>
      <w:proofErr w:type="spellEnd"/>
    </w:p>
    <w:p w:rsidR="002A68C2" w:rsidRPr="002A68C2" w:rsidRDefault="002A68C2" w:rsidP="002C49EA">
      <w:pPr>
        <w:pStyle w:val="BayerBodyTextFull"/>
        <w:tabs>
          <w:tab w:val="left" w:pos="360"/>
        </w:tabs>
        <w:spacing w:before="0" w:after="0"/>
        <w:ind w:left="360" w:hanging="360"/>
        <w:rPr>
          <w:sz w:val="20"/>
          <w:lang w:val="en-GB"/>
        </w:rPr>
      </w:pPr>
      <w:r>
        <w:rPr>
          <w:sz w:val="20"/>
          <w:vertAlign w:val="superscript"/>
          <w:lang w:val="en-GB"/>
        </w:rPr>
        <w:t>***</w:t>
      </w:r>
      <w:r w:rsidRPr="002A68C2">
        <w:rPr>
          <w:sz w:val="20"/>
          <w:vertAlign w:val="superscript"/>
          <w:lang w:val="en-GB"/>
        </w:rPr>
        <w:t xml:space="preserve"> </w:t>
      </w:r>
      <w:r w:rsidRPr="002A68C2">
        <w:rPr>
          <w:sz w:val="20"/>
          <w:vertAlign w:val="superscript"/>
          <w:lang w:val="en-GB"/>
        </w:rPr>
        <w:tab/>
      </w:r>
      <w:r w:rsidRPr="002A68C2">
        <w:rPr>
          <w:sz w:val="20"/>
          <w:lang w:val="en-GB"/>
        </w:rPr>
        <w:t>including allergic reactions</w:t>
      </w:r>
    </w:p>
    <w:p w:rsidR="002A68C2" w:rsidRPr="0059188A" w:rsidRDefault="002A68C2" w:rsidP="002C49EA">
      <w:pPr>
        <w:pStyle w:val="BayerBodyTextFull"/>
        <w:tabs>
          <w:tab w:val="left" w:pos="360"/>
        </w:tabs>
        <w:spacing w:before="0" w:after="0"/>
        <w:ind w:left="360" w:hanging="360"/>
        <w:rPr>
          <w:sz w:val="20"/>
          <w:szCs w:val="22"/>
          <w:lang w:val="en-GB"/>
        </w:rPr>
      </w:pPr>
    </w:p>
    <w:p w:rsidR="00763B65" w:rsidRPr="00763B65" w:rsidRDefault="00763B65" w:rsidP="00763B65">
      <w:pPr>
        <w:pStyle w:val="Heading2"/>
        <w:rPr>
          <w:rFonts w:ascii="Times New Roman Bold" w:hAnsi="Times New Roman Bold"/>
          <w:i w:val="0"/>
          <w:lang w:val="en-AU"/>
        </w:rPr>
      </w:pPr>
      <w:r w:rsidRPr="00763B65">
        <w:rPr>
          <w:rFonts w:ascii="Times New Roman Bold" w:hAnsi="Times New Roman Bold"/>
          <w:i w:val="0"/>
          <w:lang w:val="en-AU"/>
        </w:rPr>
        <w:t xml:space="preserve">Description of selected adverse reactions </w:t>
      </w:r>
    </w:p>
    <w:p w:rsidR="00763B65" w:rsidRDefault="00763B65" w:rsidP="00763B65">
      <w:pPr>
        <w:jc w:val="both"/>
        <w:rPr>
          <w:lang w:val="en-AU"/>
        </w:rPr>
      </w:pPr>
    </w:p>
    <w:p w:rsidR="00763B65" w:rsidRDefault="00763B65" w:rsidP="00763B65">
      <w:pPr>
        <w:jc w:val="both"/>
        <w:rPr>
          <w:lang w:val="en-AU"/>
        </w:rPr>
      </w:pPr>
      <w:r w:rsidRPr="00763B65">
        <w:rPr>
          <w:lang w:val="en-AU"/>
        </w:rPr>
        <w:t xml:space="preserve">In the wet AMD phase III </w:t>
      </w:r>
      <w:proofErr w:type="gramStart"/>
      <w:r w:rsidRPr="00763B65">
        <w:rPr>
          <w:lang w:val="en-AU"/>
        </w:rPr>
        <w:t>studies,</w:t>
      </w:r>
      <w:proofErr w:type="gramEnd"/>
      <w:r w:rsidRPr="00763B65">
        <w:rPr>
          <w:lang w:val="en-AU"/>
        </w:rPr>
        <w:t xml:space="preserve"> there was an increased incidence of conjunctival haemorrhage in patients receiving anti-thrombotic agents. </w:t>
      </w:r>
      <w:r>
        <w:rPr>
          <w:lang w:val="en-AU"/>
        </w:rPr>
        <w:t xml:space="preserve"> </w:t>
      </w:r>
      <w:r w:rsidRPr="00763B65">
        <w:rPr>
          <w:lang w:val="en-AU"/>
        </w:rPr>
        <w:t xml:space="preserve">This increased incidence was comparable between patients treated with </w:t>
      </w:r>
      <w:proofErr w:type="spellStart"/>
      <w:r w:rsidRPr="00763B65">
        <w:rPr>
          <w:lang w:val="en-AU"/>
        </w:rPr>
        <w:t>ranibizumab</w:t>
      </w:r>
      <w:proofErr w:type="spellEnd"/>
      <w:r w:rsidRPr="00763B65">
        <w:rPr>
          <w:lang w:val="en-AU"/>
        </w:rPr>
        <w:t xml:space="preserve"> and E</w:t>
      </w:r>
      <w:r>
        <w:rPr>
          <w:lang w:val="en-AU"/>
        </w:rPr>
        <w:t>YLEA</w:t>
      </w:r>
      <w:r w:rsidRPr="00763B65">
        <w:rPr>
          <w:lang w:val="en-AU"/>
        </w:rPr>
        <w:t>.</w:t>
      </w:r>
    </w:p>
    <w:p w:rsidR="00763B65" w:rsidRDefault="00763B65" w:rsidP="00763B65">
      <w:pPr>
        <w:jc w:val="both"/>
        <w:rPr>
          <w:lang w:val="en-AU"/>
        </w:rPr>
      </w:pPr>
    </w:p>
    <w:p w:rsidR="00AA79AB" w:rsidRPr="0059188A" w:rsidRDefault="00F45C3B" w:rsidP="00F45C3B">
      <w:pPr>
        <w:jc w:val="both"/>
        <w:rPr>
          <w:lang w:val="en-AU"/>
        </w:rPr>
      </w:pPr>
      <w:r w:rsidRPr="0059188A">
        <w:rPr>
          <w:lang w:val="en-AU"/>
        </w:rPr>
        <w:t xml:space="preserve">Arterial thromboembolic events (ATEs) are adverse events potentially related to systemic VEGF inhibition. There is a theoretical risk of arterial thromboembolic events following </w:t>
      </w:r>
      <w:proofErr w:type="spellStart"/>
      <w:r w:rsidRPr="0059188A">
        <w:rPr>
          <w:lang w:val="en-AU"/>
        </w:rPr>
        <w:t>intravitreal</w:t>
      </w:r>
      <w:proofErr w:type="spellEnd"/>
      <w:r w:rsidRPr="0059188A">
        <w:rPr>
          <w:lang w:val="en-AU"/>
        </w:rPr>
        <w:t xml:space="preserve"> use of VEGF inhibitors. </w:t>
      </w:r>
    </w:p>
    <w:p w:rsidR="00AA79AB" w:rsidRPr="0059188A" w:rsidRDefault="00AA79AB" w:rsidP="00F45C3B">
      <w:pPr>
        <w:jc w:val="both"/>
        <w:rPr>
          <w:lang w:val="en-AU"/>
        </w:rPr>
      </w:pPr>
    </w:p>
    <w:p w:rsidR="00F45C3B" w:rsidRPr="0059188A" w:rsidRDefault="00F45C3B" w:rsidP="00F45C3B">
      <w:pPr>
        <w:jc w:val="both"/>
        <w:rPr>
          <w:lang w:val="en-AU"/>
        </w:rPr>
      </w:pPr>
      <w:r w:rsidRPr="0059188A">
        <w:rPr>
          <w:lang w:val="en-AU"/>
        </w:rPr>
        <w:t xml:space="preserve">ATEs, as defined by Antiplatelet </w:t>
      </w:r>
      <w:proofErr w:type="spellStart"/>
      <w:r w:rsidRPr="0059188A">
        <w:rPr>
          <w:lang w:val="en-AU"/>
        </w:rPr>
        <w:t>Trialists</w:t>
      </w:r>
      <w:proofErr w:type="spellEnd"/>
      <w:r w:rsidRPr="0059188A">
        <w:rPr>
          <w:lang w:val="en-AU"/>
        </w:rPr>
        <w:t xml:space="preserve">' Collaboration (APTC) criteria, include nonfatal myocardial infarction, nonfatal stroke, or vascular death (including deaths of unknown cause). The incidence </w:t>
      </w:r>
      <w:r w:rsidR="00930C3E">
        <w:rPr>
          <w:lang w:val="en-AU"/>
        </w:rPr>
        <w:t xml:space="preserve">of adjudicated APTC ATEs </w:t>
      </w:r>
      <w:r w:rsidRPr="0059188A">
        <w:rPr>
          <w:lang w:val="en-AU"/>
        </w:rPr>
        <w:t xml:space="preserve">in the VIEW 1 and VIEW 2 wet AMD studies during the </w:t>
      </w:r>
      <w:r w:rsidR="00D17768" w:rsidRPr="0059188A">
        <w:rPr>
          <w:lang w:val="en-AU"/>
        </w:rPr>
        <w:t>96 weeks</w:t>
      </w:r>
      <w:r w:rsidR="00AA79AB" w:rsidRPr="0059188A">
        <w:rPr>
          <w:lang w:val="en-AU"/>
        </w:rPr>
        <w:t xml:space="preserve"> study period</w:t>
      </w:r>
      <w:r w:rsidRPr="0059188A">
        <w:rPr>
          <w:lang w:val="en-AU"/>
        </w:rPr>
        <w:t xml:space="preserve"> was </w:t>
      </w:r>
      <w:r w:rsidR="00AA79AB" w:rsidRPr="0059188A">
        <w:rPr>
          <w:lang w:val="en-AU"/>
        </w:rPr>
        <w:t>3.3</w:t>
      </w:r>
      <w:r w:rsidRPr="0059188A">
        <w:rPr>
          <w:lang w:val="en-AU"/>
        </w:rPr>
        <w:t>% (</w:t>
      </w:r>
      <w:r w:rsidR="00B70934" w:rsidRPr="0059188A">
        <w:rPr>
          <w:lang w:val="en-AU"/>
        </w:rPr>
        <w:t xml:space="preserve">60 </w:t>
      </w:r>
      <w:r w:rsidRPr="0059188A">
        <w:rPr>
          <w:lang w:val="en-AU"/>
        </w:rPr>
        <w:t>out of 1824) in the combined group of patients treated with EYLEA</w:t>
      </w:r>
      <w:r w:rsidR="00930C3E">
        <w:rPr>
          <w:lang w:val="en-AU"/>
        </w:rPr>
        <w:t xml:space="preserve"> (2.4% in the EYLEA 2Q4 arm and 3.6% in the EYLEA 2Q8 arm),</w:t>
      </w:r>
      <w:r w:rsidRPr="0059188A">
        <w:rPr>
          <w:lang w:val="en-AU"/>
        </w:rPr>
        <w:t xml:space="preserve"> compared</w:t>
      </w:r>
      <w:r w:rsidR="00872D2E">
        <w:rPr>
          <w:lang w:val="en-AU"/>
        </w:rPr>
        <w:t xml:space="preserve"> to</w:t>
      </w:r>
      <w:r w:rsidRPr="0059188A">
        <w:rPr>
          <w:lang w:val="en-AU"/>
        </w:rPr>
        <w:t xml:space="preserve"> </w:t>
      </w:r>
      <w:r w:rsidR="00AA79AB" w:rsidRPr="0059188A">
        <w:rPr>
          <w:lang w:val="en-AU"/>
        </w:rPr>
        <w:t>3.2</w:t>
      </w:r>
      <w:r w:rsidRPr="0059188A">
        <w:rPr>
          <w:lang w:val="en-AU"/>
        </w:rPr>
        <w:t>% (</w:t>
      </w:r>
      <w:r w:rsidR="00AA79AB" w:rsidRPr="0059188A">
        <w:rPr>
          <w:lang w:val="en-AU"/>
        </w:rPr>
        <w:t>19</w:t>
      </w:r>
      <w:r w:rsidRPr="0059188A">
        <w:rPr>
          <w:lang w:val="en-AU"/>
        </w:rPr>
        <w:t xml:space="preserve"> out of 595) in patients treated with </w:t>
      </w:r>
      <w:proofErr w:type="spellStart"/>
      <w:r w:rsidRPr="0059188A">
        <w:rPr>
          <w:lang w:val="en-AU"/>
        </w:rPr>
        <w:t>ranibizumab</w:t>
      </w:r>
      <w:proofErr w:type="spellEnd"/>
      <w:r w:rsidRPr="0059188A">
        <w:rPr>
          <w:lang w:val="en-AU"/>
        </w:rPr>
        <w:t>.</w:t>
      </w:r>
    </w:p>
    <w:p w:rsidR="009A07CC" w:rsidRPr="0059188A" w:rsidRDefault="009A07CC" w:rsidP="009A07CC">
      <w:pPr>
        <w:jc w:val="both"/>
        <w:rPr>
          <w:lang w:val="en-AU"/>
        </w:rPr>
      </w:pPr>
    </w:p>
    <w:p w:rsidR="000501C3" w:rsidRPr="0059188A" w:rsidRDefault="000501C3" w:rsidP="00B06C7D">
      <w:pPr>
        <w:jc w:val="both"/>
        <w:rPr>
          <w:szCs w:val="22"/>
        </w:rPr>
      </w:pPr>
      <w:r w:rsidRPr="0059188A">
        <w:rPr>
          <w:szCs w:val="22"/>
        </w:rPr>
        <w:t xml:space="preserve">The incidence of </w:t>
      </w:r>
      <w:r w:rsidR="00930C3E">
        <w:rPr>
          <w:szCs w:val="22"/>
        </w:rPr>
        <w:t xml:space="preserve">adjudicated </w:t>
      </w:r>
      <w:r w:rsidR="002A68C2">
        <w:rPr>
          <w:szCs w:val="22"/>
        </w:rPr>
        <w:t xml:space="preserve">APTC </w:t>
      </w:r>
      <w:r w:rsidRPr="0059188A">
        <w:rPr>
          <w:szCs w:val="22"/>
        </w:rPr>
        <w:t xml:space="preserve">ATEs in the CRVO studies (GALILEO and COPERNICUS) during the 76/100 weeks study duration was 0.6% (2 out of 317) in patients treated with at least one dose of </w:t>
      </w:r>
      <w:r w:rsidR="00AA3E6F" w:rsidRPr="0059188A">
        <w:rPr>
          <w:szCs w:val="22"/>
        </w:rPr>
        <w:t>EYLEA</w:t>
      </w:r>
      <w:r w:rsidR="00844F25" w:rsidRPr="0059188A">
        <w:rPr>
          <w:szCs w:val="22"/>
        </w:rPr>
        <w:t xml:space="preserve"> compared to 1.4</w:t>
      </w:r>
      <w:r w:rsidRPr="0059188A">
        <w:rPr>
          <w:szCs w:val="22"/>
        </w:rPr>
        <w:t>% (</w:t>
      </w:r>
      <w:r w:rsidR="00844F25" w:rsidRPr="0059188A">
        <w:rPr>
          <w:szCs w:val="22"/>
        </w:rPr>
        <w:t>2</w:t>
      </w:r>
      <w:r w:rsidRPr="0059188A">
        <w:rPr>
          <w:szCs w:val="22"/>
        </w:rPr>
        <w:t xml:space="preserve"> out of 142) in the group of patients receiving only sham treatment.</w:t>
      </w:r>
    </w:p>
    <w:p w:rsidR="004A2828" w:rsidRDefault="004A2828" w:rsidP="004A2828">
      <w:pPr>
        <w:jc w:val="both"/>
        <w:rPr>
          <w:lang w:val="en-AU"/>
        </w:rPr>
      </w:pPr>
    </w:p>
    <w:p w:rsidR="00D462D7" w:rsidRDefault="004A2828" w:rsidP="004A2828">
      <w:pPr>
        <w:jc w:val="both"/>
      </w:pPr>
      <w:r w:rsidRPr="0091394D">
        <w:t xml:space="preserve">The incidence of </w:t>
      </w:r>
      <w:r w:rsidR="00930C3E">
        <w:t xml:space="preserve">adjudicated </w:t>
      </w:r>
      <w:r w:rsidRPr="0091394D">
        <w:t>APTC ATEs in the DME studies (VIVID</w:t>
      </w:r>
      <w:r w:rsidRPr="0091394D">
        <w:rPr>
          <w:vertAlign w:val="superscript"/>
        </w:rPr>
        <w:t>DME</w:t>
      </w:r>
      <w:r w:rsidR="002F1ED8">
        <w:t xml:space="preserve"> an</w:t>
      </w:r>
      <w:r w:rsidR="002F1ED8" w:rsidRPr="0091394D">
        <w:t>d VISTA</w:t>
      </w:r>
      <w:r w:rsidR="002F1ED8" w:rsidRPr="0091394D">
        <w:rPr>
          <w:vertAlign w:val="superscript"/>
        </w:rPr>
        <w:t>DME</w:t>
      </w:r>
      <w:r w:rsidRPr="0091394D">
        <w:t xml:space="preserve">) during the </w:t>
      </w:r>
      <w:r w:rsidR="00F75699">
        <w:t xml:space="preserve">100 </w:t>
      </w:r>
      <w:r w:rsidRPr="0091394D">
        <w:t xml:space="preserve">weeks study duration was </w:t>
      </w:r>
      <w:r w:rsidR="00F75699">
        <w:t>6.4</w:t>
      </w:r>
      <w:r w:rsidRPr="0091394D">
        <w:t>% (</w:t>
      </w:r>
      <w:r w:rsidR="00F75699">
        <w:t>37</w:t>
      </w:r>
      <w:r w:rsidRPr="0091394D">
        <w:t xml:space="preserve"> out of 578) in the combined group of patients treated with EYLEA compared with </w:t>
      </w:r>
      <w:r w:rsidR="00F75699">
        <w:t>4.2</w:t>
      </w:r>
      <w:r w:rsidRPr="0091394D">
        <w:t>% (</w:t>
      </w:r>
      <w:r w:rsidR="00F75699">
        <w:t>12</w:t>
      </w:r>
      <w:r w:rsidRPr="0091394D">
        <w:t xml:space="preserve"> out of 287) in the control group.</w:t>
      </w:r>
    </w:p>
    <w:p w:rsidR="004A2828" w:rsidRPr="0059188A" w:rsidRDefault="004A2828" w:rsidP="004A2828">
      <w:pPr>
        <w:jc w:val="both"/>
      </w:pPr>
    </w:p>
    <w:p w:rsidR="009A07CC" w:rsidRDefault="009A07CC" w:rsidP="009A07CC">
      <w:pPr>
        <w:jc w:val="both"/>
        <w:rPr>
          <w:lang w:val="en-AU"/>
        </w:rPr>
      </w:pPr>
      <w:r w:rsidRPr="0059188A">
        <w:rPr>
          <w:lang w:val="en-AU"/>
        </w:rPr>
        <w:t>As with all therapeutic proteins, there is a potential for immunogenicity with EYLEA.</w:t>
      </w:r>
    </w:p>
    <w:p w:rsidR="006F79BA" w:rsidRDefault="006F79BA" w:rsidP="009A07CC">
      <w:pPr>
        <w:jc w:val="both"/>
        <w:rPr>
          <w:lang w:val="en-AU"/>
        </w:rPr>
      </w:pPr>
    </w:p>
    <w:p w:rsidR="00A1753F" w:rsidRPr="0059188A" w:rsidRDefault="00A1753F" w:rsidP="004B0075">
      <w:pPr>
        <w:pStyle w:val="Heading1"/>
        <w:keepLines/>
        <w:rPr>
          <w:rFonts w:ascii="Times New Roman Bold" w:hAnsi="Times New Roman Bold"/>
          <w:lang w:val="en-AU"/>
        </w:rPr>
      </w:pPr>
      <w:r w:rsidRPr="0059188A">
        <w:rPr>
          <w:rFonts w:ascii="Times New Roman Bold" w:hAnsi="Times New Roman Bold"/>
          <w:lang w:val="en-AU"/>
        </w:rPr>
        <w:t xml:space="preserve">DOSAGE AND ADMINISTRATION </w:t>
      </w:r>
    </w:p>
    <w:p w:rsidR="00A1753F" w:rsidRPr="0059188A" w:rsidRDefault="00A1753F" w:rsidP="004B0075">
      <w:pPr>
        <w:keepNext/>
        <w:keepLines/>
        <w:jc w:val="both"/>
        <w:rPr>
          <w:lang w:val="en-AU"/>
        </w:rPr>
      </w:pPr>
    </w:p>
    <w:p w:rsidR="00423631" w:rsidRPr="0059188A" w:rsidRDefault="00423631" w:rsidP="004B0075">
      <w:pPr>
        <w:keepNext/>
        <w:keepLines/>
        <w:jc w:val="both"/>
        <w:rPr>
          <w:lang w:val="en-AU"/>
        </w:rPr>
      </w:pPr>
      <w:r w:rsidRPr="0059188A">
        <w:rPr>
          <w:lang w:val="en-AU"/>
        </w:rPr>
        <w:t xml:space="preserve">EYLEA is for </w:t>
      </w:r>
      <w:proofErr w:type="spellStart"/>
      <w:r w:rsidRPr="0059188A">
        <w:rPr>
          <w:lang w:val="en-AU"/>
        </w:rPr>
        <w:t>intravitreal</w:t>
      </w:r>
      <w:proofErr w:type="spellEnd"/>
      <w:r w:rsidRPr="0059188A">
        <w:rPr>
          <w:lang w:val="en-AU"/>
        </w:rPr>
        <w:t xml:space="preserve"> injection only. </w:t>
      </w:r>
    </w:p>
    <w:p w:rsidR="001338D3" w:rsidRPr="0059188A" w:rsidRDefault="001338D3" w:rsidP="00C010BA">
      <w:pPr>
        <w:jc w:val="both"/>
        <w:rPr>
          <w:lang w:val="en-AU"/>
        </w:rPr>
      </w:pPr>
    </w:p>
    <w:p w:rsidR="00DC0065" w:rsidRPr="0059188A" w:rsidRDefault="001338D3" w:rsidP="00C010BA">
      <w:pPr>
        <w:jc w:val="both"/>
        <w:rPr>
          <w:lang w:val="en-AU"/>
        </w:rPr>
      </w:pPr>
      <w:r w:rsidRPr="0059188A">
        <w:rPr>
          <w:lang w:val="en-AU"/>
        </w:rPr>
        <w:t>It must only be administered by a qualified</w:t>
      </w:r>
      <w:r w:rsidR="00B9731F" w:rsidRPr="00B9731F">
        <w:rPr>
          <w:lang w:val="en-AU"/>
        </w:rPr>
        <w:t xml:space="preserve"> </w:t>
      </w:r>
      <w:r w:rsidR="00B9731F" w:rsidRPr="0059188A">
        <w:rPr>
          <w:lang w:val="en-AU"/>
        </w:rPr>
        <w:t>ophthalmologist</w:t>
      </w:r>
      <w:r w:rsidR="00A65B21" w:rsidRPr="0059188A">
        <w:rPr>
          <w:lang w:val="en-AU"/>
        </w:rPr>
        <w:t xml:space="preserve"> </w:t>
      </w:r>
      <w:r w:rsidRPr="0059188A">
        <w:rPr>
          <w:lang w:val="en-AU"/>
        </w:rPr>
        <w:t xml:space="preserve">experienced in administering </w:t>
      </w:r>
      <w:proofErr w:type="spellStart"/>
      <w:r w:rsidRPr="0059188A">
        <w:rPr>
          <w:lang w:val="en-AU"/>
        </w:rPr>
        <w:t>intravitreal</w:t>
      </w:r>
      <w:proofErr w:type="spellEnd"/>
      <w:r w:rsidRPr="0059188A">
        <w:rPr>
          <w:lang w:val="en-AU"/>
        </w:rPr>
        <w:t xml:space="preserve"> injections.</w:t>
      </w:r>
    </w:p>
    <w:p w:rsidR="00423631" w:rsidRPr="0059188A" w:rsidRDefault="00423631" w:rsidP="00D4671A">
      <w:pPr>
        <w:pStyle w:val="Heading2"/>
        <w:rPr>
          <w:rFonts w:ascii="Times New Roman Bold" w:hAnsi="Times New Roman Bold"/>
          <w:i w:val="0"/>
          <w:lang w:val="en-AU"/>
        </w:rPr>
      </w:pPr>
      <w:r w:rsidRPr="0059188A">
        <w:rPr>
          <w:rFonts w:ascii="Times New Roman Bold" w:hAnsi="Times New Roman Bold"/>
          <w:i w:val="0"/>
          <w:lang w:val="en-AU"/>
        </w:rPr>
        <w:t>Dosage regimen</w:t>
      </w:r>
    </w:p>
    <w:p w:rsidR="00AD0B2F" w:rsidRPr="0059188A" w:rsidRDefault="00AD0B2F" w:rsidP="00C010BA">
      <w:pPr>
        <w:jc w:val="both"/>
        <w:rPr>
          <w:lang w:val="en-AU"/>
        </w:rPr>
      </w:pPr>
    </w:p>
    <w:p w:rsidR="00423631" w:rsidRPr="008D60A3" w:rsidRDefault="004B0075" w:rsidP="00C010BA">
      <w:pPr>
        <w:jc w:val="both"/>
      </w:pPr>
      <w:r>
        <w:rPr>
          <w:lang w:val="en-AU"/>
        </w:rPr>
        <w:t xml:space="preserve">The recommended dose for EYLEA is 2 mg </w:t>
      </w:r>
      <w:proofErr w:type="spellStart"/>
      <w:r>
        <w:rPr>
          <w:lang w:val="en-AU"/>
        </w:rPr>
        <w:t>aflibercept</w:t>
      </w:r>
      <w:proofErr w:type="spellEnd"/>
      <w:r>
        <w:rPr>
          <w:lang w:val="en-AU"/>
        </w:rPr>
        <w:t>, equivalent to an</w:t>
      </w:r>
      <w:r w:rsidR="00423631" w:rsidRPr="0059188A">
        <w:rPr>
          <w:lang w:val="en-AU"/>
        </w:rPr>
        <w:t xml:space="preserve"> injection volume </w:t>
      </w:r>
      <w:r>
        <w:rPr>
          <w:lang w:val="en-AU"/>
        </w:rPr>
        <w:t>of</w:t>
      </w:r>
      <w:r w:rsidR="00423631" w:rsidRPr="0059188A">
        <w:rPr>
          <w:lang w:val="en-AU"/>
        </w:rPr>
        <w:t xml:space="preserve"> 50 </w:t>
      </w:r>
      <w:r w:rsidR="00423631" w:rsidRPr="0059188A">
        <w:rPr>
          <w:lang w:val="en-AU"/>
        </w:rPr>
        <w:sym w:font="Symbol" w:char="F06D"/>
      </w:r>
      <w:r w:rsidR="00423631" w:rsidRPr="0059188A">
        <w:rPr>
          <w:lang w:val="en-AU"/>
        </w:rPr>
        <w:t>L</w:t>
      </w:r>
      <w:r>
        <w:rPr>
          <w:lang w:val="en-AU"/>
        </w:rPr>
        <w:t>.</w:t>
      </w:r>
      <w:r w:rsidR="008D60A3" w:rsidRPr="008D60A3">
        <w:t xml:space="preserve"> </w:t>
      </w:r>
      <w:r w:rsidR="008D60A3">
        <w:t xml:space="preserve"> The interval between doses injected into the same eye should not be shorter than one month.</w:t>
      </w:r>
    </w:p>
    <w:p w:rsidR="004B0075" w:rsidRDefault="004B0075" w:rsidP="00C010BA">
      <w:pPr>
        <w:jc w:val="both"/>
        <w:rPr>
          <w:lang w:val="en-AU"/>
        </w:rPr>
      </w:pPr>
    </w:p>
    <w:p w:rsidR="00843043" w:rsidRDefault="00525485" w:rsidP="00843043">
      <w:pPr>
        <w:jc w:val="both"/>
      </w:pPr>
      <w:r>
        <w:rPr>
          <w:lang w:val="en-AU"/>
        </w:rPr>
        <w:lastRenderedPageBreak/>
        <w:t xml:space="preserve">Advice on treatment initiation and maintenance of therapy specific to each patient population is described in the section below.  </w:t>
      </w:r>
      <w:r w:rsidR="00186F98">
        <w:rPr>
          <w:lang w:val="en-AU"/>
        </w:rPr>
        <w:t>Once</w:t>
      </w:r>
      <w:r w:rsidR="008D60A3">
        <w:t xml:space="preserve"> optimal visual acuity is achieved and/or there are no signs of disease activity, treatment may then be continued with a treat-and-extend regimen with gradually increased treatment intervals to maintain stable visual and/or anatomic outcomes.  If disease activity persists or recurs, the treatment interval may be shortened accordingly.  Monitoring should be done at injection visits.  </w:t>
      </w:r>
      <w:r w:rsidR="004B0075">
        <w:t xml:space="preserve">There is limited information on the optimal dosing interval and monitoring interval </w:t>
      </w:r>
      <w:r w:rsidR="00843043">
        <w:t xml:space="preserve">especially </w:t>
      </w:r>
      <w:r w:rsidR="004B0075">
        <w:t xml:space="preserve">for long-term (e.g. &gt; 12 months) treatment.  </w:t>
      </w:r>
      <w:r w:rsidR="00843043">
        <w:t>T</w:t>
      </w:r>
      <w:r w:rsidR="004B0075">
        <w:t>he monitoring</w:t>
      </w:r>
      <w:r w:rsidR="00843043">
        <w:t xml:space="preserve"> and treatment schedule</w:t>
      </w:r>
      <w:r w:rsidR="004B0075">
        <w:t xml:space="preserve"> should be determined by the treating ophthalmologist based on the individual patient’s response.</w:t>
      </w:r>
      <w:r w:rsidR="008D60A3" w:rsidDel="008D60A3">
        <w:t xml:space="preserve"> </w:t>
      </w:r>
      <w:r w:rsidR="008D60A3">
        <w:t xml:space="preserve"> </w:t>
      </w:r>
      <w:r w:rsidR="004B0075">
        <w:t>If visual and anatomic outcomes indicate that the patient is not benefiting from continued treatment, EYLEA should be discontinued.</w:t>
      </w:r>
    </w:p>
    <w:p w:rsidR="00D462D7" w:rsidRPr="0059188A" w:rsidRDefault="004F1DB0" w:rsidP="00497542">
      <w:pPr>
        <w:pStyle w:val="Heading3"/>
        <w:rPr>
          <w:rFonts w:ascii="Times New Roman Bold" w:hAnsi="Times New Roman Bold"/>
          <w:i/>
          <w:sz w:val="28"/>
          <w:szCs w:val="28"/>
          <w:lang w:val="en-AU"/>
        </w:rPr>
      </w:pPr>
      <w:r w:rsidRPr="0059188A">
        <w:rPr>
          <w:rFonts w:ascii="Times New Roman Bold" w:hAnsi="Times New Roman Bold"/>
          <w:i/>
          <w:sz w:val="28"/>
          <w:szCs w:val="28"/>
          <w:lang w:val="en-AU"/>
        </w:rPr>
        <w:t xml:space="preserve">Treatment of </w:t>
      </w:r>
      <w:proofErr w:type="spellStart"/>
      <w:r w:rsidR="005359FE">
        <w:rPr>
          <w:rFonts w:ascii="Times New Roman Bold" w:hAnsi="Times New Roman Bold"/>
          <w:i/>
          <w:sz w:val="28"/>
          <w:szCs w:val="28"/>
          <w:lang w:val="en-AU"/>
        </w:rPr>
        <w:t>n</w:t>
      </w:r>
      <w:r w:rsidR="00D462D7" w:rsidRPr="0059188A">
        <w:rPr>
          <w:rFonts w:ascii="Times New Roman Bold" w:hAnsi="Times New Roman Bold"/>
          <w:i/>
          <w:sz w:val="28"/>
          <w:szCs w:val="28"/>
          <w:lang w:val="en-AU"/>
        </w:rPr>
        <w:t>eovascular</w:t>
      </w:r>
      <w:proofErr w:type="spellEnd"/>
      <w:r w:rsidR="00D462D7" w:rsidRPr="0059188A">
        <w:rPr>
          <w:rFonts w:ascii="Times New Roman Bold" w:hAnsi="Times New Roman Bold"/>
          <w:i/>
          <w:sz w:val="28"/>
          <w:szCs w:val="28"/>
          <w:lang w:val="en-AU"/>
        </w:rPr>
        <w:t xml:space="preserve"> (wet) age-related macular degeneration (wet AMD)</w:t>
      </w:r>
    </w:p>
    <w:p w:rsidR="00AD0B2F" w:rsidRPr="0059188A" w:rsidRDefault="00AD0B2F" w:rsidP="00497542">
      <w:pPr>
        <w:keepNext/>
        <w:jc w:val="both"/>
        <w:rPr>
          <w:lang w:val="en-AU"/>
        </w:rPr>
      </w:pPr>
    </w:p>
    <w:p w:rsidR="000066A9" w:rsidRDefault="00423631" w:rsidP="000066A9">
      <w:pPr>
        <w:jc w:val="both"/>
        <w:rPr>
          <w:lang w:val="en-AU"/>
        </w:rPr>
      </w:pPr>
      <w:r w:rsidRPr="0059188A">
        <w:rPr>
          <w:lang w:val="en-AU"/>
        </w:rPr>
        <w:t xml:space="preserve">EYLEA treatment is initiated with one injection per month for three consecutive months, followed by one injection every two months. </w:t>
      </w:r>
      <w:r w:rsidR="000066A9" w:rsidDel="000066A9">
        <w:rPr>
          <w:lang w:val="en-AU"/>
        </w:rPr>
        <w:t xml:space="preserve"> </w:t>
      </w:r>
      <w:r w:rsidR="000066A9">
        <w:rPr>
          <w:lang w:val="en-AU"/>
        </w:rPr>
        <w:t xml:space="preserve">Long term, </w:t>
      </w:r>
      <w:r w:rsidR="000066A9" w:rsidRPr="00720540">
        <w:rPr>
          <w:lang w:val="en-AU"/>
        </w:rPr>
        <w:t>it is recommended that patients continue to be tre</w:t>
      </w:r>
      <w:r w:rsidR="000066A9">
        <w:rPr>
          <w:lang w:val="en-AU"/>
        </w:rPr>
        <w:t xml:space="preserve">ated with EYLEA every </w:t>
      </w:r>
      <w:r w:rsidR="002F5524">
        <w:rPr>
          <w:lang w:val="en-AU"/>
        </w:rPr>
        <w:t>two</w:t>
      </w:r>
      <w:r w:rsidR="000066A9">
        <w:rPr>
          <w:lang w:val="en-AU"/>
        </w:rPr>
        <w:t xml:space="preserve"> months</w:t>
      </w:r>
      <w:r w:rsidR="000066A9" w:rsidRPr="00720540">
        <w:rPr>
          <w:lang w:val="en-AU"/>
        </w:rPr>
        <w:t>.</w:t>
      </w:r>
      <w:r w:rsidR="000066A9">
        <w:rPr>
          <w:lang w:val="en-AU"/>
        </w:rPr>
        <w:t xml:space="preserve">  </w:t>
      </w:r>
    </w:p>
    <w:p w:rsidR="000066A9" w:rsidRDefault="000066A9" w:rsidP="000066A9">
      <w:pPr>
        <w:jc w:val="both"/>
        <w:rPr>
          <w:lang w:val="en-AU"/>
        </w:rPr>
      </w:pPr>
    </w:p>
    <w:p w:rsidR="000066A9" w:rsidRDefault="000066A9" w:rsidP="000066A9">
      <w:pPr>
        <w:jc w:val="both"/>
        <w:rPr>
          <w:lang w:val="en-AU"/>
        </w:rPr>
      </w:pPr>
      <w:r>
        <w:rPr>
          <w:lang w:val="en-AU"/>
        </w:rPr>
        <w:t xml:space="preserve">Generally, once optimal visual acuity is achieved and/or there are no signs of disease activity, </w:t>
      </w:r>
      <w:r w:rsidRPr="00720540">
        <w:rPr>
          <w:lang w:val="en-AU"/>
        </w:rPr>
        <w:t>the treatment interval may be</w:t>
      </w:r>
      <w:r>
        <w:rPr>
          <w:lang w:val="en-AU"/>
        </w:rPr>
        <w:t xml:space="preserve"> adjusted </w:t>
      </w:r>
      <w:r w:rsidRPr="00720540">
        <w:rPr>
          <w:lang w:val="en-AU"/>
        </w:rPr>
        <w:t>based on visual and</w:t>
      </w:r>
      <w:r>
        <w:rPr>
          <w:lang w:val="en-AU"/>
        </w:rPr>
        <w:t>/or</w:t>
      </w:r>
      <w:r w:rsidRPr="00720540">
        <w:rPr>
          <w:lang w:val="en-AU"/>
        </w:rPr>
        <w:t xml:space="preserve"> anatomic outcomes.</w:t>
      </w:r>
    </w:p>
    <w:p w:rsidR="000066A9" w:rsidRDefault="000066A9" w:rsidP="00843043">
      <w:pPr>
        <w:jc w:val="both"/>
        <w:rPr>
          <w:lang w:val="en-AU"/>
        </w:rPr>
      </w:pPr>
    </w:p>
    <w:p w:rsidR="00423631" w:rsidRPr="0059188A" w:rsidRDefault="000066A9" w:rsidP="00843043">
      <w:pPr>
        <w:jc w:val="both"/>
        <w:rPr>
          <w:lang w:val="en-AU"/>
        </w:rPr>
      </w:pPr>
      <w:r>
        <w:rPr>
          <w:lang w:val="en-AU"/>
        </w:rPr>
        <w:t xml:space="preserve">The dosing interval can be extended up to every </w:t>
      </w:r>
      <w:r w:rsidR="002F5524">
        <w:rPr>
          <w:lang w:val="en-AU"/>
        </w:rPr>
        <w:t>three</w:t>
      </w:r>
      <w:r>
        <w:rPr>
          <w:lang w:val="en-AU"/>
        </w:rPr>
        <w:t xml:space="preserve"> months</w:t>
      </w:r>
      <w:r w:rsidR="00525485">
        <w:rPr>
          <w:lang w:val="en-AU"/>
        </w:rPr>
        <w:t xml:space="preserve"> </w:t>
      </w:r>
      <w:r w:rsidR="00C172AD" w:rsidRPr="0059188A">
        <w:rPr>
          <w:lang w:val="en-AU"/>
        </w:rPr>
        <w:t>(</w:t>
      </w:r>
      <w:r w:rsidR="00525485">
        <w:rPr>
          <w:lang w:val="en-AU"/>
        </w:rPr>
        <w:t>s</w:t>
      </w:r>
      <w:r w:rsidR="00C172AD" w:rsidRPr="0059188A">
        <w:rPr>
          <w:lang w:val="en-AU"/>
        </w:rPr>
        <w:t xml:space="preserve">ee </w:t>
      </w:r>
      <w:r w:rsidR="00956475" w:rsidRPr="0059188A">
        <w:rPr>
          <w:b/>
          <w:lang w:val="en-AU"/>
        </w:rPr>
        <w:t xml:space="preserve">CLINICAL TRIALS </w:t>
      </w:r>
      <w:r w:rsidR="00C172AD" w:rsidRPr="0059188A">
        <w:rPr>
          <w:lang w:val="en-AU"/>
        </w:rPr>
        <w:t>for dosing experience</w:t>
      </w:r>
      <w:r w:rsidR="00956475" w:rsidRPr="0059188A">
        <w:rPr>
          <w:lang w:val="en-AU"/>
        </w:rPr>
        <w:t>)</w:t>
      </w:r>
      <w:r w:rsidR="00585042" w:rsidRPr="0059188A">
        <w:rPr>
          <w:lang w:val="en-AU"/>
        </w:rPr>
        <w:t>.</w:t>
      </w:r>
      <w:r w:rsidR="00C172AD" w:rsidRPr="0059188A">
        <w:rPr>
          <w:lang w:val="en-AU"/>
        </w:rPr>
        <w:t xml:space="preserve"> </w:t>
      </w:r>
    </w:p>
    <w:p w:rsidR="00A767C5" w:rsidRPr="0059188A" w:rsidRDefault="00A767C5" w:rsidP="00763B65">
      <w:pPr>
        <w:pStyle w:val="Heading3"/>
        <w:rPr>
          <w:rFonts w:ascii="Times New Roman Bold" w:hAnsi="Times New Roman Bold"/>
          <w:i/>
          <w:sz w:val="28"/>
          <w:szCs w:val="28"/>
          <w:lang w:val="en-AU"/>
        </w:rPr>
      </w:pPr>
      <w:r w:rsidRPr="0059188A">
        <w:rPr>
          <w:rFonts w:ascii="Times New Roman Bold" w:hAnsi="Times New Roman Bold"/>
          <w:i/>
          <w:sz w:val="28"/>
          <w:szCs w:val="28"/>
          <w:lang w:val="en-AU"/>
        </w:rPr>
        <w:t>Treatment of visual impairment due to macular oedema secondary to central retinal vein occlusion (CRVO)</w:t>
      </w:r>
    </w:p>
    <w:p w:rsidR="00A767C5" w:rsidRPr="0059188A" w:rsidRDefault="00A767C5" w:rsidP="00763B65">
      <w:pPr>
        <w:keepNext/>
        <w:rPr>
          <w:rFonts w:cs="Calibri"/>
          <w:color w:val="000000"/>
          <w:kern w:val="24"/>
        </w:rPr>
      </w:pPr>
    </w:p>
    <w:p w:rsidR="00C47775" w:rsidRPr="00872D2E" w:rsidRDefault="00C47775" w:rsidP="00C47775">
      <w:pPr>
        <w:jc w:val="both"/>
        <w:rPr>
          <w:rFonts w:cs="Calibri"/>
          <w:color w:val="000000"/>
          <w:kern w:val="24"/>
        </w:rPr>
      </w:pPr>
      <w:r w:rsidRPr="00872D2E">
        <w:rPr>
          <w:rFonts w:cs="Calibri"/>
          <w:color w:val="000000"/>
          <w:kern w:val="24"/>
        </w:rPr>
        <w:t>EYLEA treatment is initiated with one injection per month</w:t>
      </w:r>
      <w:r w:rsidR="000D1915">
        <w:rPr>
          <w:rFonts w:cs="Calibri"/>
          <w:color w:val="000000"/>
          <w:kern w:val="24"/>
        </w:rPr>
        <w:t xml:space="preserve"> for three consecutive months</w:t>
      </w:r>
      <w:r w:rsidRPr="00872D2E">
        <w:rPr>
          <w:rFonts w:cs="Calibri"/>
          <w:color w:val="000000"/>
          <w:kern w:val="24"/>
        </w:rPr>
        <w:t>.  After the first three monthly injections, the treatment interval may be</w:t>
      </w:r>
      <w:r w:rsidR="00843043">
        <w:rPr>
          <w:rFonts w:cs="Calibri"/>
          <w:color w:val="000000"/>
          <w:kern w:val="24"/>
        </w:rPr>
        <w:t xml:space="preserve"> adjusted</w:t>
      </w:r>
      <w:r w:rsidRPr="00872D2E">
        <w:rPr>
          <w:rFonts w:cs="Calibri"/>
          <w:color w:val="000000"/>
          <w:kern w:val="24"/>
        </w:rPr>
        <w:t xml:space="preserve"> based on visual and</w:t>
      </w:r>
      <w:r w:rsidR="00843043">
        <w:rPr>
          <w:rFonts w:cs="Calibri"/>
          <w:color w:val="000000"/>
          <w:kern w:val="24"/>
        </w:rPr>
        <w:t>/or</w:t>
      </w:r>
      <w:r w:rsidRPr="00872D2E">
        <w:rPr>
          <w:rFonts w:cs="Calibri"/>
          <w:color w:val="000000"/>
          <w:kern w:val="24"/>
        </w:rPr>
        <w:t xml:space="preserve"> anatomic outcomes. </w:t>
      </w:r>
    </w:p>
    <w:p w:rsidR="00AD0B2F" w:rsidRDefault="00AD0B2F" w:rsidP="00BA7679">
      <w:pPr>
        <w:rPr>
          <w:rFonts w:cs="Calibri"/>
          <w:color w:val="000000"/>
          <w:kern w:val="24"/>
        </w:rPr>
      </w:pPr>
    </w:p>
    <w:p w:rsidR="004A2828" w:rsidRDefault="004A2828" w:rsidP="004A2828">
      <w:pPr>
        <w:pStyle w:val="PIheading3"/>
        <w:outlineLvl w:val="2"/>
        <w:rPr>
          <w:lang w:val="en-AU"/>
        </w:rPr>
      </w:pPr>
      <w:r>
        <w:rPr>
          <w:lang w:val="en-AU"/>
        </w:rPr>
        <w:t xml:space="preserve">Treatment of </w:t>
      </w:r>
      <w:r w:rsidR="005359FE">
        <w:rPr>
          <w:lang w:val="en-AU"/>
        </w:rPr>
        <w:t>d</w:t>
      </w:r>
      <w:r>
        <w:rPr>
          <w:lang w:val="en-AU"/>
        </w:rPr>
        <w:t>iabetic macular oedema (DME)</w:t>
      </w:r>
    </w:p>
    <w:p w:rsidR="004A2828" w:rsidRDefault="004A2828" w:rsidP="004A2828">
      <w:pPr>
        <w:jc w:val="both"/>
        <w:rPr>
          <w:lang w:val="en-AU"/>
        </w:rPr>
      </w:pPr>
    </w:p>
    <w:p w:rsidR="004A2828" w:rsidRPr="004A2828" w:rsidRDefault="004A2828" w:rsidP="004A2828">
      <w:pPr>
        <w:jc w:val="both"/>
        <w:rPr>
          <w:lang w:val="en-AU"/>
        </w:rPr>
      </w:pPr>
      <w:r>
        <w:rPr>
          <w:lang w:val="en-AU"/>
        </w:rPr>
        <w:t xml:space="preserve">EYLEA </w:t>
      </w:r>
      <w:r w:rsidR="00186C5C">
        <w:rPr>
          <w:lang w:val="en-AU"/>
        </w:rPr>
        <w:t xml:space="preserve">treatment </w:t>
      </w:r>
      <w:r>
        <w:rPr>
          <w:lang w:val="en-AU"/>
        </w:rPr>
        <w:t xml:space="preserve">is </w:t>
      </w:r>
      <w:r w:rsidR="000D1915">
        <w:rPr>
          <w:lang w:val="en-AU"/>
        </w:rPr>
        <w:t xml:space="preserve">initiated with </w:t>
      </w:r>
      <w:r>
        <w:rPr>
          <w:lang w:val="en-AU"/>
        </w:rPr>
        <w:t xml:space="preserve">one injection per </w:t>
      </w:r>
      <w:r w:rsidR="000D1915">
        <w:rPr>
          <w:lang w:val="en-AU"/>
        </w:rPr>
        <w:t>month for</w:t>
      </w:r>
      <w:r>
        <w:rPr>
          <w:lang w:val="en-AU"/>
        </w:rPr>
        <w:t xml:space="preserve"> five consecutive months, followed by one injection every two months.  </w:t>
      </w:r>
      <w:r w:rsidR="004B0075">
        <w:rPr>
          <w:lang w:val="en-AU"/>
        </w:rPr>
        <w:t>After the first 12 months, the treatment interval may be</w:t>
      </w:r>
      <w:r w:rsidR="00843043">
        <w:rPr>
          <w:lang w:val="en-AU"/>
        </w:rPr>
        <w:t xml:space="preserve"> adjusted</w:t>
      </w:r>
      <w:r w:rsidR="004B0075">
        <w:rPr>
          <w:lang w:val="en-AU"/>
        </w:rPr>
        <w:t xml:space="preserve"> based on visual and</w:t>
      </w:r>
      <w:r w:rsidR="00843043">
        <w:rPr>
          <w:lang w:val="en-AU"/>
        </w:rPr>
        <w:t>/or</w:t>
      </w:r>
      <w:r w:rsidR="004B0075">
        <w:rPr>
          <w:lang w:val="en-AU"/>
        </w:rPr>
        <w:t xml:space="preserve"> anatomic outcomes.</w:t>
      </w:r>
    </w:p>
    <w:p w:rsidR="00423631" w:rsidRPr="00BB4750" w:rsidRDefault="00423631" w:rsidP="001504C8">
      <w:pPr>
        <w:pStyle w:val="Heading2"/>
        <w:rPr>
          <w:rFonts w:ascii="Times New Roman Bold" w:hAnsi="Times New Roman Bold"/>
          <w:i w:val="0"/>
          <w:lang w:val="en-AU"/>
        </w:rPr>
      </w:pPr>
      <w:r w:rsidRPr="00BB4750">
        <w:rPr>
          <w:rFonts w:ascii="Times New Roman Bold" w:hAnsi="Times New Roman Bold"/>
          <w:i w:val="0"/>
          <w:lang w:val="en-AU"/>
        </w:rPr>
        <w:t>Special populations</w:t>
      </w:r>
    </w:p>
    <w:p w:rsidR="00423631" w:rsidRPr="0059188A" w:rsidRDefault="006B7EAD" w:rsidP="001504C8">
      <w:pPr>
        <w:pStyle w:val="Heading3"/>
        <w:rPr>
          <w:rFonts w:ascii="Times New Roman Bold" w:hAnsi="Times New Roman Bold"/>
          <w:i/>
          <w:sz w:val="28"/>
          <w:szCs w:val="28"/>
          <w:lang w:val="en-AU"/>
        </w:rPr>
      </w:pPr>
      <w:r w:rsidRPr="0059188A">
        <w:rPr>
          <w:rFonts w:ascii="Times New Roman Bold" w:hAnsi="Times New Roman Bold"/>
          <w:i/>
          <w:sz w:val="28"/>
          <w:szCs w:val="28"/>
          <w:lang w:val="en-AU"/>
        </w:rPr>
        <w:t>Patients with h</w:t>
      </w:r>
      <w:r w:rsidR="00423631" w:rsidRPr="0059188A">
        <w:rPr>
          <w:rFonts w:ascii="Times New Roman Bold" w:hAnsi="Times New Roman Bold"/>
          <w:i/>
          <w:sz w:val="28"/>
          <w:szCs w:val="28"/>
          <w:lang w:val="en-AU"/>
        </w:rPr>
        <w:t xml:space="preserve">epatic </w:t>
      </w:r>
      <w:r w:rsidRPr="0059188A">
        <w:rPr>
          <w:rFonts w:ascii="Times New Roman Bold" w:hAnsi="Times New Roman Bold"/>
          <w:i/>
          <w:sz w:val="28"/>
          <w:szCs w:val="28"/>
          <w:lang w:val="en-AU"/>
        </w:rPr>
        <w:t xml:space="preserve">and/or renal </w:t>
      </w:r>
      <w:r w:rsidR="00423631" w:rsidRPr="0059188A">
        <w:rPr>
          <w:rFonts w:ascii="Times New Roman Bold" w:hAnsi="Times New Roman Bold"/>
          <w:i/>
          <w:sz w:val="28"/>
          <w:szCs w:val="28"/>
          <w:lang w:val="en-AU"/>
        </w:rPr>
        <w:t xml:space="preserve">impairment </w:t>
      </w:r>
    </w:p>
    <w:p w:rsidR="00423631" w:rsidRPr="0059188A" w:rsidRDefault="00423631" w:rsidP="001504C8">
      <w:pPr>
        <w:keepNext/>
        <w:jc w:val="both"/>
        <w:rPr>
          <w:lang w:val="en-AU"/>
        </w:rPr>
      </w:pPr>
    </w:p>
    <w:p w:rsidR="00423631" w:rsidRPr="0059188A" w:rsidRDefault="00423631" w:rsidP="00423631">
      <w:pPr>
        <w:jc w:val="both"/>
        <w:rPr>
          <w:lang w:val="en-AU"/>
        </w:rPr>
      </w:pPr>
      <w:r w:rsidRPr="0059188A">
        <w:rPr>
          <w:lang w:val="en-AU"/>
        </w:rPr>
        <w:t>No specific studies in patients with hepatic</w:t>
      </w:r>
      <w:r w:rsidR="006B7EAD" w:rsidRPr="0059188A">
        <w:rPr>
          <w:lang w:val="en-AU"/>
        </w:rPr>
        <w:t xml:space="preserve"> and/or renal</w:t>
      </w:r>
      <w:r w:rsidRPr="0059188A">
        <w:rPr>
          <w:lang w:val="en-AU"/>
        </w:rPr>
        <w:t xml:space="preserve"> impairment were conducted with EYLEA. </w:t>
      </w:r>
      <w:r w:rsidR="006B7EAD" w:rsidRPr="0059188A">
        <w:rPr>
          <w:lang w:val="en-AU"/>
        </w:rPr>
        <w:t>Available data do not suggest a need for a dose adjustment with EYLEA in these patients</w:t>
      </w:r>
      <w:r w:rsidR="001338D3" w:rsidRPr="0059188A">
        <w:rPr>
          <w:lang w:val="en-AU"/>
        </w:rPr>
        <w:t xml:space="preserve"> (see </w:t>
      </w:r>
      <w:r w:rsidR="001338D3" w:rsidRPr="0059188A">
        <w:rPr>
          <w:b/>
          <w:lang w:val="en-AU"/>
        </w:rPr>
        <w:t>Pharmacokinetic properties</w:t>
      </w:r>
      <w:r w:rsidR="001338D3" w:rsidRPr="0059188A">
        <w:rPr>
          <w:lang w:val="en-AU"/>
        </w:rPr>
        <w:t>)</w:t>
      </w:r>
      <w:r w:rsidR="006B7EAD" w:rsidRPr="0059188A">
        <w:rPr>
          <w:lang w:val="en-AU"/>
        </w:rPr>
        <w:t xml:space="preserve">. </w:t>
      </w:r>
    </w:p>
    <w:p w:rsidR="00BA316E" w:rsidRPr="00BB4750" w:rsidRDefault="00BA316E" w:rsidP="00BB4750">
      <w:pPr>
        <w:pStyle w:val="Heading2"/>
        <w:rPr>
          <w:rFonts w:ascii="Times New Roman Bold" w:hAnsi="Times New Roman Bold"/>
          <w:i w:val="0"/>
          <w:lang w:val="en-AU"/>
        </w:rPr>
      </w:pPr>
      <w:r w:rsidRPr="00BB4750">
        <w:rPr>
          <w:rFonts w:ascii="Times New Roman Bold" w:hAnsi="Times New Roman Bold"/>
          <w:i w:val="0"/>
          <w:lang w:val="en-AU"/>
        </w:rPr>
        <w:lastRenderedPageBreak/>
        <w:t>Method of administration</w:t>
      </w:r>
    </w:p>
    <w:p w:rsidR="001338D3" w:rsidRPr="0059188A" w:rsidRDefault="001338D3" w:rsidP="00BB4750">
      <w:pPr>
        <w:keepNext/>
        <w:jc w:val="both"/>
        <w:rPr>
          <w:lang w:val="en-AU"/>
        </w:rPr>
      </w:pPr>
    </w:p>
    <w:p w:rsidR="001338D3" w:rsidRPr="0059188A" w:rsidRDefault="001338D3" w:rsidP="001338D3">
      <w:pPr>
        <w:jc w:val="both"/>
        <w:rPr>
          <w:lang w:val="en-AU"/>
        </w:rPr>
      </w:pPr>
      <w:proofErr w:type="spellStart"/>
      <w:r w:rsidRPr="0059188A">
        <w:rPr>
          <w:lang w:val="en-AU"/>
        </w:rPr>
        <w:t>Intravitreal</w:t>
      </w:r>
      <w:proofErr w:type="spellEnd"/>
      <w:r w:rsidRPr="0059188A">
        <w:rPr>
          <w:lang w:val="en-AU"/>
        </w:rPr>
        <w:t xml:space="preserve"> injections must be carried out according to medical standards and applicable guidelines by a qualified </w:t>
      </w:r>
      <w:r w:rsidR="00575208" w:rsidRPr="0059188A">
        <w:rPr>
          <w:lang w:val="en-AU"/>
        </w:rPr>
        <w:t xml:space="preserve">ophthalmologist </w:t>
      </w:r>
      <w:r w:rsidRPr="0059188A">
        <w:rPr>
          <w:lang w:val="en-AU"/>
        </w:rPr>
        <w:t xml:space="preserve">experienced in administering </w:t>
      </w:r>
      <w:proofErr w:type="spellStart"/>
      <w:r w:rsidRPr="0059188A">
        <w:rPr>
          <w:lang w:val="en-AU"/>
        </w:rPr>
        <w:t>intravitreal</w:t>
      </w:r>
      <w:proofErr w:type="spellEnd"/>
      <w:r w:rsidRPr="0059188A">
        <w:rPr>
          <w:lang w:val="en-AU"/>
        </w:rPr>
        <w:t xml:space="preserve"> injections. In general, adequate </w:t>
      </w:r>
      <w:r w:rsidR="00420D8B" w:rsidRPr="0059188A">
        <w:rPr>
          <w:lang w:val="en-AU"/>
        </w:rPr>
        <w:t>anaesthesia</w:t>
      </w:r>
      <w:r w:rsidRPr="0059188A">
        <w:rPr>
          <w:lang w:val="en-AU"/>
        </w:rPr>
        <w:t xml:space="preserve"> and asepsis, including topical bro</w:t>
      </w:r>
      <w:r w:rsidR="00420D8B" w:rsidRPr="0059188A">
        <w:rPr>
          <w:lang w:val="en-AU"/>
        </w:rPr>
        <w:t>ad spectrum microbicide</w:t>
      </w:r>
      <w:r w:rsidRPr="0059188A">
        <w:rPr>
          <w:lang w:val="en-AU"/>
        </w:rPr>
        <w:t>, have to be ensured. Surgical hand disinfection, sterile gloves, a sterile drape, and a sterile eyelid speculum (or equivalent) are recommended.</w:t>
      </w:r>
      <w:r w:rsidR="00D17768" w:rsidRPr="0059188A">
        <w:rPr>
          <w:lang w:val="en-AU"/>
        </w:rPr>
        <w:t xml:space="preserve"> </w:t>
      </w:r>
    </w:p>
    <w:p w:rsidR="00420D8B" w:rsidRPr="0059188A" w:rsidRDefault="00420D8B" w:rsidP="001338D3">
      <w:pPr>
        <w:jc w:val="both"/>
        <w:rPr>
          <w:lang w:val="en-AU"/>
        </w:rPr>
      </w:pPr>
    </w:p>
    <w:p w:rsidR="001338D3" w:rsidRPr="0059188A" w:rsidRDefault="001338D3" w:rsidP="001338D3">
      <w:pPr>
        <w:jc w:val="both"/>
        <w:rPr>
          <w:lang w:val="en-AU"/>
        </w:rPr>
      </w:pPr>
      <w:r w:rsidRPr="0059188A">
        <w:rPr>
          <w:lang w:val="en-AU"/>
        </w:rPr>
        <w:t xml:space="preserve">Immediately following the </w:t>
      </w:r>
      <w:proofErr w:type="spellStart"/>
      <w:r w:rsidRPr="0059188A">
        <w:rPr>
          <w:lang w:val="en-AU"/>
        </w:rPr>
        <w:t>intravitreal</w:t>
      </w:r>
      <w:proofErr w:type="spellEnd"/>
      <w:r w:rsidRPr="0059188A">
        <w:rPr>
          <w:lang w:val="en-AU"/>
        </w:rPr>
        <w:t xml:space="preserve"> injection, patients should be monitored for elevation in intraocular pressure. Appropriate monitoring may consist of a check for perfusion of the optic nerve head or tonometry. If required, sterile</w:t>
      </w:r>
      <w:r w:rsidR="00DD7708">
        <w:rPr>
          <w:lang w:val="en-AU"/>
        </w:rPr>
        <w:t xml:space="preserve"> equipment for</w:t>
      </w:r>
      <w:r w:rsidRPr="0059188A">
        <w:rPr>
          <w:lang w:val="en-AU"/>
        </w:rPr>
        <w:t xml:space="preserve"> </w:t>
      </w:r>
      <w:proofErr w:type="spellStart"/>
      <w:r w:rsidRPr="0059188A">
        <w:rPr>
          <w:lang w:val="en-AU"/>
        </w:rPr>
        <w:t>paracentesis</w:t>
      </w:r>
      <w:proofErr w:type="spellEnd"/>
      <w:r w:rsidRPr="0059188A">
        <w:rPr>
          <w:lang w:val="en-AU"/>
        </w:rPr>
        <w:t xml:space="preserve"> should be available.</w:t>
      </w:r>
    </w:p>
    <w:p w:rsidR="00420D8B" w:rsidRPr="0059188A" w:rsidRDefault="00420D8B" w:rsidP="001338D3">
      <w:pPr>
        <w:jc w:val="both"/>
        <w:rPr>
          <w:lang w:val="en-AU"/>
        </w:rPr>
      </w:pPr>
    </w:p>
    <w:p w:rsidR="001338D3" w:rsidRPr="0059188A" w:rsidRDefault="001338D3" w:rsidP="001338D3">
      <w:pPr>
        <w:jc w:val="both"/>
        <w:rPr>
          <w:lang w:val="en-AU"/>
        </w:rPr>
      </w:pPr>
      <w:proofErr w:type="gramStart"/>
      <w:r w:rsidRPr="0059188A">
        <w:rPr>
          <w:lang w:val="en-AU"/>
        </w:rPr>
        <w:t xml:space="preserve">Following </w:t>
      </w:r>
      <w:proofErr w:type="spellStart"/>
      <w:r w:rsidRPr="0059188A">
        <w:rPr>
          <w:lang w:val="en-AU"/>
        </w:rPr>
        <w:t>intravitreal</w:t>
      </w:r>
      <w:proofErr w:type="spellEnd"/>
      <w:r w:rsidRPr="0059188A">
        <w:rPr>
          <w:lang w:val="en-AU"/>
        </w:rPr>
        <w:t xml:space="preserve"> injection patients should be instructed to report any symptoms sugge</w:t>
      </w:r>
      <w:r w:rsidR="00420D8B" w:rsidRPr="0059188A">
        <w:rPr>
          <w:lang w:val="en-AU"/>
        </w:rPr>
        <w:t xml:space="preserve">stive of </w:t>
      </w:r>
      <w:proofErr w:type="spellStart"/>
      <w:r w:rsidR="00420D8B" w:rsidRPr="0059188A">
        <w:rPr>
          <w:lang w:val="en-AU"/>
        </w:rPr>
        <w:t>endophthalmitis</w:t>
      </w:r>
      <w:proofErr w:type="spellEnd"/>
      <w:r w:rsidR="00420D8B" w:rsidRPr="0059188A">
        <w:rPr>
          <w:lang w:val="en-AU"/>
        </w:rPr>
        <w:t xml:space="preserve"> (e.g. </w:t>
      </w:r>
      <w:r w:rsidRPr="0059188A">
        <w:rPr>
          <w:lang w:val="en-AU"/>
        </w:rPr>
        <w:t>eye pain, redness of the eye, photophobia, blurring of vision) without delay.</w:t>
      </w:r>
      <w:proofErr w:type="gramEnd"/>
    </w:p>
    <w:p w:rsidR="00420D8B" w:rsidRPr="0059188A" w:rsidRDefault="00420D8B" w:rsidP="001338D3">
      <w:pPr>
        <w:jc w:val="both"/>
        <w:rPr>
          <w:lang w:val="en-AU"/>
        </w:rPr>
      </w:pPr>
    </w:p>
    <w:p w:rsidR="001338D3" w:rsidRPr="0059188A" w:rsidRDefault="001338D3" w:rsidP="001338D3">
      <w:pPr>
        <w:jc w:val="both"/>
        <w:rPr>
          <w:lang w:val="en-AU"/>
        </w:rPr>
      </w:pPr>
      <w:r w:rsidRPr="0059188A">
        <w:rPr>
          <w:lang w:val="en-AU"/>
        </w:rPr>
        <w:t>Each pre-filled syringe or vial should only be used for the treatment of a single eye.</w:t>
      </w:r>
    </w:p>
    <w:p w:rsidR="00420D8B" w:rsidRPr="0059188A" w:rsidRDefault="00420D8B" w:rsidP="001338D3">
      <w:pPr>
        <w:jc w:val="both"/>
        <w:rPr>
          <w:lang w:val="en-AU"/>
        </w:rPr>
      </w:pPr>
    </w:p>
    <w:p w:rsidR="009D146B" w:rsidRDefault="009D146B" w:rsidP="009D146B">
      <w:pPr>
        <w:jc w:val="both"/>
        <w:rPr>
          <w:lang w:val="en-AU"/>
        </w:rPr>
      </w:pPr>
      <w:r>
        <w:rPr>
          <w:lang w:val="en-AU"/>
        </w:rPr>
        <w:t>The pre-filled syringe and the glass vial contain more than the recommended dose of 2 mg.  The excess volume should be expelled before injecting.  Injecting the entire volume of the glass vial or the pre-filled syringe could result in overdose.</w:t>
      </w:r>
    </w:p>
    <w:p w:rsidR="009D146B" w:rsidRPr="0059188A" w:rsidRDefault="009D146B" w:rsidP="009D146B">
      <w:pPr>
        <w:jc w:val="both"/>
        <w:rPr>
          <w:lang w:val="en-AU"/>
        </w:rPr>
      </w:pPr>
    </w:p>
    <w:p w:rsidR="001338D3" w:rsidRPr="0059188A" w:rsidRDefault="001338D3" w:rsidP="001338D3">
      <w:pPr>
        <w:jc w:val="both"/>
        <w:rPr>
          <w:lang w:val="en-AU"/>
        </w:rPr>
      </w:pPr>
      <w:r w:rsidRPr="0059188A">
        <w:rPr>
          <w:lang w:val="en-AU"/>
        </w:rPr>
        <w:t>After injection any unused product must be discarded.</w:t>
      </w:r>
    </w:p>
    <w:p w:rsidR="009C7D91" w:rsidRPr="00BB4750" w:rsidRDefault="009C7D91" w:rsidP="004A2828">
      <w:pPr>
        <w:pStyle w:val="Heading2"/>
        <w:rPr>
          <w:rFonts w:ascii="Times New Roman Bold" w:hAnsi="Times New Roman Bold"/>
          <w:i w:val="0"/>
          <w:lang w:val="en-AU"/>
        </w:rPr>
      </w:pPr>
      <w:r w:rsidRPr="00BB4750">
        <w:rPr>
          <w:rFonts w:ascii="Times New Roman Bold" w:hAnsi="Times New Roman Bold"/>
          <w:i w:val="0"/>
          <w:lang w:val="en-AU"/>
        </w:rPr>
        <w:t>Instructions for use / handling</w:t>
      </w:r>
    </w:p>
    <w:p w:rsidR="009C7D91" w:rsidRPr="0059188A" w:rsidRDefault="009C7D91" w:rsidP="004A2828">
      <w:pPr>
        <w:keepNext/>
        <w:jc w:val="both"/>
        <w:rPr>
          <w:lang w:val="en-AU"/>
        </w:rPr>
      </w:pPr>
    </w:p>
    <w:p w:rsidR="009C7D91" w:rsidRPr="0059188A" w:rsidRDefault="009C7D91" w:rsidP="009C7D91">
      <w:pPr>
        <w:jc w:val="both"/>
        <w:rPr>
          <w:lang w:val="en-AU"/>
        </w:rPr>
      </w:pPr>
      <w:r w:rsidRPr="0059188A">
        <w:rPr>
          <w:lang w:val="en-AU"/>
        </w:rPr>
        <w:t>The pre-filled syringe and the vial are for single use only.</w:t>
      </w:r>
    </w:p>
    <w:p w:rsidR="009C7D91" w:rsidRPr="0059188A" w:rsidRDefault="009C7D91" w:rsidP="009C7D91">
      <w:pPr>
        <w:jc w:val="both"/>
        <w:rPr>
          <w:lang w:val="en-AU"/>
        </w:rPr>
      </w:pPr>
    </w:p>
    <w:p w:rsidR="009C7D91" w:rsidRPr="0059188A" w:rsidRDefault="009C7D91" w:rsidP="009C7D91">
      <w:pPr>
        <w:jc w:val="both"/>
        <w:rPr>
          <w:lang w:val="en-AU"/>
        </w:rPr>
      </w:pPr>
      <w:r w:rsidRPr="0059188A">
        <w:rPr>
          <w:lang w:val="en-AU"/>
        </w:rPr>
        <w:t>Prior to administration visually inspect the solution for injection. Do not use the vial or pre-filled syringe if particulates, cloudiness, or discolouration are visible.</w:t>
      </w:r>
    </w:p>
    <w:p w:rsidR="009C7D91" w:rsidRPr="0059188A" w:rsidRDefault="009C7D91" w:rsidP="009C7D91">
      <w:pPr>
        <w:jc w:val="both"/>
        <w:rPr>
          <w:lang w:val="en-AU"/>
        </w:rPr>
      </w:pPr>
    </w:p>
    <w:p w:rsidR="009C7D91" w:rsidRPr="0059188A" w:rsidRDefault="009C7D91" w:rsidP="009C7D91">
      <w:pPr>
        <w:jc w:val="both"/>
        <w:rPr>
          <w:lang w:val="en-AU"/>
        </w:rPr>
      </w:pPr>
      <w:r w:rsidRPr="0059188A">
        <w:rPr>
          <w:lang w:val="en-AU"/>
        </w:rPr>
        <w:t>Prior to usage, the EYLEA unopened vial or pre-filled syringe blister pack may be stored at room temperature (25°C) for up to 24 hours. After opening the vial or blister pack, proceed under aseptic conditions.</w:t>
      </w:r>
    </w:p>
    <w:p w:rsidR="009C7D91" w:rsidRPr="0059188A" w:rsidRDefault="009C7D91" w:rsidP="009C7D91">
      <w:pPr>
        <w:jc w:val="both"/>
        <w:rPr>
          <w:lang w:val="en-AU"/>
        </w:rPr>
      </w:pPr>
    </w:p>
    <w:p w:rsidR="009C7D91" w:rsidRPr="0059188A" w:rsidRDefault="009C7D91" w:rsidP="009C7D91">
      <w:pPr>
        <w:jc w:val="both"/>
        <w:rPr>
          <w:lang w:val="en-AU"/>
        </w:rPr>
      </w:pPr>
      <w:r w:rsidRPr="0059188A">
        <w:rPr>
          <w:lang w:val="en-AU"/>
        </w:rPr>
        <w:t xml:space="preserve">For the </w:t>
      </w:r>
      <w:proofErr w:type="spellStart"/>
      <w:r w:rsidRPr="0059188A">
        <w:rPr>
          <w:lang w:val="en-AU"/>
        </w:rPr>
        <w:t>intravitreal</w:t>
      </w:r>
      <w:proofErr w:type="spellEnd"/>
      <w:r w:rsidRPr="0059188A">
        <w:rPr>
          <w:lang w:val="en-AU"/>
        </w:rPr>
        <w:t xml:space="preserve"> injection a 30 G x ½ inch injection needle should be used.</w:t>
      </w:r>
    </w:p>
    <w:p w:rsidR="009C7D91" w:rsidRPr="0059188A" w:rsidRDefault="009C7D91" w:rsidP="00C010BA">
      <w:pPr>
        <w:jc w:val="both"/>
        <w:rPr>
          <w:lang w:val="en-AU"/>
        </w:rPr>
      </w:pPr>
    </w:p>
    <w:p w:rsidR="009C7D91" w:rsidRPr="0059188A" w:rsidRDefault="009C7D91" w:rsidP="007C3358">
      <w:pPr>
        <w:pStyle w:val="Heading3"/>
        <w:rPr>
          <w:rFonts w:ascii="Times New Roman Bold" w:hAnsi="Times New Roman Bold"/>
          <w:i/>
          <w:sz w:val="28"/>
          <w:szCs w:val="28"/>
          <w:lang w:val="en-AU"/>
        </w:rPr>
      </w:pPr>
      <w:r w:rsidRPr="0059188A">
        <w:rPr>
          <w:rFonts w:ascii="Times New Roman Bold" w:hAnsi="Times New Roman Bold"/>
          <w:i/>
          <w:sz w:val="28"/>
          <w:szCs w:val="28"/>
          <w:lang w:val="en-AU"/>
        </w:rPr>
        <w:t>Pre-filled syringe</w:t>
      </w:r>
    </w:p>
    <w:p w:rsidR="009C7D91" w:rsidRPr="0059188A" w:rsidRDefault="009C7D91" w:rsidP="007C3358">
      <w:pPr>
        <w:keepNext/>
        <w:jc w:val="both"/>
        <w:rPr>
          <w:lang w:val="en-AU"/>
        </w:rPr>
      </w:pPr>
    </w:p>
    <w:tbl>
      <w:tblPr>
        <w:tblW w:w="9378" w:type="dxa"/>
        <w:tblLook w:val="01E0" w:firstRow="1" w:lastRow="1" w:firstColumn="1" w:lastColumn="1" w:noHBand="0" w:noVBand="0"/>
      </w:tblPr>
      <w:tblGrid>
        <w:gridCol w:w="438"/>
        <w:gridCol w:w="4815"/>
        <w:gridCol w:w="4125"/>
      </w:tblGrid>
      <w:tr w:rsidR="009C7D91" w:rsidRPr="0059188A" w:rsidTr="00796963">
        <w:tc>
          <w:tcPr>
            <w:tcW w:w="0" w:type="auto"/>
            <w:shd w:val="clear" w:color="auto" w:fill="auto"/>
          </w:tcPr>
          <w:p w:rsidR="009C7D91" w:rsidRPr="0059188A" w:rsidRDefault="009C7D91" w:rsidP="00B32EAA">
            <w:pPr>
              <w:spacing w:before="40"/>
              <w:rPr>
                <w:b/>
                <w:lang w:val="en-AU"/>
              </w:rPr>
            </w:pPr>
            <w:r w:rsidRPr="0059188A">
              <w:rPr>
                <w:b/>
                <w:lang w:val="en-AU"/>
              </w:rPr>
              <w:t>1.</w:t>
            </w:r>
          </w:p>
        </w:tc>
        <w:tc>
          <w:tcPr>
            <w:tcW w:w="4815" w:type="dxa"/>
            <w:shd w:val="clear" w:color="auto" w:fill="auto"/>
          </w:tcPr>
          <w:p w:rsidR="009C7D91" w:rsidRPr="0059188A" w:rsidRDefault="009C7D91" w:rsidP="00B32EAA">
            <w:pPr>
              <w:spacing w:before="40"/>
              <w:jc w:val="both"/>
              <w:rPr>
                <w:lang w:val="en-AU"/>
              </w:rPr>
            </w:pPr>
            <w:r w:rsidRPr="0059188A">
              <w:rPr>
                <w:lang w:val="en-AU"/>
              </w:rPr>
              <w:t>When ready to administer EYLEA, open th</w:t>
            </w:r>
            <w:r w:rsidR="00E93398" w:rsidRPr="0059188A">
              <w:rPr>
                <w:lang w:val="en-AU"/>
              </w:rPr>
              <w:t>e carton and remove the sterilis</w:t>
            </w:r>
            <w:r w:rsidRPr="0059188A">
              <w:rPr>
                <w:lang w:val="en-AU"/>
              </w:rPr>
              <w:t>ed blister pack. Carefully peel open the blister pack ensuring the sterility of its contents. Keep the syringe in the sterile tray until you are ready for assembly.</w:t>
            </w:r>
          </w:p>
          <w:p w:rsidR="00A16D1B" w:rsidRPr="0059188A" w:rsidRDefault="00A16D1B" w:rsidP="00B32EAA">
            <w:pPr>
              <w:spacing w:before="40"/>
              <w:jc w:val="both"/>
              <w:rPr>
                <w:lang w:val="en-AU"/>
              </w:rPr>
            </w:pPr>
          </w:p>
        </w:tc>
        <w:tc>
          <w:tcPr>
            <w:tcW w:w="0" w:type="auto"/>
            <w:shd w:val="clear" w:color="auto" w:fill="auto"/>
          </w:tcPr>
          <w:p w:rsidR="009C7D91" w:rsidRPr="0059188A" w:rsidRDefault="009C7D91" w:rsidP="00B32EAA">
            <w:pPr>
              <w:spacing w:before="40"/>
              <w:jc w:val="both"/>
              <w:rPr>
                <w:lang w:val="en-AU"/>
              </w:rPr>
            </w:pPr>
          </w:p>
        </w:tc>
      </w:tr>
      <w:tr w:rsidR="009C7D91" w:rsidRPr="0059188A" w:rsidTr="00796963">
        <w:tc>
          <w:tcPr>
            <w:tcW w:w="0" w:type="auto"/>
            <w:shd w:val="clear" w:color="auto" w:fill="auto"/>
          </w:tcPr>
          <w:p w:rsidR="009C7D91" w:rsidRPr="0059188A" w:rsidRDefault="009C7D91" w:rsidP="00B32EAA">
            <w:pPr>
              <w:spacing w:before="40"/>
              <w:rPr>
                <w:b/>
                <w:lang w:val="en-AU"/>
              </w:rPr>
            </w:pPr>
            <w:r w:rsidRPr="0059188A">
              <w:rPr>
                <w:b/>
                <w:lang w:val="en-AU"/>
              </w:rPr>
              <w:t>2.</w:t>
            </w:r>
          </w:p>
        </w:tc>
        <w:tc>
          <w:tcPr>
            <w:tcW w:w="4815" w:type="dxa"/>
            <w:shd w:val="clear" w:color="auto" w:fill="auto"/>
          </w:tcPr>
          <w:p w:rsidR="009C7D91" w:rsidRPr="0059188A" w:rsidRDefault="009C7D91" w:rsidP="00B32EAA">
            <w:pPr>
              <w:spacing w:before="40"/>
              <w:jc w:val="both"/>
              <w:rPr>
                <w:lang w:val="en-AU"/>
              </w:rPr>
            </w:pPr>
            <w:r w:rsidRPr="0059188A">
              <w:rPr>
                <w:lang w:val="en-AU"/>
              </w:rPr>
              <w:t xml:space="preserve">Using aseptic technique, remove the syringe </w:t>
            </w:r>
            <w:r w:rsidRPr="0059188A">
              <w:rPr>
                <w:lang w:val="en-AU"/>
              </w:rPr>
              <w:lastRenderedPageBreak/>
              <w:t>from the sterili</w:t>
            </w:r>
            <w:r w:rsidR="00E93398" w:rsidRPr="0059188A">
              <w:rPr>
                <w:lang w:val="en-AU"/>
              </w:rPr>
              <w:t>s</w:t>
            </w:r>
            <w:r w:rsidRPr="0059188A">
              <w:rPr>
                <w:lang w:val="en-AU"/>
              </w:rPr>
              <w:t>ed blister pack.</w:t>
            </w:r>
          </w:p>
          <w:p w:rsidR="00A16D1B" w:rsidRPr="0059188A" w:rsidRDefault="00A16D1B" w:rsidP="00B32EAA">
            <w:pPr>
              <w:spacing w:before="40"/>
              <w:jc w:val="both"/>
              <w:rPr>
                <w:lang w:val="en-AU"/>
              </w:rPr>
            </w:pPr>
          </w:p>
        </w:tc>
        <w:tc>
          <w:tcPr>
            <w:tcW w:w="0" w:type="auto"/>
            <w:shd w:val="clear" w:color="auto" w:fill="auto"/>
          </w:tcPr>
          <w:p w:rsidR="009C7D91" w:rsidRPr="0059188A" w:rsidRDefault="009C7D91" w:rsidP="00B32EAA">
            <w:pPr>
              <w:spacing w:before="40"/>
              <w:jc w:val="both"/>
              <w:rPr>
                <w:lang w:val="en-AU"/>
              </w:rPr>
            </w:pPr>
          </w:p>
        </w:tc>
      </w:tr>
      <w:tr w:rsidR="009C7D91" w:rsidRPr="0059188A" w:rsidTr="00796963">
        <w:tc>
          <w:tcPr>
            <w:tcW w:w="0" w:type="auto"/>
            <w:shd w:val="clear" w:color="auto" w:fill="auto"/>
          </w:tcPr>
          <w:p w:rsidR="009C7D91" w:rsidRPr="0059188A" w:rsidRDefault="009C7D91" w:rsidP="002F1ED8">
            <w:pPr>
              <w:spacing w:before="40"/>
              <w:rPr>
                <w:b/>
                <w:lang w:val="en-AU"/>
              </w:rPr>
            </w:pPr>
            <w:r w:rsidRPr="0059188A">
              <w:rPr>
                <w:b/>
                <w:lang w:val="en-AU"/>
              </w:rPr>
              <w:lastRenderedPageBreak/>
              <w:t>3.</w:t>
            </w:r>
          </w:p>
        </w:tc>
        <w:tc>
          <w:tcPr>
            <w:tcW w:w="4815" w:type="dxa"/>
            <w:shd w:val="clear" w:color="auto" w:fill="auto"/>
          </w:tcPr>
          <w:p w:rsidR="009C7D91" w:rsidRPr="0059188A" w:rsidRDefault="009C7D91" w:rsidP="002F1ED8">
            <w:pPr>
              <w:spacing w:before="40"/>
              <w:jc w:val="both"/>
              <w:rPr>
                <w:lang w:val="en-AU"/>
              </w:rPr>
            </w:pPr>
            <w:r w:rsidRPr="0059188A">
              <w:rPr>
                <w:lang w:val="en-AU"/>
              </w:rPr>
              <w:t>To remove the syringe cap, hold the syringe in one hand while using your other hand to grasp the syringe cap with the thumb and forefinger. Please note: Sn</w:t>
            </w:r>
            <w:r w:rsidR="00E93398" w:rsidRPr="0059188A">
              <w:rPr>
                <w:lang w:val="en-AU"/>
              </w:rPr>
              <w:t>ap off (do not turn or twist)</w:t>
            </w:r>
            <w:r w:rsidRPr="0059188A">
              <w:rPr>
                <w:lang w:val="en-AU"/>
              </w:rPr>
              <w:t xml:space="preserve"> the syringe cap.</w:t>
            </w:r>
          </w:p>
        </w:tc>
        <w:tc>
          <w:tcPr>
            <w:tcW w:w="0" w:type="auto"/>
            <w:shd w:val="clear" w:color="auto" w:fill="auto"/>
          </w:tcPr>
          <w:p w:rsidR="009C7D91" w:rsidRPr="0059188A" w:rsidRDefault="003E56D2" w:rsidP="002F1ED8">
            <w:pPr>
              <w:spacing w:before="40"/>
              <w:jc w:val="both"/>
            </w:pPr>
            <w:r>
              <w:rPr>
                <w:noProof/>
                <w:lang w:val="en-AU" w:eastAsia="en-AU"/>
              </w:rPr>
              <w:pict>
                <v:shape id="Picture 6" o:spid="_x0000_i1031" type="#_x0000_t75" style="width:173.25pt;height:139.5pt;visibility:visible" o:bordertopcolor="black" o:borderleftcolor="black" o:borderbottomcolor="black" o:borderrightcolor="black">
                  <v:imagedata r:id="rId19" o:title=""/>
                  <w10:bordertop type="single" width="4"/>
                  <w10:borderleft type="single" width="4"/>
                  <w10:borderbottom type="single" width="4"/>
                  <w10:borderright type="single" width="4"/>
                </v:shape>
              </w:pict>
            </w:r>
          </w:p>
          <w:p w:rsidR="00A16D1B" w:rsidRPr="0059188A" w:rsidRDefault="00A16D1B" w:rsidP="002F1ED8">
            <w:pPr>
              <w:spacing w:before="40"/>
              <w:jc w:val="both"/>
              <w:rPr>
                <w:lang w:val="en-AU"/>
              </w:rPr>
            </w:pPr>
          </w:p>
        </w:tc>
      </w:tr>
      <w:tr w:rsidR="009C7D91" w:rsidRPr="0059188A" w:rsidTr="00796963">
        <w:tc>
          <w:tcPr>
            <w:tcW w:w="0" w:type="auto"/>
            <w:shd w:val="clear" w:color="auto" w:fill="auto"/>
          </w:tcPr>
          <w:p w:rsidR="009C7D91" w:rsidRPr="0059188A" w:rsidRDefault="009C7D91" w:rsidP="00502C50">
            <w:pPr>
              <w:keepNext/>
              <w:keepLines/>
              <w:spacing w:before="40"/>
              <w:rPr>
                <w:b/>
                <w:lang w:val="en-AU"/>
              </w:rPr>
            </w:pPr>
            <w:r w:rsidRPr="0059188A">
              <w:rPr>
                <w:b/>
                <w:lang w:val="en-AU"/>
              </w:rPr>
              <w:t>4.</w:t>
            </w:r>
          </w:p>
        </w:tc>
        <w:tc>
          <w:tcPr>
            <w:tcW w:w="4815" w:type="dxa"/>
            <w:shd w:val="clear" w:color="auto" w:fill="auto"/>
          </w:tcPr>
          <w:p w:rsidR="009C7D91" w:rsidRPr="0059188A" w:rsidRDefault="009C7D91" w:rsidP="00502C50">
            <w:pPr>
              <w:keepNext/>
              <w:keepLines/>
              <w:spacing w:before="40"/>
              <w:jc w:val="both"/>
              <w:rPr>
                <w:lang w:val="en-AU"/>
              </w:rPr>
            </w:pPr>
            <w:r w:rsidRPr="0059188A">
              <w:rPr>
                <w:lang w:val="en-AU"/>
              </w:rPr>
              <w:t>To avoid compromising the sterility of the product, do not pull back on the plunger.</w:t>
            </w:r>
          </w:p>
          <w:p w:rsidR="00A16D1B" w:rsidRPr="0059188A" w:rsidRDefault="00A16D1B" w:rsidP="00502C50">
            <w:pPr>
              <w:keepNext/>
              <w:keepLines/>
              <w:spacing w:before="40"/>
              <w:jc w:val="both"/>
              <w:rPr>
                <w:lang w:val="en-AU"/>
              </w:rPr>
            </w:pPr>
          </w:p>
        </w:tc>
        <w:tc>
          <w:tcPr>
            <w:tcW w:w="0" w:type="auto"/>
            <w:shd w:val="clear" w:color="auto" w:fill="auto"/>
          </w:tcPr>
          <w:p w:rsidR="009C7D91" w:rsidRPr="0059188A" w:rsidRDefault="009C7D91" w:rsidP="00502C50">
            <w:pPr>
              <w:keepNext/>
              <w:keepLines/>
              <w:spacing w:before="40"/>
              <w:jc w:val="both"/>
              <w:rPr>
                <w:lang w:val="en-AU"/>
              </w:rPr>
            </w:pPr>
          </w:p>
        </w:tc>
      </w:tr>
      <w:tr w:rsidR="009C7D91" w:rsidRPr="0059188A" w:rsidTr="00796963">
        <w:tc>
          <w:tcPr>
            <w:tcW w:w="0" w:type="auto"/>
            <w:shd w:val="clear" w:color="auto" w:fill="auto"/>
          </w:tcPr>
          <w:p w:rsidR="009C7D91" w:rsidRPr="0059188A" w:rsidRDefault="009C7D91" w:rsidP="002F1ED8">
            <w:pPr>
              <w:spacing w:before="40"/>
              <w:rPr>
                <w:b/>
                <w:lang w:val="en-AU"/>
              </w:rPr>
            </w:pPr>
            <w:r w:rsidRPr="0059188A">
              <w:rPr>
                <w:b/>
                <w:lang w:val="en-AU"/>
              </w:rPr>
              <w:t>5.</w:t>
            </w:r>
          </w:p>
        </w:tc>
        <w:tc>
          <w:tcPr>
            <w:tcW w:w="4815" w:type="dxa"/>
            <w:shd w:val="clear" w:color="auto" w:fill="auto"/>
          </w:tcPr>
          <w:p w:rsidR="009C7D91" w:rsidRPr="0059188A" w:rsidRDefault="009C7D91" w:rsidP="002F1ED8">
            <w:pPr>
              <w:spacing w:before="40"/>
              <w:jc w:val="both"/>
              <w:rPr>
                <w:lang w:val="en-AU"/>
              </w:rPr>
            </w:pPr>
            <w:r w:rsidRPr="0059188A">
              <w:rPr>
                <w:lang w:val="en-AU"/>
              </w:rPr>
              <w:t xml:space="preserve">Using aseptic technique, firmly twist the injection needle onto the </w:t>
            </w:r>
            <w:proofErr w:type="spellStart"/>
            <w:r w:rsidRPr="0059188A">
              <w:rPr>
                <w:lang w:val="en-AU"/>
              </w:rPr>
              <w:t>Luer</w:t>
            </w:r>
            <w:proofErr w:type="spellEnd"/>
            <w:r w:rsidRPr="0059188A">
              <w:rPr>
                <w:lang w:val="en-AU"/>
              </w:rPr>
              <w:t>-lock syringe tip.</w:t>
            </w:r>
          </w:p>
        </w:tc>
        <w:tc>
          <w:tcPr>
            <w:tcW w:w="0" w:type="auto"/>
            <w:shd w:val="clear" w:color="auto" w:fill="auto"/>
          </w:tcPr>
          <w:p w:rsidR="00A16D1B" w:rsidRPr="00630191" w:rsidRDefault="003E56D2" w:rsidP="002F1ED8">
            <w:pPr>
              <w:spacing w:before="40"/>
              <w:jc w:val="both"/>
            </w:pPr>
            <w:r>
              <w:rPr>
                <w:noProof/>
                <w:lang w:val="en-AU" w:eastAsia="en-AU"/>
              </w:rPr>
              <w:pict>
                <v:shape id="Picture 7" o:spid="_x0000_i1032" type="#_x0000_t75" style="width:174pt;height:138pt;visibility:visible" o:bordertopcolor="black" o:borderleftcolor="black" o:borderbottomcolor="black" o:borderrightcolor="black">
                  <v:imagedata r:id="rId20" o:title=""/>
                  <w10:bordertop type="single" width="4"/>
                  <w10:borderleft type="single" width="4"/>
                  <w10:borderbottom type="single" width="4"/>
                  <w10:borderright type="single" width="4"/>
                </v:shape>
              </w:pict>
            </w:r>
          </w:p>
        </w:tc>
      </w:tr>
      <w:tr w:rsidR="009C7D91" w:rsidRPr="0059188A" w:rsidTr="00796963">
        <w:tc>
          <w:tcPr>
            <w:tcW w:w="0" w:type="auto"/>
            <w:shd w:val="clear" w:color="auto" w:fill="auto"/>
          </w:tcPr>
          <w:p w:rsidR="009C7D91" w:rsidRPr="0059188A" w:rsidRDefault="009C7D91" w:rsidP="002F1ED8">
            <w:pPr>
              <w:spacing w:before="40"/>
              <w:rPr>
                <w:b/>
                <w:lang w:val="en-AU"/>
              </w:rPr>
            </w:pPr>
            <w:r w:rsidRPr="0059188A">
              <w:rPr>
                <w:b/>
                <w:lang w:val="en-AU"/>
              </w:rPr>
              <w:t>6.</w:t>
            </w:r>
          </w:p>
        </w:tc>
        <w:tc>
          <w:tcPr>
            <w:tcW w:w="4815" w:type="dxa"/>
            <w:shd w:val="clear" w:color="auto" w:fill="auto"/>
          </w:tcPr>
          <w:p w:rsidR="009C7D91" w:rsidRPr="0059188A" w:rsidRDefault="009C7D91" w:rsidP="002F1ED8">
            <w:pPr>
              <w:spacing w:before="40"/>
              <w:jc w:val="both"/>
              <w:rPr>
                <w:lang w:val="en-AU"/>
              </w:rPr>
            </w:pPr>
            <w:r w:rsidRPr="0059188A">
              <w:rPr>
                <w:lang w:val="en-AU"/>
              </w:rPr>
              <w:t>Remove the plastic needle shield.</w:t>
            </w:r>
          </w:p>
          <w:p w:rsidR="00A16D1B" w:rsidRPr="0059188A" w:rsidRDefault="00A16D1B" w:rsidP="002F1ED8">
            <w:pPr>
              <w:spacing w:before="40"/>
              <w:jc w:val="both"/>
              <w:rPr>
                <w:lang w:val="en-AU"/>
              </w:rPr>
            </w:pPr>
          </w:p>
        </w:tc>
        <w:tc>
          <w:tcPr>
            <w:tcW w:w="0" w:type="auto"/>
            <w:shd w:val="clear" w:color="auto" w:fill="auto"/>
          </w:tcPr>
          <w:p w:rsidR="009C7D91" w:rsidRPr="0059188A" w:rsidRDefault="009C7D91" w:rsidP="002F1ED8">
            <w:pPr>
              <w:spacing w:before="40"/>
              <w:jc w:val="both"/>
              <w:rPr>
                <w:lang w:val="en-AU"/>
              </w:rPr>
            </w:pPr>
          </w:p>
        </w:tc>
      </w:tr>
      <w:tr w:rsidR="009C7D91" w:rsidRPr="0059188A" w:rsidTr="00796963">
        <w:tc>
          <w:tcPr>
            <w:tcW w:w="0" w:type="auto"/>
            <w:shd w:val="clear" w:color="auto" w:fill="auto"/>
          </w:tcPr>
          <w:p w:rsidR="009C7D91" w:rsidRPr="0059188A" w:rsidRDefault="009C7D91" w:rsidP="002F1ED8">
            <w:pPr>
              <w:spacing w:before="40"/>
              <w:rPr>
                <w:b/>
                <w:lang w:val="en-AU"/>
              </w:rPr>
            </w:pPr>
            <w:r w:rsidRPr="0059188A">
              <w:rPr>
                <w:b/>
                <w:lang w:val="en-AU"/>
              </w:rPr>
              <w:t>7.</w:t>
            </w:r>
          </w:p>
        </w:tc>
        <w:tc>
          <w:tcPr>
            <w:tcW w:w="4815" w:type="dxa"/>
            <w:shd w:val="clear" w:color="auto" w:fill="auto"/>
          </w:tcPr>
          <w:p w:rsidR="009C7D91" w:rsidRPr="0059188A" w:rsidRDefault="009C7D91" w:rsidP="002F1ED8">
            <w:pPr>
              <w:spacing w:before="40"/>
              <w:jc w:val="both"/>
              <w:rPr>
                <w:lang w:val="en-AU"/>
              </w:rPr>
            </w:pPr>
            <w:r w:rsidRPr="0059188A">
              <w:rPr>
                <w:lang w:val="en-AU"/>
              </w:rPr>
              <w:t>Holding the syringe with the needle pointing up, check the syringe for bubbles. If there are bubbles, gently tap the syringe with your finger until the bubbles rise to the top.</w:t>
            </w:r>
          </w:p>
        </w:tc>
        <w:tc>
          <w:tcPr>
            <w:tcW w:w="0" w:type="auto"/>
            <w:shd w:val="clear" w:color="auto" w:fill="auto"/>
          </w:tcPr>
          <w:p w:rsidR="00A16D1B" w:rsidRPr="00630191" w:rsidRDefault="003E56D2" w:rsidP="002F1ED8">
            <w:pPr>
              <w:spacing w:before="40" w:after="120"/>
              <w:jc w:val="both"/>
            </w:pPr>
            <w:r>
              <w:rPr>
                <w:noProof/>
                <w:lang w:val="en-AU" w:eastAsia="en-AU"/>
              </w:rPr>
              <w:pict>
                <v:shape id="Picture 8" o:spid="_x0000_i1033" type="#_x0000_t75" style="width:174pt;height:147pt;visibility:visible" o:bordertopcolor="black" o:borderleftcolor="black" o:borderbottomcolor="black" o:borderrightcolor="black">
                  <v:imagedata r:id="rId21" o:title=""/>
                  <w10:bordertop type="single" width="4"/>
                  <w10:borderleft type="single" width="4"/>
                  <w10:borderbottom type="single" width="4"/>
                  <w10:borderright type="single" width="4"/>
                </v:shape>
              </w:pict>
            </w:r>
          </w:p>
        </w:tc>
      </w:tr>
      <w:tr w:rsidR="009C7D91" w:rsidRPr="0059188A" w:rsidTr="00796963">
        <w:tc>
          <w:tcPr>
            <w:tcW w:w="0" w:type="auto"/>
            <w:shd w:val="clear" w:color="auto" w:fill="auto"/>
          </w:tcPr>
          <w:p w:rsidR="009C7D91" w:rsidRPr="0059188A" w:rsidRDefault="009C7D91" w:rsidP="002F1ED8">
            <w:pPr>
              <w:spacing w:before="40"/>
              <w:rPr>
                <w:b/>
                <w:lang w:val="en-AU"/>
              </w:rPr>
            </w:pPr>
            <w:r w:rsidRPr="0059188A">
              <w:rPr>
                <w:b/>
                <w:lang w:val="en-AU"/>
              </w:rPr>
              <w:lastRenderedPageBreak/>
              <w:t>8.</w:t>
            </w:r>
          </w:p>
        </w:tc>
        <w:tc>
          <w:tcPr>
            <w:tcW w:w="4815" w:type="dxa"/>
            <w:shd w:val="clear" w:color="auto" w:fill="auto"/>
          </w:tcPr>
          <w:p w:rsidR="009C7D91" w:rsidRPr="0059188A" w:rsidRDefault="009C7D91" w:rsidP="002F1ED8">
            <w:pPr>
              <w:spacing w:before="40"/>
              <w:jc w:val="both"/>
              <w:rPr>
                <w:lang w:val="en-AU"/>
              </w:rPr>
            </w:pPr>
            <w:r w:rsidRPr="0059188A">
              <w:rPr>
                <w:lang w:val="en-AU"/>
              </w:rPr>
              <w:t xml:space="preserve">To eliminate all bubbles and to expel excess drug, slowly depress the plunger to align the cylindrical base of the dome </w:t>
            </w:r>
            <w:r w:rsidR="005D177F" w:rsidRPr="0059188A">
              <w:rPr>
                <w:lang w:val="en-AU"/>
              </w:rPr>
              <w:t xml:space="preserve">plunger </w:t>
            </w:r>
            <w:r w:rsidRPr="0059188A">
              <w:rPr>
                <w:lang w:val="en-AU"/>
              </w:rPr>
              <w:t>with the black dosing line o</w:t>
            </w:r>
            <w:r w:rsidR="00DA6EB6" w:rsidRPr="0059188A">
              <w:rPr>
                <w:lang w:val="en-AU"/>
              </w:rPr>
              <w:t>n the syringe (equivalent to 50 µL</w:t>
            </w:r>
            <w:r w:rsidRPr="0059188A">
              <w:rPr>
                <w:lang w:val="en-AU"/>
              </w:rPr>
              <w:t>).</w:t>
            </w:r>
          </w:p>
        </w:tc>
        <w:tc>
          <w:tcPr>
            <w:tcW w:w="0" w:type="auto"/>
            <w:shd w:val="clear" w:color="auto" w:fill="auto"/>
          </w:tcPr>
          <w:p w:rsidR="00A16D1B" w:rsidRPr="0059188A" w:rsidRDefault="003E56D2" w:rsidP="002F1ED8">
            <w:pPr>
              <w:spacing w:before="40"/>
              <w:jc w:val="both"/>
            </w:pPr>
            <w:r>
              <w:rPr>
                <w:noProof/>
                <w:lang w:val="en-AU" w:eastAsia="en-AU"/>
              </w:rPr>
              <w:pict>
                <v:shape id="Picture 9" o:spid="_x0000_i1034" type="#_x0000_t75" alt="before_expel_excess_#518120" style="width:174pt;height:164.25pt;visibility:visible">
                  <v:imagedata r:id="rId22" o:title="before_expel_excess_#518120" croptop="1186f" cropbottom="544f" cropleft="1228f" cropright="1152f"/>
                </v:shape>
              </w:pict>
            </w:r>
          </w:p>
          <w:p w:rsidR="009C7D91" w:rsidRPr="00630191" w:rsidRDefault="003E56D2" w:rsidP="002F1ED8">
            <w:pPr>
              <w:spacing w:before="40" w:after="40"/>
              <w:jc w:val="both"/>
            </w:pPr>
            <w:r>
              <w:rPr>
                <w:noProof/>
                <w:lang w:val="en-AU" w:eastAsia="en-AU"/>
              </w:rPr>
              <w:pict>
                <v:shape id="Picture 10" o:spid="_x0000_i1035" type="#_x0000_t75" style="width:174.75pt;height:162pt;visibility:visible" o:bordertopcolor="black" o:borderleftcolor="black" o:borderbottomcolor="black" o:borderrightcolor="black">
                  <v:imagedata r:id="rId23" o:title=""/>
                  <w10:bordertop type="single" width="4"/>
                  <w10:borderleft type="single" width="4"/>
                  <w10:borderbottom type="single" width="4"/>
                  <w10:borderright type="single" width="4"/>
                </v:shape>
              </w:pict>
            </w:r>
          </w:p>
        </w:tc>
      </w:tr>
    </w:tbl>
    <w:p w:rsidR="00206B29" w:rsidRPr="0059188A" w:rsidRDefault="00206B29" w:rsidP="00D4671A">
      <w:pPr>
        <w:pStyle w:val="Heading3"/>
        <w:rPr>
          <w:rFonts w:ascii="Times New Roman Bold" w:hAnsi="Times New Roman Bold"/>
          <w:i/>
          <w:sz w:val="28"/>
          <w:szCs w:val="28"/>
          <w:lang w:val="en-AU"/>
        </w:rPr>
      </w:pPr>
      <w:r w:rsidRPr="0059188A">
        <w:rPr>
          <w:rFonts w:ascii="Times New Roman Bold" w:hAnsi="Times New Roman Bold"/>
          <w:i/>
          <w:sz w:val="28"/>
          <w:szCs w:val="28"/>
          <w:lang w:val="en-AU"/>
        </w:rPr>
        <w:t>Vial</w:t>
      </w:r>
    </w:p>
    <w:p w:rsidR="00206B29" w:rsidRPr="0059188A" w:rsidRDefault="00206B29" w:rsidP="00BA7679">
      <w:pPr>
        <w:keepNext/>
        <w:jc w:val="both"/>
        <w:rPr>
          <w:lang w:val="en-AU"/>
        </w:rPr>
      </w:pPr>
    </w:p>
    <w:tbl>
      <w:tblPr>
        <w:tblW w:w="9584" w:type="dxa"/>
        <w:tblLayout w:type="fixed"/>
        <w:tblLook w:val="01E0" w:firstRow="1" w:lastRow="1" w:firstColumn="1" w:lastColumn="1" w:noHBand="0" w:noVBand="0"/>
      </w:tblPr>
      <w:tblGrid>
        <w:gridCol w:w="534"/>
        <w:gridCol w:w="4677"/>
        <w:gridCol w:w="4373"/>
      </w:tblGrid>
      <w:tr w:rsidR="00206B29" w:rsidRPr="0059188A" w:rsidTr="00A632C8">
        <w:tc>
          <w:tcPr>
            <w:tcW w:w="534" w:type="dxa"/>
            <w:shd w:val="clear" w:color="auto" w:fill="auto"/>
          </w:tcPr>
          <w:p w:rsidR="00206B29" w:rsidRPr="0059188A" w:rsidRDefault="00206B29" w:rsidP="002F1ED8">
            <w:pPr>
              <w:spacing w:before="40" w:after="40"/>
              <w:jc w:val="both"/>
              <w:rPr>
                <w:b/>
                <w:lang w:val="en-AU"/>
              </w:rPr>
            </w:pPr>
            <w:r w:rsidRPr="0059188A">
              <w:rPr>
                <w:b/>
                <w:lang w:val="en-AU"/>
              </w:rPr>
              <w:t>1.</w:t>
            </w:r>
          </w:p>
        </w:tc>
        <w:tc>
          <w:tcPr>
            <w:tcW w:w="4677" w:type="dxa"/>
            <w:shd w:val="clear" w:color="auto" w:fill="auto"/>
          </w:tcPr>
          <w:p w:rsidR="00206B29" w:rsidRPr="0059188A" w:rsidRDefault="00206B29" w:rsidP="002F1ED8">
            <w:pPr>
              <w:spacing w:before="40" w:after="40"/>
              <w:jc w:val="both"/>
              <w:rPr>
                <w:lang w:val="en-AU"/>
              </w:rPr>
            </w:pPr>
            <w:r w:rsidRPr="0059188A">
              <w:rPr>
                <w:lang w:val="en-AU"/>
              </w:rPr>
              <w:t>Remove the plastic cap and disinfect the outer part of the rubber stopper of the vial.</w:t>
            </w:r>
          </w:p>
        </w:tc>
        <w:tc>
          <w:tcPr>
            <w:tcW w:w="4373" w:type="dxa"/>
            <w:shd w:val="clear" w:color="auto" w:fill="auto"/>
          </w:tcPr>
          <w:p w:rsidR="00206B29" w:rsidRPr="00630191" w:rsidRDefault="003E56D2" w:rsidP="002F1ED8">
            <w:pPr>
              <w:spacing w:before="40" w:after="40"/>
              <w:jc w:val="both"/>
            </w:pPr>
            <w:r>
              <w:rPr>
                <w:noProof/>
                <w:lang w:val="en-AU" w:eastAsia="en-AU"/>
              </w:rPr>
              <w:pict>
                <v:shape id="Picture 11" o:spid="_x0000_i1036" type="#_x0000_t75" style="width:174pt;height:2in;visibility:visible" o:bordertopcolor="black" o:borderleftcolor="black" o:borderbottomcolor="black" o:borderrightcolor="black">
                  <v:imagedata r:id="rId24" o:title=""/>
                  <w10:bordertop type="single" width="4"/>
                  <w10:borderleft type="single" width="4"/>
                  <w10:borderbottom type="single" width="4"/>
                  <w10:borderright type="single" width="4"/>
                </v:shape>
              </w:pict>
            </w:r>
          </w:p>
        </w:tc>
      </w:tr>
      <w:tr w:rsidR="00206B29" w:rsidRPr="0059188A" w:rsidTr="00A632C8">
        <w:tc>
          <w:tcPr>
            <w:tcW w:w="534" w:type="dxa"/>
            <w:shd w:val="clear" w:color="auto" w:fill="auto"/>
          </w:tcPr>
          <w:p w:rsidR="00206B29" w:rsidRPr="0059188A" w:rsidRDefault="00206B29" w:rsidP="002F1ED8">
            <w:pPr>
              <w:spacing w:before="40" w:after="40"/>
              <w:jc w:val="both"/>
              <w:rPr>
                <w:b/>
                <w:lang w:val="en-AU"/>
              </w:rPr>
            </w:pPr>
            <w:r w:rsidRPr="0059188A">
              <w:rPr>
                <w:b/>
                <w:lang w:val="en-AU"/>
              </w:rPr>
              <w:t>2.</w:t>
            </w:r>
          </w:p>
        </w:tc>
        <w:tc>
          <w:tcPr>
            <w:tcW w:w="4677" w:type="dxa"/>
            <w:shd w:val="clear" w:color="auto" w:fill="auto"/>
          </w:tcPr>
          <w:p w:rsidR="00206B29" w:rsidRPr="0059188A" w:rsidRDefault="00206B29" w:rsidP="00E5236B">
            <w:pPr>
              <w:spacing w:before="40" w:after="40"/>
              <w:jc w:val="both"/>
              <w:rPr>
                <w:lang w:val="en-AU"/>
              </w:rPr>
            </w:pPr>
            <w:r w:rsidRPr="0059188A">
              <w:rPr>
                <w:lang w:val="en-AU"/>
              </w:rPr>
              <w:t xml:space="preserve">Attach the 18 G, 5-micron filter needle </w:t>
            </w:r>
            <w:r w:rsidR="00736F72" w:rsidRPr="0059188A">
              <w:rPr>
                <w:lang w:val="en-AU"/>
              </w:rPr>
              <w:t>supplied in the carton to a 1 mL</w:t>
            </w:r>
            <w:r w:rsidRPr="0059188A">
              <w:rPr>
                <w:lang w:val="en-AU"/>
              </w:rPr>
              <w:t xml:space="preserve"> sterile, </w:t>
            </w:r>
            <w:proofErr w:type="spellStart"/>
            <w:r w:rsidRPr="0059188A">
              <w:rPr>
                <w:lang w:val="en-AU"/>
              </w:rPr>
              <w:t>Luer</w:t>
            </w:r>
            <w:proofErr w:type="spellEnd"/>
            <w:r w:rsidR="00E5236B">
              <w:rPr>
                <w:lang w:val="en-AU"/>
              </w:rPr>
              <w:noBreakHyphen/>
            </w:r>
            <w:r w:rsidRPr="0059188A">
              <w:rPr>
                <w:lang w:val="en-AU"/>
              </w:rPr>
              <w:t>lock syringe.</w:t>
            </w:r>
          </w:p>
        </w:tc>
        <w:tc>
          <w:tcPr>
            <w:tcW w:w="4373" w:type="dxa"/>
            <w:shd w:val="clear" w:color="auto" w:fill="auto"/>
          </w:tcPr>
          <w:p w:rsidR="00206B29" w:rsidRPr="00630191" w:rsidRDefault="003E56D2" w:rsidP="002F1ED8">
            <w:pPr>
              <w:spacing w:before="40" w:after="40"/>
              <w:jc w:val="both"/>
            </w:pPr>
            <w:r>
              <w:rPr>
                <w:noProof/>
                <w:lang w:val="en-AU" w:eastAsia="en-AU"/>
              </w:rPr>
              <w:pict>
                <v:shape id="Picture 12" o:spid="_x0000_i1037" type="#_x0000_t75" style="width:174pt;height:149.25pt;visibility:visible" o:bordertopcolor="black" o:borderleftcolor="black" o:borderbottomcolor="black" o:borderrightcolor="black">
                  <v:imagedata r:id="rId25" o:title=""/>
                  <w10:bordertop type="single" width="4"/>
                  <w10:borderleft type="single" width="4"/>
                  <w10:borderbottom type="single" width="4"/>
                  <w10:borderright type="single" width="4"/>
                </v:shape>
              </w:pict>
            </w:r>
          </w:p>
        </w:tc>
      </w:tr>
      <w:tr w:rsidR="001C5FCD" w:rsidRPr="0059188A" w:rsidTr="00531DC1">
        <w:tc>
          <w:tcPr>
            <w:tcW w:w="534" w:type="dxa"/>
            <w:shd w:val="clear" w:color="auto" w:fill="auto"/>
          </w:tcPr>
          <w:p w:rsidR="001C5FCD" w:rsidRPr="0059188A" w:rsidRDefault="001C5FCD" w:rsidP="00531DC1">
            <w:pPr>
              <w:keepNext/>
              <w:keepLines/>
              <w:spacing w:before="40" w:after="40"/>
              <w:jc w:val="both"/>
              <w:rPr>
                <w:b/>
                <w:lang w:val="en-AU"/>
              </w:rPr>
            </w:pPr>
            <w:r w:rsidRPr="0059188A">
              <w:rPr>
                <w:b/>
                <w:lang w:val="en-AU"/>
              </w:rPr>
              <w:lastRenderedPageBreak/>
              <w:t>3.</w:t>
            </w:r>
          </w:p>
        </w:tc>
        <w:tc>
          <w:tcPr>
            <w:tcW w:w="4677" w:type="dxa"/>
            <w:shd w:val="clear" w:color="auto" w:fill="auto"/>
          </w:tcPr>
          <w:p w:rsidR="001C5FCD" w:rsidRDefault="001C5FCD" w:rsidP="00531DC1">
            <w:pPr>
              <w:keepNext/>
              <w:keepLines/>
              <w:spacing w:before="40" w:after="40"/>
              <w:jc w:val="both"/>
            </w:pPr>
            <w:r w:rsidRPr="0059188A">
              <w:rPr>
                <w:lang w:val="en-AU"/>
              </w:rPr>
              <w:t xml:space="preserve">Push the filter needle into the centre of the vial stopper until the needle </w:t>
            </w:r>
            <w:r w:rsidRPr="0059188A">
              <w:t>is completely inserted into the vial and the tip</w:t>
            </w:r>
            <w:r w:rsidRPr="0059188A">
              <w:rPr>
                <w:lang w:val="en-AU"/>
              </w:rPr>
              <w:t xml:space="preserve"> touches the bottom or bottom edge of the vial.</w:t>
            </w:r>
            <w:r w:rsidRPr="0059188A">
              <w:t xml:space="preserve"> </w:t>
            </w:r>
          </w:p>
          <w:p w:rsidR="00502C50" w:rsidRPr="0059188A" w:rsidRDefault="00502C50" w:rsidP="00531DC1">
            <w:pPr>
              <w:keepNext/>
              <w:keepLines/>
              <w:spacing w:before="40" w:after="40"/>
              <w:jc w:val="both"/>
              <w:rPr>
                <w:lang w:val="en-AU"/>
              </w:rPr>
            </w:pPr>
          </w:p>
        </w:tc>
        <w:tc>
          <w:tcPr>
            <w:tcW w:w="4373" w:type="dxa"/>
            <w:shd w:val="clear" w:color="auto" w:fill="auto"/>
          </w:tcPr>
          <w:p w:rsidR="001C5FCD" w:rsidRDefault="001C5FCD" w:rsidP="00531DC1">
            <w:pPr>
              <w:keepNext/>
              <w:keepLines/>
              <w:spacing w:before="40" w:after="40"/>
              <w:jc w:val="both"/>
              <w:rPr>
                <w:lang w:val="en-AU"/>
              </w:rPr>
            </w:pPr>
          </w:p>
          <w:p w:rsidR="001C5FCD" w:rsidRDefault="001C5FCD" w:rsidP="00531DC1">
            <w:pPr>
              <w:keepNext/>
              <w:keepLines/>
              <w:spacing w:before="40" w:after="40"/>
              <w:jc w:val="both"/>
              <w:rPr>
                <w:lang w:val="en-AU"/>
              </w:rPr>
            </w:pPr>
          </w:p>
          <w:p w:rsidR="001C5FCD" w:rsidRDefault="001C5FCD" w:rsidP="00531DC1">
            <w:pPr>
              <w:keepNext/>
              <w:keepLines/>
              <w:spacing w:before="40" w:after="40"/>
              <w:jc w:val="both"/>
              <w:rPr>
                <w:lang w:val="en-AU"/>
              </w:rPr>
            </w:pPr>
          </w:p>
          <w:p w:rsidR="001C5FCD" w:rsidRPr="0059188A" w:rsidRDefault="001C5FCD" w:rsidP="00531DC1">
            <w:pPr>
              <w:keepNext/>
              <w:keepLines/>
              <w:spacing w:before="40" w:after="40"/>
              <w:jc w:val="both"/>
              <w:rPr>
                <w:lang w:val="en-AU"/>
              </w:rPr>
            </w:pPr>
          </w:p>
        </w:tc>
      </w:tr>
      <w:tr w:rsidR="00206B29" w:rsidRPr="0059188A" w:rsidTr="00A632C8">
        <w:tc>
          <w:tcPr>
            <w:tcW w:w="534" w:type="dxa"/>
            <w:shd w:val="clear" w:color="auto" w:fill="auto"/>
          </w:tcPr>
          <w:p w:rsidR="00206B29" w:rsidRPr="0059188A" w:rsidRDefault="00206B29" w:rsidP="002F1ED8">
            <w:pPr>
              <w:spacing w:before="40" w:after="40"/>
              <w:jc w:val="both"/>
              <w:rPr>
                <w:b/>
                <w:lang w:val="en-AU"/>
              </w:rPr>
            </w:pPr>
            <w:r w:rsidRPr="0059188A">
              <w:rPr>
                <w:b/>
                <w:lang w:val="en-AU"/>
              </w:rPr>
              <w:t>4.</w:t>
            </w:r>
          </w:p>
        </w:tc>
        <w:tc>
          <w:tcPr>
            <w:tcW w:w="4677" w:type="dxa"/>
            <w:shd w:val="clear" w:color="auto" w:fill="auto"/>
          </w:tcPr>
          <w:p w:rsidR="00206B29" w:rsidRPr="0059188A" w:rsidRDefault="00206B29" w:rsidP="002F1ED8">
            <w:pPr>
              <w:spacing w:before="40" w:after="40"/>
              <w:jc w:val="both"/>
              <w:rPr>
                <w:lang w:val="en-AU"/>
              </w:rPr>
            </w:pPr>
            <w:r w:rsidRPr="0059188A">
              <w:rPr>
                <w:lang w:val="en-AU"/>
              </w:rPr>
              <w:t>Using aseptic technique withdraw all of the EYLEA vial contents into the syringe, keeping the vial in an upright position, slightly inclined to ease complete withdrawal.</w:t>
            </w:r>
            <w:r w:rsidR="00B671E9" w:rsidRPr="0059188A">
              <w:rPr>
                <w:lang w:val="en-AU"/>
              </w:rPr>
              <w:t xml:space="preserve"> </w:t>
            </w:r>
            <w:r w:rsidR="00B671E9" w:rsidRPr="0059188A">
              <w:t>To deter the introduction of air, ensure the bevel of the filter needle is submerged into the liquid. Continue to tilt the vial during withdrawal keeping the bevel of the filter needle submerged in the liquid.</w:t>
            </w:r>
          </w:p>
        </w:tc>
        <w:tc>
          <w:tcPr>
            <w:tcW w:w="4373" w:type="dxa"/>
            <w:shd w:val="clear" w:color="auto" w:fill="auto"/>
          </w:tcPr>
          <w:p w:rsidR="00206B29" w:rsidRDefault="003E56D2" w:rsidP="002F1ED8">
            <w:pPr>
              <w:spacing w:before="40" w:after="40"/>
              <w:jc w:val="both"/>
              <w:rPr>
                <w:color w:val="990099"/>
              </w:rPr>
            </w:pPr>
            <w:r>
              <w:rPr>
                <w:noProof/>
                <w:color w:val="990099"/>
                <w:lang w:val="en-AU" w:eastAsia="en-AU"/>
              </w:rPr>
              <w:pict>
                <v:shape id="Picture 13" o:spid="_x0000_i1038" type="#_x0000_t75" alt="1" style="width:171pt;height:150pt;visibility:visible" o:bordertopcolor="black" o:borderleftcolor="black" o:borderbottomcolor="black" o:borderrightcolor="black">
                  <v:imagedata r:id="rId26" o:title="1" croptop="1030f" cropbottom="1030f" cropleft="920f" cropright="920f"/>
                  <w10:bordertop type="single" width="4"/>
                  <w10:borderleft type="single" width="4"/>
                  <w10:borderbottom type="single" width="4"/>
                  <w10:borderright type="single" width="4"/>
                </v:shape>
              </w:pict>
            </w:r>
          </w:p>
          <w:p w:rsidR="00A632C8" w:rsidRPr="0059188A" w:rsidRDefault="003E56D2" w:rsidP="002F1ED8">
            <w:pPr>
              <w:spacing w:before="120" w:after="40"/>
              <w:jc w:val="both"/>
              <w:rPr>
                <w:lang w:val="en-AU"/>
              </w:rPr>
            </w:pPr>
            <w:r>
              <w:rPr>
                <w:noProof/>
                <w:color w:val="990099"/>
                <w:lang w:val="en-AU" w:eastAsia="en-AU"/>
              </w:rPr>
              <w:pict>
                <v:shape id="Picture 14" o:spid="_x0000_i1039" type="#_x0000_t75" alt="2" style="width:170.25pt;height:150pt;visibility:visible" o:bordertopcolor="black" o:borderleftcolor="black" o:borderbottomcolor="black" o:borderrightcolor="black">
                  <v:imagedata r:id="rId27" o:title="2" croptop="1236f" cropbottom="1855f" cropleft="920f" cropright="1105f"/>
                  <w10:bordertop type="single" width="4"/>
                  <w10:borderleft type="single" width="4"/>
                  <w10:borderbottom type="single" width="4"/>
                  <w10:borderright type="single" width="4"/>
                </v:shape>
              </w:pict>
            </w:r>
          </w:p>
        </w:tc>
      </w:tr>
      <w:tr w:rsidR="00206B29" w:rsidRPr="0059188A" w:rsidTr="00A632C8">
        <w:tc>
          <w:tcPr>
            <w:tcW w:w="534" w:type="dxa"/>
            <w:shd w:val="clear" w:color="auto" w:fill="auto"/>
          </w:tcPr>
          <w:p w:rsidR="00206B29" w:rsidRPr="0059188A" w:rsidRDefault="00206B29" w:rsidP="002F1ED8">
            <w:pPr>
              <w:keepNext/>
              <w:keepLines/>
              <w:spacing w:before="40" w:after="40"/>
              <w:jc w:val="both"/>
              <w:rPr>
                <w:b/>
                <w:lang w:val="en-AU"/>
              </w:rPr>
            </w:pPr>
            <w:r w:rsidRPr="0059188A">
              <w:rPr>
                <w:b/>
                <w:lang w:val="en-AU"/>
              </w:rPr>
              <w:t>5.</w:t>
            </w:r>
          </w:p>
        </w:tc>
        <w:tc>
          <w:tcPr>
            <w:tcW w:w="4677" w:type="dxa"/>
            <w:shd w:val="clear" w:color="auto" w:fill="auto"/>
          </w:tcPr>
          <w:p w:rsidR="00206B29" w:rsidRPr="0059188A" w:rsidRDefault="00206B29" w:rsidP="002F1ED8">
            <w:pPr>
              <w:keepNext/>
              <w:keepLines/>
              <w:spacing w:before="40" w:after="40"/>
              <w:jc w:val="both"/>
              <w:rPr>
                <w:lang w:val="en-AU"/>
              </w:rPr>
            </w:pPr>
            <w:r w:rsidRPr="0059188A">
              <w:rPr>
                <w:lang w:val="en-AU"/>
              </w:rPr>
              <w:t>Ensure that the plunger rod is drawn sufficiently back when emptying the vial in order to completely empty the filter needle.</w:t>
            </w:r>
          </w:p>
          <w:p w:rsidR="00206B29" w:rsidRPr="0059188A" w:rsidRDefault="00206B29" w:rsidP="002F1ED8">
            <w:pPr>
              <w:keepNext/>
              <w:keepLines/>
              <w:spacing w:before="40" w:after="40"/>
              <w:jc w:val="both"/>
              <w:rPr>
                <w:lang w:val="en-AU"/>
              </w:rPr>
            </w:pPr>
          </w:p>
        </w:tc>
        <w:tc>
          <w:tcPr>
            <w:tcW w:w="4373" w:type="dxa"/>
            <w:shd w:val="clear" w:color="auto" w:fill="auto"/>
          </w:tcPr>
          <w:p w:rsidR="00206B29" w:rsidRPr="0059188A" w:rsidRDefault="00206B29" w:rsidP="002F1ED8">
            <w:pPr>
              <w:keepNext/>
              <w:keepLines/>
              <w:spacing w:before="40" w:after="40"/>
              <w:jc w:val="both"/>
              <w:rPr>
                <w:lang w:val="en-AU"/>
              </w:rPr>
            </w:pPr>
          </w:p>
        </w:tc>
      </w:tr>
      <w:tr w:rsidR="00206B29" w:rsidRPr="0059188A" w:rsidTr="00A632C8">
        <w:tc>
          <w:tcPr>
            <w:tcW w:w="534" w:type="dxa"/>
            <w:shd w:val="clear" w:color="auto" w:fill="auto"/>
          </w:tcPr>
          <w:p w:rsidR="00206B29" w:rsidRPr="0059188A" w:rsidRDefault="00206B29" w:rsidP="002F1ED8">
            <w:pPr>
              <w:spacing w:before="40" w:after="40"/>
              <w:jc w:val="both"/>
              <w:rPr>
                <w:b/>
                <w:lang w:val="en-AU"/>
              </w:rPr>
            </w:pPr>
            <w:r w:rsidRPr="0059188A">
              <w:rPr>
                <w:b/>
                <w:lang w:val="en-AU"/>
              </w:rPr>
              <w:t>6.</w:t>
            </w:r>
          </w:p>
        </w:tc>
        <w:tc>
          <w:tcPr>
            <w:tcW w:w="4677" w:type="dxa"/>
            <w:shd w:val="clear" w:color="auto" w:fill="auto"/>
          </w:tcPr>
          <w:p w:rsidR="00206B29" w:rsidRDefault="00206B29" w:rsidP="002F1ED8">
            <w:pPr>
              <w:spacing w:before="40" w:after="40"/>
              <w:jc w:val="both"/>
              <w:rPr>
                <w:lang w:val="en-AU"/>
              </w:rPr>
            </w:pPr>
            <w:r w:rsidRPr="0059188A">
              <w:rPr>
                <w:lang w:val="en-AU"/>
              </w:rPr>
              <w:t>Remove the filter needle and properly dispose of it.</w:t>
            </w:r>
            <w:r w:rsidR="00736F72" w:rsidRPr="0059188A">
              <w:rPr>
                <w:lang w:val="en-AU"/>
              </w:rPr>
              <w:t xml:space="preserve"> </w:t>
            </w:r>
            <w:r w:rsidRPr="00872D2E">
              <w:rPr>
                <w:b/>
                <w:lang w:val="en-AU"/>
              </w:rPr>
              <w:t>Note:</w:t>
            </w:r>
            <w:r w:rsidRPr="0059188A">
              <w:rPr>
                <w:lang w:val="en-AU"/>
              </w:rPr>
              <w:t xml:space="preserve"> Filter needle is </w:t>
            </w:r>
            <w:r w:rsidRPr="00872D2E">
              <w:rPr>
                <w:b/>
                <w:lang w:val="en-AU"/>
              </w:rPr>
              <w:t>not</w:t>
            </w:r>
            <w:r w:rsidRPr="0059188A">
              <w:rPr>
                <w:lang w:val="en-AU"/>
              </w:rPr>
              <w:t xml:space="preserve"> to be used for </w:t>
            </w:r>
            <w:proofErr w:type="spellStart"/>
            <w:r w:rsidRPr="0059188A">
              <w:rPr>
                <w:lang w:val="en-AU"/>
              </w:rPr>
              <w:t>intravitreal</w:t>
            </w:r>
            <w:proofErr w:type="spellEnd"/>
            <w:r w:rsidRPr="0059188A">
              <w:rPr>
                <w:lang w:val="en-AU"/>
              </w:rPr>
              <w:t xml:space="preserve"> injection.</w:t>
            </w:r>
          </w:p>
          <w:p w:rsidR="00502C50" w:rsidRPr="0059188A" w:rsidRDefault="00502C50" w:rsidP="002F1ED8">
            <w:pPr>
              <w:spacing w:before="40" w:after="40"/>
              <w:jc w:val="both"/>
              <w:rPr>
                <w:lang w:val="en-AU"/>
              </w:rPr>
            </w:pPr>
          </w:p>
        </w:tc>
        <w:tc>
          <w:tcPr>
            <w:tcW w:w="4373" w:type="dxa"/>
            <w:shd w:val="clear" w:color="auto" w:fill="auto"/>
          </w:tcPr>
          <w:p w:rsidR="00206B29" w:rsidRPr="0059188A" w:rsidRDefault="00206B29" w:rsidP="002F1ED8">
            <w:pPr>
              <w:spacing w:before="40" w:after="40"/>
              <w:jc w:val="both"/>
              <w:rPr>
                <w:lang w:val="en-AU"/>
              </w:rPr>
            </w:pPr>
          </w:p>
        </w:tc>
      </w:tr>
      <w:tr w:rsidR="00206B29" w:rsidRPr="0059188A" w:rsidTr="00A632C8">
        <w:tc>
          <w:tcPr>
            <w:tcW w:w="534" w:type="dxa"/>
            <w:shd w:val="clear" w:color="auto" w:fill="auto"/>
          </w:tcPr>
          <w:p w:rsidR="00206B29" w:rsidRPr="0059188A" w:rsidRDefault="00206B29" w:rsidP="002F1ED8">
            <w:pPr>
              <w:spacing w:before="40" w:after="40"/>
              <w:jc w:val="both"/>
              <w:rPr>
                <w:b/>
                <w:lang w:val="en-AU"/>
              </w:rPr>
            </w:pPr>
            <w:r w:rsidRPr="0059188A">
              <w:rPr>
                <w:b/>
                <w:lang w:val="en-AU"/>
              </w:rPr>
              <w:t>7.</w:t>
            </w:r>
          </w:p>
        </w:tc>
        <w:tc>
          <w:tcPr>
            <w:tcW w:w="4677" w:type="dxa"/>
            <w:shd w:val="clear" w:color="auto" w:fill="auto"/>
          </w:tcPr>
          <w:p w:rsidR="00206B29" w:rsidRPr="0059188A" w:rsidRDefault="00206B29" w:rsidP="002F1ED8">
            <w:pPr>
              <w:spacing w:before="40" w:after="40"/>
              <w:jc w:val="both"/>
              <w:rPr>
                <w:lang w:val="en-AU"/>
              </w:rPr>
            </w:pPr>
            <w:r w:rsidRPr="0059188A">
              <w:rPr>
                <w:lang w:val="en-AU"/>
              </w:rPr>
              <w:t>Using aseptic technique, firmly twist a 30</w:t>
            </w:r>
            <w:r w:rsidR="00330DD5">
              <w:rPr>
                <w:lang w:val="en-AU"/>
              </w:rPr>
              <w:t> </w:t>
            </w:r>
            <w:r w:rsidRPr="0059188A">
              <w:rPr>
                <w:lang w:val="en-AU"/>
              </w:rPr>
              <w:t xml:space="preserve">G x ½ inch injection needle to the </w:t>
            </w:r>
            <w:proofErr w:type="spellStart"/>
            <w:r w:rsidRPr="0059188A">
              <w:rPr>
                <w:lang w:val="en-AU"/>
              </w:rPr>
              <w:t>Luer</w:t>
            </w:r>
            <w:proofErr w:type="spellEnd"/>
            <w:r w:rsidR="00330DD5">
              <w:rPr>
                <w:lang w:val="en-AU"/>
              </w:rPr>
              <w:noBreakHyphen/>
            </w:r>
            <w:r w:rsidRPr="0059188A">
              <w:rPr>
                <w:lang w:val="en-AU"/>
              </w:rPr>
              <w:t>lock syringe tip.</w:t>
            </w:r>
          </w:p>
        </w:tc>
        <w:tc>
          <w:tcPr>
            <w:tcW w:w="4373" w:type="dxa"/>
            <w:shd w:val="clear" w:color="auto" w:fill="auto"/>
          </w:tcPr>
          <w:p w:rsidR="00206B29" w:rsidRPr="00630191" w:rsidRDefault="003E56D2" w:rsidP="002F1ED8">
            <w:pPr>
              <w:spacing w:before="40" w:after="40"/>
              <w:jc w:val="both"/>
            </w:pPr>
            <w:r>
              <w:rPr>
                <w:noProof/>
                <w:lang w:val="en-AU" w:eastAsia="en-AU"/>
              </w:rPr>
              <w:pict>
                <v:shape id="Picture 15" o:spid="_x0000_i1040" type="#_x0000_t75" style="width:174pt;height:139.5pt;visibility:visible" o:bordertopcolor="black" o:borderleftcolor="black" o:borderbottomcolor="black" o:borderrightcolor="black">
                  <v:imagedata r:id="rId28" o:title=""/>
                  <w10:bordertop type="single" width="4"/>
                  <w10:borderleft type="single" width="4"/>
                  <w10:borderbottom type="single" width="4"/>
                  <w10:borderright type="single" width="4"/>
                </v:shape>
              </w:pict>
            </w:r>
          </w:p>
        </w:tc>
      </w:tr>
      <w:tr w:rsidR="00206B29" w:rsidRPr="0059188A" w:rsidTr="00A632C8">
        <w:tc>
          <w:tcPr>
            <w:tcW w:w="534" w:type="dxa"/>
            <w:shd w:val="clear" w:color="auto" w:fill="auto"/>
          </w:tcPr>
          <w:p w:rsidR="00206B29" w:rsidRPr="0059188A" w:rsidRDefault="00206B29" w:rsidP="002F1ED8">
            <w:pPr>
              <w:spacing w:before="40" w:after="40"/>
              <w:jc w:val="both"/>
              <w:rPr>
                <w:b/>
                <w:lang w:val="en-AU"/>
              </w:rPr>
            </w:pPr>
            <w:r w:rsidRPr="0059188A">
              <w:rPr>
                <w:b/>
                <w:lang w:val="en-AU"/>
              </w:rPr>
              <w:t>8.</w:t>
            </w:r>
          </w:p>
        </w:tc>
        <w:tc>
          <w:tcPr>
            <w:tcW w:w="4677" w:type="dxa"/>
            <w:shd w:val="clear" w:color="auto" w:fill="auto"/>
          </w:tcPr>
          <w:p w:rsidR="00206B29" w:rsidRPr="0059188A" w:rsidRDefault="00206B29" w:rsidP="002F1ED8">
            <w:pPr>
              <w:spacing w:before="40" w:after="40"/>
              <w:jc w:val="both"/>
              <w:rPr>
                <w:lang w:val="en-AU"/>
              </w:rPr>
            </w:pPr>
            <w:r w:rsidRPr="0059188A">
              <w:rPr>
                <w:lang w:val="en-AU"/>
              </w:rPr>
              <w:t xml:space="preserve">When ready to administer EYLEA, remove </w:t>
            </w:r>
            <w:r w:rsidRPr="0059188A">
              <w:rPr>
                <w:lang w:val="en-AU"/>
              </w:rPr>
              <w:lastRenderedPageBreak/>
              <w:t>the plastic needle shield.</w:t>
            </w:r>
          </w:p>
          <w:p w:rsidR="00206B29" w:rsidRPr="0059188A" w:rsidRDefault="00206B29" w:rsidP="002F1ED8">
            <w:pPr>
              <w:spacing w:before="40" w:after="40"/>
              <w:jc w:val="both"/>
              <w:rPr>
                <w:lang w:val="en-AU"/>
              </w:rPr>
            </w:pPr>
          </w:p>
        </w:tc>
        <w:tc>
          <w:tcPr>
            <w:tcW w:w="4373" w:type="dxa"/>
            <w:shd w:val="clear" w:color="auto" w:fill="auto"/>
          </w:tcPr>
          <w:p w:rsidR="00206B29" w:rsidRPr="0059188A" w:rsidRDefault="00206B29" w:rsidP="002F1ED8">
            <w:pPr>
              <w:spacing w:before="40" w:after="40"/>
              <w:jc w:val="both"/>
              <w:rPr>
                <w:lang w:val="en-AU"/>
              </w:rPr>
            </w:pPr>
          </w:p>
        </w:tc>
      </w:tr>
      <w:tr w:rsidR="00206B29" w:rsidRPr="0059188A" w:rsidTr="00A632C8">
        <w:tc>
          <w:tcPr>
            <w:tcW w:w="534" w:type="dxa"/>
            <w:shd w:val="clear" w:color="auto" w:fill="auto"/>
          </w:tcPr>
          <w:p w:rsidR="00206B29" w:rsidRPr="0059188A" w:rsidRDefault="00206B29" w:rsidP="002F1ED8">
            <w:pPr>
              <w:spacing w:before="40" w:after="40"/>
              <w:jc w:val="both"/>
              <w:rPr>
                <w:b/>
                <w:lang w:val="en-AU"/>
              </w:rPr>
            </w:pPr>
            <w:r w:rsidRPr="0059188A">
              <w:rPr>
                <w:b/>
                <w:lang w:val="en-AU"/>
              </w:rPr>
              <w:lastRenderedPageBreak/>
              <w:t>9.</w:t>
            </w:r>
          </w:p>
        </w:tc>
        <w:tc>
          <w:tcPr>
            <w:tcW w:w="4677" w:type="dxa"/>
            <w:shd w:val="clear" w:color="auto" w:fill="auto"/>
          </w:tcPr>
          <w:p w:rsidR="00206B29" w:rsidRPr="0059188A" w:rsidRDefault="00206B29" w:rsidP="002F1ED8">
            <w:pPr>
              <w:spacing w:before="40" w:after="40"/>
              <w:jc w:val="both"/>
              <w:rPr>
                <w:lang w:val="en-AU"/>
              </w:rPr>
            </w:pPr>
            <w:r w:rsidRPr="0059188A">
              <w:rPr>
                <w:lang w:val="en-AU"/>
              </w:rPr>
              <w:t>Holding the syringe with the needle pointing up, check the syringe for bubbles. If there are bubbles, gently tap the syringe with your finger until the bubbles rise to the top.</w:t>
            </w:r>
          </w:p>
        </w:tc>
        <w:tc>
          <w:tcPr>
            <w:tcW w:w="4373" w:type="dxa"/>
            <w:shd w:val="clear" w:color="auto" w:fill="auto"/>
          </w:tcPr>
          <w:p w:rsidR="00206B29" w:rsidRPr="00630191" w:rsidRDefault="003E56D2" w:rsidP="002F1ED8">
            <w:pPr>
              <w:spacing w:before="40" w:after="40"/>
              <w:jc w:val="both"/>
            </w:pPr>
            <w:r>
              <w:rPr>
                <w:noProof/>
                <w:lang w:val="en-AU" w:eastAsia="en-AU"/>
              </w:rPr>
              <w:pict>
                <v:shape id="Picture 16" o:spid="_x0000_i1041" type="#_x0000_t75" style="width:176.25pt;height:138pt;visibility:visible" o:bordertopcolor="black" o:borderleftcolor="black" o:borderbottomcolor="black" o:borderrightcolor="black">
                  <v:imagedata r:id="rId29" o:title=""/>
                  <w10:bordertop type="single" width="4"/>
                  <w10:borderleft type="single" width="4"/>
                  <w10:borderbottom type="single" width="4"/>
                  <w10:borderright type="single" width="4"/>
                </v:shape>
              </w:pict>
            </w:r>
          </w:p>
        </w:tc>
      </w:tr>
      <w:tr w:rsidR="00206B29" w:rsidRPr="0059188A" w:rsidTr="00A632C8">
        <w:tc>
          <w:tcPr>
            <w:tcW w:w="534" w:type="dxa"/>
            <w:shd w:val="clear" w:color="auto" w:fill="auto"/>
          </w:tcPr>
          <w:p w:rsidR="00206B29" w:rsidRPr="0059188A" w:rsidRDefault="00206B29" w:rsidP="002F1ED8">
            <w:pPr>
              <w:spacing w:before="40" w:after="40"/>
              <w:jc w:val="both"/>
              <w:rPr>
                <w:b/>
                <w:lang w:val="en-AU"/>
              </w:rPr>
            </w:pPr>
            <w:r w:rsidRPr="0059188A">
              <w:rPr>
                <w:b/>
                <w:lang w:val="en-AU"/>
              </w:rPr>
              <w:t>10.</w:t>
            </w:r>
          </w:p>
        </w:tc>
        <w:tc>
          <w:tcPr>
            <w:tcW w:w="4677" w:type="dxa"/>
            <w:shd w:val="clear" w:color="auto" w:fill="auto"/>
          </w:tcPr>
          <w:p w:rsidR="00206B29" w:rsidRPr="0059188A" w:rsidRDefault="00206B29" w:rsidP="002F1ED8">
            <w:pPr>
              <w:spacing w:before="40" w:after="40"/>
              <w:jc w:val="both"/>
              <w:rPr>
                <w:lang w:val="en-AU"/>
              </w:rPr>
            </w:pPr>
            <w:r w:rsidRPr="0059188A">
              <w:rPr>
                <w:lang w:val="en-AU"/>
              </w:rPr>
              <w:t xml:space="preserve">Eliminate all bubbles and expel excess drug by slowly depressing the plunger so that the plunger tip aligns </w:t>
            </w:r>
            <w:r w:rsidR="00736F72" w:rsidRPr="0059188A">
              <w:rPr>
                <w:lang w:val="en-AU"/>
              </w:rPr>
              <w:t>with the line that marks 0.05 mL</w:t>
            </w:r>
            <w:r w:rsidR="00041C9B" w:rsidRPr="0059188A">
              <w:rPr>
                <w:lang w:val="en-AU"/>
              </w:rPr>
              <w:t xml:space="preserve"> (equivalent to 50 µL)</w:t>
            </w:r>
            <w:r w:rsidRPr="0059188A">
              <w:rPr>
                <w:lang w:val="en-AU"/>
              </w:rPr>
              <w:t xml:space="preserve"> on the syringe.</w:t>
            </w:r>
          </w:p>
        </w:tc>
        <w:tc>
          <w:tcPr>
            <w:tcW w:w="4373" w:type="dxa"/>
            <w:shd w:val="clear" w:color="auto" w:fill="auto"/>
          </w:tcPr>
          <w:p w:rsidR="00206B29" w:rsidRPr="0059188A" w:rsidRDefault="003E56D2" w:rsidP="002F1ED8">
            <w:pPr>
              <w:spacing w:before="40" w:after="40"/>
              <w:jc w:val="both"/>
            </w:pPr>
            <w:r>
              <w:rPr>
                <w:noProof/>
                <w:szCs w:val="22"/>
                <w:lang w:val="en-AU" w:eastAsia="en-AU"/>
              </w:rPr>
              <w:pict>
                <v:shape id="Picture 17" o:spid="_x0000_i1042" type="#_x0000_t75" alt="rev_red box3" style="width:178.5pt;height:160.5pt;visibility:visible">
                  <v:imagedata r:id="rId30" o:title="rev_red box3"/>
                </v:shape>
              </w:pict>
            </w:r>
          </w:p>
          <w:p w:rsidR="00206B29" w:rsidRPr="007539CB" w:rsidRDefault="003E56D2" w:rsidP="002F1ED8">
            <w:pPr>
              <w:spacing w:before="40" w:after="40"/>
              <w:jc w:val="both"/>
            </w:pPr>
            <w:r>
              <w:rPr>
                <w:noProof/>
                <w:szCs w:val="22"/>
                <w:lang w:val="en-AU" w:eastAsia="en-AU"/>
              </w:rPr>
              <w:pict>
                <v:shape id="Picture 18" o:spid="_x0000_i1043" type="#_x0000_t75" alt="rev_Option_B_5" style="width:183pt;height:165pt;visibility:visible">
                  <v:imagedata r:id="rId31" o:title="rev_Option_B_5"/>
                </v:shape>
              </w:pict>
            </w:r>
          </w:p>
        </w:tc>
      </w:tr>
    </w:tbl>
    <w:p w:rsidR="00A83BF4" w:rsidRPr="0059188A" w:rsidRDefault="00A83BF4" w:rsidP="001504C8">
      <w:pPr>
        <w:pStyle w:val="Heading2"/>
        <w:keepLines/>
        <w:rPr>
          <w:rFonts w:ascii="Times New Roman Bold" w:hAnsi="Times New Roman Bold"/>
          <w:i w:val="0"/>
          <w:lang w:val="en-AU"/>
        </w:rPr>
      </w:pPr>
      <w:r w:rsidRPr="0059188A">
        <w:rPr>
          <w:rFonts w:ascii="Times New Roman Bold" w:hAnsi="Times New Roman Bold"/>
          <w:i w:val="0"/>
          <w:lang w:val="en-AU"/>
        </w:rPr>
        <w:t>Incompatibilities</w:t>
      </w:r>
    </w:p>
    <w:p w:rsidR="00A83BF4" w:rsidRPr="0059188A" w:rsidRDefault="00A83BF4" w:rsidP="001504C8">
      <w:pPr>
        <w:keepNext/>
        <w:jc w:val="both"/>
        <w:rPr>
          <w:lang w:val="en-AU"/>
        </w:rPr>
      </w:pPr>
    </w:p>
    <w:p w:rsidR="00A83BF4" w:rsidRPr="0059188A" w:rsidRDefault="00A83BF4" w:rsidP="001504C8">
      <w:pPr>
        <w:keepNext/>
        <w:jc w:val="both"/>
        <w:rPr>
          <w:lang w:val="en-AU"/>
        </w:rPr>
      </w:pPr>
      <w:r w:rsidRPr="0059188A">
        <w:rPr>
          <w:lang w:val="en-AU"/>
        </w:rPr>
        <w:t>EYLEA must not be mixed with other medicinal products.</w:t>
      </w:r>
    </w:p>
    <w:p w:rsidR="00736F72" w:rsidRPr="0059188A" w:rsidRDefault="00736F72" w:rsidP="00C010BA">
      <w:pPr>
        <w:jc w:val="both"/>
        <w:rPr>
          <w:lang w:val="en-AU"/>
        </w:rPr>
      </w:pPr>
    </w:p>
    <w:p w:rsidR="00A1753F" w:rsidRPr="0059188A" w:rsidRDefault="00A1753F" w:rsidP="00D4671A">
      <w:pPr>
        <w:pStyle w:val="Heading1"/>
        <w:rPr>
          <w:rFonts w:ascii="Times New Roman Bold" w:hAnsi="Times New Roman Bold"/>
          <w:lang w:val="en-AU"/>
        </w:rPr>
      </w:pPr>
      <w:r w:rsidRPr="0059188A">
        <w:rPr>
          <w:rFonts w:ascii="Times New Roman Bold" w:hAnsi="Times New Roman Bold"/>
          <w:lang w:val="en-AU"/>
        </w:rPr>
        <w:t>OVERDOSAGE</w:t>
      </w:r>
    </w:p>
    <w:p w:rsidR="00861057" w:rsidRPr="0059188A" w:rsidRDefault="00861057" w:rsidP="00C010BA">
      <w:pPr>
        <w:jc w:val="both"/>
        <w:rPr>
          <w:lang w:val="en-AU"/>
        </w:rPr>
      </w:pPr>
    </w:p>
    <w:p w:rsidR="00D65F59" w:rsidRPr="0059188A" w:rsidRDefault="00A83BF4" w:rsidP="00A83BF4">
      <w:pPr>
        <w:jc w:val="both"/>
        <w:rPr>
          <w:lang w:val="en-AU"/>
        </w:rPr>
      </w:pPr>
      <w:r w:rsidRPr="0059188A">
        <w:rPr>
          <w:lang w:val="en-AU"/>
        </w:rPr>
        <w:t xml:space="preserve">In clinical trials doses of up to 4 mg in monthly intervals and isolated cases of overdoses with 8 mg were generally well tolerated. Overdosing </w:t>
      </w:r>
      <w:r w:rsidR="00DB5F34" w:rsidRPr="0059188A">
        <w:rPr>
          <w:lang w:val="en-AU"/>
        </w:rPr>
        <w:t xml:space="preserve">was associated </w:t>
      </w:r>
      <w:r w:rsidRPr="0059188A">
        <w:rPr>
          <w:lang w:val="en-AU"/>
        </w:rPr>
        <w:t xml:space="preserve">with increased injection volume </w:t>
      </w:r>
      <w:r w:rsidR="00DB5F34" w:rsidRPr="0059188A">
        <w:rPr>
          <w:lang w:val="en-AU"/>
        </w:rPr>
        <w:t xml:space="preserve">and subsequently with </w:t>
      </w:r>
      <w:r w:rsidRPr="0059188A">
        <w:rPr>
          <w:lang w:val="en-AU"/>
        </w:rPr>
        <w:t>increase</w:t>
      </w:r>
      <w:r w:rsidR="00DB5F34" w:rsidRPr="0059188A">
        <w:rPr>
          <w:lang w:val="en-AU"/>
        </w:rPr>
        <w:t>d</w:t>
      </w:r>
      <w:r w:rsidRPr="0059188A">
        <w:rPr>
          <w:lang w:val="en-AU"/>
        </w:rPr>
        <w:t xml:space="preserve"> intraocular pressure. Therefore, in case of </w:t>
      </w:r>
      <w:proofErr w:type="spellStart"/>
      <w:r w:rsidRPr="0059188A">
        <w:rPr>
          <w:lang w:val="en-AU"/>
        </w:rPr>
        <w:t>overdosage</w:t>
      </w:r>
      <w:proofErr w:type="spellEnd"/>
      <w:r w:rsidRPr="0059188A">
        <w:rPr>
          <w:lang w:val="en-AU"/>
        </w:rPr>
        <w:t xml:space="preserve"> intraocular pressure should be monitored and if </w:t>
      </w:r>
      <w:r w:rsidRPr="0059188A">
        <w:rPr>
          <w:lang w:val="en-AU"/>
        </w:rPr>
        <w:lastRenderedPageBreak/>
        <w:t>deemed necessary by the treating</w:t>
      </w:r>
      <w:r w:rsidR="00E46720" w:rsidRPr="0059188A">
        <w:rPr>
          <w:lang w:val="en-AU"/>
        </w:rPr>
        <w:t xml:space="preserve"> </w:t>
      </w:r>
      <w:r w:rsidR="00DB5F34" w:rsidRPr="0059188A">
        <w:rPr>
          <w:lang w:val="en-AU"/>
        </w:rPr>
        <w:t>physician</w:t>
      </w:r>
      <w:r w:rsidRPr="0059188A">
        <w:rPr>
          <w:lang w:val="en-AU"/>
        </w:rPr>
        <w:t>, adequate treatment should be initiated.</w:t>
      </w:r>
      <w:r w:rsidR="00D65F59" w:rsidRPr="0059188A">
        <w:rPr>
          <w:lang w:val="en-AU"/>
        </w:rPr>
        <w:t xml:space="preserve"> It is advisable to contact the Poisons Information Centre (131126) for recommendations on the management and treatment of overdose.</w:t>
      </w:r>
    </w:p>
    <w:p w:rsidR="00861057" w:rsidRPr="0059188A" w:rsidRDefault="00861057" w:rsidP="00C010BA">
      <w:pPr>
        <w:jc w:val="both"/>
        <w:rPr>
          <w:lang w:val="en-AU"/>
        </w:rPr>
      </w:pPr>
    </w:p>
    <w:p w:rsidR="00A1753F" w:rsidRPr="0059188A" w:rsidRDefault="00A1753F" w:rsidP="00BF233E">
      <w:pPr>
        <w:pStyle w:val="Heading1"/>
        <w:keepLines/>
        <w:rPr>
          <w:rFonts w:ascii="Times New Roman Bold" w:hAnsi="Times New Roman Bold"/>
          <w:lang w:val="en-AU"/>
        </w:rPr>
      </w:pPr>
      <w:r w:rsidRPr="0059188A">
        <w:rPr>
          <w:rFonts w:ascii="Times New Roman Bold" w:hAnsi="Times New Roman Bold"/>
          <w:lang w:val="en-AU"/>
        </w:rPr>
        <w:t>PRESENTATION AND STORAGE CONDITIONS</w:t>
      </w:r>
    </w:p>
    <w:p w:rsidR="007B2CBB" w:rsidRPr="0059188A" w:rsidRDefault="007B2CBB" w:rsidP="00BF233E">
      <w:pPr>
        <w:pStyle w:val="Heading2"/>
        <w:keepLines/>
        <w:rPr>
          <w:rFonts w:ascii="Times New Roman Bold" w:hAnsi="Times New Roman Bold"/>
          <w:i w:val="0"/>
          <w:lang w:val="en-AU"/>
        </w:rPr>
      </w:pPr>
      <w:r w:rsidRPr="0059188A">
        <w:rPr>
          <w:rFonts w:ascii="Times New Roman Bold" w:hAnsi="Times New Roman Bold"/>
          <w:i w:val="0"/>
          <w:lang w:val="en-AU"/>
        </w:rPr>
        <w:t xml:space="preserve">Presentation </w:t>
      </w:r>
    </w:p>
    <w:p w:rsidR="007B2CBB" w:rsidRPr="0059188A" w:rsidRDefault="007B2CBB" w:rsidP="00BF233E">
      <w:pPr>
        <w:keepNext/>
        <w:keepLines/>
        <w:jc w:val="both"/>
        <w:rPr>
          <w:lang w:val="en-AU"/>
        </w:rPr>
      </w:pPr>
    </w:p>
    <w:p w:rsidR="00161D75" w:rsidRPr="0059188A" w:rsidRDefault="00161D75" w:rsidP="00161D75">
      <w:pPr>
        <w:jc w:val="both"/>
        <w:rPr>
          <w:lang w:val="en-AU"/>
        </w:rPr>
      </w:pPr>
      <w:r w:rsidRPr="0059188A">
        <w:rPr>
          <w:lang w:val="en-AU"/>
        </w:rPr>
        <w:t xml:space="preserve">EYLEA is a sterile, clear, </w:t>
      </w:r>
      <w:proofErr w:type="gramStart"/>
      <w:r w:rsidRPr="0059188A">
        <w:rPr>
          <w:lang w:val="en-AU"/>
        </w:rPr>
        <w:t>colourless</w:t>
      </w:r>
      <w:proofErr w:type="gramEnd"/>
      <w:r w:rsidRPr="0059188A">
        <w:rPr>
          <w:lang w:val="en-AU"/>
        </w:rPr>
        <w:t xml:space="preserve"> to pale yellow, preservative-free, </w:t>
      </w:r>
      <w:proofErr w:type="spellStart"/>
      <w:r w:rsidRPr="0059188A">
        <w:rPr>
          <w:lang w:val="en-AU"/>
        </w:rPr>
        <w:t>iso</w:t>
      </w:r>
      <w:proofErr w:type="spellEnd"/>
      <w:r w:rsidRPr="0059188A">
        <w:rPr>
          <w:lang w:val="en-AU"/>
        </w:rPr>
        <w:t xml:space="preserve">-osmotic aqueous solution for </w:t>
      </w:r>
      <w:proofErr w:type="spellStart"/>
      <w:r w:rsidRPr="0059188A">
        <w:rPr>
          <w:lang w:val="en-AU"/>
        </w:rPr>
        <w:t>intravitreal</w:t>
      </w:r>
      <w:proofErr w:type="spellEnd"/>
      <w:r w:rsidRPr="0059188A">
        <w:rPr>
          <w:lang w:val="en-AU"/>
        </w:rPr>
        <w:t xml:space="preserve"> injection</w:t>
      </w:r>
      <w:r w:rsidR="0009686D" w:rsidRPr="0059188A">
        <w:rPr>
          <w:lang w:val="en-AU"/>
        </w:rPr>
        <w:t xml:space="preserve"> containing 40 mg/mL </w:t>
      </w:r>
      <w:proofErr w:type="spellStart"/>
      <w:r w:rsidR="0009686D" w:rsidRPr="0059188A">
        <w:rPr>
          <w:lang w:val="en-AU"/>
        </w:rPr>
        <w:t>aflibercept</w:t>
      </w:r>
      <w:proofErr w:type="spellEnd"/>
      <w:r w:rsidRPr="0059188A">
        <w:rPr>
          <w:lang w:val="en-AU"/>
        </w:rPr>
        <w:t xml:space="preserve">. </w:t>
      </w:r>
    </w:p>
    <w:p w:rsidR="00464079" w:rsidRPr="0059188A" w:rsidRDefault="00464079" w:rsidP="006E22C8">
      <w:pPr>
        <w:jc w:val="both"/>
        <w:rPr>
          <w:lang w:val="en-AU"/>
        </w:rPr>
      </w:pPr>
    </w:p>
    <w:p w:rsidR="00A65B21" w:rsidRDefault="00D96E38" w:rsidP="00D96E38">
      <w:pPr>
        <w:jc w:val="both"/>
        <w:rPr>
          <w:lang w:val="en-AU"/>
        </w:rPr>
      </w:pPr>
      <w:r w:rsidRPr="0059188A">
        <w:rPr>
          <w:lang w:val="en-AU"/>
        </w:rPr>
        <w:t xml:space="preserve">EYLEA is supplied in a single-use vial or </w:t>
      </w:r>
      <w:r w:rsidR="00A65B21" w:rsidRPr="0059188A">
        <w:rPr>
          <w:lang w:val="en-AU"/>
        </w:rPr>
        <w:t xml:space="preserve">pre-filled syringe. </w:t>
      </w:r>
    </w:p>
    <w:p w:rsidR="00A0615B" w:rsidRPr="0059188A" w:rsidRDefault="00A0615B" w:rsidP="00D96E38">
      <w:pPr>
        <w:jc w:val="both"/>
        <w:rPr>
          <w:lang w:val="en-AU"/>
        </w:rPr>
      </w:pPr>
    </w:p>
    <w:p w:rsidR="00D96E38" w:rsidRDefault="007B2CBB" w:rsidP="00D96E38">
      <w:pPr>
        <w:jc w:val="both"/>
        <w:rPr>
          <w:lang w:val="en-AU"/>
        </w:rPr>
      </w:pPr>
      <w:r w:rsidRPr="0059188A">
        <w:rPr>
          <w:lang w:val="en-AU"/>
        </w:rPr>
        <w:t>Each</w:t>
      </w:r>
      <w:r w:rsidR="00D96E38" w:rsidRPr="0059188A">
        <w:rPr>
          <w:lang w:val="en-AU"/>
        </w:rPr>
        <w:t xml:space="preserve"> </w:t>
      </w:r>
      <w:r w:rsidRPr="0059188A">
        <w:rPr>
          <w:lang w:val="en-AU"/>
        </w:rPr>
        <w:t xml:space="preserve">vial and </w:t>
      </w:r>
      <w:r w:rsidR="00D96E38" w:rsidRPr="0059188A">
        <w:rPr>
          <w:lang w:val="en-AU"/>
        </w:rPr>
        <w:t>pre-filled syringe provides a usable amount to deliver a single dose of 50</w:t>
      </w:r>
      <w:r w:rsidR="009D79DB">
        <w:rPr>
          <w:lang w:val="en-AU"/>
        </w:rPr>
        <w:t> </w:t>
      </w:r>
      <w:r w:rsidR="00D96E38" w:rsidRPr="0059188A">
        <w:rPr>
          <w:lang w:val="en-AU"/>
        </w:rPr>
        <w:t xml:space="preserve">µL solution for </w:t>
      </w:r>
      <w:proofErr w:type="spellStart"/>
      <w:r w:rsidR="00D96E38" w:rsidRPr="0059188A">
        <w:rPr>
          <w:lang w:val="en-AU"/>
        </w:rPr>
        <w:t>intravitreal</w:t>
      </w:r>
      <w:proofErr w:type="spellEnd"/>
      <w:r w:rsidR="00D96E38" w:rsidRPr="0059188A">
        <w:rPr>
          <w:lang w:val="en-AU"/>
        </w:rPr>
        <w:t xml:space="preserve"> injection containing 2 mg </w:t>
      </w:r>
      <w:proofErr w:type="spellStart"/>
      <w:r w:rsidR="00D96E38" w:rsidRPr="0059188A">
        <w:rPr>
          <w:lang w:val="en-AU"/>
        </w:rPr>
        <w:t>aflibercept</w:t>
      </w:r>
      <w:proofErr w:type="spellEnd"/>
      <w:r w:rsidR="00D96E38" w:rsidRPr="0059188A">
        <w:rPr>
          <w:lang w:val="en-AU"/>
        </w:rPr>
        <w:t>.</w:t>
      </w:r>
    </w:p>
    <w:p w:rsidR="009D79DB" w:rsidRPr="0059188A" w:rsidRDefault="009D79DB" w:rsidP="00D96E38">
      <w:pPr>
        <w:jc w:val="both"/>
        <w:rPr>
          <w:lang w:val="en-AU"/>
        </w:rPr>
      </w:pPr>
    </w:p>
    <w:p w:rsidR="009D79DB" w:rsidRDefault="009D79DB" w:rsidP="009D79DB">
      <w:pPr>
        <w:jc w:val="both"/>
        <w:rPr>
          <w:lang w:val="en-AU"/>
        </w:rPr>
      </w:pPr>
      <w:r w:rsidRPr="009D79DB">
        <w:rPr>
          <w:lang w:val="en-AU"/>
        </w:rPr>
        <w:t xml:space="preserve">Not all </w:t>
      </w:r>
      <w:r>
        <w:rPr>
          <w:lang w:val="en-AU"/>
        </w:rPr>
        <w:t>presentation</w:t>
      </w:r>
      <w:r w:rsidRPr="009D79DB">
        <w:rPr>
          <w:lang w:val="en-AU"/>
        </w:rPr>
        <w:t>s are being distributed in Australia.</w:t>
      </w:r>
    </w:p>
    <w:p w:rsidR="00D96E38" w:rsidRPr="0059188A" w:rsidRDefault="007B2CBB" w:rsidP="00D4671A">
      <w:pPr>
        <w:pStyle w:val="Heading3"/>
        <w:rPr>
          <w:rFonts w:ascii="Times New Roman Bold" w:hAnsi="Times New Roman Bold"/>
          <w:i/>
          <w:sz w:val="28"/>
          <w:szCs w:val="28"/>
          <w:lang w:val="en-AU"/>
        </w:rPr>
      </w:pPr>
      <w:r w:rsidRPr="0059188A">
        <w:rPr>
          <w:rFonts w:ascii="Times New Roman Bold" w:hAnsi="Times New Roman Bold"/>
          <w:i/>
          <w:sz w:val="28"/>
          <w:szCs w:val="28"/>
          <w:lang w:val="en-AU"/>
        </w:rPr>
        <w:t>Pre-filled syringe</w:t>
      </w:r>
    </w:p>
    <w:p w:rsidR="007B2CBB" w:rsidRPr="0059188A" w:rsidRDefault="007B2CBB" w:rsidP="00BA7679">
      <w:pPr>
        <w:keepNext/>
        <w:keepLines/>
        <w:jc w:val="both"/>
        <w:rPr>
          <w:lang w:val="en-AU"/>
        </w:rPr>
      </w:pPr>
    </w:p>
    <w:p w:rsidR="00D96E38" w:rsidRPr="0059188A" w:rsidRDefault="00D96E38" w:rsidP="00BA7679">
      <w:pPr>
        <w:keepLines/>
        <w:jc w:val="both"/>
        <w:rPr>
          <w:lang w:val="en-AU"/>
        </w:rPr>
      </w:pPr>
      <w:r w:rsidRPr="0059188A">
        <w:rPr>
          <w:lang w:val="en-AU"/>
        </w:rPr>
        <w:t xml:space="preserve">Each carton includes a sealed blister pack with a sterile pre-filled type I glass syringe, containing </w:t>
      </w:r>
      <w:r w:rsidR="007B2CBB" w:rsidRPr="0059188A">
        <w:rPr>
          <w:lang w:val="en-AU"/>
        </w:rPr>
        <w:t xml:space="preserve">approximately 90 µL of extractable volume, </w:t>
      </w:r>
      <w:r w:rsidRPr="0059188A">
        <w:rPr>
          <w:lang w:val="en-AU"/>
        </w:rPr>
        <w:t xml:space="preserve">sealed with an elastomeric plunger stopper and an elastomeric tip cap that is part of a closure system with </w:t>
      </w:r>
      <w:proofErr w:type="spellStart"/>
      <w:r w:rsidRPr="0059188A">
        <w:rPr>
          <w:lang w:val="en-AU"/>
        </w:rPr>
        <w:t>Luer</w:t>
      </w:r>
      <w:proofErr w:type="spellEnd"/>
      <w:r w:rsidRPr="0059188A">
        <w:rPr>
          <w:lang w:val="en-AU"/>
        </w:rPr>
        <w:t xml:space="preserve"> lock adaptor. The syringe has a pre-attached plunger rod and a finger plate.</w:t>
      </w:r>
    </w:p>
    <w:p w:rsidR="00D96E38" w:rsidRPr="0059188A" w:rsidRDefault="00D96E38" w:rsidP="00D4671A">
      <w:pPr>
        <w:pStyle w:val="Heading3"/>
        <w:rPr>
          <w:rFonts w:ascii="Times New Roman Bold" w:hAnsi="Times New Roman Bold"/>
          <w:i/>
          <w:sz w:val="28"/>
          <w:szCs w:val="28"/>
          <w:lang w:val="en-AU"/>
        </w:rPr>
      </w:pPr>
      <w:r w:rsidRPr="0059188A">
        <w:rPr>
          <w:rFonts w:ascii="Times New Roman Bold" w:hAnsi="Times New Roman Bold"/>
          <w:i/>
          <w:sz w:val="28"/>
          <w:szCs w:val="28"/>
          <w:lang w:val="en-AU"/>
        </w:rPr>
        <w:t>Vial</w:t>
      </w:r>
    </w:p>
    <w:p w:rsidR="007B2CBB" w:rsidRPr="0059188A" w:rsidRDefault="007B2CBB" w:rsidP="00D96E38">
      <w:pPr>
        <w:jc w:val="both"/>
        <w:rPr>
          <w:lang w:val="en-AU"/>
        </w:rPr>
      </w:pPr>
    </w:p>
    <w:p w:rsidR="006E22C8" w:rsidRPr="0059188A" w:rsidRDefault="00D96E38" w:rsidP="00D96E38">
      <w:pPr>
        <w:jc w:val="both"/>
        <w:rPr>
          <w:lang w:val="en-AU"/>
        </w:rPr>
      </w:pPr>
      <w:r w:rsidRPr="0059188A">
        <w:rPr>
          <w:lang w:val="en-AU"/>
        </w:rPr>
        <w:t xml:space="preserve">Each carton includes a type I glass vial containing </w:t>
      </w:r>
      <w:r w:rsidR="007B2CBB" w:rsidRPr="0059188A">
        <w:rPr>
          <w:lang w:val="en-AU"/>
        </w:rPr>
        <w:t xml:space="preserve">approximately 100 µL of extractable volume, </w:t>
      </w:r>
      <w:r w:rsidRPr="0059188A">
        <w:rPr>
          <w:lang w:val="en-AU"/>
        </w:rPr>
        <w:t>with an elastomeric rubber stopper, and an 18 G filter needle.</w:t>
      </w:r>
    </w:p>
    <w:p w:rsidR="007B2CBB" w:rsidRPr="0059188A" w:rsidRDefault="00A11AB0" w:rsidP="00D4671A">
      <w:pPr>
        <w:pStyle w:val="Heading2"/>
        <w:rPr>
          <w:rFonts w:ascii="Times New Roman Bold" w:hAnsi="Times New Roman Bold"/>
          <w:i w:val="0"/>
          <w:lang w:val="en-AU"/>
        </w:rPr>
      </w:pPr>
      <w:r w:rsidRPr="0059188A">
        <w:rPr>
          <w:rFonts w:ascii="Times New Roman Bold" w:hAnsi="Times New Roman Bold"/>
          <w:i w:val="0"/>
          <w:lang w:val="en-AU"/>
        </w:rPr>
        <w:t>S</w:t>
      </w:r>
      <w:r w:rsidR="007B2CBB" w:rsidRPr="0059188A">
        <w:rPr>
          <w:rFonts w:ascii="Times New Roman Bold" w:hAnsi="Times New Roman Bold"/>
          <w:i w:val="0"/>
          <w:lang w:val="en-AU"/>
        </w:rPr>
        <w:t xml:space="preserve">torage conditions </w:t>
      </w:r>
    </w:p>
    <w:p w:rsidR="007B2CBB" w:rsidRPr="0059188A" w:rsidRDefault="007B2CBB" w:rsidP="00C010BA">
      <w:pPr>
        <w:jc w:val="both"/>
        <w:rPr>
          <w:lang w:val="en-AU"/>
        </w:rPr>
      </w:pPr>
    </w:p>
    <w:p w:rsidR="007B2CBB" w:rsidRPr="0059188A" w:rsidRDefault="007B2CBB" w:rsidP="007B2CBB">
      <w:pPr>
        <w:jc w:val="both"/>
        <w:rPr>
          <w:lang w:val="en-AU"/>
        </w:rPr>
      </w:pPr>
      <w:r w:rsidRPr="0059188A">
        <w:rPr>
          <w:lang w:val="en-AU"/>
        </w:rPr>
        <w:t>Store at 2</w:t>
      </w:r>
      <w:r w:rsidRPr="0059188A">
        <w:rPr>
          <w:lang w:val="en-AU"/>
        </w:rPr>
        <w:sym w:font="Symbol" w:char="F0B0"/>
      </w:r>
      <w:r w:rsidRPr="0059188A">
        <w:rPr>
          <w:lang w:val="en-AU"/>
        </w:rPr>
        <w:t>C to 8</w:t>
      </w:r>
      <w:r w:rsidRPr="0059188A">
        <w:rPr>
          <w:lang w:val="en-AU"/>
        </w:rPr>
        <w:sym w:font="Symbol" w:char="F0B0"/>
      </w:r>
      <w:r w:rsidRPr="0059188A">
        <w:rPr>
          <w:lang w:val="en-AU"/>
        </w:rPr>
        <w:t>C (Refrigerate. Do not freeze). Protect from light.</w:t>
      </w:r>
    </w:p>
    <w:p w:rsidR="007B2CBB" w:rsidRPr="0059188A" w:rsidRDefault="007B2CBB" w:rsidP="00C010BA">
      <w:pPr>
        <w:jc w:val="both"/>
        <w:rPr>
          <w:lang w:val="en-AU"/>
        </w:rPr>
      </w:pPr>
    </w:p>
    <w:p w:rsidR="007B2CBB" w:rsidRPr="0059188A" w:rsidRDefault="007B2CBB" w:rsidP="007B2CBB">
      <w:pPr>
        <w:jc w:val="both"/>
        <w:rPr>
          <w:lang w:val="en-AU"/>
        </w:rPr>
      </w:pPr>
      <w:r w:rsidRPr="0059188A">
        <w:rPr>
          <w:lang w:val="en-AU"/>
        </w:rPr>
        <w:t xml:space="preserve">Keep the pre-filled syringe in its blister pack and carton in order to protect from light. </w:t>
      </w:r>
    </w:p>
    <w:p w:rsidR="007B2CBB" w:rsidRPr="0059188A" w:rsidRDefault="007B2CBB" w:rsidP="007B2CBB">
      <w:pPr>
        <w:jc w:val="both"/>
        <w:rPr>
          <w:lang w:val="en-AU"/>
        </w:rPr>
      </w:pPr>
    </w:p>
    <w:p w:rsidR="007B2CBB" w:rsidRPr="0059188A" w:rsidRDefault="007B2CBB" w:rsidP="007B2CBB">
      <w:pPr>
        <w:jc w:val="both"/>
        <w:rPr>
          <w:lang w:val="en-AU"/>
        </w:rPr>
      </w:pPr>
      <w:r w:rsidRPr="0059188A">
        <w:rPr>
          <w:lang w:val="en-AU"/>
        </w:rPr>
        <w:t xml:space="preserve">Keep the vial in its carton in order to protect from light.     </w:t>
      </w:r>
    </w:p>
    <w:p w:rsidR="00A1753F" w:rsidRPr="0059188A" w:rsidRDefault="00A1753F" w:rsidP="00C010BA">
      <w:pPr>
        <w:jc w:val="both"/>
        <w:rPr>
          <w:lang w:val="en-AU"/>
        </w:rPr>
      </w:pPr>
    </w:p>
    <w:p w:rsidR="00A1753F" w:rsidRPr="0059188A" w:rsidRDefault="00A1753F" w:rsidP="00D4671A">
      <w:pPr>
        <w:pStyle w:val="Heading1"/>
        <w:rPr>
          <w:rFonts w:ascii="Times New Roman Bold" w:hAnsi="Times New Roman Bold"/>
          <w:lang w:val="en-AU"/>
        </w:rPr>
      </w:pPr>
      <w:r w:rsidRPr="0059188A">
        <w:rPr>
          <w:rFonts w:ascii="Times New Roman Bold" w:hAnsi="Times New Roman Bold"/>
          <w:lang w:val="en-AU"/>
        </w:rPr>
        <w:t>NAME AND ADDRESS OF THE SPONSOR</w:t>
      </w:r>
    </w:p>
    <w:p w:rsidR="00A1753F" w:rsidRPr="0059188A" w:rsidRDefault="00A1753F" w:rsidP="00C010BA">
      <w:pPr>
        <w:jc w:val="both"/>
        <w:rPr>
          <w:lang w:val="en-AU"/>
        </w:rPr>
      </w:pPr>
    </w:p>
    <w:p w:rsidR="00A1753F" w:rsidRPr="0059188A" w:rsidRDefault="009A4E6E" w:rsidP="00C010BA">
      <w:pPr>
        <w:jc w:val="both"/>
        <w:rPr>
          <w:lang w:val="en-AU"/>
        </w:rPr>
      </w:pPr>
      <w:r w:rsidRPr="0059188A">
        <w:rPr>
          <w:lang w:val="en-AU"/>
        </w:rPr>
        <w:t xml:space="preserve">Bayer Australia </w:t>
      </w:r>
      <w:r w:rsidR="00C070E6" w:rsidRPr="0059188A">
        <w:rPr>
          <w:lang w:val="en-AU"/>
        </w:rPr>
        <w:t xml:space="preserve">Ltd </w:t>
      </w:r>
    </w:p>
    <w:p w:rsidR="009A4E6E" w:rsidRPr="0059188A" w:rsidRDefault="009A4E6E" w:rsidP="009A4E6E">
      <w:pPr>
        <w:jc w:val="both"/>
        <w:rPr>
          <w:lang w:val="en-AU"/>
        </w:rPr>
      </w:pPr>
      <w:r w:rsidRPr="0059188A">
        <w:rPr>
          <w:lang w:val="en-AU"/>
        </w:rPr>
        <w:t>ABN 22 000 138 714</w:t>
      </w:r>
    </w:p>
    <w:p w:rsidR="009A4E6E" w:rsidRPr="0059188A" w:rsidRDefault="009A4E6E" w:rsidP="009A4E6E">
      <w:pPr>
        <w:jc w:val="both"/>
        <w:rPr>
          <w:lang w:val="en-AU"/>
        </w:rPr>
      </w:pPr>
      <w:r w:rsidRPr="0059188A">
        <w:rPr>
          <w:lang w:val="en-AU"/>
        </w:rPr>
        <w:t>875 Pacific Highway</w:t>
      </w:r>
    </w:p>
    <w:p w:rsidR="009A4E6E" w:rsidRPr="0059188A" w:rsidRDefault="009A4E6E" w:rsidP="009A4E6E">
      <w:pPr>
        <w:jc w:val="both"/>
        <w:rPr>
          <w:lang w:val="en-AU"/>
        </w:rPr>
      </w:pPr>
      <w:r w:rsidRPr="0059188A">
        <w:rPr>
          <w:lang w:val="en-AU"/>
        </w:rPr>
        <w:t>Pymble, NSW 2073</w:t>
      </w:r>
    </w:p>
    <w:p w:rsidR="00A1753F" w:rsidRPr="0059188A" w:rsidRDefault="00A1753F" w:rsidP="00C010BA">
      <w:pPr>
        <w:jc w:val="both"/>
        <w:rPr>
          <w:lang w:val="en-AU"/>
        </w:rPr>
      </w:pPr>
    </w:p>
    <w:p w:rsidR="00A1753F" w:rsidRPr="0059188A" w:rsidRDefault="00A1753F" w:rsidP="00BF233E">
      <w:pPr>
        <w:pStyle w:val="Heading1"/>
        <w:rPr>
          <w:rFonts w:ascii="Times New Roman Bold" w:hAnsi="Times New Roman Bold"/>
          <w:lang w:val="en-AU"/>
        </w:rPr>
      </w:pPr>
      <w:r w:rsidRPr="0059188A">
        <w:rPr>
          <w:rFonts w:ascii="Times New Roman Bold" w:hAnsi="Times New Roman Bold"/>
          <w:lang w:val="en-AU"/>
        </w:rPr>
        <w:lastRenderedPageBreak/>
        <w:t>POISON SCHEDULE OF THE MEDICINE</w:t>
      </w:r>
    </w:p>
    <w:p w:rsidR="00A1753F" w:rsidRPr="0059188A" w:rsidRDefault="00A1753F" w:rsidP="00BF233E">
      <w:pPr>
        <w:keepNext/>
        <w:jc w:val="both"/>
        <w:rPr>
          <w:lang w:val="en-AU"/>
        </w:rPr>
      </w:pPr>
    </w:p>
    <w:p w:rsidR="00A1753F" w:rsidRPr="0059188A" w:rsidRDefault="009A4E6E" w:rsidP="00BF233E">
      <w:pPr>
        <w:keepNext/>
        <w:jc w:val="both"/>
        <w:rPr>
          <w:lang w:val="en-AU"/>
        </w:rPr>
      </w:pPr>
      <w:r w:rsidRPr="0059188A">
        <w:rPr>
          <w:lang w:val="en-AU"/>
        </w:rPr>
        <w:t>PRESCRIPTION ONLY MEDICINE</w:t>
      </w:r>
      <w:r w:rsidR="00464079" w:rsidRPr="0059188A">
        <w:rPr>
          <w:lang w:val="en-AU"/>
        </w:rPr>
        <w:t xml:space="preserve"> </w:t>
      </w:r>
      <w:r w:rsidR="00161D75" w:rsidRPr="0059188A">
        <w:rPr>
          <w:lang w:val="en-AU"/>
        </w:rPr>
        <w:t>(S4)</w:t>
      </w:r>
    </w:p>
    <w:p w:rsidR="00A1753F" w:rsidRPr="0059188A" w:rsidRDefault="00A1753F" w:rsidP="00C010BA">
      <w:pPr>
        <w:jc w:val="both"/>
        <w:rPr>
          <w:lang w:val="en-AU"/>
        </w:rPr>
      </w:pPr>
    </w:p>
    <w:p w:rsidR="00C010BA" w:rsidRPr="0059188A" w:rsidRDefault="00A1753F" w:rsidP="00B06C7D">
      <w:pPr>
        <w:pStyle w:val="Heading1"/>
        <w:rPr>
          <w:rFonts w:ascii="Times New Roman Bold" w:hAnsi="Times New Roman Bold"/>
          <w:lang w:val="en-AU"/>
        </w:rPr>
      </w:pPr>
      <w:r w:rsidRPr="0059188A">
        <w:rPr>
          <w:rFonts w:ascii="Times New Roman Bold" w:hAnsi="Times New Roman Bold"/>
          <w:lang w:val="en-AU"/>
        </w:rPr>
        <w:t>DATE OF</w:t>
      </w:r>
      <w:r w:rsidR="00161D75" w:rsidRPr="0059188A">
        <w:rPr>
          <w:rFonts w:ascii="Times New Roman Bold" w:hAnsi="Times New Roman Bold"/>
          <w:lang w:val="en-AU"/>
        </w:rPr>
        <w:t xml:space="preserve"> FIRST INCLUSION IN THE ARTG  </w:t>
      </w:r>
    </w:p>
    <w:p w:rsidR="009A4E6E" w:rsidRPr="0059188A" w:rsidRDefault="009A4E6E" w:rsidP="00B06C7D">
      <w:pPr>
        <w:keepNext/>
        <w:jc w:val="both"/>
        <w:rPr>
          <w:lang w:val="en-AU"/>
        </w:rPr>
      </w:pPr>
    </w:p>
    <w:p w:rsidR="00F57775" w:rsidRPr="0059188A" w:rsidRDefault="00F57775" w:rsidP="00C010BA">
      <w:pPr>
        <w:jc w:val="both"/>
        <w:rPr>
          <w:lang w:val="en-AU"/>
        </w:rPr>
      </w:pPr>
      <w:r w:rsidRPr="0059188A">
        <w:rPr>
          <w:lang w:val="en-AU"/>
        </w:rPr>
        <w:t>7 March 2012</w:t>
      </w:r>
    </w:p>
    <w:p w:rsidR="00F57775" w:rsidRPr="0059188A" w:rsidRDefault="00F57775" w:rsidP="00C010BA">
      <w:pPr>
        <w:jc w:val="both"/>
        <w:rPr>
          <w:lang w:val="en-AU"/>
        </w:rPr>
      </w:pPr>
    </w:p>
    <w:p w:rsidR="00F57775" w:rsidRDefault="00F57775" w:rsidP="00C010BA">
      <w:pPr>
        <w:jc w:val="both"/>
        <w:rPr>
          <w:lang w:val="en-AU"/>
        </w:rPr>
      </w:pPr>
      <w:r w:rsidRPr="0059188A">
        <w:rPr>
          <w:lang w:val="en-AU"/>
        </w:rPr>
        <w:t xml:space="preserve">Date of most recent amendment: </w:t>
      </w:r>
      <w:r w:rsidR="004A2828">
        <w:rPr>
          <w:lang w:val="en-AU"/>
        </w:rPr>
        <w:t xml:space="preserve"> </w:t>
      </w:r>
      <w:r w:rsidR="00261C19">
        <w:rPr>
          <w:lang w:val="en-AU"/>
        </w:rPr>
        <w:t>15</w:t>
      </w:r>
      <w:r w:rsidR="004C302E">
        <w:rPr>
          <w:lang w:val="en-AU"/>
        </w:rPr>
        <w:t xml:space="preserve"> April 2015</w:t>
      </w:r>
    </w:p>
    <w:sectPr w:rsidR="00F57775" w:rsidSect="00EF6A1A">
      <w:pgSz w:w="11907" w:h="16840" w:code="9"/>
      <w:pgMar w:top="1247" w:right="1610" w:bottom="1276"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910" w:rsidRDefault="00A75910">
      <w:r>
        <w:separator/>
      </w:r>
    </w:p>
  </w:endnote>
  <w:endnote w:type="continuationSeparator" w:id="0">
    <w:p w:rsidR="00A75910" w:rsidRDefault="00A75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Courier New"/>
    <w:panose1 w:val="02020803070505020304"/>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8DB" w:rsidRDefault="00C75015" w:rsidP="00A11AB0">
    <w:pPr>
      <w:pStyle w:val="Footer"/>
      <w:pBdr>
        <w:top w:val="single" w:sz="4" w:space="1" w:color="auto"/>
      </w:pBdr>
      <w:rPr>
        <w:sz w:val="16"/>
        <w:szCs w:val="16"/>
        <w:lang w:val="en-AU"/>
      </w:rPr>
    </w:pPr>
    <w:r>
      <w:rPr>
        <w:sz w:val="16"/>
        <w:szCs w:val="16"/>
        <w:lang w:val="en-AU"/>
      </w:rPr>
      <w:t>15</w:t>
    </w:r>
    <w:r w:rsidR="00A0615B">
      <w:rPr>
        <w:sz w:val="16"/>
        <w:szCs w:val="16"/>
        <w:lang w:val="en-AU"/>
      </w:rPr>
      <w:t>0</w:t>
    </w:r>
    <w:r w:rsidR="007E3EAD">
      <w:rPr>
        <w:sz w:val="16"/>
        <w:szCs w:val="16"/>
        <w:lang w:val="en-AU"/>
      </w:rPr>
      <w:t>4</w:t>
    </w:r>
    <w:r w:rsidR="00261C19">
      <w:rPr>
        <w:sz w:val="16"/>
        <w:szCs w:val="16"/>
        <w:lang w:val="en-AU"/>
      </w:rPr>
      <w:t>15</w:t>
    </w:r>
    <w:r w:rsidR="004C302E">
      <w:rPr>
        <w:sz w:val="16"/>
        <w:szCs w:val="16"/>
        <w:lang w:val="en-AU"/>
      </w:rPr>
      <w:t xml:space="preserve"> </w:t>
    </w:r>
    <w:r w:rsidR="00BA18DB">
      <w:rPr>
        <w:sz w:val="16"/>
        <w:szCs w:val="16"/>
        <w:lang w:val="en-AU"/>
      </w:rPr>
      <w:t>PI EYLEA</w:t>
    </w:r>
    <w:r w:rsidR="00BA18DB">
      <w:rPr>
        <w:sz w:val="16"/>
        <w:szCs w:val="16"/>
        <w:lang w:val="en-AU"/>
      </w:rPr>
      <w:tab/>
    </w:r>
    <w:r w:rsidR="00BA18DB">
      <w:rPr>
        <w:sz w:val="16"/>
        <w:szCs w:val="16"/>
        <w:lang w:val="en-AU"/>
      </w:rPr>
      <w:tab/>
    </w:r>
    <w:r w:rsidR="00BA18DB" w:rsidRPr="007669F3">
      <w:rPr>
        <w:sz w:val="16"/>
        <w:szCs w:val="16"/>
        <w:lang w:val="en-AU"/>
      </w:rPr>
      <w:t xml:space="preserve">                                                      </w:t>
    </w:r>
    <w:r w:rsidR="00BA18DB">
      <w:rPr>
        <w:sz w:val="16"/>
        <w:szCs w:val="16"/>
        <w:lang w:val="en-AU"/>
      </w:rPr>
      <w:t xml:space="preserve">                                                                       </w:t>
    </w:r>
  </w:p>
  <w:p w:rsidR="00BA18DB" w:rsidRDefault="00BA18DB" w:rsidP="001504C8">
    <w:pPr>
      <w:pStyle w:val="Footer"/>
      <w:pBdr>
        <w:top w:val="single" w:sz="4" w:space="1" w:color="auto"/>
      </w:pBdr>
    </w:pPr>
    <w:r w:rsidRPr="007669F3">
      <w:rPr>
        <w:sz w:val="16"/>
        <w:szCs w:val="16"/>
        <w:lang w:val="en-AU"/>
      </w:rPr>
      <w:t xml:space="preserve">Page </w:t>
    </w:r>
    <w:r w:rsidRPr="007669F3">
      <w:rPr>
        <w:sz w:val="16"/>
        <w:szCs w:val="16"/>
        <w:lang w:val="en-AU"/>
      </w:rPr>
      <w:fldChar w:fldCharType="begin"/>
    </w:r>
    <w:r w:rsidRPr="007669F3">
      <w:rPr>
        <w:sz w:val="16"/>
        <w:szCs w:val="16"/>
        <w:lang w:val="en-AU"/>
      </w:rPr>
      <w:instrText xml:space="preserve"> PAGE </w:instrText>
    </w:r>
    <w:r w:rsidRPr="007669F3">
      <w:rPr>
        <w:sz w:val="16"/>
        <w:szCs w:val="16"/>
        <w:lang w:val="en-AU"/>
      </w:rPr>
      <w:fldChar w:fldCharType="separate"/>
    </w:r>
    <w:r w:rsidR="003E56D2">
      <w:rPr>
        <w:noProof/>
        <w:sz w:val="16"/>
        <w:szCs w:val="16"/>
        <w:lang w:val="en-AU"/>
      </w:rPr>
      <w:t>12</w:t>
    </w:r>
    <w:r w:rsidRPr="007669F3">
      <w:rPr>
        <w:sz w:val="16"/>
        <w:szCs w:val="16"/>
        <w:lang w:val="en-AU"/>
      </w:rPr>
      <w:fldChar w:fldCharType="end"/>
    </w:r>
    <w:r w:rsidRPr="007669F3">
      <w:rPr>
        <w:sz w:val="16"/>
        <w:szCs w:val="16"/>
        <w:lang w:val="en-AU"/>
      </w:rPr>
      <w:t xml:space="preserve"> of </w:t>
    </w:r>
    <w:r w:rsidR="00F67188">
      <w:rPr>
        <w:sz w:val="16"/>
        <w:szCs w:val="16"/>
        <w:lang w:val="en-AU"/>
      </w:rPr>
      <w:fldChar w:fldCharType="begin"/>
    </w:r>
    <w:r w:rsidR="00F67188">
      <w:rPr>
        <w:sz w:val="16"/>
        <w:szCs w:val="16"/>
        <w:lang w:val="en-AU"/>
      </w:rPr>
      <w:instrText xml:space="preserve"> NUMPAGES   \* MERGEFORMAT </w:instrText>
    </w:r>
    <w:r w:rsidR="00F67188">
      <w:rPr>
        <w:sz w:val="16"/>
        <w:szCs w:val="16"/>
        <w:lang w:val="en-AU"/>
      </w:rPr>
      <w:fldChar w:fldCharType="separate"/>
    </w:r>
    <w:r w:rsidR="003E56D2">
      <w:rPr>
        <w:noProof/>
        <w:sz w:val="16"/>
        <w:szCs w:val="16"/>
        <w:lang w:val="en-AU"/>
      </w:rPr>
      <w:t>34</w:t>
    </w:r>
    <w:r w:rsidR="00F67188">
      <w:rPr>
        <w:sz w:val="16"/>
        <w:szCs w:val="16"/>
        <w:lang w:val="en-AU"/>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8DB" w:rsidRDefault="00895DEE" w:rsidP="00A11AB0">
    <w:pPr>
      <w:pStyle w:val="Footer"/>
      <w:pBdr>
        <w:top w:val="single" w:sz="4" w:space="1" w:color="auto"/>
      </w:pBdr>
      <w:rPr>
        <w:sz w:val="16"/>
        <w:szCs w:val="16"/>
        <w:lang w:val="en-AU"/>
      </w:rPr>
    </w:pPr>
    <w:r>
      <w:rPr>
        <w:sz w:val="16"/>
        <w:szCs w:val="16"/>
        <w:lang w:val="en-AU"/>
      </w:rPr>
      <w:t>1</w:t>
    </w:r>
    <w:r w:rsidR="000E3402">
      <w:rPr>
        <w:sz w:val="16"/>
        <w:szCs w:val="16"/>
        <w:lang w:val="en-AU"/>
      </w:rPr>
      <w:t>5</w:t>
    </w:r>
    <w:r w:rsidR="007E3EAD">
      <w:rPr>
        <w:sz w:val="16"/>
        <w:szCs w:val="16"/>
        <w:lang w:val="en-AU"/>
      </w:rPr>
      <w:t>04</w:t>
    </w:r>
    <w:r w:rsidR="00261C19">
      <w:rPr>
        <w:sz w:val="16"/>
        <w:szCs w:val="16"/>
        <w:lang w:val="en-AU"/>
      </w:rPr>
      <w:t>15</w:t>
    </w:r>
    <w:r>
      <w:rPr>
        <w:sz w:val="16"/>
        <w:szCs w:val="16"/>
        <w:lang w:val="en-AU"/>
      </w:rPr>
      <w:t xml:space="preserve"> </w:t>
    </w:r>
    <w:r w:rsidR="00BA18DB">
      <w:rPr>
        <w:sz w:val="16"/>
        <w:szCs w:val="16"/>
        <w:lang w:val="en-AU"/>
      </w:rPr>
      <w:t>PI EYLEA</w:t>
    </w:r>
    <w:r w:rsidR="00BA18DB">
      <w:rPr>
        <w:sz w:val="16"/>
        <w:szCs w:val="16"/>
        <w:lang w:val="en-AU"/>
      </w:rPr>
      <w:tab/>
    </w:r>
    <w:r w:rsidR="00BA18DB">
      <w:rPr>
        <w:sz w:val="16"/>
        <w:szCs w:val="16"/>
        <w:lang w:val="en-AU"/>
      </w:rPr>
      <w:tab/>
    </w:r>
    <w:r w:rsidR="00BA18DB" w:rsidRPr="007669F3">
      <w:rPr>
        <w:sz w:val="16"/>
        <w:szCs w:val="16"/>
        <w:lang w:val="en-AU"/>
      </w:rPr>
      <w:t xml:space="preserve">                                                      </w:t>
    </w:r>
    <w:r w:rsidR="00BA18DB">
      <w:rPr>
        <w:sz w:val="16"/>
        <w:szCs w:val="16"/>
        <w:lang w:val="en-AU"/>
      </w:rPr>
      <w:t xml:space="preserve">                                                                       </w:t>
    </w:r>
  </w:p>
  <w:p w:rsidR="00BA18DB" w:rsidRDefault="00BA18DB" w:rsidP="001504C8">
    <w:pPr>
      <w:pStyle w:val="Footer"/>
      <w:pBdr>
        <w:top w:val="single" w:sz="4" w:space="1" w:color="auto"/>
      </w:pBdr>
      <w:rPr>
        <w:sz w:val="16"/>
        <w:szCs w:val="16"/>
        <w:lang w:val="en-AU"/>
      </w:rPr>
    </w:pPr>
    <w:r w:rsidRPr="007669F3">
      <w:rPr>
        <w:sz w:val="16"/>
        <w:szCs w:val="16"/>
        <w:lang w:val="en-AU"/>
      </w:rPr>
      <w:t xml:space="preserve">Page </w:t>
    </w:r>
    <w:r w:rsidRPr="007669F3">
      <w:rPr>
        <w:sz w:val="16"/>
        <w:szCs w:val="16"/>
        <w:lang w:val="en-AU"/>
      </w:rPr>
      <w:fldChar w:fldCharType="begin"/>
    </w:r>
    <w:r w:rsidRPr="007669F3">
      <w:rPr>
        <w:sz w:val="16"/>
        <w:szCs w:val="16"/>
        <w:lang w:val="en-AU"/>
      </w:rPr>
      <w:instrText xml:space="preserve"> PAGE </w:instrText>
    </w:r>
    <w:r w:rsidRPr="007669F3">
      <w:rPr>
        <w:sz w:val="16"/>
        <w:szCs w:val="16"/>
        <w:lang w:val="en-AU"/>
      </w:rPr>
      <w:fldChar w:fldCharType="separate"/>
    </w:r>
    <w:r w:rsidR="003E56D2">
      <w:rPr>
        <w:noProof/>
        <w:sz w:val="16"/>
        <w:szCs w:val="16"/>
        <w:lang w:val="en-AU"/>
      </w:rPr>
      <w:t>14</w:t>
    </w:r>
    <w:r w:rsidRPr="007669F3">
      <w:rPr>
        <w:sz w:val="16"/>
        <w:szCs w:val="16"/>
        <w:lang w:val="en-AU"/>
      </w:rPr>
      <w:fldChar w:fldCharType="end"/>
    </w:r>
    <w:r w:rsidRPr="007669F3">
      <w:rPr>
        <w:sz w:val="16"/>
        <w:szCs w:val="16"/>
        <w:lang w:val="en-AU"/>
      </w:rPr>
      <w:t xml:space="preserve"> of </w:t>
    </w:r>
    <w:r w:rsidRPr="007669F3">
      <w:rPr>
        <w:sz w:val="16"/>
        <w:szCs w:val="16"/>
        <w:lang w:val="en-AU"/>
      </w:rPr>
      <w:fldChar w:fldCharType="begin"/>
    </w:r>
    <w:r w:rsidRPr="007669F3">
      <w:rPr>
        <w:sz w:val="16"/>
        <w:szCs w:val="16"/>
        <w:lang w:val="en-AU"/>
      </w:rPr>
      <w:instrText xml:space="preserve"> NUMPAGES </w:instrText>
    </w:r>
    <w:r w:rsidRPr="007669F3">
      <w:rPr>
        <w:sz w:val="16"/>
        <w:szCs w:val="16"/>
        <w:lang w:val="en-AU"/>
      </w:rPr>
      <w:fldChar w:fldCharType="separate"/>
    </w:r>
    <w:r w:rsidR="003E56D2">
      <w:rPr>
        <w:noProof/>
        <w:sz w:val="16"/>
        <w:szCs w:val="16"/>
        <w:lang w:val="en-AU"/>
      </w:rPr>
      <w:t>34</w:t>
    </w:r>
    <w:r w:rsidRPr="007669F3">
      <w:rPr>
        <w:sz w:val="16"/>
        <w:szCs w:val="16"/>
        <w:lang w:val="en-AU"/>
      </w:rPr>
      <w:fldChar w:fldCharType="end"/>
    </w:r>
  </w:p>
  <w:p w:rsidR="00BA18DB" w:rsidRDefault="00BA18DB" w:rsidP="001504C8">
    <w:pPr>
      <w:pStyle w:val="Footer"/>
      <w:pBdr>
        <w:top w:val="single" w:sz="4" w:space="1" w:color="auto"/>
      </w:pBdr>
      <w:rPr>
        <w:sz w:val="16"/>
        <w:szCs w:val="16"/>
        <w:lang w:val="en-AU"/>
      </w:rPr>
    </w:pPr>
  </w:p>
  <w:p w:rsidR="00BA18DB" w:rsidRDefault="00BA18DB" w:rsidP="001504C8">
    <w:pPr>
      <w:pStyle w:val="Footer"/>
      <w:pBdr>
        <w:top w:val="single" w:sz="4" w:space="1" w:color="auto"/>
      </w:pBdr>
      <w:rPr>
        <w:sz w:val="16"/>
        <w:szCs w:val="16"/>
        <w:lang w:val="en-AU"/>
      </w:rPr>
    </w:pPr>
  </w:p>
  <w:p w:rsidR="00BA18DB" w:rsidRDefault="00BA18DB" w:rsidP="001504C8">
    <w:pPr>
      <w:pStyle w:val="Footer"/>
      <w:pBdr>
        <w:top w:val="single" w:sz="4" w:space="1"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8DB" w:rsidRDefault="00895DEE" w:rsidP="00A11AB0">
    <w:pPr>
      <w:pStyle w:val="Footer"/>
      <w:pBdr>
        <w:top w:val="single" w:sz="4" w:space="1" w:color="auto"/>
      </w:pBdr>
      <w:rPr>
        <w:sz w:val="16"/>
        <w:szCs w:val="16"/>
        <w:lang w:val="en-AU"/>
      </w:rPr>
    </w:pPr>
    <w:r>
      <w:rPr>
        <w:sz w:val="16"/>
        <w:szCs w:val="16"/>
        <w:lang w:val="en-AU"/>
      </w:rPr>
      <w:t>1</w:t>
    </w:r>
    <w:r w:rsidR="000E3402">
      <w:rPr>
        <w:sz w:val="16"/>
        <w:szCs w:val="16"/>
        <w:lang w:val="en-AU"/>
      </w:rPr>
      <w:t>5</w:t>
    </w:r>
    <w:r w:rsidR="007E3EAD">
      <w:rPr>
        <w:sz w:val="16"/>
        <w:szCs w:val="16"/>
        <w:lang w:val="en-AU"/>
      </w:rPr>
      <w:t>04</w:t>
    </w:r>
    <w:r w:rsidR="00261C19">
      <w:rPr>
        <w:sz w:val="16"/>
        <w:szCs w:val="16"/>
        <w:lang w:val="en-AU"/>
      </w:rPr>
      <w:t>15</w:t>
    </w:r>
    <w:r w:rsidR="000E3402">
      <w:rPr>
        <w:sz w:val="16"/>
        <w:szCs w:val="16"/>
        <w:lang w:val="en-AU"/>
      </w:rPr>
      <w:t xml:space="preserve"> </w:t>
    </w:r>
    <w:r w:rsidR="00BA18DB">
      <w:rPr>
        <w:sz w:val="16"/>
        <w:szCs w:val="16"/>
        <w:lang w:val="en-AU"/>
      </w:rPr>
      <w:t>PI EYLEA</w:t>
    </w:r>
    <w:r w:rsidR="00BA18DB">
      <w:rPr>
        <w:sz w:val="16"/>
        <w:szCs w:val="16"/>
        <w:lang w:val="en-AU"/>
      </w:rPr>
      <w:tab/>
    </w:r>
    <w:r w:rsidR="00BA18DB">
      <w:rPr>
        <w:sz w:val="16"/>
        <w:szCs w:val="16"/>
        <w:lang w:val="en-AU"/>
      </w:rPr>
      <w:tab/>
    </w:r>
    <w:r w:rsidR="00BA18DB" w:rsidRPr="007669F3">
      <w:rPr>
        <w:sz w:val="16"/>
        <w:szCs w:val="16"/>
        <w:lang w:val="en-AU"/>
      </w:rPr>
      <w:t xml:space="preserve">                                                      </w:t>
    </w:r>
    <w:r w:rsidR="00BA18DB">
      <w:rPr>
        <w:sz w:val="16"/>
        <w:szCs w:val="16"/>
        <w:lang w:val="en-AU"/>
      </w:rPr>
      <w:t xml:space="preserve">                                                                       </w:t>
    </w:r>
  </w:p>
  <w:p w:rsidR="00BA18DB" w:rsidRDefault="00BA18DB" w:rsidP="001504C8">
    <w:pPr>
      <w:pStyle w:val="Footer"/>
      <w:pBdr>
        <w:top w:val="single" w:sz="4" w:space="1" w:color="auto"/>
      </w:pBdr>
    </w:pPr>
    <w:r w:rsidRPr="007669F3">
      <w:rPr>
        <w:sz w:val="16"/>
        <w:szCs w:val="16"/>
        <w:lang w:val="en-AU"/>
      </w:rPr>
      <w:t xml:space="preserve">Page </w:t>
    </w:r>
    <w:r w:rsidRPr="007669F3">
      <w:rPr>
        <w:sz w:val="16"/>
        <w:szCs w:val="16"/>
        <w:lang w:val="en-AU"/>
      </w:rPr>
      <w:fldChar w:fldCharType="begin"/>
    </w:r>
    <w:r w:rsidRPr="007669F3">
      <w:rPr>
        <w:sz w:val="16"/>
        <w:szCs w:val="16"/>
        <w:lang w:val="en-AU"/>
      </w:rPr>
      <w:instrText xml:space="preserve"> PAGE </w:instrText>
    </w:r>
    <w:r w:rsidRPr="007669F3">
      <w:rPr>
        <w:sz w:val="16"/>
        <w:szCs w:val="16"/>
        <w:lang w:val="en-AU"/>
      </w:rPr>
      <w:fldChar w:fldCharType="separate"/>
    </w:r>
    <w:r w:rsidR="003E56D2">
      <w:rPr>
        <w:noProof/>
        <w:sz w:val="16"/>
        <w:szCs w:val="16"/>
        <w:lang w:val="en-AU"/>
      </w:rPr>
      <w:t>33</w:t>
    </w:r>
    <w:r w:rsidRPr="007669F3">
      <w:rPr>
        <w:sz w:val="16"/>
        <w:szCs w:val="16"/>
        <w:lang w:val="en-AU"/>
      </w:rPr>
      <w:fldChar w:fldCharType="end"/>
    </w:r>
    <w:r w:rsidRPr="007669F3">
      <w:rPr>
        <w:sz w:val="16"/>
        <w:szCs w:val="16"/>
        <w:lang w:val="en-AU"/>
      </w:rPr>
      <w:t xml:space="preserve"> of</w:t>
    </w:r>
    <w:r>
      <w:rPr>
        <w:sz w:val="16"/>
        <w:szCs w:val="16"/>
        <w:lang w:val="en-AU"/>
      </w:rPr>
      <w:t xml:space="preserve"> </w:t>
    </w:r>
    <w:r w:rsidR="009564AB">
      <w:rPr>
        <w:sz w:val="16"/>
        <w:szCs w:val="16"/>
        <w:lang w:val="en-AU"/>
      </w:rPr>
      <w:fldChar w:fldCharType="begin"/>
    </w:r>
    <w:r w:rsidR="009564AB">
      <w:rPr>
        <w:sz w:val="16"/>
        <w:szCs w:val="16"/>
        <w:lang w:val="en-AU"/>
      </w:rPr>
      <w:instrText xml:space="preserve"> NUMPAGES   \* MERGEFORMAT </w:instrText>
    </w:r>
    <w:r w:rsidR="009564AB">
      <w:rPr>
        <w:sz w:val="16"/>
        <w:szCs w:val="16"/>
        <w:lang w:val="en-AU"/>
      </w:rPr>
      <w:fldChar w:fldCharType="separate"/>
    </w:r>
    <w:r w:rsidR="003E56D2">
      <w:rPr>
        <w:noProof/>
        <w:sz w:val="16"/>
        <w:szCs w:val="16"/>
        <w:lang w:val="en-AU"/>
      </w:rPr>
      <w:t>34</w:t>
    </w:r>
    <w:r w:rsidR="009564AB">
      <w:rPr>
        <w:sz w:val="16"/>
        <w:szCs w:val="16"/>
        <w:lang w:val="en-AU"/>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910" w:rsidRDefault="00A75910">
      <w:r>
        <w:separator/>
      </w:r>
    </w:p>
  </w:footnote>
  <w:footnote w:type="continuationSeparator" w:id="0">
    <w:p w:rsidR="00A75910" w:rsidRDefault="00A75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529"/>
    </w:tblGrid>
    <w:tr w:rsidR="003E56D2" w:rsidRPr="001F62AB" w:rsidTr="00362648">
      <w:tc>
        <w:tcPr>
          <w:tcW w:w="8720" w:type="dxa"/>
          <w:shd w:val="clear" w:color="auto" w:fill="E4F2E0"/>
        </w:tcPr>
        <w:p w:rsidR="003E56D2" w:rsidRPr="001F62AB" w:rsidRDefault="003E56D2" w:rsidP="00362648">
          <w:pPr>
            <w:spacing w:before="40" w:after="40"/>
            <w:rPr>
              <w:b/>
              <w:sz w:val="20"/>
              <w:szCs w:val="20"/>
            </w:rPr>
          </w:pPr>
          <w:r w:rsidRPr="001F62AB">
            <w:rPr>
              <w:b/>
              <w:sz w:val="20"/>
              <w:szCs w:val="20"/>
            </w:rPr>
            <w:t xml:space="preserve">Attachment 1: Product information for </w:t>
          </w:r>
          <w:r w:rsidRPr="001F62AB">
            <w:rPr>
              <w:b/>
            </w:rPr>
            <w:t xml:space="preserve">AusPAR </w:t>
          </w:r>
          <w:proofErr w:type="spellStart"/>
          <w:r w:rsidRPr="001F62AB">
            <w:rPr>
              <w:b/>
            </w:rPr>
            <w:t>Eylea</w:t>
          </w:r>
          <w:proofErr w:type="spellEnd"/>
          <w:r w:rsidRPr="001F62AB">
            <w:rPr>
              <w:b/>
            </w:rPr>
            <w:t xml:space="preserve"> </w:t>
          </w:r>
          <w:proofErr w:type="spellStart"/>
          <w:r w:rsidRPr="001F62AB">
            <w:rPr>
              <w:b/>
            </w:rPr>
            <w:t>Aflibercept</w:t>
          </w:r>
          <w:proofErr w:type="spellEnd"/>
          <w:r w:rsidRPr="001F62AB">
            <w:rPr>
              <w:b/>
            </w:rPr>
            <w:t xml:space="preserve"> Bayer Australia Ltd PM-2013-04198-1-1 Final 21 July 2015</w:t>
          </w:r>
          <w:r w:rsidRPr="001F62AB">
            <w:rPr>
              <w:b/>
              <w:sz w:val="20"/>
              <w:szCs w:val="20"/>
            </w:rPr>
            <w:t>. This Product Information was approved at the time this AusPAR was published.</w:t>
          </w:r>
        </w:p>
      </w:tc>
    </w:tr>
  </w:tbl>
  <w:p w:rsidR="003E56D2" w:rsidRDefault="003E56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6EE02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7D0F4E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AC0817A"/>
    <w:lvl w:ilvl="0">
      <w:start w:val="1"/>
      <w:numFmt w:val="decimal"/>
      <w:pStyle w:val="ListNumber3"/>
      <w:lvlText w:val="%1."/>
      <w:lvlJc w:val="left"/>
      <w:pPr>
        <w:tabs>
          <w:tab w:val="num" w:pos="926"/>
        </w:tabs>
        <w:ind w:left="926" w:hanging="360"/>
      </w:pPr>
    </w:lvl>
  </w:abstractNum>
  <w:abstractNum w:abstractNumId="3">
    <w:nsid w:val="FFFFFF7F"/>
    <w:multiLevelType w:val="singleLevel"/>
    <w:tmpl w:val="094E3116"/>
    <w:lvl w:ilvl="0">
      <w:start w:val="1"/>
      <w:numFmt w:val="decimal"/>
      <w:pStyle w:val="ListNumber2"/>
      <w:lvlText w:val="%1."/>
      <w:lvlJc w:val="left"/>
      <w:pPr>
        <w:tabs>
          <w:tab w:val="num" w:pos="643"/>
        </w:tabs>
        <w:ind w:left="643" w:hanging="360"/>
      </w:pPr>
    </w:lvl>
  </w:abstractNum>
  <w:abstractNum w:abstractNumId="4">
    <w:nsid w:val="FFFFFF80"/>
    <w:multiLevelType w:val="singleLevel"/>
    <w:tmpl w:val="DC5EA36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74880F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5E81CB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2F067C48"/>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A1C6B4C"/>
    <w:lvl w:ilvl="0">
      <w:start w:val="1"/>
      <w:numFmt w:val="decimal"/>
      <w:pStyle w:val="ListNumber"/>
      <w:lvlText w:val="%1."/>
      <w:lvlJc w:val="left"/>
      <w:pPr>
        <w:tabs>
          <w:tab w:val="num" w:pos="360"/>
        </w:tabs>
        <w:ind w:left="360" w:hanging="360"/>
      </w:pPr>
    </w:lvl>
  </w:abstractNum>
  <w:abstractNum w:abstractNumId="9">
    <w:nsid w:val="FFFFFF89"/>
    <w:multiLevelType w:val="singleLevel"/>
    <w:tmpl w:val="E804A38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893B10"/>
    <w:multiLevelType w:val="hybridMultilevel"/>
    <w:tmpl w:val="EA02E7B4"/>
    <w:lvl w:ilvl="0" w:tplc="964A3B9A">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6701E7D"/>
    <w:multiLevelType w:val="hybridMultilevel"/>
    <w:tmpl w:val="AD04E4F0"/>
    <w:lvl w:ilvl="0" w:tplc="77E02B54">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AF80564"/>
    <w:multiLevelType w:val="hybridMultilevel"/>
    <w:tmpl w:val="FAA897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0BEE5BA0"/>
    <w:multiLevelType w:val="hybridMultilevel"/>
    <w:tmpl w:val="CB1EDA2C"/>
    <w:lvl w:ilvl="0" w:tplc="78D6122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3009B3"/>
    <w:multiLevelType w:val="hybridMultilevel"/>
    <w:tmpl w:val="9676CE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837300E"/>
    <w:multiLevelType w:val="multilevel"/>
    <w:tmpl w:val="CB1EDA2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95515C9"/>
    <w:multiLevelType w:val="hybridMultilevel"/>
    <w:tmpl w:val="1122B7F4"/>
    <w:lvl w:ilvl="0" w:tplc="C478D8E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9875C8"/>
    <w:multiLevelType w:val="hybridMultilevel"/>
    <w:tmpl w:val="A93C06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1F7A4C38"/>
    <w:multiLevelType w:val="hybridMultilevel"/>
    <w:tmpl w:val="87F08E1C"/>
    <w:lvl w:ilvl="0" w:tplc="B6F4475A">
      <w:start w:val="1"/>
      <w:numFmt w:val="bullet"/>
      <w:lvlText w:val=""/>
      <w:lvlJc w:val="left"/>
      <w:pPr>
        <w:tabs>
          <w:tab w:val="num" w:pos="418"/>
        </w:tabs>
        <w:ind w:left="418" w:hanging="360"/>
      </w:pPr>
      <w:rPr>
        <w:rFonts w:ascii="Symbol" w:hAnsi="Symbol" w:hint="default"/>
        <w:color w:val="auto"/>
      </w:rPr>
    </w:lvl>
    <w:lvl w:ilvl="1" w:tplc="04090003" w:tentative="1">
      <w:start w:val="1"/>
      <w:numFmt w:val="bullet"/>
      <w:lvlText w:val="o"/>
      <w:lvlJc w:val="left"/>
      <w:pPr>
        <w:tabs>
          <w:tab w:val="num" w:pos="1498"/>
        </w:tabs>
        <w:ind w:left="1498" w:hanging="360"/>
      </w:pPr>
      <w:rPr>
        <w:rFonts w:ascii="Courier New" w:hAnsi="Courier New" w:cs="Courier New" w:hint="default"/>
      </w:rPr>
    </w:lvl>
    <w:lvl w:ilvl="2" w:tplc="04090005" w:tentative="1">
      <w:start w:val="1"/>
      <w:numFmt w:val="bullet"/>
      <w:lvlText w:val=""/>
      <w:lvlJc w:val="left"/>
      <w:pPr>
        <w:tabs>
          <w:tab w:val="num" w:pos="2218"/>
        </w:tabs>
        <w:ind w:left="2218" w:hanging="360"/>
      </w:pPr>
      <w:rPr>
        <w:rFonts w:ascii="Wingdings" w:hAnsi="Wingdings" w:hint="default"/>
      </w:rPr>
    </w:lvl>
    <w:lvl w:ilvl="3" w:tplc="04090001" w:tentative="1">
      <w:start w:val="1"/>
      <w:numFmt w:val="bullet"/>
      <w:lvlText w:val=""/>
      <w:lvlJc w:val="left"/>
      <w:pPr>
        <w:tabs>
          <w:tab w:val="num" w:pos="2938"/>
        </w:tabs>
        <w:ind w:left="2938" w:hanging="360"/>
      </w:pPr>
      <w:rPr>
        <w:rFonts w:ascii="Symbol" w:hAnsi="Symbol" w:hint="default"/>
      </w:rPr>
    </w:lvl>
    <w:lvl w:ilvl="4" w:tplc="04090003" w:tentative="1">
      <w:start w:val="1"/>
      <w:numFmt w:val="bullet"/>
      <w:lvlText w:val="o"/>
      <w:lvlJc w:val="left"/>
      <w:pPr>
        <w:tabs>
          <w:tab w:val="num" w:pos="3658"/>
        </w:tabs>
        <w:ind w:left="3658" w:hanging="360"/>
      </w:pPr>
      <w:rPr>
        <w:rFonts w:ascii="Courier New" w:hAnsi="Courier New" w:cs="Courier New" w:hint="default"/>
      </w:rPr>
    </w:lvl>
    <w:lvl w:ilvl="5" w:tplc="04090005" w:tentative="1">
      <w:start w:val="1"/>
      <w:numFmt w:val="bullet"/>
      <w:lvlText w:val=""/>
      <w:lvlJc w:val="left"/>
      <w:pPr>
        <w:tabs>
          <w:tab w:val="num" w:pos="4378"/>
        </w:tabs>
        <w:ind w:left="4378" w:hanging="360"/>
      </w:pPr>
      <w:rPr>
        <w:rFonts w:ascii="Wingdings" w:hAnsi="Wingdings" w:hint="default"/>
      </w:rPr>
    </w:lvl>
    <w:lvl w:ilvl="6" w:tplc="04090001" w:tentative="1">
      <w:start w:val="1"/>
      <w:numFmt w:val="bullet"/>
      <w:lvlText w:val=""/>
      <w:lvlJc w:val="left"/>
      <w:pPr>
        <w:tabs>
          <w:tab w:val="num" w:pos="5098"/>
        </w:tabs>
        <w:ind w:left="5098" w:hanging="360"/>
      </w:pPr>
      <w:rPr>
        <w:rFonts w:ascii="Symbol" w:hAnsi="Symbol" w:hint="default"/>
      </w:rPr>
    </w:lvl>
    <w:lvl w:ilvl="7" w:tplc="04090003" w:tentative="1">
      <w:start w:val="1"/>
      <w:numFmt w:val="bullet"/>
      <w:lvlText w:val="o"/>
      <w:lvlJc w:val="left"/>
      <w:pPr>
        <w:tabs>
          <w:tab w:val="num" w:pos="5818"/>
        </w:tabs>
        <w:ind w:left="5818" w:hanging="360"/>
      </w:pPr>
      <w:rPr>
        <w:rFonts w:ascii="Courier New" w:hAnsi="Courier New" w:cs="Courier New" w:hint="default"/>
      </w:rPr>
    </w:lvl>
    <w:lvl w:ilvl="8" w:tplc="04090005" w:tentative="1">
      <w:start w:val="1"/>
      <w:numFmt w:val="bullet"/>
      <w:lvlText w:val=""/>
      <w:lvlJc w:val="left"/>
      <w:pPr>
        <w:tabs>
          <w:tab w:val="num" w:pos="6538"/>
        </w:tabs>
        <w:ind w:left="6538" w:hanging="360"/>
      </w:pPr>
      <w:rPr>
        <w:rFonts w:ascii="Wingdings" w:hAnsi="Wingdings" w:hint="default"/>
      </w:rPr>
    </w:lvl>
  </w:abstractNum>
  <w:abstractNum w:abstractNumId="19">
    <w:nsid w:val="2D543215"/>
    <w:multiLevelType w:val="hybridMultilevel"/>
    <w:tmpl w:val="030653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2E830493"/>
    <w:multiLevelType w:val="multilevel"/>
    <w:tmpl w:val="11566BA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nsid w:val="331D2E19"/>
    <w:multiLevelType w:val="hybridMultilevel"/>
    <w:tmpl w:val="6D48F3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5137D77"/>
    <w:multiLevelType w:val="hybridMultilevel"/>
    <w:tmpl w:val="30D25606"/>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BAB726D"/>
    <w:multiLevelType w:val="hybridMultilevel"/>
    <w:tmpl w:val="477243BE"/>
    <w:lvl w:ilvl="0" w:tplc="086C8E8E">
      <w:start w:val="2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F4B0B76"/>
    <w:multiLevelType w:val="hybridMultilevel"/>
    <w:tmpl w:val="A04061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F6F4B2A"/>
    <w:multiLevelType w:val="hybridMultilevel"/>
    <w:tmpl w:val="66DEF35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3"/>
  </w:num>
  <w:num w:numId="2">
    <w:abstractNumId w:val="15"/>
  </w:num>
  <w:num w:numId="3">
    <w:abstractNumId w:val="22"/>
  </w:num>
  <w:num w:numId="4">
    <w:abstractNumId w:val="18"/>
  </w:num>
  <w:num w:numId="5">
    <w:abstractNumId w:val="14"/>
  </w:num>
  <w:num w:numId="6">
    <w:abstractNumId w:val="25"/>
  </w:num>
  <w:num w:numId="7">
    <w:abstractNumId w:val="20"/>
  </w:num>
  <w:num w:numId="8">
    <w:abstractNumId w:val="21"/>
  </w:num>
  <w:num w:numId="9">
    <w:abstractNumId w:val="24"/>
  </w:num>
  <w:num w:numId="10">
    <w:abstractNumId w:val="16"/>
  </w:num>
  <w:num w:numId="11">
    <w:abstractNumId w:val="17"/>
  </w:num>
  <w:num w:numId="12">
    <w:abstractNumId w:val="1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10"/>
  </w:num>
  <w:num w:numId="25">
    <w:abstractNumId w:val="12"/>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AU" w:vendorID="64" w:dllVersion="131078" w:nlCheck="1" w:checkStyle="1"/>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10BA"/>
    <w:rsid w:val="000018FD"/>
    <w:rsid w:val="0000392E"/>
    <w:rsid w:val="000066A9"/>
    <w:rsid w:val="0001447E"/>
    <w:rsid w:val="000146CF"/>
    <w:rsid w:val="00014C78"/>
    <w:rsid w:val="000150F0"/>
    <w:rsid w:val="00023DBA"/>
    <w:rsid w:val="00026EFE"/>
    <w:rsid w:val="00027D43"/>
    <w:rsid w:val="000328D0"/>
    <w:rsid w:val="00034FDA"/>
    <w:rsid w:val="00037218"/>
    <w:rsid w:val="00037F7E"/>
    <w:rsid w:val="00041B8C"/>
    <w:rsid w:val="00041C9B"/>
    <w:rsid w:val="00041D70"/>
    <w:rsid w:val="0004240D"/>
    <w:rsid w:val="000501C3"/>
    <w:rsid w:val="000555A4"/>
    <w:rsid w:val="00057EFA"/>
    <w:rsid w:val="00065254"/>
    <w:rsid w:val="00085BFF"/>
    <w:rsid w:val="000875C5"/>
    <w:rsid w:val="0009102B"/>
    <w:rsid w:val="00092E22"/>
    <w:rsid w:val="000941A0"/>
    <w:rsid w:val="0009686D"/>
    <w:rsid w:val="000A305D"/>
    <w:rsid w:val="000A31D6"/>
    <w:rsid w:val="000C4D1A"/>
    <w:rsid w:val="000C4FEE"/>
    <w:rsid w:val="000D1915"/>
    <w:rsid w:val="000D2A5F"/>
    <w:rsid w:val="000D4380"/>
    <w:rsid w:val="000E3402"/>
    <w:rsid w:val="000E3F99"/>
    <w:rsid w:val="000E74A7"/>
    <w:rsid w:val="000F6794"/>
    <w:rsid w:val="000F789B"/>
    <w:rsid w:val="000F7A54"/>
    <w:rsid w:val="00103336"/>
    <w:rsid w:val="00103E62"/>
    <w:rsid w:val="001073AB"/>
    <w:rsid w:val="00107D40"/>
    <w:rsid w:val="0012213B"/>
    <w:rsid w:val="00125142"/>
    <w:rsid w:val="001278C5"/>
    <w:rsid w:val="00127E8F"/>
    <w:rsid w:val="001312E1"/>
    <w:rsid w:val="001338D3"/>
    <w:rsid w:val="00133B90"/>
    <w:rsid w:val="00135717"/>
    <w:rsid w:val="0014081C"/>
    <w:rsid w:val="001424B3"/>
    <w:rsid w:val="0014502D"/>
    <w:rsid w:val="00146D1E"/>
    <w:rsid w:val="001504C8"/>
    <w:rsid w:val="00151803"/>
    <w:rsid w:val="001561C2"/>
    <w:rsid w:val="001616ED"/>
    <w:rsid w:val="00161D75"/>
    <w:rsid w:val="00161EDE"/>
    <w:rsid w:val="00166067"/>
    <w:rsid w:val="001713E5"/>
    <w:rsid w:val="0017549C"/>
    <w:rsid w:val="00175761"/>
    <w:rsid w:val="001802A7"/>
    <w:rsid w:val="001816DC"/>
    <w:rsid w:val="00186C5C"/>
    <w:rsid w:val="00186F98"/>
    <w:rsid w:val="00193BD5"/>
    <w:rsid w:val="00197235"/>
    <w:rsid w:val="001A4B90"/>
    <w:rsid w:val="001A577E"/>
    <w:rsid w:val="001B05E7"/>
    <w:rsid w:val="001B0CCD"/>
    <w:rsid w:val="001B4D2B"/>
    <w:rsid w:val="001B5410"/>
    <w:rsid w:val="001C5FCD"/>
    <w:rsid w:val="001C69CE"/>
    <w:rsid w:val="001D3363"/>
    <w:rsid w:val="001E10C4"/>
    <w:rsid w:val="001E320F"/>
    <w:rsid w:val="001E358F"/>
    <w:rsid w:val="001E5306"/>
    <w:rsid w:val="001E5CA5"/>
    <w:rsid w:val="001E5EFC"/>
    <w:rsid w:val="001E7171"/>
    <w:rsid w:val="001F29C0"/>
    <w:rsid w:val="001F58EF"/>
    <w:rsid w:val="00206B29"/>
    <w:rsid w:val="00212AA7"/>
    <w:rsid w:val="00214793"/>
    <w:rsid w:val="00214AB9"/>
    <w:rsid w:val="00217474"/>
    <w:rsid w:val="002230CD"/>
    <w:rsid w:val="00230EFD"/>
    <w:rsid w:val="002334F4"/>
    <w:rsid w:val="00234066"/>
    <w:rsid w:val="00236272"/>
    <w:rsid w:val="00237A74"/>
    <w:rsid w:val="00243EEE"/>
    <w:rsid w:val="002441BE"/>
    <w:rsid w:val="00244AE6"/>
    <w:rsid w:val="00244FF5"/>
    <w:rsid w:val="00246A56"/>
    <w:rsid w:val="00247F31"/>
    <w:rsid w:val="00251CDD"/>
    <w:rsid w:val="002575B3"/>
    <w:rsid w:val="00261C19"/>
    <w:rsid w:val="0026383C"/>
    <w:rsid w:val="002641E4"/>
    <w:rsid w:val="00264F2B"/>
    <w:rsid w:val="00265582"/>
    <w:rsid w:val="00272927"/>
    <w:rsid w:val="00275C34"/>
    <w:rsid w:val="00281F52"/>
    <w:rsid w:val="00282568"/>
    <w:rsid w:val="0028369D"/>
    <w:rsid w:val="00291B89"/>
    <w:rsid w:val="00292B5F"/>
    <w:rsid w:val="0029482F"/>
    <w:rsid w:val="002974DE"/>
    <w:rsid w:val="002A090E"/>
    <w:rsid w:val="002A1B18"/>
    <w:rsid w:val="002A68C2"/>
    <w:rsid w:val="002C4297"/>
    <w:rsid w:val="002C49EA"/>
    <w:rsid w:val="002C70D5"/>
    <w:rsid w:val="002D03DD"/>
    <w:rsid w:val="002D12A5"/>
    <w:rsid w:val="002D1CE4"/>
    <w:rsid w:val="002D3867"/>
    <w:rsid w:val="002D6409"/>
    <w:rsid w:val="002E0B35"/>
    <w:rsid w:val="002E3648"/>
    <w:rsid w:val="002E6217"/>
    <w:rsid w:val="002F0E88"/>
    <w:rsid w:val="002F1ED8"/>
    <w:rsid w:val="002F5524"/>
    <w:rsid w:val="002F6973"/>
    <w:rsid w:val="00301486"/>
    <w:rsid w:val="0030535A"/>
    <w:rsid w:val="00306438"/>
    <w:rsid w:val="00307197"/>
    <w:rsid w:val="00312010"/>
    <w:rsid w:val="00315A0B"/>
    <w:rsid w:val="00330DD5"/>
    <w:rsid w:val="00331893"/>
    <w:rsid w:val="003323A7"/>
    <w:rsid w:val="00332CF6"/>
    <w:rsid w:val="00337AED"/>
    <w:rsid w:val="00337F8C"/>
    <w:rsid w:val="00344F11"/>
    <w:rsid w:val="00345AE2"/>
    <w:rsid w:val="003501F8"/>
    <w:rsid w:val="00355237"/>
    <w:rsid w:val="00357F94"/>
    <w:rsid w:val="00365164"/>
    <w:rsid w:val="003726D1"/>
    <w:rsid w:val="003737AE"/>
    <w:rsid w:val="0037550D"/>
    <w:rsid w:val="00380F09"/>
    <w:rsid w:val="00385557"/>
    <w:rsid w:val="00387F4D"/>
    <w:rsid w:val="00390367"/>
    <w:rsid w:val="003A290A"/>
    <w:rsid w:val="003A2FBF"/>
    <w:rsid w:val="003A4E68"/>
    <w:rsid w:val="003A5FEA"/>
    <w:rsid w:val="003A79E6"/>
    <w:rsid w:val="003A7FA1"/>
    <w:rsid w:val="003B11EE"/>
    <w:rsid w:val="003B18C6"/>
    <w:rsid w:val="003B2579"/>
    <w:rsid w:val="003B4AEF"/>
    <w:rsid w:val="003C151A"/>
    <w:rsid w:val="003D0959"/>
    <w:rsid w:val="003D0A1C"/>
    <w:rsid w:val="003D2102"/>
    <w:rsid w:val="003D5366"/>
    <w:rsid w:val="003E257C"/>
    <w:rsid w:val="003E398A"/>
    <w:rsid w:val="003E56D2"/>
    <w:rsid w:val="003E60F8"/>
    <w:rsid w:val="003E6E6A"/>
    <w:rsid w:val="003F003E"/>
    <w:rsid w:val="003F1B56"/>
    <w:rsid w:val="003F24D0"/>
    <w:rsid w:val="003F65FE"/>
    <w:rsid w:val="0040071C"/>
    <w:rsid w:val="00400850"/>
    <w:rsid w:val="00401BBB"/>
    <w:rsid w:val="00402CE6"/>
    <w:rsid w:val="0040651A"/>
    <w:rsid w:val="004132E6"/>
    <w:rsid w:val="00414FFD"/>
    <w:rsid w:val="00420D8B"/>
    <w:rsid w:val="0042173E"/>
    <w:rsid w:val="004231D4"/>
    <w:rsid w:val="004234F9"/>
    <w:rsid w:val="00423631"/>
    <w:rsid w:val="00427EC7"/>
    <w:rsid w:val="004301F9"/>
    <w:rsid w:val="00434FC8"/>
    <w:rsid w:val="00435F94"/>
    <w:rsid w:val="0044190E"/>
    <w:rsid w:val="00443978"/>
    <w:rsid w:val="0044568E"/>
    <w:rsid w:val="004463FA"/>
    <w:rsid w:val="0045509B"/>
    <w:rsid w:val="00464079"/>
    <w:rsid w:val="00467441"/>
    <w:rsid w:val="004679FF"/>
    <w:rsid w:val="00471E7E"/>
    <w:rsid w:val="00472EBD"/>
    <w:rsid w:val="0047560D"/>
    <w:rsid w:val="00477CBD"/>
    <w:rsid w:val="00480F80"/>
    <w:rsid w:val="00481943"/>
    <w:rsid w:val="004904FB"/>
    <w:rsid w:val="0049176C"/>
    <w:rsid w:val="00494BFE"/>
    <w:rsid w:val="00497542"/>
    <w:rsid w:val="004A2828"/>
    <w:rsid w:val="004A638C"/>
    <w:rsid w:val="004B0075"/>
    <w:rsid w:val="004B2E36"/>
    <w:rsid w:val="004C302E"/>
    <w:rsid w:val="004C672D"/>
    <w:rsid w:val="004D7441"/>
    <w:rsid w:val="004E00A9"/>
    <w:rsid w:val="004F1DB0"/>
    <w:rsid w:val="004F2D0A"/>
    <w:rsid w:val="004F34F4"/>
    <w:rsid w:val="004F5FA4"/>
    <w:rsid w:val="004F6241"/>
    <w:rsid w:val="004F7E2D"/>
    <w:rsid w:val="00502C50"/>
    <w:rsid w:val="005042B5"/>
    <w:rsid w:val="00512DD9"/>
    <w:rsid w:val="00517BE3"/>
    <w:rsid w:val="005214F6"/>
    <w:rsid w:val="0052156A"/>
    <w:rsid w:val="00525485"/>
    <w:rsid w:val="005305DE"/>
    <w:rsid w:val="00531464"/>
    <w:rsid w:val="00531DC1"/>
    <w:rsid w:val="00532473"/>
    <w:rsid w:val="005342A4"/>
    <w:rsid w:val="005359FE"/>
    <w:rsid w:val="00536A1C"/>
    <w:rsid w:val="0054125A"/>
    <w:rsid w:val="00545B45"/>
    <w:rsid w:val="00547FD8"/>
    <w:rsid w:val="00554EB7"/>
    <w:rsid w:val="005624B1"/>
    <w:rsid w:val="005630E4"/>
    <w:rsid w:val="005642E6"/>
    <w:rsid w:val="00565084"/>
    <w:rsid w:val="00570D7C"/>
    <w:rsid w:val="0057161C"/>
    <w:rsid w:val="0057345E"/>
    <w:rsid w:val="00575208"/>
    <w:rsid w:val="005756E0"/>
    <w:rsid w:val="00581A52"/>
    <w:rsid w:val="00581BC0"/>
    <w:rsid w:val="00581CFE"/>
    <w:rsid w:val="00585042"/>
    <w:rsid w:val="00587072"/>
    <w:rsid w:val="0059188A"/>
    <w:rsid w:val="005A0FBC"/>
    <w:rsid w:val="005A4B95"/>
    <w:rsid w:val="005A6541"/>
    <w:rsid w:val="005A77C8"/>
    <w:rsid w:val="005A7BAD"/>
    <w:rsid w:val="005B0E48"/>
    <w:rsid w:val="005B1710"/>
    <w:rsid w:val="005B32EF"/>
    <w:rsid w:val="005B5F1D"/>
    <w:rsid w:val="005C2990"/>
    <w:rsid w:val="005C304D"/>
    <w:rsid w:val="005D177F"/>
    <w:rsid w:val="005D3966"/>
    <w:rsid w:val="005D6975"/>
    <w:rsid w:val="005D7AD1"/>
    <w:rsid w:val="005E223D"/>
    <w:rsid w:val="005E3EC1"/>
    <w:rsid w:val="005E4A0E"/>
    <w:rsid w:val="005E5B4A"/>
    <w:rsid w:val="005E6786"/>
    <w:rsid w:val="005F16D8"/>
    <w:rsid w:val="005F3299"/>
    <w:rsid w:val="00602EB3"/>
    <w:rsid w:val="00604ED0"/>
    <w:rsid w:val="0061327E"/>
    <w:rsid w:val="006150A2"/>
    <w:rsid w:val="0061635B"/>
    <w:rsid w:val="0061687B"/>
    <w:rsid w:val="006236EE"/>
    <w:rsid w:val="00624FD7"/>
    <w:rsid w:val="00626205"/>
    <w:rsid w:val="00630191"/>
    <w:rsid w:val="00630FDC"/>
    <w:rsid w:val="00633D52"/>
    <w:rsid w:val="00634D4C"/>
    <w:rsid w:val="00644285"/>
    <w:rsid w:val="00644413"/>
    <w:rsid w:val="00645944"/>
    <w:rsid w:val="0065019E"/>
    <w:rsid w:val="00650DEE"/>
    <w:rsid w:val="00651D8A"/>
    <w:rsid w:val="006534D3"/>
    <w:rsid w:val="00656F9E"/>
    <w:rsid w:val="006571CD"/>
    <w:rsid w:val="0066626C"/>
    <w:rsid w:val="00671482"/>
    <w:rsid w:val="00671692"/>
    <w:rsid w:val="00675C31"/>
    <w:rsid w:val="00677E7C"/>
    <w:rsid w:val="00681379"/>
    <w:rsid w:val="00681A42"/>
    <w:rsid w:val="0068477C"/>
    <w:rsid w:val="006B2330"/>
    <w:rsid w:val="006B7EAD"/>
    <w:rsid w:val="006C60FA"/>
    <w:rsid w:val="006D4EB0"/>
    <w:rsid w:val="006D6830"/>
    <w:rsid w:val="006D77AE"/>
    <w:rsid w:val="006E10C6"/>
    <w:rsid w:val="006E22C8"/>
    <w:rsid w:val="006E5D06"/>
    <w:rsid w:val="006F36D2"/>
    <w:rsid w:val="006F4EF4"/>
    <w:rsid w:val="006F6CD1"/>
    <w:rsid w:val="006F79BA"/>
    <w:rsid w:val="00701ECD"/>
    <w:rsid w:val="0070498D"/>
    <w:rsid w:val="00710303"/>
    <w:rsid w:val="007134ED"/>
    <w:rsid w:val="00715294"/>
    <w:rsid w:val="00723E9D"/>
    <w:rsid w:val="00726F00"/>
    <w:rsid w:val="00736F72"/>
    <w:rsid w:val="00742472"/>
    <w:rsid w:val="007449D9"/>
    <w:rsid w:val="00746BE9"/>
    <w:rsid w:val="007539CB"/>
    <w:rsid w:val="007566D5"/>
    <w:rsid w:val="007577F4"/>
    <w:rsid w:val="00757EFD"/>
    <w:rsid w:val="00763B65"/>
    <w:rsid w:val="00763F1E"/>
    <w:rsid w:val="007648EE"/>
    <w:rsid w:val="007669F3"/>
    <w:rsid w:val="00774E07"/>
    <w:rsid w:val="00785846"/>
    <w:rsid w:val="00786860"/>
    <w:rsid w:val="00790DD4"/>
    <w:rsid w:val="0079583A"/>
    <w:rsid w:val="00796963"/>
    <w:rsid w:val="007A33E9"/>
    <w:rsid w:val="007A47B0"/>
    <w:rsid w:val="007A5078"/>
    <w:rsid w:val="007A72B5"/>
    <w:rsid w:val="007B11F0"/>
    <w:rsid w:val="007B2CBB"/>
    <w:rsid w:val="007B40F1"/>
    <w:rsid w:val="007C0EB7"/>
    <w:rsid w:val="007C3358"/>
    <w:rsid w:val="007C698D"/>
    <w:rsid w:val="007D2805"/>
    <w:rsid w:val="007D2F68"/>
    <w:rsid w:val="007D3E70"/>
    <w:rsid w:val="007E3AE1"/>
    <w:rsid w:val="007E3EAD"/>
    <w:rsid w:val="007F19B6"/>
    <w:rsid w:val="007F20E2"/>
    <w:rsid w:val="007F4CFE"/>
    <w:rsid w:val="00800211"/>
    <w:rsid w:val="0080422A"/>
    <w:rsid w:val="008046CA"/>
    <w:rsid w:val="00804C23"/>
    <w:rsid w:val="00805349"/>
    <w:rsid w:val="00807310"/>
    <w:rsid w:val="008109EB"/>
    <w:rsid w:val="008112D3"/>
    <w:rsid w:val="00815390"/>
    <w:rsid w:val="008153D3"/>
    <w:rsid w:val="00815E9A"/>
    <w:rsid w:val="00821391"/>
    <w:rsid w:val="0083031D"/>
    <w:rsid w:val="0083041B"/>
    <w:rsid w:val="008318D3"/>
    <w:rsid w:val="00843043"/>
    <w:rsid w:val="00844F25"/>
    <w:rsid w:val="00852EA4"/>
    <w:rsid w:val="00853639"/>
    <w:rsid w:val="00861057"/>
    <w:rsid w:val="00863094"/>
    <w:rsid w:val="0086475F"/>
    <w:rsid w:val="00872D2E"/>
    <w:rsid w:val="00883763"/>
    <w:rsid w:val="00891FFE"/>
    <w:rsid w:val="00894A6C"/>
    <w:rsid w:val="00895DEE"/>
    <w:rsid w:val="008A3D6E"/>
    <w:rsid w:val="008A5543"/>
    <w:rsid w:val="008A62AA"/>
    <w:rsid w:val="008B1EA6"/>
    <w:rsid w:val="008B3998"/>
    <w:rsid w:val="008B4391"/>
    <w:rsid w:val="008C2589"/>
    <w:rsid w:val="008C5BF9"/>
    <w:rsid w:val="008C6690"/>
    <w:rsid w:val="008C68BF"/>
    <w:rsid w:val="008C71D4"/>
    <w:rsid w:val="008D3CEF"/>
    <w:rsid w:val="008D60A3"/>
    <w:rsid w:val="008E025F"/>
    <w:rsid w:val="008E4A35"/>
    <w:rsid w:val="008F2E2C"/>
    <w:rsid w:val="008F3DD3"/>
    <w:rsid w:val="008F5CA6"/>
    <w:rsid w:val="00901E1A"/>
    <w:rsid w:val="009037E8"/>
    <w:rsid w:val="00904376"/>
    <w:rsid w:val="009117C0"/>
    <w:rsid w:val="0091580F"/>
    <w:rsid w:val="00915F1D"/>
    <w:rsid w:val="0092205A"/>
    <w:rsid w:val="00924335"/>
    <w:rsid w:val="00925208"/>
    <w:rsid w:val="00930C3E"/>
    <w:rsid w:val="00933264"/>
    <w:rsid w:val="00937AC6"/>
    <w:rsid w:val="00943E79"/>
    <w:rsid w:val="00951C74"/>
    <w:rsid w:val="00953AED"/>
    <w:rsid w:val="00955889"/>
    <w:rsid w:val="00956475"/>
    <w:rsid w:val="009564AB"/>
    <w:rsid w:val="00971A64"/>
    <w:rsid w:val="00972AEB"/>
    <w:rsid w:val="0097677B"/>
    <w:rsid w:val="00981E50"/>
    <w:rsid w:val="0098223D"/>
    <w:rsid w:val="00983DE9"/>
    <w:rsid w:val="00987F80"/>
    <w:rsid w:val="00995142"/>
    <w:rsid w:val="00996A23"/>
    <w:rsid w:val="00996B18"/>
    <w:rsid w:val="009A07CC"/>
    <w:rsid w:val="009A44E0"/>
    <w:rsid w:val="009A4E6E"/>
    <w:rsid w:val="009A5667"/>
    <w:rsid w:val="009B2DFE"/>
    <w:rsid w:val="009B301C"/>
    <w:rsid w:val="009B4210"/>
    <w:rsid w:val="009B57E3"/>
    <w:rsid w:val="009C236B"/>
    <w:rsid w:val="009C3F3E"/>
    <w:rsid w:val="009C5154"/>
    <w:rsid w:val="009C5196"/>
    <w:rsid w:val="009C7D91"/>
    <w:rsid w:val="009D10B1"/>
    <w:rsid w:val="009D146B"/>
    <w:rsid w:val="009D733C"/>
    <w:rsid w:val="009D79DB"/>
    <w:rsid w:val="009D7C43"/>
    <w:rsid w:val="009E01A2"/>
    <w:rsid w:val="009E18B4"/>
    <w:rsid w:val="009E1DBE"/>
    <w:rsid w:val="009E24CC"/>
    <w:rsid w:val="009E53BE"/>
    <w:rsid w:val="009E77FD"/>
    <w:rsid w:val="009F013B"/>
    <w:rsid w:val="009F71EA"/>
    <w:rsid w:val="00A05589"/>
    <w:rsid w:val="00A0615B"/>
    <w:rsid w:val="00A061E1"/>
    <w:rsid w:val="00A07F1F"/>
    <w:rsid w:val="00A11671"/>
    <w:rsid w:val="00A11AB0"/>
    <w:rsid w:val="00A144B8"/>
    <w:rsid w:val="00A148F3"/>
    <w:rsid w:val="00A16D1B"/>
    <w:rsid w:val="00A1753F"/>
    <w:rsid w:val="00A20A54"/>
    <w:rsid w:val="00A20FE4"/>
    <w:rsid w:val="00A221AA"/>
    <w:rsid w:val="00A23702"/>
    <w:rsid w:val="00A25A1F"/>
    <w:rsid w:val="00A27811"/>
    <w:rsid w:val="00A311CE"/>
    <w:rsid w:val="00A353BE"/>
    <w:rsid w:val="00A36156"/>
    <w:rsid w:val="00A40488"/>
    <w:rsid w:val="00A40B32"/>
    <w:rsid w:val="00A42739"/>
    <w:rsid w:val="00A43B3D"/>
    <w:rsid w:val="00A43BC6"/>
    <w:rsid w:val="00A526DD"/>
    <w:rsid w:val="00A52797"/>
    <w:rsid w:val="00A54ED7"/>
    <w:rsid w:val="00A55D78"/>
    <w:rsid w:val="00A60AF2"/>
    <w:rsid w:val="00A621B8"/>
    <w:rsid w:val="00A632C8"/>
    <w:rsid w:val="00A65B21"/>
    <w:rsid w:val="00A671AC"/>
    <w:rsid w:val="00A6742D"/>
    <w:rsid w:val="00A7111E"/>
    <w:rsid w:val="00A71D80"/>
    <w:rsid w:val="00A75910"/>
    <w:rsid w:val="00A767C5"/>
    <w:rsid w:val="00A77B23"/>
    <w:rsid w:val="00A831B4"/>
    <w:rsid w:val="00A83BF4"/>
    <w:rsid w:val="00A91F36"/>
    <w:rsid w:val="00AA3E6F"/>
    <w:rsid w:val="00AA79AB"/>
    <w:rsid w:val="00AB6716"/>
    <w:rsid w:val="00AC1BEF"/>
    <w:rsid w:val="00AC1F60"/>
    <w:rsid w:val="00AC2AFC"/>
    <w:rsid w:val="00AC42BD"/>
    <w:rsid w:val="00AC42CF"/>
    <w:rsid w:val="00AD0B2F"/>
    <w:rsid w:val="00AD25C4"/>
    <w:rsid w:val="00AD398E"/>
    <w:rsid w:val="00AD487B"/>
    <w:rsid w:val="00AD501F"/>
    <w:rsid w:val="00AE4555"/>
    <w:rsid w:val="00AE7EA1"/>
    <w:rsid w:val="00AF1357"/>
    <w:rsid w:val="00AF2A15"/>
    <w:rsid w:val="00AF2B0E"/>
    <w:rsid w:val="00AF5ADF"/>
    <w:rsid w:val="00AF60D7"/>
    <w:rsid w:val="00B025B9"/>
    <w:rsid w:val="00B036BB"/>
    <w:rsid w:val="00B06C7D"/>
    <w:rsid w:val="00B13B15"/>
    <w:rsid w:val="00B22FEF"/>
    <w:rsid w:val="00B239AB"/>
    <w:rsid w:val="00B27ACB"/>
    <w:rsid w:val="00B30447"/>
    <w:rsid w:val="00B32EAA"/>
    <w:rsid w:val="00B34CB2"/>
    <w:rsid w:val="00B37524"/>
    <w:rsid w:val="00B44582"/>
    <w:rsid w:val="00B44FCE"/>
    <w:rsid w:val="00B45133"/>
    <w:rsid w:val="00B458A0"/>
    <w:rsid w:val="00B53D8A"/>
    <w:rsid w:val="00B54590"/>
    <w:rsid w:val="00B67030"/>
    <w:rsid w:val="00B671E9"/>
    <w:rsid w:val="00B70934"/>
    <w:rsid w:val="00B872CE"/>
    <w:rsid w:val="00B87BAF"/>
    <w:rsid w:val="00B91129"/>
    <w:rsid w:val="00B9731F"/>
    <w:rsid w:val="00BA032D"/>
    <w:rsid w:val="00BA11A6"/>
    <w:rsid w:val="00BA167E"/>
    <w:rsid w:val="00BA18DB"/>
    <w:rsid w:val="00BA2C34"/>
    <w:rsid w:val="00BA2DEE"/>
    <w:rsid w:val="00BA316E"/>
    <w:rsid w:val="00BA3628"/>
    <w:rsid w:val="00BA7679"/>
    <w:rsid w:val="00BB3FC9"/>
    <w:rsid w:val="00BB4750"/>
    <w:rsid w:val="00BB6028"/>
    <w:rsid w:val="00BC615F"/>
    <w:rsid w:val="00BD00D4"/>
    <w:rsid w:val="00BD6343"/>
    <w:rsid w:val="00BD7713"/>
    <w:rsid w:val="00BE2F70"/>
    <w:rsid w:val="00BE4A8F"/>
    <w:rsid w:val="00BE6920"/>
    <w:rsid w:val="00BF1DF6"/>
    <w:rsid w:val="00BF233E"/>
    <w:rsid w:val="00BF29DA"/>
    <w:rsid w:val="00BF35D7"/>
    <w:rsid w:val="00C010BA"/>
    <w:rsid w:val="00C0184E"/>
    <w:rsid w:val="00C02F31"/>
    <w:rsid w:val="00C070E6"/>
    <w:rsid w:val="00C073D9"/>
    <w:rsid w:val="00C15CE2"/>
    <w:rsid w:val="00C172AD"/>
    <w:rsid w:val="00C25DF6"/>
    <w:rsid w:val="00C274C5"/>
    <w:rsid w:val="00C27A01"/>
    <w:rsid w:val="00C31336"/>
    <w:rsid w:val="00C36AF6"/>
    <w:rsid w:val="00C402C1"/>
    <w:rsid w:val="00C41995"/>
    <w:rsid w:val="00C43EB8"/>
    <w:rsid w:val="00C444FB"/>
    <w:rsid w:val="00C47775"/>
    <w:rsid w:val="00C50ECF"/>
    <w:rsid w:val="00C542AF"/>
    <w:rsid w:val="00C5521B"/>
    <w:rsid w:val="00C6103C"/>
    <w:rsid w:val="00C619E2"/>
    <w:rsid w:val="00C67539"/>
    <w:rsid w:val="00C729DA"/>
    <w:rsid w:val="00C75015"/>
    <w:rsid w:val="00C752C7"/>
    <w:rsid w:val="00C75AEF"/>
    <w:rsid w:val="00C77A7A"/>
    <w:rsid w:val="00C805F2"/>
    <w:rsid w:val="00C81969"/>
    <w:rsid w:val="00C84BE7"/>
    <w:rsid w:val="00C85820"/>
    <w:rsid w:val="00C863BC"/>
    <w:rsid w:val="00C86A55"/>
    <w:rsid w:val="00C906A9"/>
    <w:rsid w:val="00C93F9A"/>
    <w:rsid w:val="00CA4D49"/>
    <w:rsid w:val="00CB2284"/>
    <w:rsid w:val="00CB3249"/>
    <w:rsid w:val="00CC53E9"/>
    <w:rsid w:val="00CC5D3B"/>
    <w:rsid w:val="00CC7960"/>
    <w:rsid w:val="00CD041F"/>
    <w:rsid w:val="00CD0A5D"/>
    <w:rsid w:val="00CD4124"/>
    <w:rsid w:val="00CD5412"/>
    <w:rsid w:val="00CE3AF0"/>
    <w:rsid w:val="00CE3B22"/>
    <w:rsid w:val="00CE3B9F"/>
    <w:rsid w:val="00CE4AC1"/>
    <w:rsid w:val="00CE71DD"/>
    <w:rsid w:val="00CF1FA4"/>
    <w:rsid w:val="00CF48FB"/>
    <w:rsid w:val="00CF6225"/>
    <w:rsid w:val="00CF64A0"/>
    <w:rsid w:val="00CF7ADA"/>
    <w:rsid w:val="00D11F6B"/>
    <w:rsid w:val="00D17768"/>
    <w:rsid w:val="00D202AA"/>
    <w:rsid w:val="00D21EB9"/>
    <w:rsid w:val="00D2654D"/>
    <w:rsid w:val="00D2727B"/>
    <w:rsid w:val="00D3700A"/>
    <w:rsid w:val="00D41AC5"/>
    <w:rsid w:val="00D441B8"/>
    <w:rsid w:val="00D462D7"/>
    <w:rsid w:val="00D4671A"/>
    <w:rsid w:val="00D51CD0"/>
    <w:rsid w:val="00D54855"/>
    <w:rsid w:val="00D62ECF"/>
    <w:rsid w:val="00D64F75"/>
    <w:rsid w:val="00D652F0"/>
    <w:rsid w:val="00D65F59"/>
    <w:rsid w:val="00D674AB"/>
    <w:rsid w:val="00D73C3D"/>
    <w:rsid w:val="00D816D8"/>
    <w:rsid w:val="00D819F0"/>
    <w:rsid w:val="00D826FA"/>
    <w:rsid w:val="00D8471B"/>
    <w:rsid w:val="00D94B03"/>
    <w:rsid w:val="00D95849"/>
    <w:rsid w:val="00D96E38"/>
    <w:rsid w:val="00DA34AD"/>
    <w:rsid w:val="00DA4A30"/>
    <w:rsid w:val="00DA4AC3"/>
    <w:rsid w:val="00DA5906"/>
    <w:rsid w:val="00DA6EB6"/>
    <w:rsid w:val="00DA764D"/>
    <w:rsid w:val="00DB01D4"/>
    <w:rsid w:val="00DB2228"/>
    <w:rsid w:val="00DB5F34"/>
    <w:rsid w:val="00DC0065"/>
    <w:rsid w:val="00DC09A8"/>
    <w:rsid w:val="00DC3958"/>
    <w:rsid w:val="00DC52A6"/>
    <w:rsid w:val="00DC6583"/>
    <w:rsid w:val="00DC6B62"/>
    <w:rsid w:val="00DD3AB1"/>
    <w:rsid w:val="00DD5C48"/>
    <w:rsid w:val="00DD7708"/>
    <w:rsid w:val="00DE0FCF"/>
    <w:rsid w:val="00DE1CAB"/>
    <w:rsid w:val="00DF5DD2"/>
    <w:rsid w:val="00E060C7"/>
    <w:rsid w:val="00E07116"/>
    <w:rsid w:val="00E12BF7"/>
    <w:rsid w:val="00E13037"/>
    <w:rsid w:val="00E13B32"/>
    <w:rsid w:val="00E22375"/>
    <w:rsid w:val="00E329B2"/>
    <w:rsid w:val="00E32AFF"/>
    <w:rsid w:val="00E401A0"/>
    <w:rsid w:val="00E42914"/>
    <w:rsid w:val="00E435C9"/>
    <w:rsid w:val="00E46720"/>
    <w:rsid w:val="00E5236B"/>
    <w:rsid w:val="00E5256E"/>
    <w:rsid w:val="00E56D16"/>
    <w:rsid w:val="00E65F39"/>
    <w:rsid w:val="00E7158A"/>
    <w:rsid w:val="00E7504C"/>
    <w:rsid w:val="00E75557"/>
    <w:rsid w:val="00E77080"/>
    <w:rsid w:val="00E83573"/>
    <w:rsid w:val="00E85DB9"/>
    <w:rsid w:val="00E93398"/>
    <w:rsid w:val="00E96567"/>
    <w:rsid w:val="00EA3FFF"/>
    <w:rsid w:val="00EA4464"/>
    <w:rsid w:val="00EB7D81"/>
    <w:rsid w:val="00EC27BE"/>
    <w:rsid w:val="00ED5C1F"/>
    <w:rsid w:val="00ED6320"/>
    <w:rsid w:val="00EE0241"/>
    <w:rsid w:val="00EE1E9A"/>
    <w:rsid w:val="00EF5B7B"/>
    <w:rsid w:val="00EF6A1A"/>
    <w:rsid w:val="00EF77D8"/>
    <w:rsid w:val="00F0461C"/>
    <w:rsid w:val="00F07282"/>
    <w:rsid w:val="00F129B3"/>
    <w:rsid w:val="00F17BF5"/>
    <w:rsid w:val="00F27629"/>
    <w:rsid w:val="00F311DE"/>
    <w:rsid w:val="00F34AF4"/>
    <w:rsid w:val="00F35633"/>
    <w:rsid w:val="00F36377"/>
    <w:rsid w:val="00F45C3B"/>
    <w:rsid w:val="00F57775"/>
    <w:rsid w:val="00F609CF"/>
    <w:rsid w:val="00F60CAB"/>
    <w:rsid w:val="00F651F2"/>
    <w:rsid w:val="00F67188"/>
    <w:rsid w:val="00F67E23"/>
    <w:rsid w:val="00F73859"/>
    <w:rsid w:val="00F75699"/>
    <w:rsid w:val="00F8008D"/>
    <w:rsid w:val="00F8142C"/>
    <w:rsid w:val="00F92482"/>
    <w:rsid w:val="00F93ECC"/>
    <w:rsid w:val="00FA0CE9"/>
    <w:rsid w:val="00FA11D6"/>
    <w:rsid w:val="00FA304C"/>
    <w:rsid w:val="00FA427F"/>
    <w:rsid w:val="00FA4C4D"/>
    <w:rsid w:val="00FB0F55"/>
    <w:rsid w:val="00FB70C7"/>
    <w:rsid w:val="00FC7937"/>
    <w:rsid w:val="00FD3406"/>
    <w:rsid w:val="00FD4EC7"/>
    <w:rsid w:val="00FD680E"/>
    <w:rsid w:val="00FE1BD1"/>
    <w:rsid w:val="00FE3C1D"/>
    <w:rsid w:val="00FE51F0"/>
    <w:rsid w:val="00FE766C"/>
    <w:rsid w:val="00FE7EA7"/>
    <w:rsid w:val="00FF0348"/>
    <w:rsid w:val="00FF49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4079"/>
    <w:rPr>
      <w:sz w:val="24"/>
      <w:szCs w:val="24"/>
      <w:lang w:val="en-US" w:eastAsia="en-US"/>
    </w:rPr>
  </w:style>
  <w:style w:type="paragraph" w:styleId="Heading1">
    <w:name w:val="heading 1"/>
    <w:basedOn w:val="Normal"/>
    <w:next w:val="Normal"/>
    <w:link w:val="Heading1Char"/>
    <w:qFormat/>
    <w:rsid w:val="00D4671A"/>
    <w:pPr>
      <w:keepNext/>
      <w:spacing w:before="240" w:after="60"/>
      <w:outlineLvl w:val="0"/>
    </w:pPr>
    <w:rPr>
      <w:b/>
      <w:bCs/>
      <w:kern w:val="32"/>
      <w:sz w:val="32"/>
      <w:szCs w:val="32"/>
    </w:rPr>
  </w:style>
  <w:style w:type="paragraph" w:styleId="Heading2">
    <w:name w:val="heading 2"/>
    <w:basedOn w:val="Normal"/>
    <w:next w:val="Normal"/>
    <w:link w:val="Heading2Char"/>
    <w:unhideWhenUsed/>
    <w:qFormat/>
    <w:rsid w:val="00D4671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D4671A"/>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D4671A"/>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EB7D81"/>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EB7D81"/>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EB7D81"/>
    <w:pPr>
      <w:spacing w:before="240" w:after="60"/>
      <w:outlineLvl w:val="6"/>
    </w:pPr>
    <w:rPr>
      <w:rFonts w:ascii="Calibri" w:hAnsi="Calibri"/>
    </w:rPr>
  </w:style>
  <w:style w:type="paragraph" w:styleId="Heading8">
    <w:name w:val="heading 8"/>
    <w:basedOn w:val="Normal"/>
    <w:next w:val="Normal"/>
    <w:link w:val="Heading8Char"/>
    <w:semiHidden/>
    <w:unhideWhenUsed/>
    <w:qFormat/>
    <w:rsid w:val="00EB7D81"/>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EB7D81"/>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010BA"/>
    <w:pPr>
      <w:tabs>
        <w:tab w:val="center" w:pos="4320"/>
        <w:tab w:val="right" w:pos="8640"/>
      </w:tabs>
    </w:pPr>
  </w:style>
  <w:style w:type="paragraph" w:styleId="Footer">
    <w:name w:val="footer"/>
    <w:basedOn w:val="Normal"/>
    <w:link w:val="FooterChar"/>
    <w:uiPriority w:val="99"/>
    <w:rsid w:val="00C010BA"/>
    <w:pPr>
      <w:tabs>
        <w:tab w:val="center" w:pos="4320"/>
        <w:tab w:val="right" w:pos="8640"/>
      </w:tabs>
    </w:pPr>
  </w:style>
  <w:style w:type="character" w:styleId="CommentReference">
    <w:name w:val="annotation reference"/>
    <w:semiHidden/>
    <w:rsid w:val="0014502D"/>
    <w:rPr>
      <w:sz w:val="16"/>
      <w:szCs w:val="16"/>
    </w:rPr>
  </w:style>
  <w:style w:type="paragraph" w:styleId="CommentText">
    <w:name w:val="annotation text"/>
    <w:basedOn w:val="Normal"/>
    <w:link w:val="CommentTextChar"/>
    <w:semiHidden/>
    <w:rsid w:val="0014502D"/>
    <w:rPr>
      <w:sz w:val="20"/>
      <w:szCs w:val="20"/>
    </w:rPr>
  </w:style>
  <w:style w:type="paragraph" w:styleId="CommentSubject">
    <w:name w:val="annotation subject"/>
    <w:basedOn w:val="CommentText"/>
    <w:next w:val="CommentText"/>
    <w:semiHidden/>
    <w:rsid w:val="0014502D"/>
    <w:rPr>
      <w:b/>
      <w:bCs/>
    </w:rPr>
  </w:style>
  <w:style w:type="paragraph" w:styleId="BalloonText">
    <w:name w:val="Balloon Text"/>
    <w:basedOn w:val="Normal"/>
    <w:semiHidden/>
    <w:rsid w:val="0014502D"/>
    <w:rPr>
      <w:rFonts w:ascii="Tahoma" w:hAnsi="Tahoma" w:cs="Tahoma"/>
      <w:sz w:val="16"/>
      <w:szCs w:val="16"/>
    </w:rPr>
  </w:style>
  <w:style w:type="table" w:styleId="TableGrid">
    <w:name w:val="Table Grid"/>
    <w:basedOn w:val="TableNormal"/>
    <w:uiPriority w:val="59"/>
    <w:rsid w:val="008C6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ableHeader">
    <w:name w:val="C-Table Header"/>
    <w:next w:val="C-TableText"/>
    <w:rsid w:val="008C6690"/>
    <w:pPr>
      <w:keepNext/>
      <w:spacing w:before="60" w:after="60"/>
    </w:pPr>
    <w:rPr>
      <w:b/>
      <w:sz w:val="22"/>
      <w:lang w:val="en-US" w:eastAsia="en-US"/>
    </w:rPr>
  </w:style>
  <w:style w:type="paragraph" w:customStyle="1" w:styleId="C-TableText">
    <w:name w:val="C-Table Text"/>
    <w:rsid w:val="008C6690"/>
    <w:pPr>
      <w:spacing w:before="60" w:after="60"/>
    </w:pPr>
    <w:rPr>
      <w:sz w:val="22"/>
      <w:lang w:val="en-US" w:eastAsia="en-US"/>
    </w:rPr>
  </w:style>
  <w:style w:type="table" w:customStyle="1" w:styleId="C-Table">
    <w:name w:val="C-Table"/>
    <w:basedOn w:val="TableNormal"/>
    <w:rsid w:val="008C6690"/>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paragraph" w:customStyle="1" w:styleId="GlobalBayerBodyText">
    <w:name w:val="Global Bayer Body Text"/>
    <w:basedOn w:val="Normal"/>
    <w:link w:val="GlobalBayerBodyTextChar"/>
    <w:rsid w:val="00C752C7"/>
    <w:pPr>
      <w:tabs>
        <w:tab w:val="left" w:pos="11174"/>
        <w:tab w:val="left" w:pos="15142"/>
      </w:tabs>
      <w:suppressAutoHyphens/>
      <w:spacing w:before="120" w:after="240"/>
    </w:pPr>
    <w:rPr>
      <w:rFonts w:ascii="Arial" w:hAnsi="Arial"/>
      <w:sz w:val="20"/>
      <w:szCs w:val="20"/>
      <w:lang w:eastAsia="de-DE"/>
    </w:rPr>
  </w:style>
  <w:style w:type="character" w:customStyle="1" w:styleId="GlobalBayerBodyTextChar">
    <w:name w:val="Global Bayer Body Text Char"/>
    <w:link w:val="GlobalBayerBodyText"/>
    <w:rsid w:val="00C752C7"/>
    <w:rPr>
      <w:rFonts w:ascii="Arial" w:hAnsi="Arial"/>
      <w:lang w:val="en-US" w:eastAsia="de-DE" w:bidi="ar-SA"/>
    </w:rPr>
  </w:style>
  <w:style w:type="paragraph" w:customStyle="1" w:styleId="BayerBodyTextFull">
    <w:name w:val="Bayer Body Text Full"/>
    <w:basedOn w:val="Normal"/>
    <w:link w:val="BayerBodyTextFullZchn"/>
    <w:rsid w:val="00A11AB0"/>
    <w:pPr>
      <w:spacing w:before="120" w:after="120"/>
    </w:pPr>
    <w:rPr>
      <w:szCs w:val="20"/>
    </w:rPr>
  </w:style>
  <w:style w:type="character" w:customStyle="1" w:styleId="BayerBodyTextFullZchn">
    <w:name w:val="Bayer Body Text Full Zchn"/>
    <w:link w:val="BayerBodyTextFull"/>
    <w:rsid w:val="00A11AB0"/>
    <w:rPr>
      <w:sz w:val="24"/>
    </w:rPr>
  </w:style>
  <w:style w:type="paragraph" w:styleId="EndnoteText">
    <w:name w:val="endnote text"/>
    <w:basedOn w:val="Normal"/>
    <w:link w:val="EndnoteTextChar"/>
    <w:rsid w:val="00FE51F0"/>
    <w:rPr>
      <w:rFonts w:cs="Arial"/>
      <w:sz w:val="20"/>
      <w:szCs w:val="20"/>
    </w:rPr>
  </w:style>
  <w:style w:type="character" w:customStyle="1" w:styleId="EndnoteTextChar">
    <w:name w:val="Endnote Text Char"/>
    <w:link w:val="EndnoteText"/>
    <w:rsid w:val="00FE51F0"/>
    <w:rPr>
      <w:rFonts w:cs="Arial"/>
    </w:rPr>
  </w:style>
  <w:style w:type="paragraph" w:styleId="Caption">
    <w:name w:val="caption"/>
    <w:aliases w:val="Bayer Caption"/>
    <w:basedOn w:val="Normal"/>
    <w:next w:val="Normal"/>
    <w:link w:val="CaptionChar"/>
    <w:qFormat/>
    <w:rsid w:val="00014C78"/>
    <w:pPr>
      <w:keepNext/>
      <w:spacing w:before="120" w:after="120"/>
      <w:ind w:left="907"/>
    </w:pPr>
    <w:rPr>
      <w:b/>
      <w:sz w:val="22"/>
      <w:szCs w:val="20"/>
    </w:rPr>
  </w:style>
  <w:style w:type="character" w:customStyle="1" w:styleId="CaptionChar">
    <w:name w:val="Caption Char"/>
    <w:aliases w:val="Bayer Caption Char"/>
    <w:link w:val="Caption"/>
    <w:rsid w:val="00014C78"/>
    <w:rPr>
      <w:b/>
      <w:sz w:val="22"/>
    </w:rPr>
  </w:style>
  <w:style w:type="character" w:customStyle="1" w:styleId="CommentTextChar">
    <w:name w:val="Comment Text Char"/>
    <w:link w:val="CommentText"/>
    <w:semiHidden/>
    <w:rsid w:val="003E6E6A"/>
  </w:style>
  <w:style w:type="paragraph" w:styleId="Revision">
    <w:name w:val="Revision"/>
    <w:hidden/>
    <w:uiPriority w:val="99"/>
    <w:semiHidden/>
    <w:rsid w:val="00943E79"/>
    <w:rPr>
      <w:sz w:val="24"/>
      <w:szCs w:val="24"/>
      <w:lang w:val="en-US" w:eastAsia="en-US"/>
    </w:rPr>
  </w:style>
  <w:style w:type="paragraph" w:styleId="BodyText2">
    <w:name w:val="Body Text 2"/>
    <w:basedOn w:val="Normal"/>
    <w:link w:val="BodyText2Char"/>
    <w:rsid w:val="00DE1CA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b/>
      <w:bCs/>
      <w:color w:val="0000FF"/>
      <w:sz w:val="22"/>
      <w:szCs w:val="22"/>
      <w:u w:val="single"/>
      <w:lang w:val="en-GB"/>
    </w:rPr>
  </w:style>
  <w:style w:type="character" w:customStyle="1" w:styleId="BodyText2Char">
    <w:name w:val="Body Text 2 Char"/>
    <w:link w:val="BodyText2"/>
    <w:rsid w:val="00DE1CAB"/>
    <w:rPr>
      <w:b/>
      <w:bCs/>
      <w:color w:val="0000FF"/>
      <w:sz w:val="22"/>
      <w:szCs w:val="22"/>
      <w:u w:val="single"/>
      <w:lang w:val="en-GB" w:eastAsia="en-US"/>
    </w:rPr>
  </w:style>
  <w:style w:type="character" w:customStyle="1" w:styleId="Heading1Char">
    <w:name w:val="Heading 1 Char"/>
    <w:link w:val="Heading1"/>
    <w:rsid w:val="00D4671A"/>
    <w:rPr>
      <w:rFonts w:eastAsia="Times New Roman" w:cs="Times New Roman"/>
      <w:b/>
      <w:bCs/>
      <w:kern w:val="32"/>
      <w:sz w:val="32"/>
      <w:szCs w:val="32"/>
      <w:lang w:val="en-US" w:eastAsia="en-US"/>
    </w:rPr>
  </w:style>
  <w:style w:type="character" w:customStyle="1" w:styleId="Heading2Char">
    <w:name w:val="Heading 2 Char"/>
    <w:link w:val="Heading2"/>
    <w:rsid w:val="00D4671A"/>
    <w:rPr>
      <w:rFonts w:ascii="Cambria" w:eastAsia="Times New Roman" w:hAnsi="Cambria" w:cs="Times New Roman"/>
      <w:b/>
      <w:bCs/>
      <w:i/>
      <w:iCs/>
      <w:sz w:val="28"/>
      <w:szCs w:val="28"/>
      <w:lang w:val="en-US" w:eastAsia="en-US"/>
    </w:rPr>
  </w:style>
  <w:style w:type="character" w:customStyle="1" w:styleId="Heading3Char">
    <w:name w:val="Heading 3 Char"/>
    <w:link w:val="Heading3"/>
    <w:rsid w:val="00D4671A"/>
    <w:rPr>
      <w:rFonts w:ascii="Cambria" w:eastAsia="Times New Roman" w:hAnsi="Cambria" w:cs="Times New Roman"/>
      <w:b/>
      <w:bCs/>
      <w:sz w:val="26"/>
      <w:szCs w:val="26"/>
      <w:lang w:val="en-US" w:eastAsia="en-US"/>
    </w:rPr>
  </w:style>
  <w:style w:type="character" w:customStyle="1" w:styleId="Heading4Char">
    <w:name w:val="Heading 4 Char"/>
    <w:link w:val="Heading4"/>
    <w:rsid w:val="00D4671A"/>
    <w:rPr>
      <w:rFonts w:ascii="Calibri" w:eastAsia="Times New Roman" w:hAnsi="Calibri" w:cs="Times New Roman"/>
      <w:b/>
      <w:bCs/>
      <w:sz w:val="28"/>
      <w:szCs w:val="28"/>
      <w:lang w:val="en-US" w:eastAsia="en-US"/>
    </w:rPr>
  </w:style>
  <w:style w:type="character" w:customStyle="1" w:styleId="Style14ptUnderline">
    <w:name w:val="Style 14 pt Underline"/>
    <w:rsid w:val="00D4671A"/>
    <w:rPr>
      <w:rFonts w:ascii="Times New Roman" w:hAnsi="Times New Roman"/>
      <w:sz w:val="28"/>
      <w:u w:val="single"/>
    </w:rPr>
  </w:style>
  <w:style w:type="paragraph" w:customStyle="1" w:styleId="StyleHeading4Underline">
    <w:name w:val="Style Heading 4 + Underline"/>
    <w:basedOn w:val="Heading4"/>
    <w:rsid w:val="00D4671A"/>
    <w:rPr>
      <w:rFonts w:ascii="Times New Roman" w:hAnsi="Times New Roman"/>
      <w:u w:val="single"/>
    </w:rPr>
  </w:style>
  <w:style w:type="character" w:styleId="PlaceholderText">
    <w:name w:val="Placeholder Text"/>
    <w:uiPriority w:val="99"/>
    <w:semiHidden/>
    <w:rsid w:val="00CC53E9"/>
    <w:rPr>
      <w:color w:val="808080"/>
    </w:rPr>
  </w:style>
  <w:style w:type="character" w:customStyle="1" w:styleId="Style1">
    <w:name w:val="Style1"/>
    <w:uiPriority w:val="1"/>
    <w:rsid w:val="00CC53E9"/>
    <w:rPr>
      <w:rFonts w:ascii="Arial" w:hAnsi="Arial" w:cs="Arial" w:hint="default"/>
      <w:sz w:val="18"/>
    </w:rPr>
  </w:style>
  <w:style w:type="character" w:customStyle="1" w:styleId="Style3">
    <w:name w:val="Style3"/>
    <w:uiPriority w:val="1"/>
    <w:rsid w:val="00CC53E9"/>
    <w:rPr>
      <w:rFonts w:ascii="Arial" w:hAnsi="Arial" w:cs="Arial" w:hint="default"/>
      <w:color w:val="000000"/>
      <w:sz w:val="18"/>
    </w:rPr>
  </w:style>
  <w:style w:type="character" w:customStyle="1" w:styleId="Style4">
    <w:name w:val="Style4"/>
    <w:uiPriority w:val="1"/>
    <w:rsid w:val="00CC53E9"/>
    <w:rPr>
      <w:rFonts w:ascii="Arial Narrow" w:hAnsi="Arial Narrow" w:hint="default"/>
      <w:sz w:val="18"/>
    </w:rPr>
  </w:style>
  <w:style w:type="character" w:customStyle="1" w:styleId="FooterChar">
    <w:name w:val="Footer Char"/>
    <w:link w:val="Footer"/>
    <w:uiPriority w:val="99"/>
    <w:rsid w:val="00CC53E9"/>
    <w:rPr>
      <w:sz w:val="24"/>
      <w:szCs w:val="24"/>
      <w:lang w:val="en-US" w:eastAsia="en-US"/>
    </w:rPr>
  </w:style>
  <w:style w:type="character" w:customStyle="1" w:styleId="HeaderChar">
    <w:name w:val="Header Char"/>
    <w:link w:val="Header"/>
    <w:uiPriority w:val="99"/>
    <w:rsid w:val="00CC53E9"/>
    <w:rPr>
      <w:sz w:val="24"/>
      <w:szCs w:val="24"/>
      <w:lang w:val="en-US" w:eastAsia="en-US"/>
    </w:rPr>
  </w:style>
  <w:style w:type="paragraph" w:customStyle="1" w:styleId="PIheading3">
    <w:name w:val="PI heading 3"/>
    <w:basedOn w:val="Normal"/>
    <w:rsid w:val="004A2828"/>
    <w:pPr>
      <w:jc w:val="both"/>
    </w:pPr>
    <w:rPr>
      <w:b/>
      <w:bCs/>
      <w:i/>
      <w:iCs/>
      <w:sz w:val="28"/>
      <w:szCs w:val="20"/>
    </w:rPr>
  </w:style>
  <w:style w:type="paragraph" w:customStyle="1" w:styleId="PIheading2">
    <w:name w:val="PI heading 2"/>
    <w:basedOn w:val="Normal"/>
    <w:rsid w:val="004A2828"/>
    <w:pPr>
      <w:jc w:val="both"/>
    </w:pPr>
    <w:rPr>
      <w:b/>
      <w:bCs/>
      <w:sz w:val="28"/>
      <w:szCs w:val="20"/>
    </w:rPr>
  </w:style>
  <w:style w:type="paragraph" w:customStyle="1" w:styleId="C-BodyText">
    <w:name w:val="C-Body Text"/>
    <w:link w:val="C-BodyTextChar"/>
    <w:rsid w:val="004A2828"/>
    <w:pPr>
      <w:spacing w:before="120" w:after="120" w:line="280" w:lineRule="atLeast"/>
    </w:pPr>
    <w:rPr>
      <w:sz w:val="24"/>
      <w:lang w:val="en-US" w:eastAsia="en-US"/>
    </w:rPr>
  </w:style>
  <w:style w:type="paragraph" w:customStyle="1" w:styleId="C-TableFootnote">
    <w:name w:val="C-Table Footnote"/>
    <w:next w:val="C-BodyText"/>
    <w:rsid w:val="004A2828"/>
    <w:pPr>
      <w:tabs>
        <w:tab w:val="left" w:pos="144"/>
      </w:tabs>
      <w:ind w:left="144" w:hanging="144"/>
    </w:pPr>
    <w:rPr>
      <w:rFonts w:cs="Arial"/>
      <w:lang w:val="en-US" w:eastAsia="en-US"/>
    </w:rPr>
  </w:style>
  <w:style w:type="character" w:customStyle="1" w:styleId="C-BodyTextChar">
    <w:name w:val="C-Body Text Char"/>
    <w:link w:val="C-BodyText"/>
    <w:rsid w:val="004A2828"/>
    <w:rPr>
      <w:sz w:val="24"/>
      <w:lang w:val="en-US" w:eastAsia="en-US"/>
    </w:rPr>
  </w:style>
  <w:style w:type="paragraph" w:styleId="Bibliography">
    <w:name w:val="Bibliography"/>
    <w:basedOn w:val="Normal"/>
    <w:next w:val="Normal"/>
    <w:uiPriority w:val="37"/>
    <w:semiHidden/>
    <w:unhideWhenUsed/>
    <w:rsid w:val="00EB7D81"/>
  </w:style>
  <w:style w:type="paragraph" w:styleId="BlockText">
    <w:name w:val="Block Text"/>
    <w:basedOn w:val="Normal"/>
    <w:rsid w:val="00EB7D81"/>
    <w:pPr>
      <w:spacing w:after="120"/>
      <w:ind w:left="1440" w:right="1440"/>
    </w:pPr>
  </w:style>
  <w:style w:type="paragraph" w:styleId="BodyText">
    <w:name w:val="Body Text"/>
    <w:basedOn w:val="Normal"/>
    <w:link w:val="BodyTextChar"/>
    <w:rsid w:val="00EB7D81"/>
    <w:pPr>
      <w:spacing w:after="120"/>
    </w:pPr>
  </w:style>
  <w:style w:type="character" w:customStyle="1" w:styleId="BodyTextChar">
    <w:name w:val="Body Text Char"/>
    <w:link w:val="BodyText"/>
    <w:rsid w:val="00EB7D81"/>
    <w:rPr>
      <w:sz w:val="24"/>
      <w:szCs w:val="24"/>
      <w:lang w:val="en-US" w:eastAsia="en-US"/>
    </w:rPr>
  </w:style>
  <w:style w:type="paragraph" w:styleId="BodyText3">
    <w:name w:val="Body Text 3"/>
    <w:basedOn w:val="Normal"/>
    <w:link w:val="BodyText3Char"/>
    <w:rsid w:val="00EB7D81"/>
    <w:pPr>
      <w:spacing w:after="120"/>
    </w:pPr>
    <w:rPr>
      <w:sz w:val="16"/>
      <w:szCs w:val="16"/>
    </w:rPr>
  </w:style>
  <w:style w:type="character" w:customStyle="1" w:styleId="BodyText3Char">
    <w:name w:val="Body Text 3 Char"/>
    <w:link w:val="BodyText3"/>
    <w:rsid w:val="00EB7D81"/>
    <w:rPr>
      <w:sz w:val="16"/>
      <w:szCs w:val="16"/>
      <w:lang w:val="en-US" w:eastAsia="en-US"/>
    </w:rPr>
  </w:style>
  <w:style w:type="paragraph" w:styleId="BodyTextFirstIndent">
    <w:name w:val="Body Text First Indent"/>
    <w:basedOn w:val="BodyText"/>
    <w:link w:val="BodyTextFirstIndentChar"/>
    <w:rsid w:val="00EB7D81"/>
    <w:pPr>
      <w:ind w:firstLine="210"/>
    </w:pPr>
  </w:style>
  <w:style w:type="character" w:customStyle="1" w:styleId="BodyTextFirstIndentChar">
    <w:name w:val="Body Text First Indent Char"/>
    <w:basedOn w:val="BodyTextChar"/>
    <w:link w:val="BodyTextFirstIndent"/>
    <w:rsid w:val="00EB7D81"/>
    <w:rPr>
      <w:sz w:val="24"/>
      <w:szCs w:val="24"/>
      <w:lang w:val="en-US" w:eastAsia="en-US"/>
    </w:rPr>
  </w:style>
  <w:style w:type="paragraph" w:styleId="BodyTextIndent">
    <w:name w:val="Body Text Indent"/>
    <w:basedOn w:val="Normal"/>
    <w:link w:val="BodyTextIndentChar"/>
    <w:rsid w:val="00EB7D81"/>
    <w:pPr>
      <w:spacing w:after="120"/>
      <w:ind w:left="283"/>
    </w:pPr>
  </w:style>
  <w:style w:type="character" w:customStyle="1" w:styleId="BodyTextIndentChar">
    <w:name w:val="Body Text Indent Char"/>
    <w:link w:val="BodyTextIndent"/>
    <w:rsid w:val="00EB7D81"/>
    <w:rPr>
      <w:sz w:val="24"/>
      <w:szCs w:val="24"/>
      <w:lang w:val="en-US" w:eastAsia="en-US"/>
    </w:rPr>
  </w:style>
  <w:style w:type="paragraph" w:styleId="BodyTextFirstIndent2">
    <w:name w:val="Body Text First Indent 2"/>
    <w:basedOn w:val="BodyTextIndent"/>
    <w:link w:val="BodyTextFirstIndent2Char"/>
    <w:rsid w:val="00EB7D81"/>
    <w:pPr>
      <w:ind w:firstLine="210"/>
    </w:pPr>
  </w:style>
  <w:style w:type="character" w:customStyle="1" w:styleId="BodyTextFirstIndent2Char">
    <w:name w:val="Body Text First Indent 2 Char"/>
    <w:basedOn w:val="BodyTextIndentChar"/>
    <w:link w:val="BodyTextFirstIndent2"/>
    <w:rsid w:val="00EB7D81"/>
    <w:rPr>
      <w:sz w:val="24"/>
      <w:szCs w:val="24"/>
      <w:lang w:val="en-US" w:eastAsia="en-US"/>
    </w:rPr>
  </w:style>
  <w:style w:type="paragraph" w:styleId="BodyTextIndent2">
    <w:name w:val="Body Text Indent 2"/>
    <w:basedOn w:val="Normal"/>
    <w:link w:val="BodyTextIndent2Char"/>
    <w:rsid w:val="00EB7D81"/>
    <w:pPr>
      <w:spacing w:after="120" w:line="480" w:lineRule="auto"/>
      <w:ind w:left="283"/>
    </w:pPr>
  </w:style>
  <w:style w:type="character" w:customStyle="1" w:styleId="BodyTextIndent2Char">
    <w:name w:val="Body Text Indent 2 Char"/>
    <w:link w:val="BodyTextIndent2"/>
    <w:rsid w:val="00EB7D81"/>
    <w:rPr>
      <w:sz w:val="24"/>
      <w:szCs w:val="24"/>
      <w:lang w:val="en-US" w:eastAsia="en-US"/>
    </w:rPr>
  </w:style>
  <w:style w:type="paragraph" w:styleId="BodyTextIndent3">
    <w:name w:val="Body Text Indent 3"/>
    <w:basedOn w:val="Normal"/>
    <w:link w:val="BodyTextIndent3Char"/>
    <w:rsid w:val="00EB7D81"/>
    <w:pPr>
      <w:spacing w:after="120"/>
      <w:ind w:left="283"/>
    </w:pPr>
    <w:rPr>
      <w:sz w:val="16"/>
      <w:szCs w:val="16"/>
    </w:rPr>
  </w:style>
  <w:style w:type="character" w:customStyle="1" w:styleId="BodyTextIndent3Char">
    <w:name w:val="Body Text Indent 3 Char"/>
    <w:link w:val="BodyTextIndent3"/>
    <w:rsid w:val="00EB7D81"/>
    <w:rPr>
      <w:sz w:val="16"/>
      <w:szCs w:val="16"/>
      <w:lang w:val="en-US" w:eastAsia="en-US"/>
    </w:rPr>
  </w:style>
  <w:style w:type="paragraph" w:styleId="Closing">
    <w:name w:val="Closing"/>
    <w:basedOn w:val="Normal"/>
    <w:link w:val="ClosingChar"/>
    <w:rsid w:val="00EB7D81"/>
    <w:pPr>
      <w:ind w:left="4252"/>
    </w:pPr>
  </w:style>
  <w:style w:type="character" w:customStyle="1" w:styleId="ClosingChar">
    <w:name w:val="Closing Char"/>
    <w:link w:val="Closing"/>
    <w:rsid w:val="00EB7D81"/>
    <w:rPr>
      <w:sz w:val="24"/>
      <w:szCs w:val="24"/>
      <w:lang w:val="en-US" w:eastAsia="en-US"/>
    </w:rPr>
  </w:style>
  <w:style w:type="paragraph" w:styleId="Date">
    <w:name w:val="Date"/>
    <w:basedOn w:val="Normal"/>
    <w:next w:val="Normal"/>
    <w:link w:val="DateChar"/>
    <w:rsid w:val="00EB7D81"/>
  </w:style>
  <w:style w:type="character" w:customStyle="1" w:styleId="DateChar">
    <w:name w:val="Date Char"/>
    <w:link w:val="Date"/>
    <w:rsid w:val="00EB7D81"/>
    <w:rPr>
      <w:sz w:val="24"/>
      <w:szCs w:val="24"/>
      <w:lang w:val="en-US" w:eastAsia="en-US"/>
    </w:rPr>
  </w:style>
  <w:style w:type="paragraph" w:styleId="DocumentMap">
    <w:name w:val="Document Map"/>
    <w:basedOn w:val="Normal"/>
    <w:link w:val="DocumentMapChar"/>
    <w:rsid w:val="00EB7D81"/>
    <w:rPr>
      <w:rFonts w:ascii="Tahoma" w:hAnsi="Tahoma" w:cs="Tahoma"/>
      <w:sz w:val="16"/>
      <w:szCs w:val="16"/>
    </w:rPr>
  </w:style>
  <w:style w:type="character" w:customStyle="1" w:styleId="DocumentMapChar">
    <w:name w:val="Document Map Char"/>
    <w:link w:val="DocumentMap"/>
    <w:rsid w:val="00EB7D81"/>
    <w:rPr>
      <w:rFonts w:ascii="Tahoma" w:hAnsi="Tahoma" w:cs="Tahoma"/>
      <w:sz w:val="16"/>
      <w:szCs w:val="16"/>
      <w:lang w:val="en-US" w:eastAsia="en-US"/>
    </w:rPr>
  </w:style>
  <w:style w:type="paragraph" w:styleId="E-mailSignature">
    <w:name w:val="E-mail Signature"/>
    <w:basedOn w:val="Normal"/>
    <w:link w:val="E-mailSignatureChar"/>
    <w:rsid w:val="00EB7D81"/>
  </w:style>
  <w:style w:type="character" w:customStyle="1" w:styleId="E-mailSignatureChar">
    <w:name w:val="E-mail Signature Char"/>
    <w:link w:val="E-mailSignature"/>
    <w:rsid w:val="00EB7D81"/>
    <w:rPr>
      <w:sz w:val="24"/>
      <w:szCs w:val="24"/>
      <w:lang w:val="en-US" w:eastAsia="en-US"/>
    </w:rPr>
  </w:style>
  <w:style w:type="paragraph" w:styleId="EnvelopeAddress">
    <w:name w:val="envelope address"/>
    <w:basedOn w:val="Normal"/>
    <w:rsid w:val="00EB7D81"/>
    <w:pPr>
      <w:framePr w:w="7920" w:h="1980" w:hRule="exact" w:hSpace="180" w:wrap="auto" w:hAnchor="page" w:xAlign="center" w:yAlign="bottom"/>
      <w:ind w:left="2880"/>
    </w:pPr>
    <w:rPr>
      <w:rFonts w:ascii="Cambria" w:hAnsi="Cambria"/>
    </w:rPr>
  </w:style>
  <w:style w:type="paragraph" w:styleId="EnvelopeReturn">
    <w:name w:val="envelope return"/>
    <w:basedOn w:val="Normal"/>
    <w:rsid w:val="00EB7D81"/>
    <w:rPr>
      <w:rFonts w:ascii="Cambria" w:hAnsi="Cambria"/>
      <w:sz w:val="20"/>
      <w:szCs w:val="20"/>
    </w:rPr>
  </w:style>
  <w:style w:type="paragraph" w:styleId="FootnoteText">
    <w:name w:val="footnote text"/>
    <w:basedOn w:val="Normal"/>
    <w:link w:val="FootnoteTextChar"/>
    <w:rsid w:val="00EB7D81"/>
    <w:rPr>
      <w:sz w:val="20"/>
      <w:szCs w:val="20"/>
    </w:rPr>
  </w:style>
  <w:style w:type="character" w:customStyle="1" w:styleId="FootnoteTextChar">
    <w:name w:val="Footnote Text Char"/>
    <w:link w:val="FootnoteText"/>
    <w:rsid w:val="00EB7D81"/>
    <w:rPr>
      <w:lang w:val="en-US" w:eastAsia="en-US"/>
    </w:rPr>
  </w:style>
  <w:style w:type="character" w:customStyle="1" w:styleId="Heading5Char">
    <w:name w:val="Heading 5 Char"/>
    <w:link w:val="Heading5"/>
    <w:semiHidden/>
    <w:rsid w:val="00EB7D81"/>
    <w:rPr>
      <w:rFonts w:ascii="Calibri" w:eastAsia="Times New Roman" w:hAnsi="Calibri" w:cs="Times New Roman"/>
      <w:b/>
      <w:bCs/>
      <w:i/>
      <w:iCs/>
      <w:sz w:val="26"/>
      <w:szCs w:val="26"/>
      <w:lang w:val="en-US" w:eastAsia="en-US"/>
    </w:rPr>
  </w:style>
  <w:style w:type="character" w:customStyle="1" w:styleId="Heading6Char">
    <w:name w:val="Heading 6 Char"/>
    <w:link w:val="Heading6"/>
    <w:semiHidden/>
    <w:rsid w:val="00EB7D81"/>
    <w:rPr>
      <w:rFonts w:ascii="Calibri" w:eastAsia="Times New Roman" w:hAnsi="Calibri" w:cs="Times New Roman"/>
      <w:b/>
      <w:bCs/>
      <w:sz w:val="22"/>
      <w:szCs w:val="22"/>
      <w:lang w:val="en-US" w:eastAsia="en-US"/>
    </w:rPr>
  </w:style>
  <w:style w:type="character" w:customStyle="1" w:styleId="Heading7Char">
    <w:name w:val="Heading 7 Char"/>
    <w:link w:val="Heading7"/>
    <w:semiHidden/>
    <w:rsid w:val="00EB7D81"/>
    <w:rPr>
      <w:rFonts w:ascii="Calibri" w:eastAsia="Times New Roman" w:hAnsi="Calibri" w:cs="Times New Roman"/>
      <w:sz w:val="24"/>
      <w:szCs w:val="24"/>
      <w:lang w:val="en-US" w:eastAsia="en-US"/>
    </w:rPr>
  </w:style>
  <w:style w:type="character" w:customStyle="1" w:styleId="Heading8Char">
    <w:name w:val="Heading 8 Char"/>
    <w:link w:val="Heading8"/>
    <w:semiHidden/>
    <w:rsid w:val="00EB7D81"/>
    <w:rPr>
      <w:rFonts w:ascii="Calibri" w:eastAsia="Times New Roman" w:hAnsi="Calibri" w:cs="Times New Roman"/>
      <w:i/>
      <w:iCs/>
      <w:sz w:val="24"/>
      <w:szCs w:val="24"/>
      <w:lang w:val="en-US" w:eastAsia="en-US"/>
    </w:rPr>
  </w:style>
  <w:style w:type="character" w:customStyle="1" w:styleId="Heading9Char">
    <w:name w:val="Heading 9 Char"/>
    <w:link w:val="Heading9"/>
    <w:semiHidden/>
    <w:rsid w:val="00EB7D81"/>
    <w:rPr>
      <w:rFonts w:ascii="Cambria" w:eastAsia="Times New Roman" w:hAnsi="Cambria" w:cs="Times New Roman"/>
      <w:sz w:val="22"/>
      <w:szCs w:val="22"/>
      <w:lang w:val="en-US" w:eastAsia="en-US"/>
    </w:rPr>
  </w:style>
  <w:style w:type="paragraph" w:styleId="HTMLAddress">
    <w:name w:val="HTML Address"/>
    <w:basedOn w:val="Normal"/>
    <w:link w:val="HTMLAddressChar"/>
    <w:rsid w:val="00EB7D81"/>
    <w:rPr>
      <w:i/>
      <w:iCs/>
    </w:rPr>
  </w:style>
  <w:style w:type="character" w:customStyle="1" w:styleId="HTMLAddressChar">
    <w:name w:val="HTML Address Char"/>
    <w:link w:val="HTMLAddress"/>
    <w:rsid w:val="00EB7D81"/>
    <w:rPr>
      <w:i/>
      <w:iCs/>
      <w:sz w:val="24"/>
      <w:szCs w:val="24"/>
      <w:lang w:val="en-US" w:eastAsia="en-US"/>
    </w:rPr>
  </w:style>
  <w:style w:type="paragraph" w:styleId="HTMLPreformatted">
    <w:name w:val="HTML Preformatted"/>
    <w:basedOn w:val="Normal"/>
    <w:link w:val="HTMLPreformattedChar"/>
    <w:rsid w:val="00EB7D81"/>
    <w:rPr>
      <w:rFonts w:ascii="Courier New" w:hAnsi="Courier New" w:cs="Courier New"/>
      <w:sz w:val="20"/>
      <w:szCs w:val="20"/>
    </w:rPr>
  </w:style>
  <w:style w:type="character" w:customStyle="1" w:styleId="HTMLPreformattedChar">
    <w:name w:val="HTML Preformatted Char"/>
    <w:link w:val="HTMLPreformatted"/>
    <w:rsid w:val="00EB7D81"/>
    <w:rPr>
      <w:rFonts w:ascii="Courier New" w:hAnsi="Courier New" w:cs="Courier New"/>
      <w:lang w:val="en-US" w:eastAsia="en-US"/>
    </w:rPr>
  </w:style>
  <w:style w:type="paragraph" w:styleId="Index1">
    <w:name w:val="index 1"/>
    <w:basedOn w:val="Normal"/>
    <w:next w:val="Normal"/>
    <w:autoRedefine/>
    <w:rsid w:val="00EB7D81"/>
    <w:pPr>
      <w:ind w:left="240" w:hanging="240"/>
    </w:pPr>
  </w:style>
  <w:style w:type="paragraph" w:styleId="Index2">
    <w:name w:val="index 2"/>
    <w:basedOn w:val="Normal"/>
    <w:next w:val="Normal"/>
    <w:autoRedefine/>
    <w:rsid w:val="00EB7D81"/>
    <w:pPr>
      <w:ind w:left="480" w:hanging="240"/>
    </w:pPr>
  </w:style>
  <w:style w:type="paragraph" w:styleId="Index3">
    <w:name w:val="index 3"/>
    <w:basedOn w:val="Normal"/>
    <w:next w:val="Normal"/>
    <w:autoRedefine/>
    <w:rsid w:val="00EB7D81"/>
    <w:pPr>
      <w:ind w:left="720" w:hanging="240"/>
    </w:pPr>
  </w:style>
  <w:style w:type="paragraph" w:styleId="Index4">
    <w:name w:val="index 4"/>
    <w:basedOn w:val="Normal"/>
    <w:next w:val="Normal"/>
    <w:autoRedefine/>
    <w:rsid w:val="00EB7D81"/>
    <w:pPr>
      <w:ind w:left="960" w:hanging="240"/>
    </w:pPr>
  </w:style>
  <w:style w:type="paragraph" w:styleId="Index5">
    <w:name w:val="index 5"/>
    <w:basedOn w:val="Normal"/>
    <w:next w:val="Normal"/>
    <w:autoRedefine/>
    <w:rsid w:val="00EB7D81"/>
    <w:pPr>
      <w:ind w:left="1200" w:hanging="240"/>
    </w:pPr>
  </w:style>
  <w:style w:type="paragraph" w:styleId="Index6">
    <w:name w:val="index 6"/>
    <w:basedOn w:val="Normal"/>
    <w:next w:val="Normal"/>
    <w:autoRedefine/>
    <w:rsid w:val="00EB7D81"/>
    <w:pPr>
      <w:ind w:left="1440" w:hanging="240"/>
    </w:pPr>
  </w:style>
  <w:style w:type="paragraph" w:styleId="Index7">
    <w:name w:val="index 7"/>
    <w:basedOn w:val="Normal"/>
    <w:next w:val="Normal"/>
    <w:autoRedefine/>
    <w:rsid w:val="00EB7D81"/>
    <w:pPr>
      <w:ind w:left="1680" w:hanging="240"/>
    </w:pPr>
  </w:style>
  <w:style w:type="paragraph" w:styleId="Index8">
    <w:name w:val="index 8"/>
    <w:basedOn w:val="Normal"/>
    <w:next w:val="Normal"/>
    <w:autoRedefine/>
    <w:rsid w:val="00EB7D81"/>
    <w:pPr>
      <w:ind w:left="1920" w:hanging="240"/>
    </w:pPr>
  </w:style>
  <w:style w:type="paragraph" w:styleId="Index9">
    <w:name w:val="index 9"/>
    <w:basedOn w:val="Normal"/>
    <w:next w:val="Normal"/>
    <w:autoRedefine/>
    <w:rsid w:val="00EB7D81"/>
    <w:pPr>
      <w:ind w:left="2160" w:hanging="240"/>
    </w:pPr>
  </w:style>
  <w:style w:type="paragraph" w:styleId="IndexHeading">
    <w:name w:val="index heading"/>
    <w:basedOn w:val="Normal"/>
    <w:next w:val="Index1"/>
    <w:rsid w:val="00EB7D81"/>
    <w:rPr>
      <w:rFonts w:ascii="Cambria" w:hAnsi="Cambria"/>
      <w:b/>
      <w:bCs/>
    </w:rPr>
  </w:style>
  <w:style w:type="paragraph" w:styleId="IntenseQuote">
    <w:name w:val="Intense Quote"/>
    <w:basedOn w:val="Normal"/>
    <w:next w:val="Normal"/>
    <w:link w:val="IntenseQuoteChar"/>
    <w:uiPriority w:val="30"/>
    <w:qFormat/>
    <w:rsid w:val="00EB7D8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B7D81"/>
    <w:rPr>
      <w:b/>
      <w:bCs/>
      <w:i/>
      <w:iCs/>
      <w:color w:val="4F81BD"/>
      <w:sz w:val="24"/>
      <w:szCs w:val="24"/>
      <w:lang w:val="en-US" w:eastAsia="en-US"/>
    </w:rPr>
  </w:style>
  <w:style w:type="paragraph" w:styleId="List">
    <w:name w:val="List"/>
    <w:basedOn w:val="Normal"/>
    <w:rsid w:val="00EB7D81"/>
    <w:pPr>
      <w:ind w:left="283" w:hanging="283"/>
      <w:contextualSpacing/>
    </w:pPr>
  </w:style>
  <w:style w:type="paragraph" w:styleId="List2">
    <w:name w:val="List 2"/>
    <w:basedOn w:val="Normal"/>
    <w:rsid w:val="00EB7D81"/>
    <w:pPr>
      <w:ind w:left="566" w:hanging="283"/>
      <w:contextualSpacing/>
    </w:pPr>
  </w:style>
  <w:style w:type="paragraph" w:styleId="List3">
    <w:name w:val="List 3"/>
    <w:basedOn w:val="Normal"/>
    <w:rsid w:val="00EB7D81"/>
    <w:pPr>
      <w:ind w:left="849" w:hanging="283"/>
      <w:contextualSpacing/>
    </w:pPr>
  </w:style>
  <w:style w:type="paragraph" w:styleId="List4">
    <w:name w:val="List 4"/>
    <w:basedOn w:val="Normal"/>
    <w:rsid w:val="00EB7D81"/>
    <w:pPr>
      <w:ind w:left="1132" w:hanging="283"/>
      <w:contextualSpacing/>
    </w:pPr>
  </w:style>
  <w:style w:type="paragraph" w:styleId="List5">
    <w:name w:val="List 5"/>
    <w:basedOn w:val="Normal"/>
    <w:rsid w:val="00EB7D81"/>
    <w:pPr>
      <w:ind w:left="1415" w:hanging="283"/>
      <w:contextualSpacing/>
    </w:pPr>
  </w:style>
  <w:style w:type="paragraph" w:styleId="ListBullet">
    <w:name w:val="List Bullet"/>
    <w:basedOn w:val="Normal"/>
    <w:rsid w:val="00EB7D81"/>
    <w:pPr>
      <w:numPr>
        <w:numId w:val="13"/>
      </w:numPr>
      <w:contextualSpacing/>
    </w:pPr>
  </w:style>
  <w:style w:type="paragraph" w:styleId="ListBullet2">
    <w:name w:val="List Bullet 2"/>
    <w:basedOn w:val="Normal"/>
    <w:rsid w:val="00EB7D81"/>
    <w:pPr>
      <w:numPr>
        <w:numId w:val="14"/>
      </w:numPr>
      <w:contextualSpacing/>
    </w:pPr>
  </w:style>
  <w:style w:type="paragraph" w:styleId="ListBullet3">
    <w:name w:val="List Bullet 3"/>
    <w:basedOn w:val="Normal"/>
    <w:rsid w:val="00EB7D81"/>
    <w:pPr>
      <w:numPr>
        <w:numId w:val="15"/>
      </w:numPr>
      <w:contextualSpacing/>
    </w:pPr>
  </w:style>
  <w:style w:type="paragraph" w:styleId="ListBullet4">
    <w:name w:val="List Bullet 4"/>
    <w:basedOn w:val="Normal"/>
    <w:rsid w:val="00EB7D81"/>
    <w:pPr>
      <w:numPr>
        <w:numId w:val="16"/>
      </w:numPr>
      <w:contextualSpacing/>
    </w:pPr>
  </w:style>
  <w:style w:type="paragraph" w:styleId="ListBullet5">
    <w:name w:val="List Bullet 5"/>
    <w:basedOn w:val="Normal"/>
    <w:rsid w:val="00EB7D81"/>
    <w:pPr>
      <w:numPr>
        <w:numId w:val="17"/>
      </w:numPr>
      <w:contextualSpacing/>
    </w:pPr>
  </w:style>
  <w:style w:type="paragraph" w:styleId="ListContinue">
    <w:name w:val="List Continue"/>
    <w:basedOn w:val="Normal"/>
    <w:rsid w:val="00EB7D81"/>
    <w:pPr>
      <w:spacing w:after="120"/>
      <w:ind w:left="283"/>
      <w:contextualSpacing/>
    </w:pPr>
  </w:style>
  <w:style w:type="paragraph" w:styleId="ListContinue2">
    <w:name w:val="List Continue 2"/>
    <w:basedOn w:val="Normal"/>
    <w:rsid w:val="00EB7D81"/>
    <w:pPr>
      <w:spacing w:after="120"/>
      <w:ind w:left="566"/>
      <w:contextualSpacing/>
    </w:pPr>
  </w:style>
  <w:style w:type="paragraph" w:styleId="ListContinue3">
    <w:name w:val="List Continue 3"/>
    <w:basedOn w:val="Normal"/>
    <w:rsid w:val="00EB7D81"/>
    <w:pPr>
      <w:spacing w:after="120"/>
      <w:ind w:left="849"/>
      <w:contextualSpacing/>
    </w:pPr>
  </w:style>
  <w:style w:type="paragraph" w:styleId="ListContinue4">
    <w:name w:val="List Continue 4"/>
    <w:basedOn w:val="Normal"/>
    <w:rsid w:val="00EB7D81"/>
    <w:pPr>
      <w:spacing w:after="120"/>
      <w:ind w:left="1132"/>
      <w:contextualSpacing/>
    </w:pPr>
  </w:style>
  <w:style w:type="paragraph" w:styleId="ListContinue5">
    <w:name w:val="List Continue 5"/>
    <w:basedOn w:val="Normal"/>
    <w:rsid w:val="00EB7D81"/>
    <w:pPr>
      <w:spacing w:after="120"/>
      <w:ind w:left="1415"/>
      <w:contextualSpacing/>
    </w:pPr>
  </w:style>
  <w:style w:type="paragraph" w:styleId="ListNumber">
    <w:name w:val="List Number"/>
    <w:basedOn w:val="Normal"/>
    <w:rsid w:val="00EB7D81"/>
    <w:pPr>
      <w:numPr>
        <w:numId w:val="18"/>
      </w:numPr>
      <w:contextualSpacing/>
    </w:pPr>
  </w:style>
  <w:style w:type="paragraph" w:styleId="ListNumber2">
    <w:name w:val="List Number 2"/>
    <w:basedOn w:val="Normal"/>
    <w:rsid w:val="00EB7D81"/>
    <w:pPr>
      <w:numPr>
        <w:numId w:val="19"/>
      </w:numPr>
      <w:contextualSpacing/>
    </w:pPr>
  </w:style>
  <w:style w:type="paragraph" w:styleId="ListNumber3">
    <w:name w:val="List Number 3"/>
    <w:basedOn w:val="Normal"/>
    <w:rsid w:val="00EB7D81"/>
    <w:pPr>
      <w:numPr>
        <w:numId w:val="20"/>
      </w:numPr>
      <w:contextualSpacing/>
    </w:pPr>
  </w:style>
  <w:style w:type="paragraph" w:styleId="ListNumber4">
    <w:name w:val="List Number 4"/>
    <w:basedOn w:val="Normal"/>
    <w:rsid w:val="00EB7D81"/>
    <w:pPr>
      <w:numPr>
        <w:numId w:val="21"/>
      </w:numPr>
      <w:contextualSpacing/>
    </w:pPr>
  </w:style>
  <w:style w:type="paragraph" w:styleId="ListNumber5">
    <w:name w:val="List Number 5"/>
    <w:basedOn w:val="Normal"/>
    <w:rsid w:val="00EB7D81"/>
    <w:pPr>
      <w:numPr>
        <w:numId w:val="22"/>
      </w:numPr>
      <w:contextualSpacing/>
    </w:pPr>
  </w:style>
  <w:style w:type="paragraph" w:styleId="ListParagraph">
    <w:name w:val="List Paragraph"/>
    <w:basedOn w:val="Normal"/>
    <w:uiPriority w:val="34"/>
    <w:qFormat/>
    <w:rsid w:val="00EB7D81"/>
    <w:pPr>
      <w:ind w:left="720"/>
    </w:pPr>
  </w:style>
  <w:style w:type="paragraph" w:styleId="MacroText">
    <w:name w:val="macro"/>
    <w:link w:val="MacroTextChar"/>
    <w:rsid w:val="00EB7D8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character" w:customStyle="1" w:styleId="MacroTextChar">
    <w:name w:val="Macro Text Char"/>
    <w:link w:val="MacroText"/>
    <w:rsid w:val="00EB7D81"/>
    <w:rPr>
      <w:rFonts w:ascii="Courier New" w:hAnsi="Courier New" w:cs="Courier New"/>
      <w:lang w:val="en-US" w:eastAsia="en-US"/>
    </w:rPr>
  </w:style>
  <w:style w:type="paragraph" w:styleId="MessageHeader">
    <w:name w:val="Message Header"/>
    <w:basedOn w:val="Normal"/>
    <w:link w:val="MessageHeaderChar"/>
    <w:rsid w:val="00EB7D8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MessageHeaderChar">
    <w:name w:val="Message Header Char"/>
    <w:link w:val="MessageHeader"/>
    <w:rsid w:val="00EB7D81"/>
    <w:rPr>
      <w:rFonts w:ascii="Cambria" w:eastAsia="Times New Roman" w:hAnsi="Cambria" w:cs="Times New Roman"/>
      <w:sz w:val="24"/>
      <w:szCs w:val="24"/>
      <w:shd w:val="pct20" w:color="auto" w:fill="auto"/>
      <w:lang w:val="en-US" w:eastAsia="en-US"/>
    </w:rPr>
  </w:style>
  <w:style w:type="paragraph" w:styleId="NoSpacing">
    <w:name w:val="No Spacing"/>
    <w:uiPriority w:val="1"/>
    <w:qFormat/>
    <w:rsid w:val="00EB7D81"/>
    <w:rPr>
      <w:sz w:val="24"/>
      <w:szCs w:val="24"/>
      <w:lang w:val="en-US" w:eastAsia="en-US"/>
    </w:rPr>
  </w:style>
  <w:style w:type="paragraph" w:styleId="NormalWeb">
    <w:name w:val="Normal (Web)"/>
    <w:basedOn w:val="Normal"/>
    <w:rsid w:val="00EB7D81"/>
  </w:style>
  <w:style w:type="paragraph" w:styleId="NormalIndent">
    <w:name w:val="Normal Indent"/>
    <w:basedOn w:val="Normal"/>
    <w:rsid w:val="00EB7D81"/>
    <w:pPr>
      <w:ind w:left="720"/>
    </w:pPr>
  </w:style>
  <w:style w:type="paragraph" w:styleId="NoteHeading">
    <w:name w:val="Note Heading"/>
    <w:basedOn w:val="Normal"/>
    <w:next w:val="Normal"/>
    <w:link w:val="NoteHeadingChar"/>
    <w:rsid w:val="00EB7D81"/>
  </w:style>
  <w:style w:type="character" w:customStyle="1" w:styleId="NoteHeadingChar">
    <w:name w:val="Note Heading Char"/>
    <w:link w:val="NoteHeading"/>
    <w:rsid w:val="00EB7D81"/>
    <w:rPr>
      <w:sz w:val="24"/>
      <w:szCs w:val="24"/>
      <w:lang w:val="en-US" w:eastAsia="en-US"/>
    </w:rPr>
  </w:style>
  <w:style w:type="paragraph" w:styleId="PlainText">
    <w:name w:val="Plain Text"/>
    <w:basedOn w:val="Normal"/>
    <w:link w:val="PlainTextChar"/>
    <w:rsid w:val="00EB7D81"/>
    <w:rPr>
      <w:rFonts w:ascii="Courier New" w:hAnsi="Courier New" w:cs="Courier New"/>
      <w:sz w:val="20"/>
      <w:szCs w:val="20"/>
    </w:rPr>
  </w:style>
  <w:style w:type="character" w:customStyle="1" w:styleId="PlainTextChar">
    <w:name w:val="Plain Text Char"/>
    <w:link w:val="PlainText"/>
    <w:rsid w:val="00EB7D81"/>
    <w:rPr>
      <w:rFonts w:ascii="Courier New" w:hAnsi="Courier New" w:cs="Courier New"/>
      <w:lang w:val="en-US" w:eastAsia="en-US"/>
    </w:rPr>
  </w:style>
  <w:style w:type="paragraph" w:styleId="Quote">
    <w:name w:val="Quote"/>
    <w:basedOn w:val="Normal"/>
    <w:next w:val="Normal"/>
    <w:link w:val="QuoteChar"/>
    <w:uiPriority w:val="29"/>
    <w:qFormat/>
    <w:rsid w:val="00EB7D81"/>
    <w:rPr>
      <w:i/>
      <w:iCs/>
      <w:color w:val="000000"/>
    </w:rPr>
  </w:style>
  <w:style w:type="character" w:customStyle="1" w:styleId="QuoteChar">
    <w:name w:val="Quote Char"/>
    <w:link w:val="Quote"/>
    <w:uiPriority w:val="29"/>
    <w:rsid w:val="00EB7D81"/>
    <w:rPr>
      <w:i/>
      <w:iCs/>
      <w:color w:val="000000"/>
      <w:sz w:val="24"/>
      <w:szCs w:val="24"/>
      <w:lang w:val="en-US" w:eastAsia="en-US"/>
    </w:rPr>
  </w:style>
  <w:style w:type="paragraph" w:styleId="Salutation">
    <w:name w:val="Salutation"/>
    <w:basedOn w:val="Normal"/>
    <w:next w:val="Normal"/>
    <w:link w:val="SalutationChar"/>
    <w:rsid w:val="00EB7D81"/>
  </w:style>
  <w:style w:type="character" w:customStyle="1" w:styleId="SalutationChar">
    <w:name w:val="Salutation Char"/>
    <w:link w:val="Salutation"/>
    <w:rsid w:val="00EB7D81"/>
    <w:rPr>
      <w:sz w:val="24"/>
      <w:szCs w:val="24"/>
      <w:lang w:val="en-US" w:eastAsia="en-US"/>
    </w:rPr>
  </w:style>
  <w:style w:type="paragraph" w:styleId="Signature">
    <w:name w:val="Signature"/>
    <w:basedOn w:val="Normal"/>
    <w:link w:val="SignatureChar"/>
    <w:rsid w:val="00EB7D81"/>
    <w:pPr>
      <w:ind w:left="4252"/>
    </w:pPr>
  </w:style>
  <w:style w:type="character" w:customStyle="1" w:styleId="SignatureChar">
    <w:name w:val="Signature Char"/>
    <w:link w:val="Signature"/>
    <w:rsid w:val="00EB7D81"/>
    <w:rPr>
      <w:sz w:val="24"/>
      <w:szCs w:val="24"/>
      <w:lang w:val="en-US" w:eastAsia="en-US"/>
    </w:rPr>
  </w:style>
  <w:style w:type="paragraph" w:styleId="Subtitle">
    <w:name w:val="Subtitle"/>
    <w:basedOn w:val="Normal"/>
    <w:next w:val="Normal"/>
    <w:link w:val="SubtitleChar"/>
    <w:qFormat/>
    <w:rsid w:val="00EB7D81"/>
    <w:pPr>
      <w:spacing w:after="60"/>
      <w:jc w:val="center"/>
      <w:outlineLvl w:val="1"/>
    </w:pPr>
    <w:rPr>
      <w:rFonts w:ascii="Cambria" w:hAnsi="Cambria"/>
    </w:rPr>
  </w:style>
  <w:style w:type="character" w:customStyle="1" w:styleId="SubtitleChar">
    <w:name w:val="Subtitle Char"/>
    <w:link w:val="Subtitle"/>
    <w:rsid w:val="00EB7D81"/>
    <w:rPr>
      <w:rFonts w:ascii="Cambria" w:eastAsia="Times New Roman" w:hAnsi="Cambria" w:cs="Times New Roman"/>
      <w:sz w:val="24"/>
      <w:szCs w:val="24"/>
      <w:lang w:val="en-US" w:eastAsia="en-US"/>
    </w:rPr>
  </w:style>
  <w:style w:type="paragraph" w:styleId="TableofAuthorities">
    <w:name w:val="table of authorities"/>
    <w:basedOn w:val="Normal"/>
    <w:next w:val="Normal"/>
    <w:rsid w:val="00EB7D81"/>
    <w:pPr>
      <w:ind w:left="240" w:hanging="240"/>
    </w:pPr>
  </w:style>
  <w:style w:type="paragraph" w:styleId="TableofFigures">
    <w:name w:val="table of figures"/>
    <w:basedOn w:val="Normal"/>
    <w:next w:val="Normal"/>
    <w:rsid w:val="00EB7D81"/>
  </w:style>
  <w:style w:type="paragraph" w:styleId="Title">
    <w:name w:val="Title"/>
    <w:basedOn w:val="Normal"/>
    <w:next w:val="Normal"/>
    <w:link w:val="TitleChar"/>
    <w:qFormat/>
    <w:rsid w:val="00EB7D81"/>
    <w:pPr>
      <w:spacing w:before="240" w:after="60"/>
      <w:jc w:val="center"/>
      <w:outlineLvl w:val="0"/>
    </w:pPr>
    <w:rPr>
      <w:rFonts w:ascii="Cambria" w:hAnsi="Cambria"/>
      <w:b/>
      <w:bCs/>
      <w:kern w:val="28"/>
      <w:sz w:val="32"/>
      <w:szCs w:val="32"/>
    </w:rPr>
  </w:style>
  <w:style w:type="character" w:customStyle="1" w:styleId="TitleChar">
    <w:name w:val="Title Char"/>
    <w:link w:val="Title"/>
    <w:rsid w:val="00EB7D81"/>
    <w:rPr>
      <w:rFonts w:ascii="Cambria" w:eastAsia="Times New Roman" w:hAnsi="Cambria" w:cs="Times New Roman"/>
      <w:b/>
      <w:bCs/>
      <w:kern w:val="28"/>
      <w:sz w:val="32"/>
      <w:szCs w:val="32"/>
      <w:lang w:val="en-US" w:eastAsia="en-US"/>
    </w:rPr>
  </w:style>
  <w:style w:type="paragraph" w:styleId="TOAHeading">
    <w:name w:val="toa heading"/>
    <w:basedOn w:val="Normal"/>
    <w:next w:val="Normal"/>
    <w:rsid w:val="00EB7D81"/>
    <w:pPr>
      <w:spacing w:before="120"/>
    </w:pPr>
    <w:rPr>
      <w:rFonts w:ascii="Cambria" w:hAnsi="Cambria"/>
      <w:b/>
      <w:bCs/>
    </w:rPr>
  </w:style>
  <w:style w:type="paragraph" w:styleId="TOC1">
    <w:name w:val="toc 1"/>
    <w:basedOn w:val="Normal"/>
    <w:next w:val="Normal"/>
    <w:autoRedefine/>
    <w:rsid w:val="00EB7D81"/>
  </w:style>
  <w:style w:type="paragraph" w:styleId="TOC2">
    <w:name w:val="toc 2"/>
    <w:basedOn w:val="Normal"/>
    <w:next w:val="Normal"/>
    <w:autoRedefine/>
    <w:rsid w:val="00EB7D81"/>
    <w:pPr>
      <w:ind w:left="240"/>
    </w:pPr>
  </w:style>
  <w:style w:type="paragraph" w:styleId="TOC3">
    <w:name w:val="toc 3"/>
    <w:basedOn w:val="Normal"/>
    <w:next w:val="Normal"/>
    <w:autoRedefine/>
    <w:rsid w:val="00EB7D81"/>
    <w:pPr>
      <w:ind w:left="480"/>
    </w:pPr>
  </w:style>
  <w:style w:type="paragraph" w:styleId="TOC4">
    <w:name w:val="toc 4"/>
    <w:basedOn w:val="Normal"/>
    <w:next w:val="Normal"/>
    <w:autoRedefine/>
    <w:rsid w:val="00EB7D81"/>
    <w:pPr>
      <w:ind w:left="720"/>
    </w:pPr>
  </w:style>
  <w:style w:type="paragraph" w:styleId="TOC5">
    <w:name w:val="toc 5"/>
    <w:basedOn w:val="Normal"/>
    <w:next w:val="Normal"/>
    <w:autoRedefine/>
    <w:rsid w:val="00EB7D81"/>
    <w:pPr>
      <w:ind w:left="960"/>
    </w:pPr>
  </w:style>
  <w:style w:type="paragraph" w:styleId="TOC6">
    <w:name w:val="toc 6"/>
    <w:basedOn w:val="Normal"/>
    <w:next w:val="Normal"/>
    <w:autoRedefine/>
    <w:rsid w:val="00EB7D81"/>
    <w:pPr>
      <w:ind w:left="1200"/>
    </w:pPr>
  </w:style>
  <w:style w:type="paragraph" w:styleId="TOC7">
    <w:name w:val="toc 7"/>
    <w:basedOn w:val="Normal"/>
    <w:next w:val="Normal"/>
    <w:autoRedefine/>
    <w:rsid w:val="00EB7D81"/>
    <w:pPr>
      <w:ind w:left="1440"/>
    </w:pPr>
  </w:style>
  <w:style w:type="paragraph" w:styleId="TOC8">
    <w:name w:val="toc 8"/>
    <w:basedOn w:val="Normal"/>
    <w:next w:val="Normal"/>
    <w:autoRedefine/>
    <w:rsid w:val="00EB7D81"/>
    <w:pPr>
      <w:ind w:left="1680"/>
    </w:pPr>
  </w:style>
  <w:style w:type="paragraph" w:styleId="TOC9">
    <w:name w:val="toc 9"/>
    <w:basedOn w:val="Normal"/>
    <w:next w:val="Normal"/>
    <w:autoRedefine/>
    <w:rsid w:val="00EB7D81"/>
    <w:pPr>
      <w:ind w:left="1920"/>
    </w:pPr>
  </w:style>
  <w:style w:type="paragraph" w:styleId="TOCHeading">
    <w:name w:val="TOC Heading"/>
    <w:basedOn w:val="Heading1"/>
    <w:next w:val="Normal"/>
    <w:uiPriority w:val="39"/>
    <w:semiHidden/>
    <w:unhideWhenUsed/>
    <w:qFormat/>
    <w:rsid w:val="00EB7D81"/>
    <w:pPr>
      <w:outlineLvl w:val="9"/>
    </w:pPr>
    <w:rPr>
      <w:rFonts w:ascii="Cambria" w:hAnsi="Cambria"/>
    </w:rPr>
  </w:style>
  <w:style w:type="paragraph" w:customStyle="1" w:styleId="Default">
    <w:name w:val="Default"/>
    <w:rsid w:val="00C75015"/>
    <w:pPr>
      <w:autoSpaceDE w:val="0"/>
      <w:autoSpaceDN w:val="0"/>
      <w:adjustRightInd w:val="0"/>
    </w:pPr>
    <w:rPr>
      <w:rFonts w:eastAsia="Calibri"/>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00185">
      <w:bodyDiv w:val="1"/>
      <w:marLeft w:val="0"/>
      <w:marRight w:val="0"/>
      <w:marTop w:val="0"/>
      <w:marBottom w:val="0"/>
      <w:divBdr>
        <w:top w:val="none" w:sz="0" w:space="0" w:color="auto"/>
        <w:left w:val="none" w:sz="0" w:space="0" w:color="auto"/>
        <w:bottom w:val="none" w:sz="0" w:space="0" w:color="auto"/>
        <w:right w:val="none" w:sz="0" w:space="0" w:color="auto"/>
      </w:divBdr>
    </w:div>
    <w:div w:id="423963833">
      <w:bodyDiv w:val="1"/>
      <w:marLeft w:val="0"/>
      <w:marRight w:val="0"/>
      <w:marTop w:val="0"/>
      <w:marBottom w:val="0"/>
      <w:divBdr>
        <w:top w:val="none" w:sz="0" w:space="0" w:color="auto"/>
        <w:left w:val="none" w:sz="0" w:space="0" w:color="auto"/>
        <w:bottom w:val="none" w:sz="0" w:space="0" w:color="auto"/>
        <w:right w:val="none" w:sz="0" w:space="0" w:color="auto"/>
      </w:divBdr>
    </w:div>
    <w:div w:id="540634001">
      <w:bodyDiv w:val="1"/>
      <w:marLeft w:val="0"/>
      <w:marRight w:val="0"/>
      <w:marTop w:val="0"/>
      <w:marBottom w:val="0"/>
      <w:divBdr>
        <w:top w:val="none" w:sz="0" w:space="0" w:color="auto"/>
        <w:left w:val="none" w:sz="0" w:space="0" w:color="auto"/>
        <w:bottom w:val="none" w:sz="0" w:space="0" w:color="auto"/>
        <w:right w:val="none" w:sz="0" w:space="0" w:color="auto"/>
      </w:divBdr>
    </w:div>
    <w:div w:id="702445423">
      <w:bodyDiv w:val="1"/>
      <w:marLeft w:val="0"/>
      <w:marRight w:val="0"/>
      <w:marTop w:val="0"/>
      <w:marBottom w:val="0"/>
      <w:divBdr>
        <w:top w:val="none" w:sz="0" w:space="0" w:color="auto"/>
        <w:left w:val="none" w:sz="0" w:space="0" w:color="auto"/>
        <w:bottom w:val="none" w:sz="0" w:space="0" w:color="auto"/>
        <w:right w:val="none" w:sz="0" w:space="0" w:color="auto"/>
      </w:divBdr>
    </w:div>
    <w:div w:id="777262352">
      <w:bodyDiv w:val="1"/>
      <w:marLeft w:val="0"/>
      <w:marRight w:val="0"/>
      <w:marTop w:val="0"/>
      <w:marBottom w:val="0"/>
      <w:divBdr>
        <w:top w:val="none" w:sz="0" w:space="0" w:color="auto"/>
        <w:left w:val="none" w:sz="0" w:space="0" w:color="auto"/>
        <w:bottom w:val="none" w:sz="0" w:space="0" w:color="auto"/>
        <w:right w:val="none" w:sz="0" w:space="0" w:color="auto"/>
      </w:divBdr>
    </w:div>
    <w:div w:id="995493177">
      <w:bodyDiv w:val="1"/>
      <w:marLeft w:val="0"/>
      <w:marRight w:val="0"/>
      <w:marTop w:val="0"/>
      <w:marBottom w:val="0"/>
      <w:divBdr>
        <w:top w:val="none" w:sz="0" w:space="0" w:color="auto"/>
        <w:left w:val="none" w:sz="0" w:space="0" w:color="auto"/>
        <w:bottom w:val="none" w:sz="0" w:space="0" w:color="auto"/>
        <w:right w:val="none" w:sz="0" w:space="0" w:color="auto"/>
      </w:divBdr>
    </w:div>
    <w:div w:id="1035352529">
      <w:bodyDiv w:val="1"/>
      <w:marLeft w:val="0"/>
      <w:marRight w:val="0"/>
      <w:marTop w:val="0"/>
      <w:marBottom w:val="0"/>
      <w:divBdr>
        <w:top w:val="none" w:sz="0" w:space="0" w:color="auto"/>
        <w:left w:val="none" w:sz="0" w:space="0" w:color="auto"/>
        <w:bottom w:val="none" w:sz="0" w:space="0" w:color="auto"/>
        <w:right w:val="none" w:sz="0" w:space="0" w:color="auto"/>
      </w:divBdr>
    </w:div>
    <w:div w:id="1081171923">
      <w:bodyDiv w:val="1"/>
      <w:marLeft w:val="0"/>
      <w:marRight w:val="0"/>
      <w:marTop w:val="0"/>
      <w:marBottom w:val="0"/>
      <w:divBdr>
        <w:top w:val="none" w:sz="0" w:space="0" w:color="auto"/>
        <w:left w:val="none" w:sz="0" w:space="0" w:color="auto"/>
        <w:bottom w:val="none" w:sz="0" w:space="0" w:color="auto"/>
        <w:right w:val="none" w:sz="0" w:space="0" w:color="auto"/>
      </w:divBdr>
    </w:div>
    <w:div w:id="1084883713">
      <w:bodyDiv w:val="1"/>
      <w:marLeft w:val="0"/>
      <w:marRight w:val="0"/>
      <w:marTop w:val="0"/>
      <w:marBottom w:val="0"/>
      <w:divBdr>
        <w:top w:val="none" w:sz="0" w:space="0" w:color="auto"/>
        <w:left w:val="none" w:sz="0" w:space="0" w:color="auto"/>
        <w:bottom w:val="none" w:sz="0" w:space="0" w:color="auto"/>
        <w:right w:val="none" w:sz="0" w:space="0" w:color="auto"/>
      </w:divBdr>
    </w:div>
    <w:div w:id="1133324941">
      <w:bodyDiv w:val="1"/>
      <w:marLeft w:val="0"/>
      <w:marRight w:val="0"/>
      <w:marTop w:val="0"/>
      <w:marBottom w:val="0"/>
      <w:divBdr>
        <w:top w:val="none" w:sz="0" w:space="0" w:color="auto"/>
        <w:left w:val="none" w:sz="0" w:space="0" w:color="auto"/>
        <w:bottom w:val="none" w:sz="0" w:space="0" w:color="auto"/>
        <w:right w:val="none" w:sz="0" w:space="0" w:color="auto"/>
      </w:divBdr>
    </w:div>
    <w:div w:id="1334526301">
      <w:bodyDiv w:val="1"/>
      <w:marLeft w:val="0"/>
      <w:marRight w:val="0"/>
      <w:marTop w:val="0"/>
      <w:marBottom w:val="0"/>
      <w:divBdr>
        <w:top w:val="none" w:sz="0" w:space="0" w:color="auto"/>
        <w:left w:val="none" w:sz="0" w:space="0" w:color="auto"/>
        <w:bottom w:val="none" w:sz="0" w:space="0" w:color="auto"/>
        <w:right w:val="none" w:sz="0" w:space="0" w:color="auto"/>
      </w:divBdr>
    </w:div>
    <w:div w:id="1384601957">
      <w:bodyDiv w:val="1"/>
      <w:marLeft w:val="0"/>
      <w:marRight w:val="0"/>
      <w:marTop w:val="0"/>
      <w:marBottom w:val="0"/>
      <w:divBdr>
        <w:top w:val="none" w:sz="0" w:space="0" w:color="auto"/>
        <w:left w:val="none" w:sz="0" w:space="0" w:color="auto"/>
        <w:bottom w:val="none" w:sz="0" w:space="0" w:color="auto"/>
        <w:right w:val="none" w:sz="0" w:space="0" w:color="auto"/>
      </w:divBdr>
    </w:div>
    <w:div w:id="1774327832">
      <w:bodyDiv w:val="1"/>
      <w:marLeft w:val="0"/>
      <w:marRight w:val="0"/>
      <w:marTop w:val="0"/>
      <w:marBottom w:val="0"/>
      <w:divBdr>
        <w:top w:val="none" w:sz="0" w:space="0" w:color="auto"/>
        <w:left w:val="none" w:sz="0" w:space="0" w:color="auto"/>
        <w:bottom w:val="none" w:sz="0" w:space="0" w:color="auto"/>
        <w:right w:val="none" w:sz="0" w:space="0" w:color="auto"/>
      </w:divBdr>
    </w:div>
    <w:div w:id="1868567888">
      <w:bodyDiv w:val="1"/>
      <w:marLeft w:val="0"/>
      <w:marRight w:val="0"/>
      <w:marTop w:val="0"/>
      <w:marBottom w:val="0"/>
      <w:divBdr>
        <w:top w:val="none" w:sz="0" w:space="0" w:color="auto"/>
        <w:left w:val="none" w:sz="0" w:space="0" w:color="auto"/>
        <w:bottom w:val="none" w:sz="0" w:space="0" w:color="auto"/>
        <w:right w:val="none" w:sz="0" w:space="0" w:color="auto"/>
      </w:divBdr>
    </w:div>
    <w:div w:id="1929852270">
      <w:bodyDiv w:val="1"/>
      <w:marLeft w:val="0"/>
      <w:marRight w:val="0"/>
      <w:marTop w:val="0"/>
      <w:marBottom w:val="0"/>
      <w:divBdr>
        <w:top w:val="none" w:sz="0" w:space="0" w:color="auto"/>
        <w:left w:val="none" w:sz="0" w:space="0" w:color="auto"/>
        <w:bottom w:val="none" w:sz="0" w:space="0" w:color="auto"/>
        <w:right w:val="none" w:sz="0" w:space="0" w:color="auto"/>
      </w:divBdr>
    </w:div>
    <w:div w:id="1935822015">
      <w:bodyDiv w:val="1"/>
      <w:marLeft w:val="0"/>
      <w:marRight w:val="0"/>
      <w:marTop w:val="0"/>
      <w:marBottom w:val="0"/>
      <w:divBdr>
        <w:top w:val="none" w:sz="0" w:space="0" w:color="auto"/>
        <w:left w:val="none" w:sz="0" w:space="0" w:color="auto"/>
        <w:bottom w:val="none" w:sz="0" w:space="0" w:color="auto"/>
        <w:right w:val="none" w:sz="0" w:space="0" w:color="auto"/>
      </w:divBdr>
    </w:div>
    <w:div w:id="1976176795">
      <w:bodyDiv w:val="1"/>
      <w:marLeft w:val="0"/>
      <w:marRight w:val="0"/>
      <w:marTop w:val="0"/>
      <w:marBottom w:val="0"/>
      <w:divBdr>
        <w:top w:val="none" w:sz="0" w:space="0" w:color="auto"/>
        <w:left w:val="none" w:sz="0" w:space="0" w:color="auto"/>
        <w:bottom w:val="none" w:sz="0" w:space="0" w:color="auto"/>
        <w:right w:val="none" w:sz="0" w:space="0" w:color="auto"/>
      </w:divBdr>
    </w:div>
    <w:div w:id="207913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image" Target="media/image13.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8.emf"/><Relationship Id="rId29"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12.e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1.emf"/><Relationship Id="rId28" Type="http://schemas.openxmlformats.org/officeDocument/2006/relationships/image" Target="media/image16.emf"/><Relationship Id="rId10" Type="http://schemas.openxmlformats.org/officeDocument/2006/relationships/image" Target="media/image2.wmf"/><Relationship Id="rId19" Type="http://schemas.openxmlformats.org/officeDocument/2006/relationships/image" Target="media/image7.emf"/><Relationship Id="rId31" Type="http://schemas.openxmlformats.org/officeDocument/2006/relationships/image" Target="media/image19.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21EDB-9E9D-422A-8E1A-7F45C081D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8578</Words>
  <Characters>46025</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AusPAR Attachment 1. Product Information for Aflibercept</vt:lpstr>
    </vt:vector>
  </TitlesOfParts>
  <Company>Bayer</Company>
  <LinksUpToDate>false</LinksUpToDate>
  <CharactersWithSpaces>54495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Aflibercept</dc:title>
  <dc:subject>prescription medicine regulation</dc:subject>
  <dc:creator>Bayer</dc:creator>
  <cp:keywords>: product, information, prescription, medicine, regulation, australia, bayer, aflibercept, eylea</cp:keywords>
  <cp:lastModifiedBy>Lack, Janet</cp:lastModifiedBy>
  <cp:revision>3</cp:revision>
  <cp:lastPrinted>2015-02-04T07:09:00Z</cp:lastPrinted>
  <dcterms:created xsi:type="dcterms:W3CDTF">2015-07-21T03:31:00Z</dcterms:created>
  <dcterms:modified xsi:type="dcterms:W3CDTF">2015-07-29T01:43:00Z</dcterms:modified>
</cp:coreProperties>
</file>