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B6" w:rsidRPr="006D2384" w:rsidRDefault="007B26AF" w:rsidP="00BC2379">
      <w:pPr>
        <w:pStyle w:val="BrandNamePI"/>
        <w:rPr>
          <w:lang w:val="pt-PT"/>
        </w:rPr>
      </w:pPr>
      <w:r w:rsidRPr="006D2384">
        <w:rPr>
          <w:lang w:val="pt-PT"/>
        </w:rPr>
        <w:t>GIOTRIF</w:t>
      </w:r>
      <w:r w:rsidR="00014579" w:rsidRPr="001A7050">
        <w:rPr>
          <w:vertAlign w:val="superscript"/>
        </w:rPr>
        <w:sym w:font="Symbol" w:char="F0D2"/>
      </w:r>
    </w:p>
    <w:p w:rsidR="00014579" w:rsidRPr="006D2384" w:rsidRDefault="00216764" w:rsidP="001A7050">
      <w:pPr>
        <w:pStyle w:val="ActiveIngredientPI"/>
        <w:rPr>
          <w:lang w:val="pt-PT"/>
        </w:rPr>
      </w:pPr>
      <w:r w:rsidRPr="006D2384">
        <w:rPr>
          <w:lang w:val="pt-PT"/>
        </w:rPr>
        <w:t>A</w:t>
      </w:r>
      <w:r w:rsidR="004B386C" w:rsidRPr="006D2384">
        <w:rPr>
          <w:lang w:val="pt-PT"/>
        </w:rPr>
        <w:t>fatinib</w:t>
      </w:r>
      <w:r w:rsidRPr="006D2384">
        <w:rPr>
          <w:lang w:val="pt-PT"/>
        </w:rPr>
        <w:t xml:space="preserve"> (as afatinib dimaleate)</w:t>
      </w:r>
    </w:p>
    <w:p w:rsidR="00014579" w:rsidRPr="00762DB6" w:rsidRDefault="00014579" w:rsidP="001A7050">
      <w:pPr>
        <w:pStyle w:val="PIHeading1"/>
      </w:pPr>
      <w:r w:rsidRPr="00762DB6">
        <w:t xml:space="preserve">NAME OF THE </w:t>
      </w:r>
      <w:r w:rsidR="00E456E3">
        <w:t>medicine</w:t>
      </w:r>
    </w:p>
    <w:p w:rsidR="007B28F4" w:rsidRPr="007B2084" w:rsidRDefault="007B28F4" w:rsidP="00A54A3B">
      <w:pPr>
        <w:pStyle w:val="PIheading4"/>
        <w:jc w:val="left"/>
        <w:rPr>
          <w:i w:val="0"/>
          <w:lang w:val="en-AU"/>
        </w:rPr>
      </w:pPr>
      <w:r w:rsidRPr="007B2084">
        <w:rPr>
          <w:lang w:val="en-AU"/>
        </w:rPr>
        <w:t>Active ingredient:</w:t>
      </w:r>
      <w:r w:rsidRPr="007B2084">
        <w:rPr>
          <w:rStyle w:val="TextPIChar"/>
          <w:i w:val="0"/>
          <w:lang w:val="en-AU"/>
        </w:rPr>
        <w:t xml:space="preserve"> </w:t>
      </w:r>
      <w:r w:rsidRPr="007B2084">
        <w:rPr>
          <w:rStyle w:val="TextPIChar"/>
          <w:i w:val="0"/>
          <w:lang w:val="en-AU"/>
        </w:rPr>
        <w:tab/>
      </w:r>
      <w:proofErr w:type="spellStart"/>
      <w:r w:rsidR="004B386C" w:rsidRPr="007B2084">
        <w:rPr>
          <w:i w:val="0"/>
          <w:lang w:val="en-AU"/>
        </w:rPr>
        <w:t>afatinib</w:t>
      </w:r>
      <w:proofErr w:type="spellEnd"/>
      <w:r w:rsidR="004B386C" w:rsidRPr="007B2084">
        <w:rPr>
          <w:i w:val="0"/>
          <w:lang w:val="en-AU"/>
        </w:rPr>
        <w:t xml:space="preserve"> </w:t>
      </w:r>
      <w:r w:rsidR="00DB64E0" w:rsidRPr="007B2084">
        <w:rPr>
          <w:rStyle w:val="TextPIChar"/>
          <w:i w:val="0"/>
          <w:lang w:val="en-AU"/>
        </w:rPr>
        <w:t xml:space="preserve">(as </w:t>
      </w:r>
      <w:proofErr w:type="spellStart"/>
      <w:r w:rsidR="004B386C" w:rsidRPr="007B2084">
        <w:rPr>
          <w:i w:val="0"/>
          <w:lang w:val="en-AU"/>
        </w:rPr>
        <w:t>afatinib</w:t>
      </w:r>
      <w:proofErr w:type="spellEnd"/>
      <w:r w:rsidR="004B386C" w:rsidRPr="007B2084">
        <w:rPr>
          <w:i w:val="0"/>
          <w:lang w:val="en-AU"/>
        </w:rPr>
        <w:t xml:space="preserve"> </w:t>
      </w:r>
      <w:proofErr w:type="spellStart"/>
      <w:r w:rsidR="004B386C" w:rsidRPr="007B2084">
        <w:rPr>
          <w:i w:val="0"/>
          <w:lang w:val="en-AU"/>
        </w:rPr>
        <w:t>dimaleate</w:t>
      </w:r>
      <w:proofErr w:type="spellEnd"/>
      <w:r w:rsidR="00DB64E0" w:rsidRPr="007B2084">
        <w:rPr>
          <w:rStyle w:val="TextPIChar"/>
          <w:i w:val="0"/>
          <w:lang w:val="en-AU"/>
        </w:rPr>
        <w:t>)</w:t>
      </w:r>
    </w:p>
    <w:p w:rsidR="007B28F4" w:rsidRPr="00B058B4" w:rsidRDefault="007B28F4" w:rsidP="007104A2">
      <w:pPr>
        <w:pStyle w:val="PIheading4"/>
        <w:ind w:left="2244" w:hanging="2244"/>
        <w:jc w:val="left"/>
        <w:rPr>
          <w:rStyle w:val="TextPIChar"/>
          <w:i w:val="0"/>
          <w:lang w:val="en-AU"/>
        </w:rPr>
      </w:pPr>
      <w:r w:rsidRPr="00B058B4">
        <w:rPr>
          <w:lang w:val="en-AU"/>
        </w:rPr>
        <w:t>Chemical name:</w:t>
      </w:r>
      <w:r w:rsidRPr="00B058B4">
        <w:rPr>
          <w:rStyle w:val="TextPIChar"/>
          <w:i w:val="0"/>
          <w:lang w:val="en-AU"/>
        </w:rPr>
        <w:tab/>
      </w:r>
      <w:r w:rsidR="0009403A" w:rsidRPr="00B058B4">
        <w:rPr>
          <w:i w:val="0"/>
          <w:lang w:val="en-AU"/>
        </w:rPr>
        <w:t>2-butenamide, N-[4-[3(-chloro-4-fluorophenyl</w:t>
      </w:r>
      <w:proofErr w:type="gramStart"/>
      <w:r w:rsidR="0009403A" w:rsidRPr="00B058B4">
        <w:rPr>
          <w:i w:val="0"/>
          <w:lang w:val="en-AU"/>
        </w:rPr>
        <w:t>)amino</w:t>
      </w:r>
      <w:proofErr w:type="gramEnd"/>
      <w:r w:rsidR="0009403A" w:rsidRPr="00B058B4">
        <w:rPr>
          <w:i w:val="0"/>
          <w:lang w:val="en-AU"/>
        </w:rPr>
        <w:t>]-7-[[(3S)-tetrahydro-3-furanyl]oxy]-6-quinazolinyl]-4-(dimethylamino)-,(2E)-, (2Z)-2-butenedioate (1:2)</w:t>
      </w:r>
    </w:p>
    <w:p w:rsidR="00DB64E0" w:rsidRPr="002522EB" w:rsidRDefault="007B28F4" w:rsidP="00A54A3B">
      <w:pPr>
        <w:pStyle w:val="PIheading4"/>
        <w:ind w:left="2244" w:hanging="2244"/>
        <w:jc w:val="left"/>
        <w:rPr>
          <w:rStyle w:val="TextPIChar"/>
          <w:i w:val="0"/>
          <w:lang w:val="pt-PT"/>
        </w:rPr>
      </w:pPr>
      <w:r w:rsidRPr="002522EB">
        <w:rPr>
          <w:lang w:val="pt-PT"/>
        </w:rPr>
        <w:t>Molecular formula:</w:t>
      </w:r>
      <w:r w:rsidRPr="002522EB">
        <w:rPr>
          <w:rStyle w:val="TextPIChar"/>
          <w:i w:val="0"/>
          <w:lang w:val="pt-PT"/>
        </w:rPr>
        <w:t xml:space="preserve"> </w:t>
      </w:r>
      <w:r w:rsidRPr="002522EB">
        <w:rPr>
          <w:rStyle w:val="TextPIChar"/>
          <w:i w:val="0"/>
          <w:lang w:val="pt-PT"/>
        </w:rPr>
        <w:tab/>
      </w:r>
      <w:r w:rsidR="006D5C59" w:rsidRPr="002522EB">
        <w:rPr>
          <w:rStyle w:val="TextPIChar"/>
          <w:i w:val="0"/>
          <w:lang w:val="pt-PT"/>
        </w:rPr>
        <w:t>C</w:t>
      </w:r>
      <w:r w:rsidR="006D5C59" w:rsidRPr="002522EB">
        <w:rPr>
          <w:rStyle w:val="TextPIChar"/>
          <w:i w:val="0"/>
          <w:vertAlign w:val="subscript"/>
          <w:lang w:val="pt-PT"/>
        </w:rPr>
        <w:t>24</w:t>
      </w:r>
      <w:r w:rsidR="006D5C59" w:rsidRPr="002522EB">
        <w:rPr>
          <w:rStyle w:val="TextPIChar"/>
          <w:i w:val="0"/>
          <w:lang w:val="pt-PT"/>
        </w:rPr>
        <w:t>H</w:t>
      </w:r>
      <w:r w:rsidR="006D5C59" w:rsidRPr="002522EB">
        <w:rPr>
          <w:rStyle w:val="TextPIChar"/>
          <w:i w:val="0"/>
          <w:vertAlign w:val="subscript"/>
          <w:lang w:val="pt-PT"/>
        </w:rPr>
        <w:t>25</w:t>
      </w:r>
      <w:r w:rsidR="006D5C59" w:rsidRPr="002522EB">
        <w:rPr>
          <w:rStyle w:val="TextPIChar"/>
          <w:i w:val="0"/>
          <w:lang w:val="pt-PT"/>
        </w:rPr>
        <w:t>ClFN</w:t>
      </w:r>
      <w:r w:rsidR="006D5C59" w:rsidRPr="002522EB">
        <w:rPr>
          <w:rStyle w:val="TextPIChar"/>
          <w:i w:val="0"/>
          <w:vertAlign w:val="subscript"/>
          <w:lang w:val="pt-PT"/>
        </w:rPr>
        <w:t>5</w:t>
      </w:r>
      <w:r w:rsidR="006D5C59" w:rsidRPr="002522EB">
        <w:rPr>
          <w:rStyle w:val="TextPIChar"/>
          <w:i w:val="0"/>
          <w:lang w:val="pt-PT"/>
        </w:rPr>
        <w:t>O</w:t>
      </w:r>
      <w:r w:rsidR="006D5C59" w:rsidRPr="002522EB">
        <w:rPr>
          <w:rStyle w:val="TextPIChar"/>
          <w:i w:val="0"/>
          <w:vertAlign w:val="subscript"/>
          <w:lang w:val="pt-PT"/>
        </w:rPr>
        <w:t>3</w:t>
      </w:r>
      <w:r w:rsidR="006D5C59" w:rsidRPr="002522EB">
        <w:rPr>
          <w:rStyle w:val="TextPIChar"/>
          <w:i w:val="0"/>
          <w:lang w:val="pt-PT"/>
        </w:rPr>
        <w:t xml:space="preserve"> x 2 C</w:t>
      </w:r>
      <w:r w:rsidR="006D5C59" w:rsidRPr="002522EB">
        <w:rPr>
          <w:rStyle w:val="TextPIChar"/>
          <w:i w:val="0"/>
          <w:vertAlign w:val="subscript"/>
          <w:lang w:val="pt-PT"/>
        </w:rPr>
        <w:t>4</w:t>
      </w:r>
      <w:r w:rsidR="006D5C59" w:rsidRPr="002522EB">
        <w:rPr>
          <w:rStyle w:val="TextPIChar"/>
          <w:i w:val="0"/>
          <w:lang w:val="pt-PT"/>
        </w:rPr>
        <w:t>H</w:t>
      </w:r>
      <w:r w:rsidR="006D5C59" w:rsidRPr="002522EB">
        <w:rPr>
          <w:rStyle w:val="TextPIChar"/>
          <w:i w:val="0"/>
          <w:vertAlign w:val="subscript"/>
          <w:lang w:val="pt-PT"/>
        </w:rPr>
        <w:t>4</w:t>
      </w:r>
      <w:r w:rsidR="006D5C59" w:rsidRPr="002522EB">
        <w:rPr>
          <w:rStyle w:val="TextPIChar"/>
          <w:i w:val="0"/>
          <w:lang w:val="pt-PT"/>
        </w:rPr>
        <w:t>O</w:t>
      </w:r>
      <w:r w:rsidR="006D5C59" w:rsidRPr="002522EB">
        <w:rPr>
          <w:rStyle w:val="TextPIChar"/>
          <w:i w:val="0"/>
          <w:vertAlign w:val="subscript"/>
          <w:lang w:val="pt-PT"/>
        </w:rPr>
        <w:t xml:space="preserve">4 </w:t>
      </w:r>
      <w:r w:rsidR="006D5C59" w:rsidRPr="002522EB">
        <w:rPr>
          <w:rStyle w:val="TextPIChar"/>
          <w:i w:val="0"/>
          <w:lang w:val="pt-PT"/>
        </w:rPr>
        <w:t>or</w:t>
      </w:r>
      <w:r w:rsidR="006D5C59" w:rsidRPr="002522EB">
        <w:rPr>
          <w:rStyle w:val="TextPIChar"/>
          <w:i w:val="0"/>
          <w:lang w:val="pt-PT"/>
        </w:rPr>
        <w:br/>
      </w:r>
      <w:r w:rsidR="0009403A" w:rsidRPr="002522EB">
        <w:rPr>
          <w:rStyle w:val="TextPIChar"/>
          <w:i w:val="0"/>
          <w:lang w:val="pt-PT"/>
        </w:rPr>
        <w:t>C</w:t>
      </w:r>
      <w:r w:rsidR="0009403A" w:rsidRPr="002522EB">
        <w:rPr>
          <w:rStyle w:val="TextPIChar"/>
          <w:i w:val="0"/>
          <w:vertAlign w:val="subscript"/>
          <w:lang w:val="pt-PT"/>
        </w:rPr>
        <w:t>32</w:t>
      </w:r>
      <w:r w:rsidR="0009403A" w:rsidRPr="002522EB">
        <w:rPr>
          <w:rStyle w:val="TextPIChar"/>
          <w:i w:val="0"/>
          <w:lang w:val="pt-PT"/>
        </w:rPr>
        <w:t>H</w:t>
      </w:r>
      <w:r w:rsidR="0009403A" w:rsidRPr="002522EB">
        <w:rPr>
          <w:rStyle w:val="TextPIChar"/>
          <w:i w:val="0"/>
          <w:vertAlign w:val="subscript"/>
          <w:lang w:val="pt-PT"/>
        </w:rPr>
        <w:t>33</w:t>
      </w:r>
      <w:r w:rsidR="0009403A" w:rsidRPr="002522EB">
        <w:rPr>
          <w:rStyle w:val="TextPIChar"/>
          <w:i w:val="0"/>
          <w:lang w:val="pt-PT"/>
        </w:rPr>
        <w:t>ClFN</w:t>
      </w:r>
      <w:r w:rsidR="0009403A" w:rsidRPr="002522EB">
        <w:rPr>
          <w:rStyle w:val="TextPIChar"/>
          <w:i w:val="0"/>
          <w:vertAlign w:val="subscript"/>
          <w:lang w:val="pt-PT"/>
        </w:rPr>
        <w:t>5</w:t>
      </w:r>
      <w:r w:rsidR="0009403A" w:rsidRPr="002522EB">
        <w:rPr>
          <w:rStyle w:val="TextPIChar"/>
          <w:i w:val="0"/>
          <w:lang w:val="pt-PT"/>
        </w:rPr>
        <w:t>O</w:t>
      </w:r>
      <w:r w:rsidR="0009403A" w:rsidRPr="002522EB">
        <w:rPr>
          <w:rStyle w:val="TextPIChar"/>
          <w:i w:val="0"/>
          <w:vertAlign w:val="subscript"/>
          <w:lang w:val="pt-PT"/>
        </w:rPr>
        <w:t>11</w:t>
      </w:r>
    </w:p>
    <w:p w:rsidR="007B28F4" w:rsidRDefault="007B28F4" w:rsidP="007104A2">
      <w:pPr>
        <w:pStyle w:val="PIheading4"/>
        <w:ind w:left="2244" w:hanging="2244"/>
        <w:jc w:val="left"/>
        <w:rPr>
          <w:rStyle w:val="TextPIChar"/>
          <w:i w:val="0"/>
        </w:rPr>
      </w:pPr>
      <w:r w:rsidRPr="00584EC3">
        <w:t>CAS number:</w:t>
      </w:r>
      <w:r w:rsidRPr="00D52C41">
        <w:rPr>
          <w:rStyle w:val="TextPIChar"/>
          <w:i w:val="0"/>
        </w:rPr>
        <w:t xml:space="preserve"> </w:t>
      </w:r>
      <w:r w:rsidR="006D5C59">
        <w:rPr>
          <w:rStyle w:val="TextPIChar"/>
          <w:i w:val="0"/>
        </w:rPr>
        <w:tab/>
        <w:t xml:space="preserve">850140-73-7 </w:t>
      </w:r>
      <w:r w:rsidR="006D5C59" w:rsidRPr="006D5C59">
        <w:rPr>
          <w:rStyle w:val="TextPIChar"/>
          <w:i w:val="0"/>
        </w:rPr>
        <w:t>(salt form</w:t>
      </w:r>
      <w:proofErr w:type="gramStart"/>
      <w:r w:rsidR="006D5C59" w:rsidRPr="006D5C59">
        <w:rPr>
          <w:rStyle w:val="TextPIChar"/>
          <w:i w:val="0"/>
        </w:rPr>
        <w:t>)</w:t>
      </w:r>
      <w:proofErr w:type="gramEnd"/>
      <w:r w:rsidR="006D5C59">
        <w:rPr>
          <w:rStyle w:val="TextPIChar"/>
          <w:i w:val="0"/>
        </w:rPr>
        <w:br/>
        <w:t>850140-72-6 (free base)</w:t>
      </w:r>
    </w:p>
    <w:p w:rsidR="00DB64E0" w:rsidRDefault="007B28F4" w:rsidP="00A54A3B">
      <w:pPr>
        <w:pStyle w:val="PIheading4"/>
        <w:ind w:left="2244" w:hanging="2244"/>
        <w:jc w:val="left"/>
        <w:rPr>
          <w:rStyle w:val="TextPIChar"/>
          <w:i w:val="0"/>
        </w:rPr>
      </w:pPr>
      <w:r w:rsidRPr="00584EC3">
        <w:t>Molecular weight:</w:t>
      </w:r>
      <w:r w:rsidRPr="00D52C41">
        <w:rPr>
          <w:rStyle w:val="TextPIChar"/>
          <w:i w:val="0"/>
        </w:rPr>
        <w:t xml:space="preserve"> </w:t>
      </w:r>
      <w:r>
        <w:rPr>
          <w:rStyle w:val="TextPIChar"/>
          <w:i w:val="0"/>
        </w:rPr>
        <w:tab/>
      </w:r>
      <w:r w:rsidR="006D5C59" w:rsidRPr="006D5C59">
        <w:rPr>
          <w:rStyle w:val="TextPIChar"/>
          <w:i w:val="0"/>
        </w:rPr>
        <w:t>718.1 g/</w:t>
      </w:r>
      <w:proofErr w:type="spellStart"/>
      <w:r w:rsidR="006D5C59" w:rsidRPr="006D5C59">
        <w:rPr>
          <w:rStyle w:val="TextPIChar"/>
          <w:i w:val="0"/>
        </w:rPr>
        <w:t>mol</w:t>
      </w:r>
      <w:proofErr w:type="spellEnd"/>
      <w:r w:rsidR="006D5C59">
        <w:rPr>
          <w:rStyle w:val="TextPIChar"/>
          <w:i w:val="0"/>
        </w:rPr>
        <w:t xml:space="preserve"> </w:t>
      </w:r>
      <w:r w:rsidR="006D5C59" w:rsidRPr="006D5C59">
        <w:rPr>
          <w:rStyle w:val="TextPIChar"/>
          <w:i w:val="0"/>
        </w:rPr>
        <w:t xml:space="preserve">(salt form) </w:t>
      </w:r>
      <w:r w:rsidR="006D5C59">
        <w:rPr>
          <w:rStyle w:val="TextPIChar"/>
          <w:i w:val="0"/>
        </w:rPr>
        <w:br/>
      </w:r>
      <w:r w:rsidR="006D5C59" w:rsidRPr="006D5C59">
        <w:rPr>
          <w:rStyle w:val="TextPIChar"/>
          <w:i w:val="0"/>
        </w:rPr>
        <w:t>485.9 g/</w:t>
      </w:r>
      <w:proofErr w:type="spellStart"/>
      <w:r w:rsidR="006D5C59" w:rsidRPr="006D5C59">
        <w:rPr>
          <w:rStyle w:val="TextPIChar"/>
          <w:i w:val="0"/>
        </w:rPr>
        <w:t>mol</w:t>
      </w:r>
      <w:proofErr w:type="spellEnd"/>
      <w:r w:rsidR="006D5C59">
        <w:rPr>
          <w:rStyle w:val="TextPIChar"/>
          <w:i w:val="0"/>
        </w:rPr>
        <w:t xml:space="preserve"> (free base)</w:t>
      </w:r>
    </w:p>
    <w:p w:rsidR="00DB64E0" w:rsidRPr="00992232" w:rsidRDefault="00DB64E0" w:rsidP="00A54A3B">
      <w:pPr>
        <w:pStyle w:val="PIheading4"/>
        <w:jc w:val="left"/>
      </w:pPr>
      <w:r w:rsidRPr="00584EC3">
        <w:t>Structural formula:</w:t>
      </w:r>
      <w:r w:rsidR="00992232">
        <w:tab/>
      </w:r>
    </w:p>
    <w:p w:rsidR="007B28F4" w:rsidRDefault="00F92564" w:rsidP="00B21690">
      <w:pPr>
        <w:pStyle w:val="TextPI"/>
        <w:spacing w:before="0"/>
        <w:ind w:left="2268"/>
        <w:jc w:val="left"/>
        <w:rPr>
          <w:noProof/>
          <w:lang w:val="en-AU" w:eastAsia="en-AU"/>
        </w:rPr>
      </w:pPr>
      <w:bookmarkStart w:id="0" w:name="_GoBack"/>
      <w:r>
        <w:rPr>
          <w:noProof/>
          <w:lang w:val="en-AU" w:eastAsia="en-AU"/>
        </w:rPr>
        <mc:AlternateContent>
          <mc:Choice Requires="wpc">
            <w:drawing>
              <wp:inline distT="0" distB="0" distL="0" distR="0" wp14:anchorId="088F4739" wp14:editId="7BAC1099">
                <wp:extent cx="3383280" cy="2235200"/>
                <wp:effectExtent l="0" t="0" r="7620" b="12700"/>
                <wp:docPr id="2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 descr="Structural form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535" cy="2243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266.4pt;height:176pt;mso-position-horizontal-relative:char;mso-position-vertical-relative:line" coordsize="33832,22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832;height:22352;visibility:visible;mso-wrap-style:square">
                  <v:fill o:detectmouseclick="t"/>
                  <v:path o:connecttype="none"/>
                </v:shape>
                <v:shape id="Picture 5" o:spid="_x0000_s1028" type="#_x0000_t75" alt="Structural formula" style="position:absolute;width:33915;height:22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iXzrAAAAA2gAAAA8AAABkcnMvZG93bnJldi54bWxET0uLwjAQvi/4H8II3tZUu6tSjaKCi8f1&#10;AV6HZkyrzaQ2We3+eyMs7Gn4+J4zW7S2EndqfOlYwaCfgCDOnS7ZKDgeNu8TED4ga6wck4Jf8rCY&#10;d95mmGn34B3d98GIGMI+QwVFCHUmpc8Lsuj7riaO3Nk1FkOEjZG6wUcMt5UcJslIWiw5NhRY07qg&#10;/Lr/sQpOq8PXZZx+nlP/8W1uS5cau0mV6nXb5RREoDb8i//cWx3nw+uV15Xz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6JfOsAAAADaAAAADwAAAAAAAAAAAAAAAACfAgAA&#10;ZHJzL2Rvd25yZXYueG1sUEsFBgAAAAAEAAQA9wAAAIwDAAAAAA==&#10;">
                  <v:imagedata r:id="rId11" o:title="Structural formula"/>
                </v:shape>
                <w10:anchorlock/>
              </v:group>
            </w:pict>
          </mc:Fallback>
        </mc:AlternateContent>
      </w:r>
      <w:bookmarkEnd w:id="0"/>
    </w:p>
    <w:p w:rsidR="00014579" w:rsidRPr="00762DB6" w:rsidRDefault="00014579" w:rsidP="001A7050">
      <w:pPr>
        <w:pStyle w:val="PIHeading1"/>
      </w:pPr>
      <w:r w:rsidRPr="00762DB6">
        <w:t>DESCRIPTION</w:t>
      </w:r>
    </w:p>
    <w:p w:rsidR="00CC4D06" w:rsidRPr="002522EB" w:rsidRDefault="00CC4D06" w:rsidP="00234878">
      <w:pPr>
        <w:pStyle w:val="TextPI"/>
        <w:rPr>
          <w:lang w:val="fr-FR"/>
        </w:rPr>
      </w:pPr>
      <w:proofErr w:type="spellStart"/>
      <w:r>
        <w:t>Afatinib</w:t>
      </w:r>
      <w:proofErr w:type="spellEnd"/>
      <w:r>
        <w:t xml:space="preserve"> </w:t>
      </w:r>
      <w:proofErr w:type="spellStart"/>
      <w:r>
        <w:t>dimaleate</w:t>
      </w:r>
      <w:proofErr w:type="spellEnd"/>
      <w:r w:rsidR="008667E3">
        <w:t xml:space="preserve"> is a </w:t>
      </w:r>
      <w:r w:rsidRPr="00CC4D06">
        <w:t>white to brownish yellow powder</w:t>
      </w:r>
      <w:r w:rsidR="008667E3">
        <w:t xml:space="preserve">.  </w:t>
      </w:r>
      <w:r>
        <w:t xml:space="preserve">It </w:t>
      </w:r>
      <w:r w:rsidRPr="00234878">
        <w:t>is highly soluble in water and in aqueous buffer media up to pH 6 (&gt; 50 mg/</w:t>
      </w:r>
      <w:r w:rsidR="00D36B52">
        <w:t>mL</w:t>
      </w:r>
      <w:r w:rsidRPr="00234878">
        <w:t>).</w:t>
      </w:r>
      <w:r w:rsidR="00234878" w:rsidRPr="00234878">
        <w:t xml:space="preserve"> </w:t>
      </w:r>
      <w:r w:rsidR="00B452B8">
        <w:t xml:space="preserve"> </w:t>
      </w:r>
      <w:r w:rsidR="00234878" w:rsidRPr="00234878">
        <w:t>Between pH 6 and 7</w:t>
      </w:r>
      <w:r w:rsidR="00D92AE8">
        <w:t>,</w:t>
      </w:r>
      <w:r w:rsidR="00234878" w:rsidRPr="00234878">
        <w:t xml:space="preserve"> the solubility in these media decreases significantly but still exceeds 1 mg/</w:t>
      </w:r>
      <w:proofErr w:type="spellStart"/>
      <w:r w:rsidR="00D36B52">
        <w:t>mL</w:t>
      </w:r>
      <w:r w:rsidR="00234878" w:rsidRPr="00234878">
        <w:t>.</w:t>
      </w:r>
      <w:proofErr w:type="spellEnd"/>
      <w:r w:rsidR="00234878" w:rsidRPr="00234878">
        <w:t xml:space="preserve"> </w:t>
      </w:r>
      <w:r w:rsidR="00B452B8">
        <w:t xml:space="preserve"> </w:t>
      </w:r>
      <w:r w:rsidR="00234878" w:rsidRPr="00234878">
        <w:t>Above pH 7</w:t>
      </w:r>
      <w:r w:rsidR="005A712B">
        <w:t>,</w:t>
      </w:r>
      <w:r w:rsidR="00234878" w:rsidRPr="00234878">
        <w:t xml:space="preserve"> solubility is reduced</w:t>
      </w:r>
      <w:r w:rsidR="00234878">
        <w:t xml:space="preserve"> </w:t>
      </w:r>
      <w:r w:rsidR="00234878" w:rsidRPr="00234878">
        <w:t>further to the low solubility of its free base (0.04 mg/</w:t>
      </w:r>
      <w:r w:rsidR="00D36B52">
        <w:t>mL</w:t>
      </w:r>
      <w:r w:rsidR="00234878" w:rsidRPr="00234878">
        <w:t xml:space="preserve"> at pH &gt; 8). </w:t>
      </w:r>
      <w:r w:rsidR="00B452B8">
        <w:t xml:space="preserve"> </w:t>
      </w:r>
      <w:r w:rsidR="00234878" w:rsidRPr="00234878">
        <w:t>The highest solubility in organic solvents is observed for DMSO (&gt; 50 mg/</w:t>
      </w:r>
      <w:r w:rsidR="00D36B52">
        <w:t>mL</w:t>
      </w:r>
      <w:r w:rsidR="00234878" w:rsidRPr="00234878">
        <w:t xml:space="preserve">). </w:t>
      </w:r>
      <w:r w:rsidR="00B452B8">
        <w:t xml:space="preserve"> </w:t>
      </w:r>
      <w:r w:rsidR="00234878" w:rsidRPr="00234878">
        <w:t>Solubility in methanol is between 10 and 25 mg/</w:t>
      </w:r>
      <w:r w:rsidR="00D36B52">
        <w:t>mL</w:t>
      </w:r>
      <w:r w:rsidR="00234878" w:rsidRPr="00234878">
        <w:t>; in 1:1 mixtures of acetonitrile, methanol, and ethanol with water the solubility exceeds 50 mg/</w:t>
      </w:r>
      <w:proofErr w:type="spellStart"/>
      <w:r w:rsidR="00D36B52">
        <w:t>mL</w:t>
      </w:r>
      <w:r w:rsidR="00234878" w:rsidRPr="00234878">
        <w:t>.</w:t>
      </w:r>
      <w:proofErr w:type="spellEnd"/>
      <w:r w:rsidR="00CA1BBA">
        <w:t xml:space="preserve"> </w:t>
      </w:r>
      <w:r w:rsidR="00B452B8">
        <w:t xml:space="preserve"> </w:t>
      </w:r>
      <w:r w:rsidR="00234878" w:rsidRPr="002522EB">
        <w:rPr>
          <w:lang w:val="fr-FR"/>
        </w:rPr>
        <w:t>Dissociation constants: pKa1 = 8.2 ± 0.1; pKa2 = 5.0 ± 0.1.  Partition coefficient: log P = 4.7 (</w:t>
      </w:r>
      <w:proofErr w:type="spellStart"/>
      <w:r w:rsidR="00234878" w:rsidRPr="002522EB">
        <w:rPr>
          <w:lang w:val="fr-FR"/>
        </w:rPr>
        <w:t>at</w:t>
      </w:r>
      <w:proofErr w:type="spellEnd"/>
      <w:r w:rsidR="00234878" w:rsidRPr="002522EB">
        <w:rPr>
          <w:lang w:val="fr-FR"/>
        </w:rPr>
        <w:t xml:space="preserve"> pH ≥ 9); log D = 3.8 (</w:t>
      </w:r>
      <w:proofErr w:type="spellStart"/>
      <w:r w:rsidR="00234878" w:rsidRPr="002522EB">
        <w:rPr>
          <w:lang w:val="fr-FR"/>
        </w:rPr>
        <w:t>at</w:t>
      </w:r>
      <w:proofErr w:type="spellEnd"/>
      <w:r w:rsidR="00234878" w:rsidRPr="002522EB">
        <w:rPr>
          <w:lang w:val="fr-FR"/>
        </w:rPr>
        <w:t xml:space="preserve"> pH 7.4).</w:t>
      </w:r>
    </w:p>
    <w:p w:rsidR="00D10E1A" w:rsidRDefault="007B26AF" w:rsidP="00D10E1A">
      <w:pPr>
        <w:pStyle w:val="TextPI"/>
      </w:pPr>
      <w:r>
        <w:rPr>
          <w:rFonts w:cs="Arial"/>
          <w:color w:val="000000"/>
          <w:lang w:val="en-AU" w:eastAsia="en-AU"/>
        </w:rPr>
        <w:t>GIOTRIF</w:t>
      </w:r>
      <w:r w:rsidR="00510A59" w:rsidRPr="00C903DB">
        <w:rPr>
          <w:rFonts w:cs="Arial"/>
          <w:color w:val="000000"/>
          <w:lang w:val="en-AU" w:eastAsia="en-AU"/>
        </w:rPr>
        <w:t xml:space="preserve"> </w:t>
      </w:r>
      <w:r w:rsidR="00510A59">
        <w:rPr>
          <w:rFonts w:cs="Arial"/>
          <w:color w:val="000000"/>
          <w:lang w:val="en-AU" w:eastAsia="en-AU"/>
        </w:rPr>
        <w:t xml:space="preserve">are </w:t>
      </w:r>
      <w:r w:rsidR="00D10E1A" w:rsidRPr="00D10E1A">
        <w:rPr>
          <w:rFonts w:cs="Arial"/>
          <w:color w:val="000000"/>
          <w:lang w:val="en-AU" w:eastAsia="en-AU"/>
        </w:rPr>
        <w:t>film-coated tablet</w:t>
      </w:r>
      <w:r w:rsidR="009959FE">
        <w:rPr>
          <w:rFonts w:cs="Arial"/>
          <w:color w:val="000000"/>
          <w:lang w:val="en-AU" w:eastAsia="en-AU"/>
        </w:rPr>
        <w:t>s</w:t>
      </w:r>
      <w:r w:rsidR="00D10E1A" w:rsidRPr="00D10E1A">
        <w:rPr>
          <w:rFonts w:cs="Arial"/>
          <w:color w:val="000000"/>
          <w:lang w:val="en-AU" w:eastAsia="en-AU"/>
        </w:rPr>
        <w:t xml:space="preserve"> </w:t>
      </w:r>
      <w:r w:rsidR="00510A59">
        <w:rPr>
          <w:rFonts w:ascii="ArialMT" w:hAnsi="ArialMT" w:cs="ArialMT"/>
          <w:lang w:val="en-AU" w:eastAsia="en-AU"/>
        </w:rPr>
        <w:t xml:space="preserve">for oral administration containing </w:t>
      </w:r>
      <w:r w:rsidR="00D10E1A">
        <w:rPr>
          <w:rFonts w:cs="Arial"/>
          <w:color w:val="000000"/>
          <w:lang w:val="en-AU" w:eastAsia="en-AU"/>
        </w:rPr>
        <w:t>20 mg, or 30 mg, or 40</w:t>
      </w:r>
      <w:r w:rsidR="009E17D4">
        <w:rPr>
          <w:rFonts w:cs="Arial"/>
          <w:color w:val="000000"/>
          <w:lang w:val="en-AU" w:eastAsia="en-AU"/>
        </w:rPr>
        <w:t> </w:t>
      </w:r>
      <w:r w:rsidR="00D10E1A">
        <w:rPr>
          <w:rFonts w:cs="Arial"/>
          <w:color w:val="000000"/>
          <w:lang w:val="en-AU" w:eastAsia="en-AU"/>
        </w:rPr>
        <w:t xml:space="preserve">mg, or 50 mg </w:t>
      </w:r>
      <w:proofErr w:type="spellStart"/>
      <w:r w:rsidR="00D10E1A" w:rsidRPr="004B386C">
        <w:t>afatinib</w:t>
      </w:r>
      <w:proofErr w:type="spellEnd"/>
      <w:r w:rsidR="00D10E1A" w:rsidRPr="004B386C">
        <w:t xml:space="preserve"> </w:t>
      </w:r>
      <w:r w:rsidR="00D10E1A">
        <w:rPr>
          <w:rStyle w:val="TextPIChar"/>
        </w:rPr>
        <w:t xml:space="preserve">(as </w:t>
      </w:r>
      <w:proofErr w:type="spellStart"/>
      <w:r w:rsidR="00D10E1A" w:rsidRPr="004B386C">
        <w:t>afatinib</w:t>
      </w:r>
      <w:proofErr w:type="spellEnd"/>
      <w:r w:rsidR="00D10E1A" w:rsidRPr="004B386C">
        <w:t xml:space="preserve"> </w:t>
      </w:r>
      <w:proofErr w:type="spellStart"/>
      <w:r w:rsidR="00D10E1A" w:rsidRPr="004B386C">
        <w:t>dimaleate</w:t>
      </w:r>
      <w:proofErr w:type="spellEnd"/>
      <w:r w:rsidR="00D10E1A">
        <w:rPr>
          <w:rStyle w:val="TextPIChar"/>
        </w:rPr>
        <w:t>).</w:t>
      </w:r>
    </w:p>
    <w:p w:rsidR="00D10E1A" w:rsidRPr="00234878" w:rsidRDefault="00510A59" w:rsidP="00C903DB">
      <w:pPr>
        <w:pStyle w:val="TextPI"/>
      </w:pPr>
      <w:r>
        <w:rPr>
          <w:rFonts w:cs="Arial"/>
          <w:color w:val="000000"/>
          <w:lang w:val="en-AU" w:eastAsia="en-AU"/>
        </w:rPr>
        <w:t>In addition, e</w:t>
      </w:r>
      <w:r w:rsidR="00C903DB" w:rsidRPr="00C903DB">
        <w:rPr>
          <w:rFonts w:cs="Arial"/>
          <w:color w:val="000000"/>
          <w:lang w:val="en-AU" w:eastAsia="en-AU"/>
        </w:rPr>
        <w:t xml:space="preserve">ach </w:t>
      </w:r>
      <w:r w:rsidR="007B26AF">
        <w:rPr>
          <w:rFonts w:cs="Arial"/>
          <w:color w:val="000000"/>
          <w:lang w:val="en-AU" w:eastAsia="en-AU"/>
        </w:rPr>
        <w:t>GIOTRIF</w:t>
      </w:r>
      <w:r w:rsidR="009E17D4">
        <w:rPr>
          <w:rFonts w:cs="Arial"/>
          <w:color w:val="000000"/>
          <w:lang w:val="en-AU" w:eastAsia="en-AU"/>
        </w:rPr>
        <w:t xml:space="preserve"> </w:t>
      </w:r>
      <w:r w:rsidR="00C903DB" w:rsidRPr="00C903DB">
        <w:rPr>
          <w:rFonts w:cs="Arial"/>
          <w:color w:val="000000"/>
          <w:lang w:val="en-AU" w:eastAsia="en-AU"/>
        </w:rPr>
        <w:t>tablet contains:</w:t>
      </w:r>
    </w:p>
    <w:p w:rsidR="00CA1BBA" w:rsidRPr="00CA1BBA" w:rsidRDefault="00CA1BBA" w:rsidP="00CA1BBA">
      <w:pPr>
        <w:pStyle w:val="TextPI"/>
      </w:pPr>
      <w:proofErr w:type="gramStart"/>
      <w:r w:rsidRPr="00C903DB">
        <w:rPr>
          <w:i/>
        </w:rPr>
        <w:t>Tablet Core:</w:t>
      </w:r>
      <w:r>
        <w:t xml:space="preserve"> </w:t>
      </w:r>
      <w:r w:rsidRPr="00CA1BBA">
        <w:t xml:space="preserve">lactose, </w:t>
      </w:r>
      <w:r w:rsidR="006E176A">
        <w:t xml:space="preserve">cellulose - </w:t>
      </w:r>
      <w:r w:rsidRPr="00CA1BBA">
        <w:t xml:space="preserve">microcrystalline, </w:t>
      </w:r>
      <w:r w:rsidR="006E176A" w:rsidRPr="00CA1BBA">
        <w:t>silica</w:t>
      </w:r>
      <w:r w:rsidR="006E176A">
        <w:t xml:space="preserve"> - </w:t>
      </w:r>
      <w:r w:rsidRPr="00CA1BBA">
        <w:t>colloidal anhydrous,</w:t>
      </w:r>
      <w:r>
        <w:t xml:space="preserve"> </w:t>
      </w:r>
      <w:proofErr w:type="spellStart"/>
      <w:r w:rsidRPr="00CA1BBA">
        <w:t>c</w:t>
      </w:r>
      <w:r w:rsidR="006E176A">
        <w:t>rospovidone</w:t>
      </w:r>
      <w:proofErr w:type="spellEnd"/>
      <w:r w:rsidR="006E176A">
        <w:t>, magnesium stearate</w:t>
      </w:r>
      <w:r>
        <w:t>.</w:t>
      </w:r>
      <w:proofErr w:type="gramEnd"/>
    </w:p>
    <w:p w:rsidR="00CA1BBA" w:rsidRPr="00CA1BBA" w:rsidRDefault="00CA1BBA" w:rsidP="00CA1BBA">
      <w:pPr>
        <w:pStyle w:val="TextPI"/>
      </w:pPr>
      <w:r w:rsidRPr="00C903DB">
        <w:rPr>
          <w:i/>
        </w:rPr>
        <w:lastRenderedPageBreak/>
        <w:t>Film coating:</w:t>
      </w:r>
      <w:r w:rsidRPr="00CA1BBA">
        <w:t xml:space="preserve"> </w:t>
      </w:r>
      <w:proofErr w:type="spellStart"/>
      <w:r w:rsidRPr="00CA1BBA">
        <w:t>hypromellose</w:t>
      </w:r>
      <w:proofErr w:type="spellEnd"/>
      <w:r w:rsidRPr="00CA1BBA">
        <w:t>,</w:t>
      </w:r>
      <w:r w:rsidR="00E933DE">
        <w:t xml:space="preserve"> </w:t>
      </w:r>
      <w:proofErr w:type="spellStart"/>
      <w:r w:rsidR="00E933DE">
        <w:t>macrogol</w:t>
      </w:r>
      <w:proofErr w:type="spellEnd"/>
      <w:r w:rsidR="00E933DE">
        <w:t xml:space="preserve"> 400, titanium dioxide</w:t>
      </w:r>
      <w:r w:rsidRPr="00CA1BBA">
        <w:t>, talc</w:t>
      </w:r>
      <w:r w:rsidR="00E933DE">
        <w:t xml:space="preserve"> - purified</w:t>
      </w:r>
      <w:r w:rsidRPr="00CA1BBA">
        <w:t xml:space="preserve">, </w:t>
      </w:r>
      <w:proofErr w:type="spellStart"/>
      <w:r w:rsidRPr="00CA1BBA">
        <w:t>polysorbate</w:t>
      </w:r>
      <w:proofErr w:type="spellEnd"/>
      <w:r w:rsidRPr="00CA1BBA">
        <w:t xml:space="preserve"> 80, </w:t>
      </w:r>
      <w:proofErr w:type="spellStart"/>
      <w:r w:rsidRPr="00CA1BBA">
        <w:t>Colourant</w:t>
      </w:r>
      <w:proofErr w:type="spellEnd"/>
      <w:r w:rsidRPr="00CA1BBA">
        <w:t xml:space="preserve"> containing indigo</w:t>
      </w:r>
      <w:r w:rsidR="00E933DE">
        <w:t xml:space="preserve"> carmine</w:t>
      </w:r>
      <w:r w:rsidRPr="00CA1BBA">
        <w:t xml:space="preserve"> </w:t>
      </w:r>
      <w:proofErr w:type="spellStart"/>
      <w:r w:rsidRPr="00CA1BBA">
        <w:t>aluminium</w:t>
      </w:r>
      <w:proofErr w:type="spellEnd"/>
      <w:r w:rsidRPr="00CA1BBA">
        <w:t xml:space="preserve"> </w:t>
      </w:r>
      <w:r w:rsidR="00E933DE">
        <w:t>lake</w:t>
      </w:r>
      <w:r w:rsidRPr="00CA1BBA">
        <w:t xml:space="preserve"> (only used for 50 mg, 40 mg and 30 mg tablets)</w:t>
      </w:r>
      <w:r>
        <w:t>.</w:t>
      </w:r>
    </w:p>
    <w:p w:rsidR="001D1C54" w:rsidRPr="00762DB6" w:rsidRDefault="00014579" w:rsidP="00F501B8">
      <w:pPr>
        <w:pStyle w:val="PIHeading1"/>
      </w:pPr>
      <w:r w:rsidRPr="00F501B8">
        <w:t>PHARMACOLOGY</w:t>
      </w:r>
    </w:p>
    <w:p w:rsidR="00A93ACC" w:rsidRDefault="00A93ACC" w:rsidP="00A93ACC">
      <w:pPr>
        <w:pStyle w:val="TextPI"/>
      </w:pPr>
      <w:proofErr w:type="spellStart"/>
      <w:r w:rsidRPr="00A470B0">
        <w:rPr>
          <w:lang w:eastAsia="en-GB"/>
        </w:rPr>
        <w:t>Pharmacotherapeutic</w:t>
      </w:r>
      <w:proofErr w:type="spellEnd"/>
      <w:r w:rsidRPr="00A470B0">
        <w:rPr>
          <w:lang w:eastAsia="en-GB"/>
        </w:rPr>
        <w:t xml:space="preserve"> group: other antineoplastic agents – protein kinase inhibitors, ATC code: L01XE13.</w:t>
      </w:r>
    </w:p>
    <w:p w:rsidR="00581FBE" w:rsidRDefault="00581FBE" w:rsidP="00581FBE">
      <w:pPr>
        <w:pStyle w:val="PIheading2"/>
      </w:pPr>
      <w:r w:rsidRPr="00762DB6">
        <w:t>Pharmacodynamics</w:t>
      </w:r>
    </w:p>
    <w:p w:rsidR="00D85BCA" w:rsidRPr="00D85BCA" w:rsidRDefault="00D85BCA" w:rsidP="00FE0783">
      <w:pPr>
        <w:pStyle w:val="PIHeading3"/>
        <w:outlineLvl w:val="2"/>
        <w:rPr>
          <w:lang w:eastAsia="en-GB"/>
        </w:rPr>
      </w:pPr>
      <w:r w:rsidRPr="00D85BCA">
        <w:rPr>
          <w:lang w:eastAsia="en-GB"/>
        </w:rPr>
        <w:t>Mechanism of action</w:t>
      </w:r>
    </w:p>
    <w:p w:rsidR="00D85BCA" w:rsidRPr="00880816" w:rsidRDefault="00D85BCA" w:rsidP="00D85BCA">
      <w:pPr>
        <w:pStyle w:val="TextPI"/>
        <w:rPr>
          <w:lang w:eastAsia="en-GB"/>
        </w:rPr>
      </w:pPr>
      <w:proofErr w:type="spellStart"/>
      <w:r w:rsidRPr="00A470B0">
        <w:rPr>
          <w:lang w:eastAsia="en-GB"/>
        </w:rPr>
        <w:t>Afatinib</w:t>
      </w:r>
      <w:proofErr w:type="spellEnd"/>
      <w:r w:rsidRPr="00A470B0">
        <w:rPr>
          <w:lang w:eastAsia="en-GB"/>
        </w:rPr>
        <w:t xml:space="preserve"> is </w:t>
      </w:r>
      <w:r w:rsidR="007B2084">
        <w:rPr>
          <w:lang w:eastAsia="en-GB"/>
        </w:rPr>
        <w:t>an</w:t>
      </w:r>
      <w:r w:rsidRPr="00880816">
        <w:rPr>
          <w:lang w:eastAsia="en-GB"/>
        </w:rPr>
        <w:t xml:space="preserve"> irreversible </w:t>
      </w:r>
      <w:proofErr w:type="spellStart"/>
      <w:r w:rsidRPr="00880816">
        <w:rPr>
          <w:lang w:eastAsia="en-GB"/>
        </w:rPr>
        <w:t>ErbB</w:t>
      </w:r>
      <w:proofErr w:type="spellEnd"/>
      <w:r w:rsidRPr="00880816">
        <w:rPr>
          <w:lang w:eastAsia="en-GB"/>
        </w:rPr>
        <w:t xml:space="preserve"> Family Blocker.</w:t>
      </w:r>
      <w:r w:rsidR="00B452B8" w:rsidRPr="00880816">
        <w:rPr>
          <w:lang w:eastAsia="en-GB"/>
        </w:rPr>
        <w:t xml:space="preserve">  </w:t>
      </w:r>
      <w:proofErr w:type="spellStart"/>
      <w:r w:rsidRPr="00880816">
        <w:rPr>
          <w:lang w:eastAsia="en-GB"/>
        </w:rPr>
        <w:t>Afatinib</w:t>
      </w:r>
      <w:proofErr w:type="spellEnd"/>
      <w:r w:rsidRPr="00880816">
        <w:rPr>
          <w:lang w:eastAsia="en-GB"/>
        </w:rPr>
        <w:t xml:space="preserve"> covalently binds to and irreversibly blocks </w:t>
      </w:r>
      <w:proofErr w:type="spellStart"/>
      <w:r w:rsidRPr="00880816">
        <w:rPr>
          <w:lang w:eastAsia="en-GB"/>
        </w:rPr>
        <w:t>signalling</w:t>
      </w:r>
      <w:proofErr w:type="spellEnd"/>
      <w:r w:rsidRPr="00880816">
        <w:rPr>
          <w:lang w:eastAsia="en-GB"/>
        </w:rPr>
        <w:t xml:space="preserve"> from all homo- and heterodimers formed by the </w:t>
      </w:r>
      <w:proofErr w:type="spellStart"/>
      <w:r w:rsidRPr="00880816">
        <w:rPr>
          <w:lang w:eastAsia="en-GB"/>
        </w:rPr>
        <w:t>ErbB</w:t>
      </w:r>
      <w:proofErr w:type="spellEnd"/>
      <w:r w:rsidRPr="00880816">
        <w:rPr>
          <w:lang w:eastAsia="en-GB"/>
        </w:rPr>
        <w:t xml:space="preserve"> family members EGFR (</w:t>
      </w:r>
      <w:r w:rsidR="00E043F5" w:rsidRPr="00880816">
        <w:rPr>
          <w:lang w:eastAsia="en-GB"/>
        </w:rPr>
        <w:t xml:space="preserve">epidermal growth factor receptor, </w:t>
      </w:r>
      <w:r w:rsidRPr="00880816">
        <w:rPr>
          <w:lang w:eastAsia="en-GB"/>
        </w:rPr>
        <w:t>ErbB1), HER2 (</w:t>
      </w:r>
      <w:r w:rsidR="00E043F5" w:rsidRPr="00880816">
        <w:rPr>
          <w:lang w:eastAsia="en-GB"/>
        </w:rPr>
        <w:t xml:space="preserve">human epidermal growth factor receptor 2, </w:t>
      </w:r>
      <w:r w:rsidRPr="00880816">
        <w:rPr>
          <w:lang w:eastAsia="en-GB"/>
        </w:rPr>
        <w:t>ErbB2), ErbB3 and ErbB4.</w:t>
      </w:r>
    </w:p>
    <w:p w:rsidR="00D85BCA" w:rsidRPr="00880816" w:rsidRDefault="00D85BCA" w:rsidP="00FE0783">
      <w:pPr>
        <w:pStyle w:val="PIHeading3"/>
        <w:outlineLvl w:val="2"/>
        <w:rPr>
          <w:lang w:eastAsia="en-GB"/>
        </w:rPr>
      </w:pPr>
      <w:proofErr w:type="spellStart"/>
      <w:r w:rsidRPr="00880816">
        <w:rPr>
          <w:lang w:eastAsia="en-GB"/>
        </w:rPr>
        <w:t>Pharmacodynamic</w:t>
      </w:r>
      <w:proofErr w:type="spellEnd"/>
      <w:r w:rsidRPr="00880816">
        <w:rPr>
          <w:lang w:eastAsia="en-GB"/>
        </w:rPr>
        <w:t xml:space="preserve"> effects</w:t>
      </w:r>
    </w:p>
    <w:p w:rsidR="00D85BCA" w:rsidRPr="00A470B0" w:rsidRDefault="00D85BCA" w:rsidP="00D85BCA">
      <w:pPr>
        <w:pStyle w:val="TextPI"/>
        <w:rPr>
          <w:lang w:eastAsia="en-GB"/>
        </w:rPr>
      </w:pPr>
      <w:r w:rsidRPr="00880816">
        <w:rPr>
          <w:lang w:eastAsia="en-GB"/>
        </w:rPr>
        <w:t xml:space="preserve">Aberrant </w:t>
      </w:r>
      <w:proofErr w:type="spellStart"/>
      <w:r w:rsidRPr="00880816">
        <w:rPr>
          <w:lang w:eastAsia="en-GB"/>
        </w:rPr>
        <w:t>ErbB</w:t>
      </w:r>
      <w:proofErr w:type="spellEnd"/>
      <w:r w:rsidRPr="00880816">
        <w:rPr>
          <w:lang w:eastAsia="en-GB"/>
        </w:rPr>
        <w:t xml:space="preserve"> </w:t>
      </w:r>
      <w:proofErr w:type="spellStart"/>
      <w:r w:rsidRPr="00880816">
        <w:rPr>
          <w:lang w:eastAsia="en-GB"/>
        </w:rPr>
        <w:t>signalling</w:t>
      </w:r>
      <w:proofErr w:type="spellEnd"/>
      <w:r w:rsidRPr="00880816">
        <w:rPr>
          <w:lang w:eastAsia="en-GB"/>
        </w:rPr>
        <w:t xml:space="preserve"> triggered by, for instance, EGFR mutations and/or amplification, HER2 amplification or</w:t>
      </w:r>
      <w:r w:rsidRPr="00A470B0">
        <w:rPr>
          <w:lang w:eastAsia="en-GB"/>
        </w:rPr>
        <w:t xml:space="preserve"> mutation and/or </w:t>
      </w:r>
      <w:proofErr w:type="spellStart"/>
      <w:r w:rsidRPr="00A470B0">
        <w:rPr>
          <w:lang w:eastAsia="en-GB"/>
        </w:rPr>
        <w:t>ErbB</w:t>
      </w:r>
      <w:proofErr w:type="spellEnd"/>
      <w:r w:rsidRPr="00A470B0">
        <w:rPr>
          <w:lang w:eastAsia="en-GB"/>
        </w:rPr>
        <w:t xml:space="preserve"> ligand overexpression contributes to the malignant phenotype in subsets of patient</w:t>
      </w:r>
      <w:r>
        <w:rPr>
          <w:lang w:eastAsia="en-GB"/>
        </w:rPr>
        <w:t>s across multiple cancer types.</w:t>
      </w:r>
    </w:p>
    <w:p w:rsidR="00D85BCA" w:rsidRDefault="00D85BCA" w:rsidP="00D85BCA">
      <w:pPr>
        <w:pStyle w:val="TextPI"/>
        <w:rPr>
          <w:lang w:eastAsia="en-GB"/>
        </w:rPr>
      </w:pPr>
      <w:r w:rsidRPr="00A470B0">
        <w:rPr>
          <w:lang w:eastAsia="en-GB"/>
        </w:rPr>
        <w:t xml:space="preserve">In preclinical disease models with </w:t>
      </w:r>
      <w:proofErr w:type="spellStart"/>
      <w:r w:rsidRPr="00A470B0">
        <w:rPr>
          <w:lang w:eastAsia="en-GB"/>
        </w:rPr>
        <w:t>ErbB</w:t>
      </w:r>
      <w:proofErr w:type="spellEnd"/>
      <w:r w:rsidRPr="00A470B0">
        <w:rPr>
          <w:lang w:eastAsia="en-GB"/>
        </w:rPr>
        <w:t xml:space="preserve"> pathway deregulation, </w:t>
      </w:r>
      <w:proofErr w:type="spellStart"/>
      <w:r w:rsidRPr="00A470B0">
        <w:rPr>
          <w:lang w:eastAsia="en-GB"/>
        </w:rPr>
        <w:t>afatinib</w:t>
      </w:r>
      <w:proofErr w:type="spellEnd"/>
      <w:r w:rsidRPr="00A470B0">
        <w:rPr>
          <w:lang w:eastAsia="en-GB"/>
        </w:rPr>
        <w:t xml:space="preserve"> as a single agent effectively blocks </w:t>
      </w:r>
      <w:proofErr w:type="spellStart"/>
      <w:r w:rsidRPr="00A470B0">
        <w:rPr>
          <w:lang w:eastAsia="en-GB"/>
        </w:rPr>
        <w:t>ErbB</w:t>
      </w:r>
      <w:proofErr w:type="spellEnd"/>
      <w:r w:rsidRPr="00A470B0">
        <w:rPr>
          <w:lang w:eastAsia="en-GB"/>
        </w:rPr>
        <w:t xml:space="preserve"> receptor </w:t>
      </w:r>
      <w:proofErr w:type="spellStart"/>
      <w:r w:rsidRPr="00A470B0">
        <w:rPr>
          <w:lang w:eastAsia="en-GB"/>
        </w:rPr>
        <w:t>signalling</w:t>
      </w:r>
      <w:proofErr w:type="spellEnd"/>
      <w:r w:rsidRPr="00A470B0">
        <w:rPr>
          <w:lang w:eastAsia="en-GB"/>
        </w:rPr>
        <w:t xml:space="preserve"> resulting in </w:t>
      </w:r>
      <w:proofErr w:type="spellStart"/>
      <w:r w:rsidRPr="00A470B0">
        <w:rPr>
          <w:lang w:eastAsia="en-GB"/>
        </w:rPr>
        <w:t>tumour</w:t>
      </w:r>
      <w:proofErr w:type="spellEnd"/>
      <w:r w:rsidRPr="00A470B0">
        <w:rPr>
          <w:lang w:eastAsia="en-GB"/>
        </w:rPr>
        <w:t xml:space="preserve"> growth inhibition or </w:t>
      </w:r>
      <w:proofErr w:type="spellStart"/>
      <w:r w:rsidRPr="00A470B0">
        <w:rPr>
          <w:lang w:eastAsia="en-GB"/>
        </w:rPr>
        <w:t>tumour</w:t>
      </w:r>
      <w:proofErr w:type="spellEnd"/>
      <w:r w:rsidRPr="00A470B0">
        <w:rPr>
          <w:lang w:eastAsia="en-GB"/>
        </w:rPr>
        <w:t xml:space="preserve"> regression. </w:t>
      </w:r>
      <w:r w:rsidR="00B452B8">
        <w:rPr>
          <w:lang w:eastAsia="en-GB"/>
        </w:rPr>
        <w:t xml:space="preserve"> </w:t>
      </w:r>
      <w:r w:rsidR="001A6A3A">
        <w:rPr>
          <w:lang w:eastAsia="en-GB"/>
        </w:rPr>
        <w:t>Non-small cell lung cancer (</w:t>
      </w:r>
      <w:r w:rsidRPr="00A470B0">
        <w:rPr>
          <w:lang w:eastAsia="en-GB"/>
        </w:rPr>
        <w:t>NSCLC</w:t>
      </w:r>
      <w:r w:rsidR="001A6A3A">
        <w:rPr>
          <w:lang w:eastAsia="en-GB"/>
        </w:rPr>
        <w:t>)</w:t>
      </w:r>
      <w:r w:rsidRPr="00A470B0">
        <w:rPr>
          <w:lang w:eastAsia="en-GB"/>
        </w:rPr>
        <w:t xml:space="preserve"> models with either L858R or Del</w:t>
      </w:r>
      <w:r>
        <w:rPr>
          <w:lang w:eastAsia="en-GB"/>
        </w:rPr>
        <w:t> </w:t>
      </w:r>
      <w:r w:rsidRPr="00A470B0">
        <w:rPr>
          <w:lang w:eastAsia="en-GB"/>
        </w:rPr>
        <w:t xml:space="preserve">19 EGFR mutations are particularly sensitive to </w:t>
      </w:r>
      <w:proofErr w:type="spellStart"/>
      <w:r w:rsidRPr="00A470B0">
        <w:rPr>
          <w:lang w:eastAsia="en-GB"/>
        </w:rPr>
        <w:t>afatinib</w:t>
      </w:r>
      <w:proofErr w:type="spellEnd"/>
      <w:r w:rsidRPr="00A470B0">
        <w:rPr>
          <w:lang w:eastAsia="en-GB"/>
        </w:rPr>
        <w:t xml:space="preserve"> treatment. </w:t>
      </w:r>
      <w:r w:rsidR="00B452B8">
        <w:rPr>
          <w:lang w:eastAsia="en-GB"/>
        </w:rPr>
        <w:t xml:space="preserve"> </w:t>
      </w:r>
      <w:proofErr w:type="spellStart"/>
      <w:r w:rsidRPr="00A470B0">
        <w:rPr>
          <w:lang w:eastAsia="en-GB"/>
        </w:rPr>
        <w:t>A</w:t>
      </w:r>
      <w:r w:rsidRPr="00D85BCA">
        <w:rPr>
          <w:lang w:eastAsia="en-GB"/>
        </w:rPr>
        <w:t>fatinib</w:t>
      </w:r>
      <w:proofErr w:type="spellEnd"/>
      <w:r w:rsidRPr="00D85BCA">
        <w:rPr>
          <w:lang w:eastAsia="en-GB"/>
        </w:rPr>
        <w:t xml:space="preserve"> </w:t>
      </w:r>
      <w:r w:rsidRPr="00A470B0">
        <w:rPr>
          <w:lang w:eastAsia="en-GB"/>
        </w:rPr>
        <w:t>retains significant anti</w:t>
      </w:r>
      <w:r w:rsidR="007B2084">
        <w:rPr>
          <w:lang w:eastAsia="en-GB"/>
        </w:rPr>
        <w:t>-</w:t>
      </w:r>
      <w:proofErr w:type="spellStart"/>
      <w:r w:rsidRPr="00A470B0">
        <w:rPr>
          <w:lang w:eastAsia="en-GB"/>
        </w:rPr>
        <w:t>tumour</w:t>
      </w:r>
      <w:proofErr w:type="spellEnd"/>
      <w:r w:rsidRPr="00A470B0">
        <w:rPr>
          <w:lang w:eastAsia="en-GB"/>
        </w:rPr>
        <w:t xml:space="preserve"> activity </w:t>
      </w:r>
      <w:r w:rsidR="007B2084">
        <w:rPr>
          <w:lang w:eastAsia="en-GB"/>
        </w:rPr>
        <w:t>towards</w:t>
      </w:r>
      <w:r w:rsidR="007B2084" w:rsidRPr="00A470B0">
        <w:rPr>
          <w:lang w:eastAsia="en-GB"/>
        </w:rPr>
        <w:t xml:space="preserve"> </w:t>
      </w:r>
      <w:r w:rsidRPr="00A470B0">
        <w:rPr>
          <w:lang w:eastAsia="en-GB"/>
        </w:rPr>
        <w:t xml:space="preserve">NSCLC cell lines </w:t>
      </w:r>
      <w:r w:rsidRPr="00D85BCA">
        <w:rPr>
          <w:i/>
          <w:lang w:eastAsia="en-GB"/>
        </w:rPr>
        <w:t>in vitro</w:t>
      </w:r>
      <w:r w:rsidRPr="00A470B0">
        <w:rPr>
          <w:lang w:eastAsia="en-GB"/>
        </w:rPr>
        <w:t xml:space="preserve"> and </w:t>
      </w:r>
      <w:proofErr w:type="spellStart"/>
      <w:r w:rsidRPr="00A470B0">
        <w:rPr>
          <w:lang w:eastAsia="en-GB"/>
        </w:rPr>
        <w:t>tumour</w:t>
      </w:r>
      <w:proofErr w:type="spellEnd"/>
      <w:r w:rsidRPr="00A470B0">
        <w:rPr>
          <w:lang w:eastAsia="en-GB"/>
        </w:rPr>
        <w:t xml:space="preserve"> models </w:t>
      </w:r>
      <w:r w:rsidRPr="00D85BCA">
        <w:rPr>
          <w:i/>
          <w:lang w:eastAsia="en-GB"/>
        </w:rPr>
        <w:t>in vivo</w:t>
      </w:r>
      <w:r w:rsidRPr="00A470B0">
        <w:rPr>
          <w:lang w:eastAsia="en-GB"/>
        </w:rPr>
        <w:t xml:space="preserve"> (</w:t>
      </w:r>
      <w:proofErr w:type="spellStart"/>
      <w:r w:rsidRPr="00A470B0">
        <w:rPr>
          <w:lang w:eastAsia="en-GB"/>
        </w:rPr>
        <w:t>xenografts</w:t>
      </w:r>
      <w:proofErr w:type="spellEnd"/>
      <w:r w:rsidRPr="00A470B0">
        <w:rPr>
          <w:lang w:eastAsia="en-GB"/>
        </w:rPr>
        <w:t xml:space="preserve"> or transgenic models) </w:t>
      </w:r>
      <w:r w:rsidR="009E17D4">
        <w:rPr>
          <w:lang w:eastAsia="en-GB"/>
        </w:rPr>
        <w:t xml:space="preserve">driven by mutant EGFR isoforms </w:t>
      </w:r>
      <w:r w:rsidRPr="00A470B0">
        <w:rPr>
          <w:lang w:eastAsia="en-GB"/>
        </w:rPr>
        <w:t xml:space="preserve">known to be resistant to the reversible EGFR inhibitors </w:t>
      </w:r>
      <w:proofErr w:type="spellStart"/>
      <w:r w:rsidRPr="00A470B0">
        <w:rPr>
          <w:lang w:eastAsia="en-GB"/>
        </w:rPr>
        <w:t>erlotinib</w:t>
      </w:r>
      <w:proofErr w:type="spellEnd"/>
      <w:r w:rsidRPr="00A470B0">
        <w:rPr>
          <w:lang w:eastAsia="en-GB"/>
        </w:rPr>
        <w:t xml:space="preserve"> and </w:t>
      </w:r>
      <w:proofErr w:type="spellStart"/>
      <w:r w:rsidRPr="00A470B0">
        <w:rPr>
          <w:lang w:eastAsia="en-GB"/>
        </w:rPr>
        <w:t>gefitinib</w:t>
      </w:r>
      <w:proofErr w:type="spellEnd"/>
      <w:r w:rsidRPr="00A470B0">
        <w:rPr>
          <w:lang w:eastAsia="en-GB"/>
        </w:rPr>
        <w:t xml:space="preserve"> such as T790M</w:t>
      </w:r>
      <w:r w:rsidR="007B2084">
        <w:rPr>
          <w:lang w:eastAsia="en-GB"/>
        </w:rPr>
        <w:t xml:space="preserve">, although the activity of </w:t>
      </w:r>
      <w:proofErr w:type="spellStart"/>
      <w:r w:rsidR="007B2084">
        <w:rPr>
          <w:lang w:eastAsia="en-GB"/>
        </w:rPr>
        <w:t>afatinib</w:t>
      </w:r>
      <w:proofErr w:type="spellEnd"/>
      <w:r w:rsidR="007B2084">
        <w:rPr>
          <w:lang w:eastAsia="en-GB"/>
        </w:rPr>
        <w:t xml:space="preserve"> was significantly less than against non-resistant models</w:t>
      </w:r>
      <w:r w:rsidRPr="00A470B0">
        <w:rPr>
          <w:lang w:eastAsia="en-GB"/>
        </w:rPr>
        <w:t>.</w:t>
      </w:r>
    </w:p>
    <w:p w:rsidR="00C13595" w:rsidRPr="00A470B0" w:rsidRDefault="00C13595" w:rsidP="00FE0783">
      <w:pPr>
        <w:pStyle w:val="PIHeading3"/>
        <w:outlineLvl w:val="2"/>
      </w:pPr>
      <w:r w:rsidRPr="00A470B0">
        <w:t>Cardiac Electrophysiology</w:t>
      </w:r>
    </w:p>
    <w:p w:rsidR="00C13595" w:rsidRPr="00A470B0" w:rsidRDefault="007B26AF" w:rsidP="00D85BCA">
      <w:pPr>
        <w:pStyle w:val="TextPI"/>
        <w:rPr>
          <w:lang w:eastAsia="en-GB"/>
        </w:rPr>
      </w:pPr>
      <w:r>
        <w:rPr>
          <w:rStyle w:val="TextPIChar"/>
        </w:rPr>
        <w:t>GIOTRIF</w:t>
      </w:r>
      <w:r w:rsidR="009E17D4">
        <w:rPr>
          <w:rStyle w:val="TextPIChar"/>
          <w:vertAlign w:val="superscript"/>
        </w:rPr>
        <w:t xml:space="preserve"> </w:t>
      </w:r>
      <w:r w:rsidR="00C13595" w:rsidRPr="00D2390C">
        <w:rPr>
          <w:rStyle w:val="TextPIChar"/>
        </w:rPr>
        <w:t xml:space="preserve">at doses of 50 mg daily did not result in significant prolongation of the </w:t>
      </w:r>
      <w:proofErr w:type="spellStart"/>
      <w:r w:rsidR="00C13595" w:rsidRPr="00D2390C">
        <w:rPr>
          <w:rStyle w:val="TextPIChar"/>
        </w:rPr>
        <w:t>QTcF</w:t>
      </w:r>
      <w:proofErr w:type="spellEnd"/>
      <w:r w:rsidR="00C13595" w:rsidRPr="00A470B0">
        <w:t xml:space="preserve"> interval after single and multiple administrations in patients with relapsed or refractory solid </w:t>
      </w:r>
      <w:proofErr w:type="spellStart"/>
      <w:r w:rsidR="00C13595" w:rsidRPr="00A470B0">
        <w:t>tumours</w:t>
      </w:r>
      <w:proofErr w:type="spellEnd"/>
      <w:r w:rsidR="00C13595" w:rsidRPr="00A470B0">
        <w:t xml:space="preserve">. </w:t>
      </w:r>
      <w:r w:rsidR="00B452B8">
        <w:t xml:space="preserve"> </w:t>
      </w:r>
      <w:r w:rsidR="00C13595" w:rsidRPr="00A470B0">
        <w:t xml:space="preserve">There were no cardiac safety findings of clinical concern suggesting that </w:t>
      </w:r>
      <w:r>
        <w:t>GIOTRIF</w:t>
      </w:r>
      <w:r w:rsidR="009E17D4">
        <w:rPr>
          <w:vertAlign w:val="superscript"/>
        </w:rPr>
        <w:t xml:space="preserve"> </w:t>
      </w:r>
      <w:r w:rsidR="00C13595" w:rsidRPr="00A470B0">
        <w:t xml:space="preserve">does not have a relevant effect on the </w:t>
      </w:r>
      <w:proofErr w:type="spellStart"/>
      <w:r w:rsidR="00C13595" w:rsidRPr="00A470B0">
        <w:t>QTcF</w:t>
      </w:r>
      <w:proofErr w:type="spellEnd"/>
      <w:r w:rsidR="00C13595" w:rsidRPr="00A470B0">
        <w:t xml:space="preserve"> interval</w:t>
      </w:r>
      <w:r w:rsidR="00D2390C">
        <w:t>.</w:t>
      </w:r>
    </w:p>
    <w:p w:rsidR="0076607B" w:rsidRDefault="00014579" w:rsidP="0034190D">
      <w:pPr>
        <w:pStyle w:val="PIheading2"/>
      </w:pPr>
      <w:r w:rsidRPr="0034190D">
        <w:t>Pharmacokinetics</w:t>
      </w:r>
    </w:p>
    <w:p w:rsidR="0076607B" w:rsidRPr="0076607B" w:rsidRDefault="009E17D4" w:rsidP="00FE0783">
      <w:pPr>
        <w:pStyle w:val="PIHeading3"/>
        <w:outlineLvl w:val="2"/>
        <w:rPr>
          <w:lang w:eastAsia="en-GB"/>
        </w:rPr>
      </w:pPr>
      <w:r>
        <w:rPr>
          <w:lang w:eastAsia="en-GB"/>
        </w:rPr>
        <w:t>Absorption</w:t>
      </w:r>
    </w:p>
    <w:p w:rsidR="0076607B" w:rsidRPr="00A470B0" w:rsidRDefault="0076607B" w:rsidP="0076607B">
      <w:pPr>
        <w:pStyle w:val="TextPI"/>
      </w:pPr>
      <w:r w:rsidRPr="00A470B0">
        <w:t xml:space="preserve">Following oral administration of </w:t>
      </w:r>
      <w:r w:rsidR="007B26AF">
        <w:t>GIOTRIF</w:t>
      </w:r>
      <w:r w:rsidRPr="00A470B0">
        <w:t>, maximum concentrations (</w:t>
      </w:r>
      <w:proofErr w:type="spellStart"/>
      <w:r w:rsidRPr="00A470B0">
        <w:t>C</w:t>
      </w:r>
      <w:r w:rsidRPr="00A470B0">
        <w:rPr>
          <w:vertAlign w:val="subscript"/>
        </w:rPr>
        <w:t>max</w:t>
      </w:r>
      <w:proofErr w:type="spellEnd"/>
      <w:r w:rsidRPr="00A470B0">
        <w:t xml:space="preserve">) of </w:t>
      </w:r>
      <w:proofErr w:type="spellStart"/>
      <w:r w:rsidRPr="00A470B0">
        <w:t>afatinib</w:t>
      </w:r>
      <w:proofErr w:type="spellEnd"/>
      <w:r w:rsidRPr="00A470B0">
        <w:t xml:space="preserve"> are observed approximately 2 to 5 hours post</w:t>
      </w:r>
      <w:r w:rsidR="00E47F13">
        <w:t>-</w:t>
      </w:r>
      <w:r w:rsidRPr="00A470B0">
        <w:t xml:space="preserve">dose. Mean </w:t>
      </w:r>
      <w:proofErr w:type="spellStart"/>
      <w:r w:rsidRPr="00A470B0">
        <w:t>C</w:t>
      </w:r>
      <w:r w:rsidRPr="00A470B0">
        <w:rPr>
          <w:vertAlign w:val="subscript"/>
        </w:rPr>
        <w:t>max</w:t>
      </w:r>
      <w:proofErr w:type="spellEnd"/>
      <w:r w:rsidRPr="00A470B0">
        <w:t xml:space="preserve"> and AUC</w:t>
      </w:r>
      <w:r w:rsidRPr="00A470B0">
        <w:rPr>
          <w:vertAlign w:val="subscript"/>
        </w:rPr>
        <w:t>0-∞</w:t>
      </w:r>
      <w:r w:rsidRPr="00A470B0">
        <w:t xml:space="preserve"> values increased slightly more than proportional in the dose range from 20</w:t>
      </w:r>
      <w:r>
        <w:t xml:space="preserve"> </w:t>
      </w:r>
      <w:r w:rsidRPr="00A470B0">
        <w:t xml:space="preserve">mg to 50 mg </w:t>
      </w:r>
      <w:r w:rsidR="007B26AF">
        <w:t>GIOTRIF</w:t>
      </w:r>
      <w:r w:rsidRPr="00A470B0">
        <w:t xml:space="preserve">. </w:t>
      </w:r>
      <w:r w:rsidR="00B452B8">
        <w:t xml:space="preserve"> </w:t>
      </w:r>
      <w:r w:rsidRPr="00A470B0">
        <w:t xml:space="preserve">Systemic exposure to </w:t>
      </w:r>
      <w:proofErr w:type="spellStart"/>
      <w:r w:rsidRPr="00A470B0">
        <w:t>afatinib</w:t>
      </w:r>
      <w:proofErr w:type="spellEnd"/>
      <w:r w:rsidRPr="00A470B0">
        <w:t xml:space="preserve"> is decreased by 50% (</w:t>
      </w:r>
      <w:proofErr w:type="spellStart"/>
      <w:r w:rsidRPr="00A470B0">
        <w:t>C</w:t>
      </w:r>
      <w:r w:rsidRPr="00A470B0">
        <w:rPr>
          <w:vertAlign w:val="subscript"/>
        </w:rPr>
        <w:t>max</w:t>
      </w:r>
      <w:proofErr w:type="spellEnd"/>
      <w:r w:rsidRPr="00A470B0">
        <w:t>) and 39% (AUC</w:t>
      </w:r>
      <w:r w:rsidRPr="00A470B0">
        <w:rPr>
          <w:vertAlign w:val="subscript"/>
        </w:rPr>
        <w:t>0-∞</w:t>
      </w:r>
      <w:r w:rsidRPr="00A470B0">
        <w:t xml:space="preserve">), when administered with a high-fat meal compared with administration in the fasted state. </w:t>
      </w:r>
      <w:bookmarkStart w:id="1" w:name="_Hlk324493828"/>
      <w:r w:rsidR="009E17D4">
        <w:t xml:space="preserve"> </w:t>
      </w:r>
      <w:r w:rsidRPr="00A470B0">
        <w:t xml:space="preserve">Based on population pharmacokinetic data derived from clinical trials in various </w:t>
      </w:r>
      <w:proofErr w:type="spellStart"/>
      <w:r w:rsidRPr="00A470B0">
        <w:t>tumour</w:t>
      </w:r>
      <w:proofErr w:type="spellEnd"/>
      <w:r w:rsidRPr="00A470B0">
        <w:t xml:space="preserve"> types, an average decrease of 26% in </w:t>
      </w:r>
      <w:proofErr w:type="spellStart"/>
      <w:r w:rsidRPr="00A470B0">
        <w:t>AUC</w:t>
      </w:r>
      <w:r w:rsidRPr="00A470B0">
        <w:rPr>
          <w:vertAlign w:val="subscript"/>
        </w:rPr>
        <w:t>τ,ss</w:t>
      </w:r>
      <w:proofErr w:type="spellEnd"/>
      <w:r w:rsidRPr="00A470B0">
        <w:t xml:space="preserve"> was observed </w:t>
      </w:r>
      <w:r>
        <w:t>when food was consumed within 3 hours before or 1</w:t>
      </w:r>
      <w:r w:rsidR="000C1FAF">
        <w:t> h</w:t>
      </w:r>
      <w:r w:rsidRPr="00A470B0">
        <w:t xml:space="preserve">our after taking </w:t>
      </w:r>
      <w:r w:rsidR="007B26AF">
        <w:t>GIOTRIF</w:t>
      </w:r>
      <w:r w:rsidRPr="00A470B0">
        <w:t>.</w:t>
      </w:r>
      <w:bookmarkEnd w:id="1"/>
      <w:r w:rsidRPr="00A470B0">
        <w:t xml:space="preserve"> </w:t>
      </w:r>
      <w:r w:rsidR="00B452B8">
        <w:t xml:space="preserve"> </w:t>
      </w:r>
      <w:r w:rsidRPr="00A470B0">
        <w:t>Therefore, food should not be consumed for at least 3 hours before and at least 1</w:t>
      </w:r>
      <w:r>
        <w:t xml:space="preserve"> </w:t>
      </w:r>
      <w:r w:rsidRPr="00A470B0">
        <w:t xml:space="preserve">hour after taking </w:t>
      </w:r>
      <w:r w:rsidR="007B26AF">
        <w:t>GIOTRIF</w:t>
      </w:r>
      <w:r w:rsidRPr="00A470B0">
        <w:rPr>
          <w:vertAlign w:val="superscript"/>
        </w:rPr>
        <w:t xml:space="preserve"> </w:t>
      </w:r>
      <w:r w:rsidRPr="00A470B0">
        <w:t xml:space="preserve">(see </w:t>
      </w:r>
      <w:r w:rsidR="00DA3792">
        <w:t>DOSAGE AND ADMINISTRATION</w:t>
      </w:r>
      <w:r w:rsidR="00D712E7">
        <w:t xml:space="preserve"> and PRECAUTIONS</w:t>
      </w:r>
      <w:r w:rsidRPr="00A470B0">
        <w:t>).</w:t>
      </w:r>
      <w:r w:rsidR="00B452B8">
        <w:t xml:space="preserve"> </w:t>
      </w:r>
      <w:r w:rsidRPr="00A470B0">
        <w:t xml:space="preserve"> After administration of </w:t>
      </w:r>
      <w:r w:rsidR="007B26AF">
        <w:t>GIOTRIF</w:t>
      </w:r>
      <w:r w:rsidRPr="00A470B0">
        <w:t xml:space="preserve">, the mean relative bioavailability was 92% (adjusted </w:t>
      </w:r>
      <w:proofErr w:type="spellStart"/>
      <w:r w:rsidRPr="00A470B0">
        <w:t>gMean</w:t>
      </w:r>
      <w:proofErr w:type="spellEnd"/>
      <w:r w:rsidRPr="00A470B0">
        <w:t xml:space="preserve"> ratio of AUC</w:t>
      </w:r>
      <w:r w:rsidRPr="00A470B0">
        <w:rPr>
          <w:vertAlign w:val="subscript"/>
        </w:rPr>
        <w:t>0-∞</w:t>
      </w:r>
      <w:r w:rsidRPr="00A470B0">
        <w:t>) whe</w:t>
      </w:r>
      <w:r>
        <w:t>n compared to an oral solution.</w:t>
      </w:r>
      <w:r w:rsidR="00BC6B83">
        <w:t xml:space="preserve"> The absolute bioavailability of </w:t>
      </w:r>
      <w:proofErr w:type="spellStart"/>
      <w:r w:rsidR="00656E35">
        <w:t>afatinib</w:t>
      </w:r>
      <w:proofErr w:type="spellEnd"/>
      <w:r w:rsidR="00BC6B83">
        <w:t xml:space="preserve"> has not been determined.</w:t>
      </w:r>
    </w:p>
    <w:p w:rsidR="009E17D4" w:rsidRPr="0076607B" w:rsidRDefault="009E17D4" w:rsidP="00FE0783">
      <w:pPr>
        <w:pStyle w:val="PIHeading3"/>
        <w:keepNext/>
        <w:outlineLvl w:val="2"/>
        <w:rPr>
          <w:lang w:eastAsia="en-GB"/>
        </w:rPr>
      </w:pPr>
      <w:r w:rsidRPr="00880816">
        <w:rPr>
          <w:lang w:eastAsia="en-GB"/>
        </w:rPr>
        <w:lastRenderedPageBreak/>
        <w:t>Distribution</w:t>
      </w:r>
    </w:p>
    <w:p w:rsidR="008422C9" w:rsidRDefault="0076607B" w:rsidP="008422C9">
      <w:pPr>
        <w:pStyle w:val="TextPI"/>
      </w:pPr>
      <w:r w:rsidRPr="00A470B0">
        <w:rPr>
          <w:i/>
        </w:rPr>
        <w:t>In vitro</w:t>
      </w:r>
      <w:r w:rsidRPr="00A470B0">
        <w:t xml:space="preserve"> binding of </w:t>
      </w:r>
      <w:proofErr w:type="spellStart"/>
      <w:r w:rsidRPr="00A470B0">
        <w:t>afatinib</w:t>
      </w:r>
      <w:proofErr w:type="spellEnd"/>
      <w:r w:rsidRPr="00A470B0">
        <w:t xml:space="preserve"> to human plasma</w:t>
      </w:r>
      <w:r w:rsidR="009959FE">
        <w:t xml:space="preserve"> proteins is approximately 95%.</w:t>
      </w:r>
    </w:p>
    <w:p w:rsidR="0076607B" w:rsidRPr="00A470B0" w:rsidRDefault="00B452B8" w:rsidP="00A7733E">
      <w:pPr>
        <w:pStyle w:val="PIHeading3"/>
        <w:keepNext/>
        <w:keepLines/>
        <w:outlineLvl w:val="2"/>
      </w:pPr>
      <w:r>
        <w:rPr>
          <w:lang w:eastAsia="en-GB"/>
        </w:rPr>
        <w:t>Metabolism</w:t>
      </w:r>
    </w:p>
    <w:p w:rsidR="0076607B" w:rsidRPr="0003135C" w:rsidRDefault="0076607B" w:rsidP="00A7733E">
      <w:pPr>
        <w:pStyle w:val="TextPI"/>
        <w:keepNext/>
        <w:keepLines/>
      </w:pPr>
      <w:r w:rsidRPr="00A470B0">
        <w:t>Enzyme-</w:t>
      </w:r>
      <w:proofErr w:type="spellStart"/>
      <w:r w:rsidRPr="00A470B0">
        <w:t>cataly</w:t>
      </w:r>
      <w:r w:rsidR="00B452B8">
        <w:t>s</w:t>
      </w:r>
      <w:r w:rsidRPr="00A470B0">
        <w:t>ed</w:t>
      </w:r>
      <w:proofErr w:type="spellEnd"/>
      <w:r w:rsidRPr="00A470B0">
        <w:t xml:space="preserve"> reactions play a </w:t>
      </w:r>
      <w:r w:rsidR="003D480E">
        <w:t xml:space="preserve">minor </w:t>
      </w:r>
      <w:r w:rsidRPr="00A470B0">
        <w:t xml:space="preserve">role </w:t>
      </w:r>
      <w:r w:rsidR="003D480E">
        <w:t xml:space="preserve">in the metabolism of </w:t>
      </w:r>
      <w:proofErr w:type="spellStart"/>
      <w:r w:rsidRPr="00A470B0">
        <w:t>afatinib</w:t>
      </w:r>
      <w:proofErr w:type="spellEnd"/>
      <w:r w:rsidRPr="00A470B0">
        <w:rPr>
          <w:i/>
          <w:iCs/>
        </w:rPr>
        <w:t xml:space="preserve"> in vivo</w:t>
      </w:r>
      <w:r w:rsidRPr="00A470B0">
        <w:t xml:space="preserve">. Covalent adducts to proteins </w:t>
      </w:r>
      <w:r>
        <w:t>are</w:t>
      </w:r>
      <w:r w:rsidRPr="00A470B0">
        <w:t xml:space="preserve"> the major circu</w:t>
      </w:r>
      <w:r>
        <w:t xml:space="preserve">lating metabolites of </w:t>
      </w:r>
      <w:proofErr w:type="spellStart"/>
      <w:r>
        <w:t>afatinib</w:t>
      </w:r>
      <w:proofErr w:type="spellEnd"/>
      <w:r>
        <w:t>.</w:t>
      </w:r>
      <w:r w:rsidR="0003135C">
        <w:t xml:space="preserve"> </w:t>
      </w:r>
      <w:r w:rsidR="0003135C" w:rsidRPr="0003135C">
        <w:t>A</w:t>
      </w:r>
      <w:r w:rsidR="005A7B09">
        <w:t>pproximately 2</w:t>
      </w:r>
      <w:r w:rsidR="0003135C" w:rsidRPr="0003135C">
        <w:t xml:space="preserve">% of the </w:t>
      </w:r>
      <w:proofErr w:type="spellStart"/>
      <w:r w:rsidR="0003135C" w:rsidRPr="0003135C">
        <w:t>afatinib</w:t>
      </w:r>
      <w:proofErr w:type="spellEnd"/>
      <w:r w:rsidR="0003135C" w:rsidRPr="0003135C">
        <w:t xml:space="preserve"> dose was </w:t>
      </w:r>
      <w:proofErr w:type="spellStart"/>
      <w:r w:rsidR="0003135C" w:rsidRPr="0003135C">
        <w:t>metabolised</w:t>
      </w:r>
      <w:proofErr w:type="spellEnd"/>
      <w:r w:rsidR="0003135C" w:rsidRPr="0003135C">
        <w:t xml:space="preserve"> by FMO3 and the CYP3A4-dependent N-</w:t>
      </w:r>
      <w:proofErr w:type="spellStart"/>
      <w:r w:rsidR="0003135C" w:rsidRPr="0003135C">
        <w:t>demethylation</w:t>
      </w:r>
      <w:proofErr w:type="spellEnd"/>
      <w:r w:rsidR="0003135C" w:rsidRPr="0003135C">
        <w:t xml:space="preserve"> was too low to be quantitatively detected.</w:t>
      </w:r>
    </w:p>
    <w:p w:rsidR="00B452B8" w:rsidRPr="00A470B0" w:rsidRDefault="00B452B8" w:rsidP="00FE0783">
      <w:pPr>
        <w:pStyle w:val="PIHeading3"/>
        <w:outlineLvl w:val="2"/>
      </w:pPr>
      <w:r w:rsidRPr="00880816">
        <w:t>Excretion</w:t>
      </w:r>
    </w:p>
    <w:p w:rsidR="0076607B" w:rsidRDefault="0076607B" w:rsidP="008422C9">
      <w:pPr>
        <w:pStyle w:val="TextPI"/>
      </w:pPr>
      <w:r w:rsidRPr="00A470B0">
        <w:t>Following administr</w:t>
      </w:r>
      <w:r>
        <w:t xml:space="preserve">ation of an oral solution of 15 </w:t>
      </w:r>
      <w:r w:rsidRPr="00A470B0">
        <w:t xml:space="preserve">mg </w:t>
      </w:r>
      <w:proofErr w:type="spellStart"/>
      <w:r w:rsidRPr="00A470B0">
        <w:t>afatinib</w:t>
      </w:r>
      <w:proofErr w:type="spellEnd"/>
      <w:r w:rsidRPr="00A470B0">
        <w:t xml:space="preserve">, 85.4% of the dose was recovered in the </w:t>
      </w:r>
      <w:proofErr w:type="spellStart"/>
      <w:r w:rsidRPr="00A470B0">
        <w:t>faeces</w:t>
      </w:r>
      <w:proofErr w:type="spellEnd"/>
      <w:r w:rsidRPr="00A470B0">
        <w:t xml:space="preserve"> and 4.3% in urine. </w:t>
      </w:r>
      <w:r w:rsidR="00B452B8">
        <w:t xml:space="preserve"> </w:t>
      </w:r>
      <w:r w:rsidRPr="00A470B0">
        <w:t xml:space="preserve">The parent compound </w:t>
      </w:r>
      <w:proofErr w:type="spellStart"/>
      <w:r w:rsidRPr="00A470B0">
        <w:t>afatinib</w:t>
      </w:r>
      <w:proofErr w:type="spellEnd"/>
      <w:r w:rsidRPr="00A470B0">
        <w:t xml:space="preserve"> accounted for 88% of the recovered dose. </w:t>
      </w:r>
      <w:r w:rsidR="00B452B8">
        <w:t xml:space="preserve"> </w:t>
      </w:r>
      <w:r w:rsidRPr="00A470B0">
        <w:t>The ap</w:t>
      </w:r>
      <w:r>
        <w:t>parent terminal half</w:t>
      </w:r>
      <w:r w:rsidR="00B452B8">
        <w:t>-</w:t>
      </w:r>
      <w:r>
        <w:t xml:space="preserve">life is 37 </w:t>
      </w:r>
      <w:r w:rsidRPr="00A470B0">
        <w:t xml:space="preserve">hours. </w:t>
      </w:r>
      <w:r w:rsidR="00B452B8">
        <w:t xml:space="preserve"> </w:t>
      </w:r>
      <w:r w:rsidRPr="00A470B0">
        <w:t>Steady state plasma concentrations of</w:t>
      </w:r>
      <w:r>
        <w:t xml:space="preserve"> </w:t>
      </w:r>
      <w:proofErr w:type="spellStart"/>
      <w:r>
        <w:t>afatinib</w:t>
      </w:r>
      <w:proofErr w:type="spellEnd"/>
      <w:r>
        <w:t xml:space="preserve"> are achieved within 8 </w:t>
      </w:r>
      <w:r w:rsidRPr="00A470B0">
        <w:t xml:space="preserve">days of multiple dosing of </w:t>
      </w:r>
      <w:proofErr w:type="spellStart"/>
      <w:r w:rsidRPr="00A470B0">
        <w:t>afatinib</w:t>
      </w:r>
      <w:proofErr w:type="spellEnd"/>
      <w:r w:rsidRPr="00A470B0">
        <w:t xml:space="preserve"> resulting in an accumulation of 2.77-fold (AUC) and 2.11-fold (</w:t>
      </w:r>
      <w:proofErr w:type="spellStart"/>
      <w:r w:rsidRPr="00A470B0">
        <w:t>C</w:t>
      </w:r>
      <w:r w:rsidRPr="00A470B0">
        <w:rPr>
          <w:vertAlign w:val="subscript"/>
        </w:rPr>
        <w:t>max</w:t>
      </w:r>
      <w:proofErr w:type="spellEnd"/>
      <w:r>
        <w:t>).</w:t>
      </w:r>
    </w:p>
    <w:p w:rsidR="00BA2266" w:rsidRPr="00A470B0" w:rsidRDefault="00BA2266" w:rsidP="00FE0783">
      <w:pPr>
        <w:pStyle w:val="PIHeading3"/>
        <w:outlineLvl w:val="2"/>
      </w:pPr>
      <w:r w:rsidRPr="00A470B0">
        <w:t>Renal impairment</w:t>
      </w:r>
    </w:p>
    <w:p w:rsidR="00BA2266" w:rsidRPr="00A470B0" w:rsidRDefault="00BA2266" w:rsidP="00BA2266">
      <w:pPr>
        <w:pStyle w:val="TextPI"/>
      </w:pPr>
      <w:r w:rsidRPr="00A470B0">
        <w:t xml:space="preserve">Less than 5% of a single dose of </w:t>
      </w:r>
      <w:proofErr w:type="spellStart"/>
      <w:r w:rsidRPr="00A470B0">
        <w:t>afatinib</w:t>
      </w:r>
      <w:proofErr w:type="spellEnd"/>
      <w:r w:rsidRPr="00A470B0">
        <w:t xml:space="preserve"> is excreted via the kidneys. </w:t>
      </w:r>
      <w:r w:rsidR="00B452B8">
        <w:t xml:space="preserve"> </w:t>
      </w:r>
      <w:r w:rsidRPr="00A470B0">
        <w:t xml:space="preserve">The safety, pharmacokinetics and efficacy of </w:t>
      </w:r>
      <w:r w:rsidR="007B26AF">
        <w:t>GIOTRIF</w:t>
      </w:r>
      <w:r w:rsidRPr="00A470B0">
        <w:rPr>
          <w:bCs/>
        </w:rPr>
        <w:t xml:space="preserve"> </w:t>
      </w:r>
      <w:r w:rsidRPr="00A470B0">
        <w:t xml:space="preserve">have not been studied specifically in patients with renal impairment. </w:t>
      </w:r>
      <w:r w:rsidR="00B452B8">
        <w:t xml:space="preserve"> </w:t>
      </w:r>
      <w:r w:rsidRPr="00A470B0">
        <w:t xml:space="preserve">Based on population pharmacokinetic data derived from clinical trials in various </w:t>
      </w:r>
      <w:proofErr w:type="spellStart"/>
      <w:r w:rsidRPr="00A470B0">
        <w:t>tumour</w:t>
      </w:r>
      <w:proofErr w:type="spellEnd"/>
      <w:r w:rsidRPr="00A470B0">
        <w:t xml:space="preserve"> types</w:t>
      </w:r>
      <w:r>
        <w:t>,</w:t>
      </w:r>
      <w:r w:rsidRPr="00A470B0">
        <w:t xml:space="preserve"> no dose adjustments appear necessary in patients with mild or moderate renal impairment (see </w:t>
      </w:r>
      <w:r w:rsidRPr="00F27B90">
        <w:t>Population pharmacokinetic analysis in special populations below</w:t>
      </w:r>
      <w:r w:rsidR="00AC7426">
        <w:t>,</w:t>
      </w:r>
      <w:r w:rsidRPr="00F27B90">
        <w:t xml:space="preserve"> </w:t>
      </w:r>
      <w:r w:rsidRPr="00090C2A">
        <w:t xml:space="preserve">and </w:t>
      </w:r>
      <w:r w:rsidR="00DA3792" w:rsidRPr="00090C2A">
        <w:t>DOSAGE AND ADMINISTRATION</w:t>
      </w:r>
      <w:r w:rsidRPr="00A470B0">
        <w:t>)</w:t>
      </w:r>
      <w:r w:rsidR="00B136AA">
        <w:t>.</w:t>
      </w:r>
    </w:p>
    <w:p w:rsidR="00BA2266" w:rsidRPr="00A470B0" w:rsidRDefault="00BA2266" w:rsidP="00FE0783">
      <w:pPr>
        <w:pStyle w:val="PIHeading3"/>
        <w:outlineLvl w:val="2"/>
      </w:pPr>
      <w:r w:rsidRPr="00A470B0">
        <w:t>Hepatic impairment</w:t>
      </w:r>
    </w:p>
    <w:p w:rsidR="00BA2266" w:rsidRPr="00A470B0" w:rsidRDefault="00BA2266" w:rsidP="00D64C2D">
      <w:pPr>
        <w:pStyle w:val="TextPI"/>
        <w:rPr>
          <w:i/>
          <w:iCs/>
          <w:u w:val="single"/>
        </w:rPr>
      </w:pPr>
      <w:proofErr w:type="spellStart"/>
      <w:r w:rsidRPr="00A470B0">
        <w:t>Afatinib</w:t>
      </w:r>
      <w:proofErr w:type="spellEnd"/>
      <w:r w:rsidRPr="00A470B0">
        <w:t xml:space="preserve"> is eliminated mainly by biliary/</w:t>
      </w:r>
      <w:proofErr w:type="spellStart"/>
      <w:r w:rsidRPr="00A470B0">
        <w:t>faecal</w:t>
      </w:r>
      <w:proofErr w:type="spellEnd"/>
      <w:r w:rsidRPr="00A470B0">
        <w:t xml:space="preserve"> excretion. Subjects with mild (Child Pugh A) or moderate (Child Pugh B) hepatic impairment had similar exposure in comparison to healthy volunteer</w:t>
      </w:r>
      <w:r w:rsidR="00B136AA">
        <w:t xml:space="preserve">s following a single dose of 50 </w:t>
      </w:r>
      <w:r w:rsidRPr="00A470B0">
        <w:t xml:space="preserve">mg </w:t>
      </w:r>
      <w:r w:rsidR="007B26AF">
        <w:t>GIOTRIF</w:t>
      </w:r>
      <w:r w:rsidRPr="00A470B0">
        <w:t xml:space="preserve">. </w:t>
      </w:r>
      <w:r w:rsidR="00B452B8">
        <w:t xml:space="preserve"> </w:t>
      </w:r>
      <w:r w:rsidRPr="00A470B0">
        <w:t>This is consistent with</w:t>
      </w:r>
      <w:r>
        <w:t xml:space="preserve"> </w:t>
      </w:r>
      <w:r w:rsidRPr="00A470B0">
        <w:t xml:space="preserve">population pharmacokinetic data derived from clinical trials in various </w:t>
      </w:r>
      <w:proofErr w:type="spellStart"/>
      <w:r w:rsidRPr="00A470B0">
        <w:t>tumour</w:t>
      </w:r>
      <w:proofErr w:type="spellEnd"/>
      <w:r w:rsidRPr="00A470B0">
        <w:t xml:space="preserve"> types (see Population pharmacokinetic analysis </w:t>
      </w:r>
      <w:r w:rsidR="00AC7426">
        <w:t>in special populations</w:t>
      </w:r>
      <w:r>
        <w:t xml:space="preserve"> </w:t>
      </w:r>
      <w:r w:rsidR="00B136AA">
        <w:t>below).</w:t>
      </w:r>
      <w:r w:rsidRPr="00A470B0">
        <w:t xml:space="preserve"> </w:t>
      </w:r>
      <w:r w:rsidR="00B452B8">
        <w:t xml:space="preserve"> </w:t>
      </w:r>
      <w:r w:rsidRPr="00A470B0">
        <w:t>No starting dose adjustments appear necessary in patients with mild or moderate hepatic impairment</w:t>
      </w:r>
      <w:r>
        <w:t xml:space="preserve"> (see </w:t>
      </w:r>
      <w:r w:rsidR="00DA3792">
        <w:t>DOSAGE AND ADMINISTRATION</w:t>
      </w:r>
      <w:r>
        <w:t>)</w:t>
      </w:r>
      <w:r w:rsidRPr="00A470B0">
        <w:t xml:space="preserve">. </w:t>
      </w:r>
      <w:r w:rsidR="00B452B8">
        <w:t xml:space="preserve"> </w:t>
      </w:r>
      <w:r w:rsidR="00EC2550" w:rsidRPr="00B452B8">
        <w:t xml:space="preserve">The pharmacokinetics of </w:t>
      </w:r>
      <w:proofErr w:type="spellStart"/>
      <w:r w:rsidR="00EC2550" w:rsidRPr="00B452B8">
        <w:t>afatinib</w:t>
      </w:r>
      <w:proofErr w:type="spellEnd"/>
      <w:r w:rsidR="00EC2550" w:rsidRPr="00B452B8">
        <w:t xml:space="preserve"> had not been studied in subjects with severe (Child Pugh C) hepatic dysfunction</w:t>
      </w:r>
      <w:r w:rsidR="000E7B19">
        <w:t xml:space="preserve"> (see PRECAUTIONS</w:t>
      </w:r>
      <w:r>
        <w:t>)</w:t>
      </w:r>
      <w:r w:rsidR="00F27B90">
        <w:t>.</w:t>
      </w:r>
    </w:p>
    <w:p w:rsidR="009A05C9" w:rsidRPr="00D74938" w:rsidRDefault="009A05C9" w:rsidP="00E90C75">
      <w:pPr>
        <w:pStyle w:val="PIHeading3"/>
        <w:outlineLvl w:val="2"/>
        <w:rPr>
          <w:iCs/>
        </w:rPr>
      </w:pPr>
      <w:r w:rsidRPr="00D74938">
        <w:t>Population pharmacokinetic analysis in special populations</w:t>
      </w:r>
    </w:p>
    <w:p w:rsidR="009A05C9" w:rsidRPr="00A470B0" w:rsidRDefault="009A05C9" w:rsidP="009A05C9">
      <w:pPr>
        <w:pStyle w:val="TextPI"/>
      </w:pPr>
      <w:r w:rsidRPr="00A470B0">
        <w:t>A population pharmacokineti</w:t>
      </w:r>
      <w:r>
        <w:t xml:space="preserve">c analysis was performed in 927 </w:t>
      </w:r>
      <w:r w:rsidRPr="00A470B0">
        <w:t xml:space="preserve">cancer patients (764 with NSCLC) receiving </w:t>
      </w:r>
      <w:r w:rsidR="007B26AF">
        <w:t>GIOTRIF</w:t>
      </w:r>
      <w:r w:rsidRPr="00A470B0">
        <w:t xml:space="preserve"> </w:t>
      </w:r>
      <w:proofErr w:type="spellStart"/>
      <w:r w:rsidRPr="00A470B0">
        <w:t>monotherapy</w:t>
      </w:r>
      <w:proofErr w:type="spellEnd"/>
      <w:r w:rsidRPr="00A470B0">
        <w:t>.</w:t>
      </w:r>
      <w:r w:rsidR="00B452B8">
        <w:t xml:space="preserve"> </w:t>
      </w:r>
      <w:r w:rsidRPr="00A470B0">
        <w:t xml:space="preserve"> No starting dose adjustment is considered necessary for any of the following covariates tested</w:t>
      </w:r>
      <w:r w:rsidRPr="00A470B0">
        <w:rPr>
          <w:lang w:bidi="ml-IN"/>
        </w:rPr>
        <w:t>.</w:t>
      </w:r>
    </w:p>
    <w:p w:rsidR="009A05C9" w:rsidRPr="00A470B0" w:rsidRDefault="009A05C9" w:rsidP="00E90C75">
      <w:pPr>
        <w:pStyle w:val="PIheading4"/>
        <w:outlineLvl w:val="3"/>
      </w:pPr>
      <w:r w:rsidRPr="00A470B0">
        <w:t>Age</w:t>
      </w:r>
    </w:p>
    <w:p w:rsidR="009A05C9" w:rsidRPr="00A470B0" w:rsidRDefault="009A05C9" w:rsidP="009A05C9">
      <w:pPr>
        <w:pStyle w:val="TextPI"/>
      </w:pPr>
      <w:r w:rsidRPr="00A470B0">
        <w:t>No signi</w:t>
      </w:r>
      <w:r>
        <w:t>ficant impact of age (range: 28</w:t>
      </w:r>
      <w:r>
        <w:noBreakHyphen/>
        <w:t xml:space="preserve">87 </w:t>
      </w:r>
      <w:r w:rsidRPr="00A470B0">
        <w:t>years) on the pharmacokinetics</w:t>
      </w:r>
      <w:r>
        <w:t xml:space="preserve"> of </w:t>
      </w:r>
      <w:proofErr w:type="spellStart"/>
      <w:r>
        <w:t>afatinib</w:t>
      </w:r>
      <w:proofErr w:type="spellEnd"/>
      <w:r>
        <w:t xml:space="preserve"> could be observed.</w:t>
      </w:r>
    </w:p>
    <w:p w:rsidR="009A05C9" w:rsidRPr="00A470B0" w:rsidRDefault="009A05C9" w:rsidP="00B61C71">
      <w:pPr>
        <w:pStyle w:val="PIheading4"/>
      </w:pPr>
      <w:r w:rsidRPr="00A470B0">
        <w:t>Body weight</w:t>
      </w:r>
    </w:p>
    <w:p w:rsidR="009A05C9" w:rsidRPr="00A470B0" w:rsidRDefault="009A05C9" w:rsidP="009A05C9">
      <w:pPr>
        <w:pStyle w:val="TextPI"/>
      </w:pPr>
      <w:r w:rsidRPr="00A470B0">
        <w:t>Plasma exposure (</w:t>
      </w:r>
      <w:proofErr w:type="spellStart"/>
      <w:r w:rsidRPr="00A470B0">
        <w:t>AUC</w:t>
      </w:r>
      <w:r w:rsidRPr="00A470B0">
        <w:rPr>
          <w:vertAlign w:val="subscript"/>
        </w:rPr>
        <w:t>τ</w:t>
      </w:r>
      <w:proofErr w:type="gramStart"/>
      <w:r w:rsidRPr="00A470B0">
        <w:rPr>
          <w:vertAlign w:val="subscript"/>
        </w:rPr>
        <w:t>,ss</w:t>
      </w:r>
      <w:proofErr w:type="spellEnd"/>
      <w:proofErr w:type="gramEnd"/>
      <w:r w:rsidRPr="00A470B0">
        <w:t>) was increased by 26</w:t>
      </w:r>
      <w:r>
        <w:t xml:space="preserve">% for a 42 </w:t>
      </w:r>
      <w:r w:rsidRPr="00A470B0">
        <w:t>kg patient (2.5th percentile) and decreased by 22% for a 95</w:t>
      </w:r>
      <w:r>
        <w:t xml:space="preserve"> </w:t>
      </w:r>
      <w:r w:rsidRPr="00A470B0">
        <w:t>kg patient (97.5th percentile) re</w:t>
      </w:r>
      <w:r>
        <w:t xml:space="preserve">lative to a patient weighing 62 </w:t>
      </w:r>
      <w:r w:rsidRPr="00A470B0">
        <w:t>kg (</w:t>
      </w:r>
      <w:r>
        <w:t xml:space="preserve">median body weight of patients </w:t>
      </w:r>
      <w:r w:rsidRPr="00A470B0">
        <w:t>in the overall patient population</w:t>
      </w:r>
      <w:r>
        <w:t>).</w:t>
      </w:r>
    </w:p>
    <w:p w:rsidR="009A05C9" w:rsidRPr="00A470B0" w:rsidRDefault="009A05C9" w:rsidP="00E90C75">
      <w:pPr>
        <w:pStyle w:val="PIheading4"/>
        <w:outlineLvl w:val="3"/>
      </w:pPr>
      <w:r w:rsidRPr="00A470B0">
        <w:t>Gender</w:t>
      </w:r>
    </w:p>
    <w:p w:rsidR="009A05C9" w:rsidRPr="00A470B0" w:rsidRDefault="009A05C9" w:rsidP="009A05C9">
      <w:pPr>
        <w:pStyle w:val="TextPI"/>
      </w:pPr>
      <w:r w:rsidRPr="00A470B0">
        <w:lastRenderedPageBreak/>
        <w:t>Female patients had a 15% higher plasma exposure (</w:t>
      </w:r>
      <w:proofErr w:type="spellStart"/>
      <w:r w:rsidRPr="00A470B0">
        <w:t>AUC</w:t>
      </w:r>
      <w:r w:rsidRPr="00A470B0">
        <w:rPr>
          <w:vertAlign w:val="subscript"/>
        </w:rPr>
        <w:t>τ</w:t>
      </w:r>
      <w:proofErr w:type="gramStart"/>
      <w:r w:rsidRPr="00A470B0">
        <w:rPr>
          <w:vertAlign w:val="subscript"/>
        </w:rPr>
        <w:t>,ss</w:t>
      </w:r>
      <w:proofErr w:type="spellEnd"/>
      <w:proofErr w:type="gramEnd"/>
      <w:r w:rsidRPr="00A470B0">
        <w:t>, body weight</w:t>
      </w:r>
      <w:r>
        <w:t xml:space="preserve"> corrected) than male patients.</w:t>
      </w:r>
    </w:p>
    <w:p w:rsidR="00634430" w:rsidRPr="00A470B0" w:rsidRDefault="00634430" w:rsidP="00C43112">
      <w:pPr>
        <w:pStyle w:val="PIheading4"/>
        <w:keepNext/>
        <w:keepLines/>
        <w:outlineLvl w:val="3"/>
      </w:pPr>
      <w:r w:rsidRPr="00A470B0">
        <w:t>Race</w:t>
      </w:r>
    </w:p>
    <w:p w:rsidR="00634430" w:rsidRPr="00A470B0" w:rsidRDefault="00634430" w:rsidP="00C43112">
      <w:pPr>
        <w:pStyle w:val="TextPI"/>
        <w:keepNext/>
        <w:keepLines/>
      </w:pPr>
      <w:r w:rsidRPr="00A470B0">
        <w:t xml:space="preserve">There was no statistically significant difference in </w:t>
      </w:r>
      <w:proofErr w:type="spellStart"/>
      <w:r w:rsidRPr="00A470B0">
        <w:t>afatinib</w:t>
      </w:r>
      <w:proofErr w:type="spellEnd"/>
      <w:r w:rsidRPr="00A470B0">
        <w:t xml:space="preserve"> pharmacokinetics between Asian and Caucasian patients. </w:t>
      </w:r>
      <w:r w:rsidR="00B650C9">
        <w:t xml:space="preserve"> </w:t>
      </w:r>
      <w:r w:rsidRPr="00A470B0">
        <w:t>Also no obvious difference in pharmacokinetics for American Indian/Alaska native or Black patients could be detected based on the limited data available in these populations</w:t>
      </w:r>
      <w:r>
        <w:t xml:space="preserve"> (6 and 9 out of 927 </w:t>
      </w:r>
      <w:r w:rsidRPr="00A470B0">
        <w:t xml:space="preserve">patients included </w:t>
      </w:r>
      <w:r>
        <w:t>in the analysis, respectively).</w:t>
      </w:r>
    </w:p>
    <w:p w:rsidR="00634430" w:rsidRPr="00A470B0" w:rsidRDefault="00634430" w:rsidP="00E90C75">
      <w:pPr>
        <w:pStyle w:val="PIheading4"/>
        <w:keepNext/>
        <w:outlineLvl w:val="3"/>
      </w:pPr>
      <w:r w:rsidRPr="00A470B0">
        <w:t>Renal impairment</w:t>
      </w:r>
    </w:p>
    <w:p w:rsidR="00634430" w:rsidRPr="00A470B0" w:rsidRDefault="00634430" w:rsidP="00A93ACC">
      <w:pPr>
        <w:pStyle w:val="TextPI"/>
        <w:keepNext/>
        <w:keepLines/>
      </w:pPr>
      <w:r w:rsidRPr="00A470B0">
        <w:t xml:space="preserve">Exposure to </w:t>
      </w:r>
      <w:r w:rsidR="007B26AF">
        <w:t>GIOTRIF</w:t>
      </w:r>
      <w:r w:rsidRPr="00A470B0">
        <w:t xml:space="preserve"> moderately increased with lowering the creatinine clearance (</w:t>
      </w:r>
      <w:proofErr w:type="spellStart"/>
      <w:r w:rsidRPr="00A470B0">
        <w:t>CrCL</w:t>
      </w:r>
      <w:proofErr w:type="spellEnd"/>
      <w:r w:rsidRPr="00A470B0">
        <w:t xml:space="preserve">), i.e. for a patient with a </w:t>
      </w:r>
      <w:proofErr w:type="spellStart"/>
      <w:r w:rsidRPr="00A470B0">
        <w:t>CrCL</w:t>
      </w:r>
      <w:proofErr w:type="spellEnd"/>
      <w:r w:rsidRPr="00A470B0">
        <w:t xml:space="preserve"> of 60 or 30</w:t>
      </w:r>
      <w:r>
        <w:t xml:space="preserve"> </w:t>
      </w:r>
      <w:r w:rsidRPr="00A470B0">
        <w:t>mL/min exposure (</w:t>
      </w:r>
      <w:proofErr w:type="spellStart"/>
      <w:r w:rsidRPr="00A470B0">
        <w:t>AUC</w:t>
      </w:r>
      <w:r w:rsidRPr="00A470B0">
        <w:rPr>
          <w:vertAlign w:val="subscript"/>
        </w:rPr>
        <w:t>τ</w:t>
      </w:r>
      <w:proofErr w:type="gramStart"/>
      <w:r w:rsidRPr="00A470B0">
        <w:rPr>
          <w:vertAlign w:val="subscript"/>
        </w:rPr>
        <w:t>,ss</w:t>
      </w:r>
      <w:proofErr w:type="spellEnd"/>
      <w:proofErr w:type="gramEnd"/>
      <w:r w:rsidRPr="00A470B0">
        <w:t xml:space="preserve">) to </w:t>
      </w:r>
      <w:proofErr w:type="spellStart"/>
      <w:r w:rsidRPr="00A470B0">
        <w:t>afatinib</w:t>
      </w:r>
      <w:proofErr w:type="spellEnd"/>
      <w:r w:rsidRPr="00A470B0">
        <w:t xml:space="preserve"> increased by 13% and 42%, respectively, and decreased by 6% and 20</w:t>
      </w:r>
      <w:r>
        <w:t xml:space="preserve">% for a patient with </w:t>
      </w:r>
      <w:proofErr w:type="spellStart"/>
      <w:r>
        <w:t>CrCL</w:t>
      </w:r>
      <w:proofErr w:type="spellEnd"/>
      <w:r>
        <w:t xml:space="preserve"> of 90 </w:t>
      </w:r>
      <w:r w:rsidRPr="00A470B0">
        <w:t>or 120</w:t>
      </w:r>
      <w:r>
        <w:t xml:space="preserve"> </w:t>
      </w:r>
      <w:r w:rsidRPr="00A470B0">
        <w:t xml:space="preserve">mL/min, respectively, compared to a patient with the </w:t>
      </w:r>
      <w:proofErr w:type="spellStart"/>
      <w:r w:rsidRPr="00A470B0">
        <w:t>CrCL</w:t>
      </w:r>
      <w:proofErr w:type="spellEnd"/>
      <w:r w:rsidRPr="00A470B0">
        <w:t xml:space="preserve"> of 79</w:t>
      </w:r>
      <w:r>
        <w:t xml:space="preserve"> </w:t>
      </w:r>
      <w:r w:rsidRPr="00A470B0">
        <w:t xml:space="preserve">mL/min (median </w:t>
      </w:r>
      <w:proofErr w:type="spellStart"/>
      <w:r w:rsidRPr="00A470B0">
        <w:t>CrCL</w:t>
      </w:r>
      <w:proofErr w:type="spellEnd"/>
      <w:r w:rsidRPr="00A470B0">
        <w:t xml:space="preserve"> of patients in the overall patient population</w:t>
      </w:r>
      <w:r>
        <w:t xml:space="preserve"> </w:t>
      </w:r>
      <w:proofErr w:type="spellStart"/>
      <w:r>
        <w:t>analysed</w:t>
      </w:r>
      <w:proofErr w:type="spellEnd"/>
      <w:r>
        <w:t>).</w:t>
      </w:r>
    </w:p>
    <w:p w:rsidR="00634430" w:rsidRPr="00A470B0" w:rsidRDefault="00634430" w:rsidP="00E90C75">
      <w:pPr>
        <w:pStyle w:val="PIheading4"/>
        <w:outlineLvl w:val="3"/>
      </w:pPr>
      <w:r w:rsidRPr="00A470B0">
        <w:t>Hepatic impairment</w:t>
      </w:r>
    </w:p>
    <w:p w:rsidR="00634430" w:rsidRPr="00A470B0" w:rsidRDefault="00634430" w:rsidP="00634430">
      <w:pPr>
        <w:pStyle w:val="TextPI"/>
        <w:rPr>
          <w:i/>
        </w:rPr>
      </w:pPr>
      <w:r w:rsidRPr="00A470B0">
        <w:t xml:space="preserve">Patients with mild and moderate hepatic impairment as identified by abnormal liver tests did not correlate with any significant change in </w:t>
      </w:r>
      <w:proofErr w:type="spellStart"/>
      <w:r w:rsidRPr="00A470B0">
        <w:t>afatinib</w:t>
      </w:r>
      <w:proofErr w:type="spellEnd"/>
      <w:r w:rsidRPr="00A470B0">
        <w:t xml:space="preserve"> exposure.</w:t>
      </w:r>
    </w:p>
    <w:p w:rsidR="00634430" w:rsidRPr="00A470B0" w:rsidRDefault="00634430" w:rsidP="00E90C75">
      <w:pPr>
        <w:pStyle w:val="PIheading4"/>
        <w:outlineLvl w:val="3"/>
      </w:pPr>
      <w:r w:rsidRPr="00A470B0">
        <w:t>Other patient characteristics/intrinsic factors</w:t>
      </w:r>
    </w:p>
    <w:p w:rsidR="00634430" w:rsidRPr="00A470B0" w:rsidRDefault="00634430" w:rsidP="00581FBE">
      <w:pPr>
        <w:pStyle w:val="TextPI"/>
        <w:keepNext/>
        <w:keepLines/>
      </w:pPr>
      <w:r w:rsidRPr="00A470B0">
        <w:t xml:space="preserve">Other patient characteristics/intrinsic factors found with a significant impact on </w:t>
      </w:r>
      <w:proofErr w:type="spellStart"/>
      <w:r w:rsidRPr="00A470B0">
        <w:t>afatinib</w:t>
      </w:r>
      <w:proofErr w:type="spellEnd"/>
      <w:r w:rsidRPr="00A470B0">
        <w:t xml:space="preserve"> exposure were: ECOG performance score, lactate dehydrogenase levels, alkaline </w:t>
      </w:r>
      <w:r w:rsidR="00F63D60" w:rsidRPr="00A470B0">
        <w:t>phosphatase</w:t>
      </w:r>
      <w:r w:rsidRPr="00A470B0">
        <w:t xml:space="preserve"> levels and total protein. </w:t>
      </w:r>
      <w:r w:rsidR="00B650C9">
        <w:t xml:space="preserve"> </w:t>
      </w:r>
      <w:r w:rsidRPr="00A470B0">
        <w:t>The individual effect sizes of these covariates were considered not clinically relevant.</w:t>
      </w:r>
    </w:p>
    <w:p w:rsidR="00634430" w:rsidRDefault="00634430" w:rsidP="00D64C2D">
      <w:pPr>
        <w:pStyle w:val="TextPI"/>
      </w:pPr>
      <w:r w:rsidRPr="00A470B0">
        <w:t>Smoking history, alcohol consumption, or presence of liver metastases had no significant impact on th</w:t>
      </w:r>
      <w:r>
        <w:t xml:space="preserve">e pharmacokinetics of </w:t>
      </w:r>
      <w:proofErr w:type="spellStart"/>
      <w:r>
        <w:t>afatinib</w:t>
      </w:r>
      <w:proofErr w:type="spellEnd"/>
      <w:r>
        <w:t>.</w:t>
      </w:r>
    </w:p>
    <w:p w:rsidR="004E1784" w:rsidRPr="00D74938" w:rsidDel="00BC6B83" w:rsidRDefault="00D74938" w:rsidP="00E90C75">
      <w:pPr>
        <w:pStyle w:val="PIHeading3"/>
        <w:outlineLvl w:val="2"/>
      </w:pPr>
      <w:r w:rsidRPr="00D74938" w:rsidDel="00BC6B83">
        <w:rPr>
          <w:lang w:eastAsia="en-AU"/>
        </w:rPr>
        <w:t>Pharmacokinetic D</w:t>
      </w:r>
      <w:r w:rsidR="004E1784" w:rsidRPr="00D74938" w:rsidDel="00BC6B83">
        <w:rPr>
          <w:lang w:eastAsia="en-AU"/>
        </w:rPr>
        <w:t xml:space="preserve">rug </w:t>
      </w:r>
      <w:r w:rsidRPr="00D74938" w:rsidDel="00BC6B83">
        <w:rPr>
          <w:lang w:eastAsia="en-AU"/>
        </w:rPr>
        <w:t>I</w:t>
      </w:r>
      <w:r w:rsidR="004E1784" w:rsidRPr="00D74938" w:rsidDel="00BC6B83">
        <w:rPr>
          <w:lang w:eastAsia="en-AU"/>
        </w:rPr>
        <w:t>nteractions</w:t>
      </w:r>
    </w:p>
    <w:p w:rsidR="004E1784" w:rsidRPr="00A470B0" w:rsidDel="00BC6B83" w:rsidRDefault="004E1784" w:rsidP="00E90C75">
      <w:pPr>
        <w:pStyle w:val="PIheading4"/>
        <w:outlineLvl w:val="3"/>
      </w:pPr>
      <w:r w:rsidRPr="00A470B0" w:rsidDel="00BC6B83">
        <w:t xml:space="preserve">Drug </w:t>
      </w:r>
      <w:r w:rsidR="00B61C71" w:rsidDel="00BC6B83">
        <w:t>T</w:t>
      </w:r>
      <w:r w:rsidRPr="0033660D" w:rsidDel="00BC6B83">
        <w:t>ransporters</w:t>
      </w:r>
      <w:r w:rsidRPr="00A470B0" w:rsidDel="00BC6B83">
        <w:t>:</w:t>
      </w:r>
    </w:p>
    <w:p w:rsidR="004E1784" w:rsidRPr="0033660D" w:rsidDel="00BC6B83" w:rsidRDefault="004E1784" w:rsidP="00E90C75">
      <w:pPr>
        <w:pStyle w:val="PIheading4"/>
        <w:outlineLvl w:val="4"/>
        <w:rPr>
          <w:u w:val="single"/>
        </w:rPr>
      </w:pPr>
      <w:r w:rsidRPr="0033660D" w:rsidDel="00BC6B83">
        <w:rPr>
          <w:u w:val="single"/>
        </w:rPr>
        <w:t>P-glycoprotein (P-</w:t>
      </w:r>
      <w:proofErr w:type="spellStart"/>
      <w:r w:rsidRPr="0033660D" w:rsidDel="00BC6B83">
        <w:rPr>
          <w:u w:val="single"/>
        </w:rPr>
        <w:t>gp</w:t>
      </w:r>
      <w:proofErr w:type="spellEnd"/>
      <w:r w:rsidRPr="0033660D" w:rsidDel="00BC6B83">
        <w:rPr>
          <w:u w:val="single"/>
        </w:rPr>
        <w:t>)</w:t>
      </w:r>
    </w:p>
    <w:p w:rsidR="004E1784" w:rsidRPr="00A470B0" w:rsidDel="00BC6B83" w:rsidRDefault="004E1784" w:rsidP="00E90C75">
      <w:pPr>
        <w:pStyle w:val="PIheading4"/>
        <w:outlineLvl w:val="5"/>
      </w:pPr>
      <w:r w:rsidRPr="00A470B0" w:rsidDel="00BC6B83">
        <w:t>Effect of P-</w:t>
      </w:r>
      <w:proofErr w:type="spellStart"/>
      <w:r w:rsidRPr="00A470B0" w:rsidDel="00BC6B83">
        <w:t>gp</w:t>
      </w:r>
      <w:proofErr w:type="spellEnd"/>
      <w:r w:rsidRPr="00A470B0" w:rsidDel="00BC6B83">
        <w:t xml:space="preserve"> inhibitors and inducers on </w:t>
      </w:r>
      <w:proofErr w:type="spellStart"/>
      <w:r w:rsidRPr="00A470B0" w:rsidDel="00BC6B83">
        <w:t>afatinib</w:t>
      </w:r>
      <w:proofErr w:type="spellEnd"/>
    </w:p>
    <w:p w:rsidR="004E1784" w:rsidRPr="00880816" w:rsidDel="00BC6B83" w:rsidRDefault="004E1784" w:rsidP="004E1784">
      <w:pPr>
        <w:pStyle w:val="TextPI"/>
      </w:pPr>
      <w:r w:rsidRPr="00A470B0" w:rsidDel="00BC6B83">
        <w:t xml:space="preserve">Two </w:t>
      </w:r>
      <w:r w:rsidDel="00BC6B83">
        <w:t>trials</w:t>
      </w:r>
      <w:r w:rsidRPr="00A470B0" w:rsidDel="00BC6B83">
        <w:t xml:space="preserve"> were conducted to assess the effect of ritonavir, a potent inhibitor of P-</w:t>
      </w:r>
      <w:proofErr w:type="spellStart"/>
      <w:r w:rsidRPr="00A470B0" w:rsidDel="00BC6B83">
        <w:t>gp</w:t>
      </w:r>
      <w:proofErr w:type="spellEnd"/>
      <w:r w:rsidRPr="00A470B0" w:rsidDel="00BC6B83">
        <w:t>, on the</w:t>
      </w:r>
      <w:r w:rsidDel="00BC6B83">
        <w:t xml:space="preserve"> pharmacokinetics of </w:t>
      </w:r>
      <w:proofErr w:type="spellStart"/>
      <w:r w:rsidDel="00BC6B83">
        <w:t>afatinib</w:t>
      </w:r>
      <w:proofErr w:type="spellEnd"/>
      <w:r w:rsidDel="00BC6B83">
        <w:t xml:space="preserve">.  </w:t>
      </w:r>
      <w:r w:rsidRPr="00A470B0" w:rsidDel="00BC6B83">
        <w:t xml:space="preserve">In one </w:t>
      </w:r>
      <w:r w:rsidDel="00BC6B83">
        <w:t>trial</w:t>
      </w:r>
      <w:r w:rsidRPr="00A470B0" w:rsidDel="00BC6B83">
        <w:t xml:space="preserve">, the relative </w:t>
      </w:r>
      <w:r w:rsidRPr="00880816" w:rsidDel="00BC6B83">
        <w:t xml:space="preserve">bioavailability of </w:t>
      </w:r>
      <w:proofErr w:type="spellStart"/>
      <w:r w:rsidRPr="00880816" w:rsidDel="00BC6B83">
        <w:t>afatinib</w:t>
      </w:r>
      <w:proofErr w:type="spellEnd"/>
      <w:r w:rsidRPr="00880816" w:rsidDel="00BC6B83">
        <w:t xml:space="preserve"> was investigated when ritonavir (200 mg </w:t>
      </w:r>
      <w:proofErr w:type="spellStart"/>
      <w:r w:rsidRPr="00880816" w:rsidDel="00BC6B83">
        <w:t>b.i.d</w:t>
      </w:r>
      <w:proofErr w:type="spellEnd"/>
      <w:r w:rsidRPr="00880816" w:rsidDel="00BC6B83">
        <w:t xml:space="preserve">. for 3 days) was given either simultaneously or 6 hours after a single dose of 40 mg </w:t>
      </w:r>
      <w:r w:rsidR="007B26AF">
        <w:t>GIOTRIF</w:t>
      </w:r>
      <w:r w:rsidRPr="00880816" w:rsidDel="00BC6B83">
        <w:t xml:space="preserve">.  The relative bioavailability of </w:t>
      </w:r>
      <w:proofErr w:type="spellStart"/>
      <w:r w:rsidRPr="00880816" w:rsidDel="00BC6B83">
        <w:t>afatinib</w:t>
      </w:r>
      <w:proofErr w:type="spellEnd"/>
      <w:r w:rsidRPr="00880816" w:rsidDel="00BC6B83">
        <w:t xml:space="preserve"> was 119% (AUC</w:t>
      </w:r>
      <w:r w:rsidRPr="00880816" w:rsidDel="00BC6B83">
        <w:rPr>
          <w:vertAlign w:val="subscript"/>
        </w:rPr>
        <w:t>0-∞</w:t>
      </w:r>
      <w:r w:rsidRPr="00880816" w:rsidDel="00BC6B83">
        <w:t>) and 104% (</w:t>
      </w:r>
      <w:proofErr w:type="spellStart"/>
      <w:r w:rsidRPr="00880816" w:rsidDel="00BC6B83">
        <w:t>C</w:t>
      </w:r>
      <w:r w:rsidRPr="00880816" w:rsidDel="00BC6B83">
        <w:rPr>
          <w:vertAlign w:val="subscript"/>
        </w:rPr>
        <w:t>max</w:t>
      </w:r>
      <w:proofErr w:type="spellEnd"/>
      <w:r w:rsidRPr="00880816" w:rsidDel="00BC6B83">
        <w:t>) when administered simultaneously with ritonavir and 111% (AUC</w:t>
      </w:r>
      <w:r w:rsidRPr="00880816" w:rsidDel="00BC6B83">
        <w:rPr>
          <w:vertAlign w:val="subscript"/>
        </w:rPr>
        <w:t>0-∞</w:t>
      </w:r>
      <w:r w:rsidRPr="00880816" w:rsidDel="00BC6B83">
        <w:t>) and 105% (</w:t>
      </w:r>
      <w:proofErr w:type="spellStart"/>
      <w:r w:rsidRPr="00880816" w:rsidDel="00BC6B83">
        <w:t>C</w:t>
      </w:r>
      <w:r w:rsidRPr="00880816" w:rsidDel="00BC6B83">
        <w:rPr>
          <w:vertAlign w:val="subscript"/>
        </w:rPr>
        <w:t>max</w:t>
      </w:r>
      <w:proofErr w:type="spellEnd"/>
      <w:r w:rsidRPr="00880816" w:rsidDel="00BC6B83">
        <w:t xml:space="preserve">) when ritonavir was administered 6 hours after </w:t>
      </w:r>
      <w:r w:rsidR="007B26AF">
        <w:t>GIOTRIF</w:t>
      </w:r>
      <w:r w:rsidRPr="00880816" w:rsidDel="00BC6B83">
        <w:t xml:space="preserve">.  In a second trial, when ritonavir (200 mg </w:t>
      </w:r>
      <w:proofErr w:type="spellStart"/>
      <w:r w:rsidRPr="00880816" w:rsidDel="00BC6B83">
        <w:t>b.i.d</w:t>
      </w:r>
      <w:proofErr w:type="spellEnd"/>
      <w:r w:rsidRPr="00880816" w:rsidDel="00BC6B83">
        <w:t xml:space="preserve">. for 3 days) was administered 1 hour before a single dose of 20 mg </w:t>
      </w:r>
      <w:r w:rsidR="007B26AF">
        <w:t>GIOTRIF</w:t>
      </w:r>
      <w:r w:rsidRPr="00880816" w:rsidDel="00BC6B83">
        <w:t xml:space="preserve">, exposure to </w:t>
      </w:r>
      <w:proofErr w:type="spellStart"/>
      <w:r w:rsidRPr="00880816" w:rsidDel="00BC6B83">
        <w:t>afatinib</w:t>
      </w:r>
      <w:proofErr w:type="spellEnd"/>
      <w:r w:rsidRPr="00880816" w:rsidDel="00BC6B83">
        <w:t xml:space="preserve"> increased by 48% (AUC</w:t>
      </w:r>
      <w:r w:rsidRPr="00880816" w:rsidDel="00BC6B83">
        <w:rPr>
          <w:vertAlign w:val="subscript"/>
        </w:rPr>
        <w:t>0-∞</w:t>
      </w:r>
      <w:r w:rsidRPr="00880816" w:rsidDel="00BC6B83">
        <w:t>) and 39% (</w:t>
      </w:r>
      <w:proofErr w:type="spellStart"/>
      <w:r w:rsidRPr="00880816" w:rsidDel="00BC6B83">
        <w:t>C</w:t>
      </w:r>
      <w:r w:rsidRPr="00880816" w:rsidDel="00BC6B83">
        <w:rPr>
          <w:vertAlign w:val="subscript"/>
        </w:rPr>
        <w:t>max</w:t>
      </w:r>
      <w:proofErr w:type="spellEnd"/>
      <w:r w:rsidRPr="00880816" w:rsidDel="00BC6B83">
        <w:t xml:space="preserve">) (see  </w:t>
      </w:r>
      <w:r w:rsidDel="00BC6B83">
        <w:t>PRECAUTIONS, INTERACTIONS WITH OTHER MEDICINES and</w:t>
      </w:r>
      <w:r w:rsidRPr="00880816" w:rsidDel="00BC6B83">
        <w:t xml:space="preserve"> DOSAGE AND ADMINISTRATION).</w:t>
      </w:r>
    </w:p>
    <w:p w:rsidR="004E1784" w:rsidRPr="00A470B0" w:rsidDel="00BC6B83" w:rsidRDefault="004E1784" w:rsidP="004E1784">
      <w:pPr>
        <w:pStyle w:val="TextPI"/>
      </w:pPr>
      <w:r w:rsidRPr="00880816" w:rsidDel="00BC6B83">
        <w:t xml:space="preserve">Pre-treatment with rifampicin (600 mg </w:t>
      </w:r>
      <w:proofErr w:type="spellStart"/>
      <w:r w:rsidRPr="00880816" w:rsidDel="00BC6B83">
        <w:t>q.d</w:t>
      </w:r>
      <w:proofErr w:type="spellEnd"/>
      <w:r w:rsidRPr="00880816" w:rsidDel="00BC6B83">
        <w:t>. for 7 days), a potent inducer of P-</w:t>
      </w:r>
      <w:proofErr w:type="spellStart"/>
      <w:r w:rsidRPr="00880816" w:rsidDel="00BC6B83">
        <w:t>gp</w:t>
      </w:r>
      <w:proofErr w:type="spellEnd"/>
      <w:r w:rsidRPr="00880816" w:rsidDel="00BC6B83">
        <w:t xml:space="preserve">, decreased the plasma exposure to </w:t>
      </w:r>
      <w:proofErr w:type="spellStart"/>
      <w:r w:rsidRPr="00880816" w:rsidDel="00BC6B83">
        <w:t>afatinib</w:t>
      </w:r>
      <w:proofErr w:type="spellEnd"/>
      <w:r w:rsidRPr="00880816" w:rsidDel="00BC6B83">
        <w:t xml:space="preserve"> by 34% (AUC</w:t>
      </w:r>
      <w:r w:rsidRPr="00880816" w:rsidDel="00BC6B83">
        <w:rPr>
          <w:vertAlign w:val="subscript"/>
        </w:rPr>
        <w:t>0-∞</w:t>
      </w:r>
      <w:r w:rsidRPr="00880816" w:rsidDel="00BC6B83">
        <w:t>) and 22% (</w:t>
      </w:r>
      <w:proofErr w:type="spellStart"/>
      <w:r w:rsidRPr="00880816" w:rsidDel="00BC6B83">
        <w:t>C</w:t>
      </w:r>
      <w:r w:rsidRPr="00880816" w:rsidDel="00BC6B83">
        <w:rPr>
          <w:vertAlign w:val="subscript"/>
        </w:rPr>
        <w:t>max</w:t>
      </w:r>
      <w:proofErr w:type="spellEnd"/>
      <w:r w:rsidRPr="00880816" w:rsidDel="00BC6B83">
        <w:t xml:space="preserve">) after administration of a single dose of 40 mg </w:t>
      </w:r>
      <w:r w:rsidR="007B26AF">
        <w:t>GIOTRIF</w:t>
      </w:r>
      <w:r w:rsidRPr="00880816" w:rsidDel="00BC6B83">
        <w:t xml:space="preserve"> (see PRECAUTIONS</w:t>
      </w:r>
      <w:r w:rsidDel="00BC6B83">
        <w:t xml:space="preserve"> and INTERACTIONS WITH OTHER MEDICINES</w:t>
      </w:r>
      <w:r w:rsidRPr="00880816" w:rsidDel="00BC6B83">
        <w:t>).</w:t>
      </w:r>
    </w:p>
    <w:p w:rsidR="004E1784" w:rsidRPr="00A470B0" w:rsidDel="00BC6B83" w:rsidRDefault="004E1784" w:rsidP="00E90C75">
      <w:pPr>
        <w:pStyle w:val="PIheading4"/>
        <w:outlineLvl w:val="5"/>
      </w:pPr>
      <w:r w:rsidRPr="00A470B0" w:rsidDel="00BC6B83">
        <w:t xml:space="preserve">Effect of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on P</w:t>
      </w:r>
      <w:r w:rsidDel="00BC6B83">
        <w:t>-</w:t>
      </w:r>
      <w:proofErr w:type="spellStart"/>
      <w:r w:rsidRPr="00A470B0" w:rsidDel="00BC6B83">
        <w:t>gp</w:t>
      </w:r>
      <w:proofErr w:type="spellEnd"/>
      <w:r w:rsidDel="00BC6B83">
        <w:t xml:space="preserve"> </w:t>
      </w:r>
      <w:r w:rsidR="00D74938" w:rsidDel="00BC6B83">
        <w:t>S</w:t>
      </w:r>
      <w:r w:rsidRPr="00A470B0" w:rsidDel="00BC6B83">
        <w:t>ubstrates</w:t>
      </w:r>
    </w:p>
    <w:p w:rsidR="004E1784" w:rsidRPr="00A470B0" w:rsidDel="00BC6B83" w:rsidRDefault="004E1784" w:rsidP="004E1784">
      <w:pPr>
        <w:pStyle w:val="TextPI"/>
      </w:pPr>
      <w:r w:rsidRPr="00A470B0" w:rsidDel="00BC6B83">
        <w:lastRenderedPageBreak/>
        <w:t xml:space="preserve">Based on </w:t>
      </w:r>
      <w:r w:rsidRPr="00DC4402" w:rsidDel="00BC6B83">
        <w:rPr>
          <w:i/>
        </w:rPr>
        <w:t>in vitro</w:t>
      </w:r>
      <w:r w:rsidRPr="00A470B0" w:rsidDel="00BC6B83">
        <w:t xml:space="preserve"> data,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is a moderate inhibitor of P</w:t>
      </w:r>
      <w:r w:rsidDel="00BC6B83">
        <w:t>-</w:t>
      </w:r>
      <w:proofErr w:type="spellStart"/>
      <w:r w:rsidRPr="00A470B0" w:rsidDel="00BC6B83">
        <w:t>gp</w:t>
      </w:r>
      <w:proofErr w:type="spellEnd"/>
      <w:r w:rsidRPr="00A470B0" w:rsidDel="00BC6B83">
        <w:t xml:space="preserve">. </w:t>
      </w:r>
      <w:r w:rsidDel="00BC6B83">
        <w:t xml:space="preserve"> </w:t>
      </w:r>
      <w:r w:rsidR="00805A4B">
        <w:t>However, based on clinical data it</w:t>
      </w:r>
      <w:r w:rsidRPr="00A470B0" w:rsidDel="00BC6B83">
        <w:t xml:space="preserve"> is considered unlikely that </w:t>
      </w:r>
      <w:r w:rsidR="007B26AF">
        <w:t>GIOTRIF</w:t>
      </w:r>
      <w:r w:rsidRPr="00A470B0" w:rsidDel="00BC6B83">
        <w:rPr>
          <w:vertAlign w:val="superscript"/>
        </w:rPr>
        <w:t xml:space="preserve"> </w:t>
      </w:r>
      <w:r w:rsidRPr="00A470B0" w:rsidDel="00BC6B83">
        <w:t>treatment will result in changes of the plasma concentrations of other P</w:t>
      </w:r>
      <w:r w:rsidDel="00BC6B83">
        <w:t>-</w:t>
      </w:r>
      <w:proofErr w:type="spellStart"/>
      <w:r w:rsidRPr="00A470B0" w:rsidDel="00BC6B83">
        <w:t>gp</w:t>
      </w:r>
      <w:proofErr w:type="spellEnd"/>
      <w:r w:rsidRPr="00A470B0" w:rsidDel="00BC6B83">
        <w:t xml:space="preserve"> substrates.</w:t>
      </w:r>
    </w:p>
    <w:p w:rsidR="004E1784" w:rsidRPr="0033660D" w:rsidDel="00BC6B83" w:rsidRDefault="004E1784" w:rsidP="00C43112">
      <w:pPr>
        <w:pStyle w:val="PIheading4"/>
        <w:keepNext/>
        <w:keepLines/>
        <w:outlineLvl w:val="4"/>
        <w:rPr>
          <w:u w:val="single"/>
        </w:rPr>
      </w:pPr>
      <w:r w:rsidRPr="0033660D" w:rsidDel="00BC6B83">
        <w:rPr>
          <w:u w:val="single"/>
        </w:rPr>
        <w:t>Breast cancer resistance protein (BCRP)</w:t>
      </w:r>
    </w:p>
    <w:p w:rsidR="004E1784" w:rsidRPr="00DC4402" w:rsidDel="00BC6B83" w:rsidRDefault="004E1784" w:rsidP="00C43112">
      <w:pPr>
        <w:pStyle w:val="TextPI"/>
        <w:keepNext/>
        <w:keepLines/>
      </w:pPr>
      <w:r w:rsidRPr="00A470B0" w:rsidDel="00BC6B83">
        <w:rPr>
          <w:i/>
          <w:iCs/>
        </w:rPr>
        <w:t xml:space="preserve">In vitro </w:t>
      </w:r>
      <w:r w:rsidRPr="00A470B0" w:rsidDel="00BC6B83">
        <w:t xml:space="preserve">studies indicated that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is a substrate and an inhibitor of the transporter BCRP.</w:t>
      </w:r>
    </w:p>
    <w:p w:rsidR="004E1784" w:rsidRPr="0033660D" w:rsidDel="00BC6B83" w:rsidRDefault="004E1784" w:rsidP="00E90C75">
      <w:pPr>
        <w:pStyle w:val="PIheading4"/>
        <w:keepNext/>
        <w:outlineLvl w:val="4"/>
        <w:rPr>
          <w:u w:val="single"/>
        </w:rPr>
      </w:pPr>
      <w:r w:rsidRPr="0033660D" w:rsidDel="00BC6B83">
        <w:rPr>
          <w:u w:val="single"/>
        </w:rPr>
        <w:t>Drug Uptake Transport Systems</w:t>
      </w:r>
    </w:p>
    <w:p w:rsidR="004E1784" w:rsidRPr="00A470B0" w:rsidDel="00BC6B83" w:rsidRDefault="004E1784" w:rsidP="004E1784">
      <w:pPr>
        <w:pStyle w:val="TextPI"/>
        <w:rPr>
          <w:strike/>
        </w:rPr>
      </w:pPr>
      <w:r w:rsidRPr="00A470B0" w:rsidDel="00BC6B83">
        <w:rPr>
          <w:i/>
        </w:rPr>
        <w:t xml:space="preserve">In vitro </w:t>
      </w:r>
      <w:r w:rsidRPr="00A470B0" w:rsidDel="00BC6B83">
        <w:t xml:space="preserve">data indicated that drug-drug interactions with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due to inhibition of OATB1B1, OATP1B3, OATP2B1, OAT1, OAT3, OCT1, OCT2, and OCT3 transp</w:t>
      </w:r>
      <w:r w:rsidDel="00BC6B83">
        <w:t>orters are considered unlikely.</w:t>
      </w:r>
    </w:p>
    <w:p w:rsidR="004E1784" w:rsidRPr="00CF1AE5" w:rsidDel="00BC6B83" w:rsidRDefault="004E1784" w:rsidP="00E90C75">
      <w:pPr>
        <w:pStyle w:val="PIheading4"/>
        <w:outlineLvl w:val="3"/>
      </w:pPr>
      <w:r w:rsidRPr="00A470B0" w:rsidDel="00BC6B83">
        <w:t xml:space="preserve">Drug </w:t>
      </w:r>
      <w:proofErr w:type="spellStart"/>
      <w:r w:rsidR="00B61C71" w:rsidDel="00BC6B83">
        <w:t>M</w:t>
      </w:r>
      <w:r w:rsidRPr="00A470B0" w:rsidDel="00BC6B83">
        <w:t>etabolising</w:t>
      </w:r>
      <w:proofErr w:type="spellEnd"/>
      <w:r w:rsidRPr="00A470B0" w:rsidDel="00BC6B83">
        <w:t xml:space="preserve"> </w:t>
      </w:r>
      <w:r w:rsidR="00B61C71" w:rsidDel="00BC6B83">
        <w:t>E</w:t>
      </w:r>
      <w:r w:rsidRPr="00A470B0" w:rsidDel="00BC6B83">
        <w:t>nzymes:</w:t>
      </w:r>
    </w:p>
    <w:p w:rsidR="004E1784" w:rsidRPr="0033660D" w:rsidDel="00BC6B83" w:rsidRDefault="004E1784" w:rsidP="00E90C75">
      <w:pPr>
        <w:pStyle w:val="PIheading4"/>
        <w:keepNext/>
        <w:keepLines/>
        <w:outlineLvl w:val="4"/>
        <w:rPr>
          <w:u w:val="single"/>
        </w:rPr>
      </w:pPr>
      <w:r w:rsidRPr="0033660D" w:rsidDel="00BC6B83">
        <w:rPr>
          <w:u w:val="single"/>
        </w:rPr>
        <w:t>Cytochrome P450 (CYP) enzymes</w:t>
      </w:r>
    </w:p>
    <w:p w:rsidR="004E1784" w:rsidRPr="00A470B0" w:rsidDel="00BC6B83" w:rsidRDefault="004E1784" w:rsidP="00E90C75">
      <w:pPr>
        <w:pStyle w:val="PIheading4"/>
        <w:outlineLvl w:val="5"/>
      </w:pPr>
      <w:r w:rsidRPr="00A470B0" w:rsidDel="00BC6B83">
        <w:t xml:space="preserve">Effect of CYP enzymes inducers and inhibitors on </w:t>
      </w:r>
      <w:proofErr w:type="spellStart"/>
      <w:r w:rsidRPr="00A470B0" w:rsidDel="00BC6B83">
        <w:t>afatinib</w:t>
      </w:r>
      <w:proofErr w:type="spellEnd"/>
    </w:p>
    <w:p w:rsidR="004E1784" w:rsidRPr="00A470B0" w:rsidDel="00BC6B83" w:rsidRDefault="004E1784" w:rsidP="004E1784">
      <w:pPr>
        <w:pStyle w:val="TextPI"/>
        <w:keepLines/>
      </w:pPr>
      <w:r w:rsidRPr="00CF1AE5" w:rsidDel="00BC6B83">
        <w:rPr>
          <w:i/>
        </w:rPr>
        <w:t xml:space="preserve">In vitro </w:t>
      </w:r>
      <w:r w:rsidRPr="00A470B0" w:rsidDel="00BC6B83">
        <w:t xml:space="preserve">data indicated that drug-drug interactions with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due to inhibition or induction of CYP enzymes by concomitant medic</w:t>
      </w:r>
      <w:r w:rsidDel="00BC6B83">
        <w:t>ines</w:t>
      </w:r>
      <w:r w:rsidRPr="00A470B0" w:rsidDel="00BC6B83">
        <w:t xml:space="preserve"> are considered unlikely. </w:t>
      </w:r>
      <w:r w:rsidDel="00BC6B83">
        <w:t xml:space="preserve"> </w:t>
      </w:r>
      <w:r w:rsidRPr="00A470B0" w:rsidDel="00BC6B83">
        <w:t xml:space="preserve">In humans </w:t>
      </w:r>
      <w:r w:rsidDel="00BC6B83">
        <w:t>it was found that enzyme-</w:t>
      </w:r>
      <w:proofErr w:type="spellStart"/>
      <w:r w:rsidDel="00BC6B83">
        <w:t>catalys</w:t>
      </w:r>
      <w:r w:rsidRPr="00A470B0" w:rsidDel="00BC6B83">
        <w:t>ed</w:t>
      </w:r>
      <w:proofErr w:type="spellEnd"/>
      <w:r w:rsidRPr="00A470B0" w:rsidDel="00BC6B83">
        <w:t xml:space="preserve"> metabolic reactions play a negligible role </w:t>
      </w:r>
      <w:r w:rsidR="0067588C">
        <w:t>in</w:t>
      </w:r>
      <w:r w:rsidR="0067588C" w:rsidRPr="00A470B0" w:rsidDel="00BC6B83">
        <w:t xml:space="preserve"> </w:t>
      </w:r>
      <w:r w:rsidRPr="00A470B0" w:rsidDel="00BC6B83">
        <w:t xml:space="preserve">the metabolism of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. Approximately 2% of the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dose was </w:t>
      </w:r>
      <w:proofErr w:type="spellStart"/>
      <w:r w:rsidRPr="00A470B0" w:rsidDel="00BC6B83">
        <w:t>metaboli</w:t>
      </w:r>
      <w:r w:rsidDel="00BC6B83">
        <w:t>s</w:t>
      </w:r>
      <w:r w:rsidRPr="00A470B0" w:rsidDel="00BC6B83">
        <w:t>ed</w:t>
      </w:r>
      <w:proofErr w:type="spellEnd"/>
      <w:r w:rsidRPr="00A470B0" w:rsidDel="00BC6B83">
        <w:t xml:space="preserve"> by FMO3 and the CYP3A4-dependent N-</w:t>
      </w:r>
      <w:proofErr w:type="spellStart"/>
      <w:r w:rsidRPr="00A470B0" w:rsidDel="00BC6B83">
        <w:t>demethylation</w:t>
      </w:r>
      <w:proofErr w:type="spellEnd"/>
      <w:r w:rsidRPr="00A470B0" w:rsidDel="00BC6B83">
        <w:t xml:space="preserve"> was too low to be quantitatively</w:t>
      </w:r>
      <w:r w:rsidDel="00BC6B83">
        <w:t xml:space="preserve"> detected.</w:t>
      </w:r>
    </w:p>
    <w:p w:rsidR="004E1784" w:rsidRPr="00A470B0" w:rsidDel="00BC6B83" w:rsidRDefault="004E1784" w:rsidP="00E90C75">
      <w:pPr>
        <w:pStyle w:val="PIheading4"/>
        <w:keepNext/>
        <w:outlineLvl w:val="5"/>
      </w:pPr>
      <w:r w:rsidRPr="00A470B0" w:rsidDel="00BC6B83">
        <w:t xml:space="preserve">Effect of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on CYP enzymes</w:t>
      </w:r>
    </w:p>
    <w:p w:rsidR="004E1784" w:rsidRPr="00C13595" w:rsidDel="00BC6B83" w:rsidRDefault="004E1784" w:rsidP="004E1784">
      <w:pPr>
        <w:pStyle w:val="TextPI"/>
        <w:rPr>
          <w:szCs w:val="24"/>
        </w:rPr>
      </w:pPr>
      <w:proofErr w:type="spellStart"/>
      <w:r w:rsidRPr="00A470B0" w:rsidDel="00BC6B83">
        <w:t>Afatinib</w:t>
      </w:r>
      <w:proofErr w:type="spellEnd"/>
      <w:r w:rsidRPr="00A470B0" w:rsidDel="00BC6B83">
        <w:t xml:space="preserve"> is </w:t>
      </w:r>
      <w:proofErr w:type="gramStart"/>
      <w:r w:rsidR="0067588C">
        <w:t>neither</w:t>
      </w:r>
      <w:r w:rsidR="0067588C" w:rsidRPr="00A470B0" w:rsidDel="00BC6B83">
        <w:t xml:space="preserve"> </w:t>
      </w:r>
      <w:r w:rsidRPr="00A470B0" w:rsidDel="00BC6B83">
        <w:t>an inhibitor or</w:t>
      </w:r>
      <w:proofErr w:type="gramEnd"/>
      <w:r w:rsidRPr="00A470B0" w:rsidDel="00BC6B83">
        <w:t xml:space="preserve"> an inducer of CYP enzymes.  Therefore, </w:t>
      </w:r>
      <w:r w:rsidR="007B26AF">
        <w:t>GIOTRIF</w:t>
      </w:r>
      <w:r w:rsidRPr="00A470B0" w:rsidDel="00BC6B83">
        <w:t xml:space="preserve"> is unlikely to affect the metabolism of other </w:t>
      </w:r>
      <w:r w:rsidDel="00BC6B83">
        <w:t>medicines</w:t>
      </w:r>
      <w:r w:rsidRPr="00A470B0" w:rsidDel="00BC6B83">
        <w:t xml:space="preserve"> that are dependent on CYP enzymes.</w:t>
      </w:r>
    </w:p>
    <w:p w:rsidR="004E1784" w:rsidRPr="0033660D" w:rsidDel="00BC6B83" w:rsidRDefault="004E1784" w:rsidP="00E90C75">
      <w:pPr>
        <w:pStyle w:val="PIheading4"/>
        <w:keepNext/>
        <w:outlineLvl w:val="4"/>
        <w:rPr>
          <w:u w:val="single"/>
        </w:rPr>
      </w:pPr>
      <w:r w:rsidRPr="0033660D" w:rsidDel="00BC6B83">
        <w:rPr>
          <w:u w:val="single"/>
        </w:rPr>
        <w:t>UDP-</w:t>
      </w:r>
      <w:proofErr w:type="spellStart"/>
      <w:r w:rsidRPr="0033660D" w:rsidDel="00BC6B83">
        <w:rPr>
          <w:u w:val="single"/>
        </w:rPr>
        <w:t>glucuronosyltransferase</w:t>
      </w:r>
      <w:proofErr w:type="spellEnd"/>
      <w:r w:rsidRPr="0033660D" w:rsidDel="00BC6B83">
        <w:rPr>
          <w:u w:val="single"/>
        </w:rPr>
        <w:t xml:space="preserve"> 1A1 (UGT1A1)</w:t>
      </w:r>
    </w:p>
    <w:p w:rsidR="004E1784" w:rsidRPr="00A470B0" w:rsidDel="00BC6B83" w:rsidRDefault="004E1784" w:rsidP="004E1784">
      <w:pPr>
        <w:pStyle w:val="TextPI"/>
      </w:pPr>
      <w:r w:rsidRPr="00C13595" w:rsidDel="00BC6B83">
        <w:rPr>
          <w:i/>
        </w:rPr>
        <w:t>In vitro</w:t>
      </w:r>
      <w:r w:rsidRPr="00A470B0" w:rsidDel="00BC6B83">
        <w:t xml:space="preserve"> data indicated that drug-drug interactions with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due to inhibition of UGT1A1 are considered unlikely.</w:t>
      </w:r>
    </w:p>
    <w:p w:rsidR="00014579" w:rsidRDefault="00014579" w:rsidP="004D6472">
      <w:pPr>
        <w:pStyle w:val="PIHeading1"/>
        <w:rPr>
          <w:lang w:val="en-GB"/>
        </w:rPr>
      </w:pPr>
      <w:r w:rsidRPr="00232DD7">
        <w:rPr>
          <w:lang w:val="en-GB"/>
        </w:rPr>
        <w:t>CLINICAL TRIALS</w:t>
      </w:r>
    </w:p>
    <w:p w:rsidR="000F7632" w:rsidRPr="00A470B0" w:rsidRDefault="000F7632" w:rsidP="009D5501">
      <w:pPr>
        <w:pStyle w:val="PIheading2"/>
      </w:pPr>
      <w:r w:rsidRPr="00A470B0">
        <w:t>Non-Small Cell Lung Cancer (NSCLC)</w:t>
      </w:r>
    </w:p>
    <w:p w:rsidR="000F7632" w:rsidRPr="00941314" w:rsidRDefault="000F7632" w:rsidP="00FE0783">
      <w:pPr>
        <w:pStyle w:val="PIheading4"/>
        <w:keepNext/>
        <w:outlineLvl w:val="3"/>
        <w:rPr>
          <w:i w:val="0"/>
          <w:iCs/>
          <w:u w:val="single"/>
        </w:rPr>
      </w:pPr>
      <w:r w:rsidRPr="00941314">
        <w:rPr>
          <w:i w:val="0"/>
          <w:iCs/>
          <w:u w:val="single"/>
        </w:rPr>
        <w:t>LUX-Lung 3 (1200.32)</w:t>
      </w:r>
    </w:p>
    <w:p w:rsidR="000F7632" w:rsidRDefault="000F7632" w:rsidP="0034190D">
      <w:pPr>
        <w:pStyle w:val="TextPI"/>
      </w:pPr>
      <w:r w:rsidRPr="00161A7A">
        <w:t xml:space="preserve">In the first-line setting, the efficacy and safety of </w:t>
      </w:r>
      <w:r w:rsidR="007B26AF">
        <w:t>GIOTRIF</w:t>
      </w:r>
      <w:r w:rsidRPr="00161A7A">
        <w:t xml:space="preserve"> in patients with EGFR mutation-positive locally advanced or metastatic NSCLC (stage IIIB or IV) were assessed in a global, </w:t>
      </w:r>
      <w:proofErr w:type="spellStart"/>
      <w:r w:rsidRPr="00161A7A">
        <w:t>randomised</w:t>
      </w:r>
      <w:proofErr w:type="spellEnd"/>
      <w:r w:rsidRPr="00161A7A">
        <w:t xml:space="preserve">, </w:t>
      </w:r>
      <w:proofErr w:type="spellStart"/>
      <w:r w:rsidR="00F63D60" w:rsidRPr="00161A7A">
        <w:t>multicen</w:t>
      </w:r>
      <w:r w:rsidR="00F63D60">
        <w:t>tre</w:t>
      </w:r>
      <w:proofErr w:type="spellEnd"/>
      <w:r>
        <w:t>, open-label trial (LUX-Lung </w:t>
      </w:r>
      <w:r w:rsidRPr="00161A7A">
        <w:t xml:space="preserve">3). </w:t>
      </w:r>
      <w:r w:rsidR="004F13F7">
        <w:t xml:space="preserve"> </w:t>
      </w:r>
      <w:proofErr w:type="gramStart"/>
      <w:r w:rsidRPr="00161A7A">
        <w:t>Patients</w:t>
      </w:r>
      <w:proofErr w:type="gramEnd"/>
      <w:r w:rsidRPr="00161A7A">
        <w:t xml:space="preserve"> naïve to prior systemic treatment for their advanced or metastatic disease were screened for the presence of 29 different EGFR mutations using a </w:t>
      </w:r>
      <w:r>
        <w:t>polymerase chain reaction (</w:t>
      </w:r>
      <w:r w:rsidRPr="00161A7A">
        <w:t>PCR</w:t>
      </w:r>
      <w:r>
        <w:t>)</w:t>
      </w:r>
      <w:r w:rsidR="0078700E">
        <w:t>-</w:t>
      </w:r>
      <w:r w:rsidRPr="00161A7A">
        <w:t>based method (</w:t>
      </w:r>
      <w:proofErr w:type="spellStart"/>
      <w:r w:rsidRPr="00161A7A">
        <w:t>TheraScreen</w:t>
      </w:r>
      <w:proofErr w:type="spellEnd"/>
      <w:r w:rsidRPr="00D12FE5">
        <w:rPr>
          <w:vertAlign w:val="superscript"/>
        </w:rPr>
        <w:t>®</w:t>
      </w:r>
      <w:r w:rsidRPr="00161A7A">
        <w:t xml:space="preserve">: EGFR29 Mutation Kit, </w:t>
      </w:r>
      <w:proofErr w:type="spellStart"/>
      <w:r w:rsidRPr="00161A7A">
        <w:t>Qiagen</w:t>
      </w:r>
      <w:proofErr w:type="spellEnd"/>
      <w:r w:rsidRPr="00161A7A">
        <w:t xml:space="preserve"> Manchester Ltd). </w:t>
      </w:r>
      <w:r w:rsidR="004F13F7">
        <w:t xml:space="preserve"> </w:t>
      </w:r>
      <w:r w:rsidRPr="00161A7A">
        <w:t xml:space="preserve">Patients (N=345) were </w:t>
      </w:r>
      <w:proofErr w:type="spellStart"/>
      <w:r w:rsidRPr="00161A7A">
        <w:t>randomised</w:t>
      </w:r>
      <w:proofErr w:type="spellEnd"/>
      <w:r w:rsidRPr="00161A7A">
        <w:t xml:space="preserve"> (2:1) </w:t>
      </w:r>
      <w:r>
        <w:t xml:space="preserve">to receive </w:t>
      </w:r>
      <w:r w:rsidR="007B26AF">
        <w:t>GIOTRIF</w:t>
      </w:r>
      <w:r>
        <w:t xml:space="preserve"> 40 </w:t>
      </w:r>
      <w:r w:rsidRPr="00161A7A">
        <w:t>mg orall</w:t>
      </w:r>
      <w:r>
        <w:t>y once daily (N=230) or up to 6 </w:t>
      </w:r>
      <w:r w:rsidRPr="00161A7A">
        <w:t>cycles</w:t>
      </w:r>
      <w:r w:rsidR="0034190D">
        <w:t xml:space="preserve"> </w:t>
      </w:r>
      <w:proofErr w:type="spellStart"/>
      <w:r w:rsidR="0034190D">
        <w:t>pemetrexed</w:t>
      </w:r>
      <w:proofErr w:type="spellEnd"/>
      <w:r w:rsidR="0034190D">
        <w:t>/</w:t>
      </w:r>
      <w:proofErr w:type="spellStart"/>
      <w:r w:rsidR="0034190D">
        <w:t>cisplatin</w:t>
      </w:r>
      <w:proofErr w:type="spellEnd"/>
      <w:r w:rsidR="0034190D">
        <w:t xml:space="preserve"> (N=115).</w:t>
      </w:r>
      <w:r w:rsidR="004F13F7">
        <w:t xml:space="preserve"> </w:t>
      </w:r>
      <w:r w:rsidR="0034190D">
        <w:t xml:space="preserve"> </w:t>
      </w:r>
      <w:proofErr w:type="spellStart"/>
      <w:r w:rsidRPr="00161A7A">
        <w:t>Randomisation</w:t>
      </w:r>
      <w:proofErr w:type="spellEnd"/>
      <w:r w:rsidRPr="00161A7A">
        <w:t xml:space="preserve"> was stratified according to EGFR mutation </w:t>
      </w:r>
      <w:r w:rsidRPr="00880816">
        <w:t>status (L858R; Del 19; other</w:t>
      </w:r>
      <w:r w:rsidR="0034190D" w:rsidRPr="00880816">
        <w:t xml:space="preserve">) and race (Asian; non-Asian). </w:t>
      </w:r>
      <w:r w:rsidR="004F13F7" w:rsidRPr="00880816">
        <w:t xml:space="preserve"> </w:t>
      </w:r>
      <w:r w:rsidRPr="00880816">
        <w:t xml:space="preserve">Dose escalation of </w:t>
      </w:r>
      <w:r w:rsidR="007B26AF">
        <w:t>GIOTRIF</w:t>
      </w:r>
      <w:r w:rsidRPr="00880816">
        <w:t xml:space="preserve"> to 50 mg was allowed after 21 days on treatment in case of no or limited drug</w:t>
      </w:r>
      <w:r w:rsidR="0078700E" w:rsidRPr="00880816">
        <w:t>-</w:t>
      </w:r>
      <w:r w:rsidRPr="00880816">
        <w:t xml:space="preserve">related adverse events (i.e. absence of </w:t>
      </w:r>
      <w:proofErr w:type="spellStart"/>
      <w:r w:rsidRPr="00880816">
        <w:t>diarrhoea</w:t>
      </w:r>
      <w:proofErr w:type="spellEnd"/>
      <w:r w:rsidRPr="00880816">
        <w:t>, skin rash, stomatitis, and/or other drug</w:t>
      </w:r>
      <w:r w:rsidR="0078700E" w:rsidRPr="00880816">
        <w:t>-</w:t>
      </w:r>
      <w:r w:rsidRPr="00880816">
        <w:t xml:space="preserve">related events above </w:t>
      </w:r>
      <w:r w:rsidR="00462478" w:rsidRPr="00880816">
        <w:t>Common Terminology Criteria for Adverse Events [</w:t>
      </w:r>
      <w:r w:rsidRPr="00880816">
        <w:t>CTCAE</w:t>
      </w:r>
      <w:r w:rsidR="00462478" w:rsidRPr="00880816">
        <w:t>]</w:t>
      </w:r>
      <w:r w:rsidRPr="00880816">
        <w:t xml:space="preserve"> Grade 1), compliant dosing of </w:t>
      </w:r>
      <w:r w:rsidR="007B26AF">
        <w:t>GIOTRIF</w:t>
      </w:r>
      <w:r w:rsidRPr="00880816">
        <w:t xml:space="preserve"> and no prior dose reduction.</w:t>
      </w:r>
    </w:p>
    <w:p w:rsidR="000F7632" w:rsidRDefault="008A494A" w:rsidP="00187A3D">
      <w:pPr>
        <w:pStyle w:val="TextPI"/>
        <w:keepLines/>
      </w:pPr>
      <w:r>
        <w:lastRenderedPageBreak/>
        <w:t xml:space="preserve">In the overall trial population, the </w:t>
      </w:r>
      <w:r w:rsidR="000F7632" w:rsidRPr="00A470B0">
        <w:t xml:space="preserve">primary endpoint of </w:t>
      </w:r>
      <w:r w:rsidR="00E9776B">
        <w:t>progression free survival (</w:t>
      </w:r>
      <w:r w:rsidR="000F7632" w:rsidRPr="00A470B0">
        <w:t>PFS</w:t>
      </w:r>
      <w:r w:rsidR="00E9776B">
        <w:t xml:space="preserve"> </w:t>
      </w:r>
      <w:r w:rsidR="004F13F7">
        <w:t>–</w:t>
      </w:r>
      <w:r w:rsidR="00E9776B">
        <w:t xml:space="preserve"> </w:t>
      </w:r>
      <w:r w:rsidR="000F7632">
        <w:t>independent</w:t>
      </w:r>
      <w:r w:rsidR="004F13F7">
        <w:t xml:space="preserve"> </w:t>
      </w:r>
      <w:r w:rsidR="000F7632">
        <w:t>review, 221 </w:t>
      </w:r>
      <w:r w:rsidR="000F7632" w:rsidRPr="00A470B0">
        <w:t xml:space="preserve">events) showed a statistically significant improvement in the median PFS between patients treated with </w:t>
      </w:r>
      <w:r w:rsidR="007B26AF">
        <w:t>GIOTRIF</w:t>
      </w:r>
      <w:r w:rsidR="000F7632" w:rsidRPr="00A470B0">
        <w:t xml:space="preserve"> and patients treated with </w:t>
      </w:r>
      <w:r w:rsidR="000F7632">
        <w:t>chemotherapy (11.1 </w:t>
      </w:r>
      <w:r w:rsidR="000F7632" w:rsidRPr="00A470B0">
        <w:t>vs.</w:t>
      </w:r>
      <w:r w:rsidR="000F7632">
        <w:t xml:space="preserve"> 6.9 </w:t>
      </w:r>
      <w:r w:rsidR="000F7632" w:rsidRPr="00A470B0">
        <w:t>months</w:t>
      </w:r>
      <w:r>
        <w:t xml:space="preserve"> </w:t>
      </w:r>
      <w:r w:rsidRPr="00B86F9C">
        <w:t>HR 0.58</w:t>
      </w:r>
      <w:r>
        <w:t xml:space="preserve">, </w:t>
      </w:r>
      <w:r w:rsidRPr="00B86F9C">
        <w:t>95% CI 0.43-0.78; p=</w:t>
      </w:r>
      <w:r w:rsidRPr="00B86F9C">
        <w:rPr>
          <w:rFonts w:cs="Arial"/>
          <w:lang w:val="en-GB"/>
        </w:rPr>
        <w:t>0.0004</w:t>
      </w:r>
      <w:r w:rsidR="000F7632" w:rsidRPr="00A470B0">
        <w:t xml:space="preserve">). </w:t>
      </w:r>
      <w:r w:rsidR="004F13F7">
        <w:t xml:space="preserve"> </w:t>
      </w:r>
      <w:r w:rsidR="000F7632" w:rsidRPr="00A470B0">
        <w:t xml:space="preserve">The percentage of patients alive and without progression (PFS rate) </w:t>
      </w:r>
      <w:r w:rsidR="000F7632">
        <w:t>at 12 </w:t>
      </w:r>
      <w:r w:rsidR="000F7632" w:rsidRPr="00A470B0">
        <w:t xml:space="preserve">months was 46.5% in patients treated with </w:t>
      </w:r>
      <w:r w:rsidR="007B26AF">
        <w:t>GIOTRIF</w:t>
      </w:r>
      <w:r w:rsidR="000F7632" w:rsidRPr="00A470B0">
        <w:t xml:space="preserve"> and 22% in patients treated with chemotherapy for the overall </w:t>
      </w:r>
      <w:r w:rsidR="000F7632">
        <w:t>trial</w:t>
      </w:r>
      <w:r w:rsidR="000F7632" w:rsidRPr="00A470B0">
        <w:t xml:space="preserve"> population</w:t>
      </w:r>
      <w:r w:rsidR="0034190D">
        <w:t>.</w:t>
      </w:r>
    </w:p>
    <w:p w:rsidR="008A494A" w:rsidRDefault="008A494A" w:rsidP="008A494A">
      <w:pPr>
        <w:pStyle w:val="TextPI"/>
        <w:keepLines/>
        <w:rPr>
          <w:rFonts w:cs="Arial"/>
        </w:rPr>
      </w:pPr>
      <w:r>
        <w:rPr>
          <w:rFonts w:cs="Arial"/>
        </w:rPr>
        <w:t>In the pre-defined sub-group of common mutations (</w:t>
      </w:r>
      <w:r w:rsidRPr="0060330A">
        <w:rPr>
          <w:rFonts w:cs="Arial"/>
        </w:rPr>
        <w:t>L858R, Del 19)</w:t>
      </w:r>
      <w:r>
        <w:rPr>
          <w:rFonts w:cs="Arial"/>
        </w:rPr>
        <w:t xml:space="preserve"> for GIOTRIF (N=204) and chemotherapy (N=104) the median PFS was 13.6 months vs. 6.9 months respectively (HR 0.47; 95% CI 0.34-0.65; p&lt;0.0001). </w:t>
      </w:r>
      <w:r>
        <w:t>The PFS rate</w:t>
      </w:r>
      <w:r w:rsidRPr="00A470B0">
        <w:t xml:space="preserve"> </w:t>
      </w:r>
      <w:r>
        <w:t>at 12 months was 51</w:t>
      </w:r>
      <w:r w:rsidRPr="00A470B0">
        <w:t>.</w:t>
      </w:r>
      <w:r>
        <w:t>1</w:t>
      </w:r>
      <w:r w:rsidRPr="00A470B0">
        <w:t xml:space="preserve">% in patients treated with </w:t>
      </w:r>
      <w:r>
        <w:t>GIOTRIF and 21.4</w:t>
      </w:r>
      <w:r w:rsidRPr="00A470B0">
        <w:t>% in patients tr</w:t>
      </w:r>
      <w:r>
        <w:t xml:space="preserve">eated with chemotherapy </w:t>
      </w:r>
      <w:r>
        <w:rPr>
          <w:rFonts w:cs="Arial"/>
        </w:rPr>
        <w:t xml:space="preserve">and the median OS was 30.3 months vs. 26.2 months (HR 0.82; 95% CI 0.59-1.14; p=0.2244). </w:t>
      </w:r>
      <w:r w:rsidRPr="00675139">
        <w:rPr>
          <w:rFonts w:cs="Arial"/>
        </w:rPr>
        <w:t xml:space="preserve">The Kaplan-Meier curve </w:t>
      </w:r>
      <w:r>
        <w:rPr>
          <w:rFonts w:cs="Arial"/>
        </w:rPr>
        <w:t>for</w:t>
      </w:r>
      <w:r w:rsidRPr="00675139">
        <w:rPr>
          <w:rFonts w:cs="Arial"/>
        </w:rPr>
        <w:t xml:space="preserve"> PFS analysis</w:t>
      </w:r>
      <w:r>
        <w:rPr>
          <w:rFonts w:cs="Arial"/>
        </w:rPr>
        <w:t xml:space="preserve"> in common mutations</w:t>
      </w:r>
      <w:r w:rsidRPr="00675139">
        <w:rPr>
          <w:rFonts w:cs="Arial"/>
        </w:rPr>
        <w:t xml:space="preserve"> is shown in Figure </w:t>
      </w:r>
      <w:r>
        <w:rPr>
          <w:rFonts w:cs="Arial"/>
        </w:rPr>
        <w:t>1.</w:t>
      </w:r>
    </w:p>
    <w:p w:rsidR="00723DAA" w:rsidRPr="00F51E18" w:rsidRDefault="00723DAA" w:rsidP="00723DAA">
      <w:pPr>
        <w:pStyle w:val="TextPI"/>
        <w:keepNext/>
        <w:keepLines/>
        <w:tabs>
          <w:tab w:val="left" w:pos="1134"/>
        </w:tabs>
        <w:spacing w:before="240"/>
        <w:ind w:left="1134" w:hanging="1134"/>
        <w:jc w:val="left"/>
        <w:rPr>
          <w:b/>
        </w:rPr>
      </w:pPr>
      <w:r w:rsidRPr="00F51E18">
        <w:rPr>
          <w:b/>
        </w:rPr>
        <w:t xml:space="preserve">Figure 1: </w:t>
      </w:r>
      <w:r>
        <w:rPr>
          <w:b/>
        </w:rPr>
        <w:tab/>
      </w:r>
      <w:r w:rsidRPr="00B86F9C">
        <w:rPr>
          <w:b/>
        </w:rPr>
        <w:t>Kaplan-Meier Curve for PFS by independent review by treatment group in LUX</w:t>
      </w:r>
      <w:r w:rsidRPr="00B86F9C">
        <w:rPr>
          <w:b/>
        </w:rPr>
        <w:noBreakHyphen/>
        <w:t xml:space="preserve">Lung 3 </w:t>
      </w:r>
      <w:r>
        <w:rPr>
          <w:b/>
        </w:rPr>
        <w:t xml:space="preserve">for </w:t>
      </w:r>
      <w:r w:rsidRPr="00B86F9C">
        <w:rPr>
          <w:rFonts w:cs="Arial"/>
          <w:b/>
        </w:rPr>
        <w:t>sub-group of common mutations (</w:t>
      </w:r>
      <w:r>
        <w:rPr>
          <w:rFonts w:cs="Arial"/>
          <w:b/>
        </w:rPr>
        <w:t xml:space="preserve">L858R, </w:t>
      </w:r>
      <w:r w:rsidRPr="00B86F9C">
        <w:rPr>
          <w:rFonts w:cs="Arial"/>
          <w:b/>
        </w:rPr>
        <w:t>Del 19)</w:t>
      </w:r>
    </w:p>
    <w:p w:rsidR="00723DAA" w:rsidRDefault="00723DAA" w:rsidP="00723DAA">
      <w:pPr>
        <w:pStyle w:val="TextPI"/>
        <w:keepLines/>
      </w:pPr>
    </w:p>
    <w:p w:rsidR="00723DAA" w:rsidRDefault="00723DAA" w:rsidP="00723DAA">
      <w:pPr>
        <w:pStyle w:val="FPI-Para12pt"/>
        <w:rPr>
          <w:color w:val="1F497D"/>
        </w:rPr>
      </w:pPr>
      <w:r w:rsidRPr="000A25DE">
        <w:rPr>
          <w:noProof/>
          <w:color w:val="1F497D"/>
          <w:lang w:val="en-AU" w:eastAsia="en-AU"/>
        </w:rPr>
        <w:drawing>
          <wp:inline distT="0" distB="0" distL="0" distR="0" wp14:anchorId="1305B4F2" wp14:editId="5CFB6906">
            <wp:extent cx="6095396" cy="3741635"/>
            <wp:effectExtent l="0" t="0" r="635" b="0"/>
            <wp:docPr id="6" name="Picture 6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1.png@01CE403C.14D19CE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920" cy="37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94A" w:rsidRPr="00A470B0" w:rsidRDefault="008A494A" w:rsidP="008A494A">
      <w:pPr>
        <w:pStyle w:val="TextPI"/>
        <w:keepLines/>
      </w:pPr>
    </w:p>
    <w:p w:rsidR="001C5EAE" w:rsidRDefault="000F7632" w:rsidP="001C5EAE">
      <w:pPr>
        <w:pStyle w:val="TextPI"/>
        <w:keepLines/>
      </w:pPr>
      <w:r w:rsidRPr="00A470B0">
        <w:t xml:space="preserve">The subgroup of “other” (uncommon) mutations was small (N=37; 11%) and genetically heterogeneous (10 different molecular subtypes with unequal distribution between the treatment groups) thereby limiting the value and interpretation of the pooled statistical analyses in this subset. </w:t>
      </w:r>
      <w:r w:rsidR="004F13F7">
        <w:t xml:space="preserve"> </w:t>
      </w:r>
      <w:r w:rsidR="001C5EAE" w:rsidRPr="001C5EAE">
        <w:t>Of the 26 GIOTRIF-treated patients, eight achieved a partial response (</w:t>
      </w:r>
      <w:r w:rsidR="00686623">
        <w:t>N</w:t>
      </w:r>
      <w:r w:rsidR="001C5EAE" w:rsidRPr="001C5EAE">
        <w:t>=4) or prolonged disease control of longer than 6 months (</w:t>
      </w:r>
      <w:r w:rsidR="00686623">
        <w:t>N</w:t>
      </w:r>
      <w:r w:rsidR="001C5EAE" w:rsidRPr="001C5EAE">
        <w:t>=4):  4 patients with mutations of the category L858R+T790M (1 PR, PFS 11.0 months; 3 SD, 9.6+, 8.3, and 6.7 months); and 1 patient in each with a mutation of the categories L861Q (1 SD, 8.3 months); G719X (1 PR, 10.8 months); S768I+L858R (1 PR, 13.8+ months); and S768I (1 PR, 19.2+ months). The PFS was shorter than 6 months in all patients with the following mutation categories: T790M alone (</w:t>
      </w:r>
      <w:r w:rsidR="00686623">
        <w:t>N</w:t>
      </w:r>
      <w:r w:rsidR="001C5EAE" w:rsidRPr="001C5EAE">
        <w:t>=2), deletion 19 and T790M (</w:t>
      </w:r>
      <w:r w:rsidR="00686623">
        <w:t>N</w:t>
      </w:r>
      <w:r w:rsidR="001C5EAE" w:rsidRPr="001C5EAE">
        <w:t>=3), G719X and T790M (</w:t>
      </w:r>
      <w:r w:rsidR="00686623">
        <w:t>N</w:t>
      </w:r>
      <w:r w:rsidR="001C5EAE" w:rsidRPr="001C5EAE">
        <w:t>=1), exon 20 insertion (n=6). There were 11 chemotherapy-treated patients in the “other” uncommon EGFR mutation subgroup; of these, four (36%) achieved a partial response.</w:t>
      </w:r>
    </w:p>
    <w:p w:rsidR="001C5EAE" w:rsidRPr="001C5EAE" w:rsidRDefault="001C5EAE" w:rsidP="001C5EAE">
      <w:pPr>
        <w:pStyle w:val="TextPI"/>
        <w:keepLines/>
      </w:pPr>
      <w:r>
        <w:t xml:space="preserve">Efficacy results of trial LUX-Lung 3 are </w:t>
      </w:r>
      <w:proofErr w:type="spellStart"/>
      <w:r>
        <w:t>summarised</w:t>
      </w:r>
      <w:proofErr w:type="spellEnd"/>
      <w:r>
        <w:t xml:space="preserve"> in Table 1</w:t>
      </w:r>
      <w:r w:rsidR="00F259CF">
        <w:t xml:space="preserve"> below</w:t>
      </w:r>
      <w:r>
        <w:t>.</w:t>
      </w:r>
    </w:p>
    <w:p w:rsidR="000F7632" w:rsidRPr="00A470B0" w:rsidRDefault="000F7632" w:rsidP="00581FBE">
      <w:pPr>
        <w:keepNext/>
        <w:keepLines/>
        <w:rPr>
          <w:b/>
          <w:i/>
          <w:szCs w:val="22"/>
        </w:rPr>
      </w:pPr>
    </w:p>
    <w:p w:rsidR="000F7632" w:rsidRPr="00A470B0" w:rsidRDefault="000F7632" w:rsidP="007E3F14">
      <w:pPr>
        <w:rPr>
          <w:b/>
          <w:i/>
          <w:szCs w:val="22"/>
        </w:rPr>
      </w:pPr>
    </w:p>
    <w:p w:rsidR="000F7632" w:rsidRPr="00F51E18" w:rsidRDefault="000F7632" w:rsidP="00E043F5">
      <w:pPr>
        <w:pStyle w:val="TextPI"/>
        <w:keepNext/>
        <w:keepLines/>
        <w:tabs>
          <w:tab w:val="left" w:pos="1134"/>
        </w:tabs>
        <w:ind w:left="1134" w:hanging="1134"/>
        <w:jc w:val="left"/>
        <w:rPr>
          <w:b/>
        </w:rPr>
      </w:pPr>
      <w:r w:rsidRPr="00F51E18">
        <w:rPr>
          <w:b/>
        </w:rPr>
        <w:t xml:space="preserve">Table </w:t>
      </w:r>
      <w:r w:rsidR="0034190D" w:rsidRPr="00F51E18">
        <w:rPr>
          <w:b/>
        </w:rPr>
        <w:t>1</w:t>
      </w:r>
      <w:r w:rsidRPr="00F51E18">
        <w:rPr>
          <w:b/>
        </w:rPr>
        <w:t xml:space="preserve">: </w:t>
      </w:r>
      <w:r w:rsidR="00F51E18">
        <w:rPr>
          <w:b/>
        </w:rPr>
        <w:tab/>
      </w:r>
      <w:r w:rsidRPr="00F51E18">
        <w:rPr>
          <w:b/>
        </w:rPr>
        <w:t xml:space="preserve">Efficacy results of </w:t>
      </w:r>
      <w:r w:rsidR="007B26AF">
        <w:rPr>
          <w:b/>
        </w:rPr>
        <w:t>GIOTRIF</w:t>
      </w:r>
      <w:r w:rsidRPr="00F51E18">
        <w:rPr>
          <w:b/>
        </w:rPr>
        <w:t xml:space="preserve"> vs. </w:t>
      </w:r>
      <w:proofErr w:type="spellStart"/>
      <w:r w:rsidRPr="00F51E18">
        <w:rPr>
          <w:b/>
          <w:bCs/>
        </w:rPr>
        <w:t>pemetrexed</w:t>
      </w:r>
      <w:proofErr w:type="spellEnd"/>
      <w:r w:rsidRPr="00F51E18">
        <w:rPr>
          <w:b/>
          <w:bCs/>
        </w:rPr>
        <w:t>/</w:t>
      </w:r>
      <w:proofErr w:type="spellStart"/>
      <w:r w:rsidRPr="00F51E18">
        <w:rPr>
          <w:b/>
          <w:bCs/>
        </w:rPr>
        <w:t>cisplatin</w:t>
      </w:r>
      <w:proofErr w:type="spellEnd"/>
      <w:r w:rsidRPr="00F51E18">
        <w:rPr>
          <w:b/>
        </w:rPr>
        <w:t xml:space="preserve"> (LUX-Lung 3) based on primary analysis as of 9 February 2012 (</w:t>
      </w:r>
      <w:r w:rsidR="00500A54">
        <w:rPr>
          <w:b/>
        </w:rPr>
        <w:t>I</w:t>
      </w:r>
      <w:r w:rsidR="00500A54" w:rsidRPr="00F51E18">
        <w:rPr>
          <w:b/>
        </w:rPr>
        <w:t xml:space="preserve">ndependent </w:t>
      </w:r>
      <w:r w:rsidRPr="00F51E18">
        <w:rPr>
          <w:b/>
        </w:rPr>
        <w:t xml:space="preserve">review)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1417"/>
        <w:gridCol w:w="1985"/>
      </w:tblGrid>
      <w:tr w:rsidR="00D5661A" w:rsidRPr="00A168F5" w:rsidTr="00D5661A">
        <w:tc>
          <w:tcPr>
            <w:tcW w:w="4395" w:type="dxa"/>
            <w:tcBorders>
              <w:bottom w:val="single" w:sz="4" w:space="0" w:color="auto"/>
            </w:tcBorders>
          </w:tcPr>
          <w:p w:rsidR="00D5661A" w:rsidRPr="00A168F5" w:rsidRDefault="00D5661A" w:rsidP="00E043F5">
            <w:pPr>
              <w:keepNext/>
              <w:keepLines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661A" w:rsidRPr="00A168F5" w:rsidRDefault="007B26AF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GIOTRIF</w:t>
            </w:r>
          </w:p>
          <w:p w:rsidR="00D5661A" w:rsidRPr="00A168F5" w:rsidRDefault="00D5661A" w:rsidP="00147E11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(</w:t>
            </w:r>
            <w:r w:rsidR="00147E11">
              <w:rPr>
                <w:rFonts w:ascii="Arial" w:hAnsi="Arial" w:cs="Arial"/>
                <w:sz w:val="20"/>
              </w:rPr>
              <w:t>N</w:t>
            </w:r>
            <w:r w:rsidRPr="00A168F5">
              <w:rPr>
                <w:rFonts w:ascii="Arial" w:hAnsi="Arial" w:cs="Arial"/>
                <w:sz w:val="20"/>
              </w:rPr>
              <w:t>=230)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168F5">
              <w:rPr>
                <w:rFonts w:ascii="Arial" w:hAnsi="Arial" w:cs="Arial"/>
                <w:b/>
                <w:bCs/>
                <w:sz w:val="20"/>
              </w:rPr>
              <w:t>Pemetrexed</w:t>
            </w:r>
            <w:proofErr w:type="spellEnd"/>
            <w:r w:rsidRPr="00A168F5"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proofErr w:type="spellStart"/>
            <w:r w:rsidRPr="00A168F5">
              <w:rPr>
                <w:rFonts w:ascii="Arial" w:hAnsi="Arial" w:cs="Arial"/>
                <w:b/>
                <w:bCs/>
                <w:sz w:val="20"/>
              </w:rPr>
              <w:t>Cisplatin</w:t>
            </w:r>
            <w:proofErr w:type="spellEnd"/>
          </w:p>
          <w:p w:rsidR="00D5661A" w:rsidRPr="00A168F5" w:rsidRDefault="00D5661A" w:rsidP="00147E11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Cs/>
                <w:sz w:val="20"/>
              </w:rPr>
              <w:t>(</w:t>
            </w:r>
            <w:r w:rsidR="00147E11">
              <w:rPr>
                <w:rFonts w:ascii="Arial" w:hAnsi="Arial" w:cs="Arial"/>
                <w:bCs/>
                <w:sz w:val="20"/>
              </w:rPr>
              <w:t>N</w:t>
            </w:r>
            <w:r w:rsidRPr="00A168F5">
              <w:rPr>
                <w:rFonts w:ascii="Arial" w:hAnsi="Arial" w:cs="Arial"/>
                <w:bCs/>
                <w:sz w:val="20"/>
              </w:rPr>
              <w:t>=115)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Hazard Ratio (HR) / Odds Ratio (OR)</w:t>
            </w:r>
          </w:p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(95% CI)</w:t>
            </w:r>
          </w:p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p-value</w:t>
            </w:r>
          </w:p>
        </w:tc>
      </w:tr>
      <w:tr w:rsidR="00D5661A" w:rsidRPr="00A168F5" w:rsidTr="00D5661A">
        <w:tc>
          <w:tcPr>
            <w:tcW w:w="4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661A" w:rsidRPr="00A168F5" w:rsidRDefault="00D5661A" w:rsidP="00E043F5">
            <w:pPr>
              <w:keepNext/>
              <w:keepLines/>
              <w:widowControl w:val="0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PFS, Overall Study Population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661A" w:rsidRPr="00A168F5" w:rsidTr="00D5661A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:rsidR="00D5661A" w:rsidRPr="00A168F5" w:rsidRDefault="00D5661A" w:rsidP="00E043F5">
            <w:pPr>
              <w:keepNext/>
              <w:keepLines/>
              <w:widowControl w:val="0"/>
              <w:ind w:left="180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Months (median)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11.1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6.9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HR 0.58</w:t>
            </w:r>
          </w:p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168F5">
              <w:rPr>
                <w:rFonts w:ascii="Arial" w:hAnsi="Arial" w:cs="Arial"/>
                <w:sz w:val="20"/>
                <w:lang w:val="en-GB"/>
              </w:rPr>
              <w:t>(0.43-0.78)</w:t>
            </w:r>
          </w:p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  <w:lang w:val="en-GB"/>
              </w:rPr>
              <w:t>0.0004</w:t>
            </w:r>
          </w:p>
        </w:tc>
      </w:tr>
      <w:tr w:rsidR="00D5661A" w:rsidRPr="00A168F5" w:rsidTr="00D5661A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:rsidR="00D5661A" w:rsidRPr="00A168F5" w:rsidRDefault="00D5661A" w:rsidP="00E043F5">
            <w:pPr>
              <w:keepNext/>
              <w:keepLines/>
              <w:widowControl w:val="0"/>
              <w:ind w:left="180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1-year PFS Rate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46.5%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22.0%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5661A" w:rsidRPr="00A168F5" w:rsidTr="00D5661A"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661A" w:rsidRPr="00A168F5" w:rsidRDefault="00D5661A" w:rsidP="00E043F5">
            <w:pPr>
              <w:keepNext/>
              <w:keepLines/>
              <w:widowControl w:val="0"/>
              <w:ind w:left="180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18-month PFS Rate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26.4%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8.6%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168F5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  <w:tr w:rsidR="00D5661A" w:rsidRPr="00A168F5" w:rsidTr="00D5661A">
        <w:tc>
          <w:tcPr>
            <w:tcW w:w="4395" w:type="dxa"/>
            <w:tcBorders>
              <w:bottom w:val="nil"/>
            </w:tcBorders>
          </w:tcPr>
          <w:p w:rsidR="00D5661A" w:rsidRPr="00A168F5" w:rsidRDefault="00D5661A" w:rsidP="00E043F5">
            <w:pPr>
              <w:keepNext/>
              <w:keepLines/>
              <w:widowControl w:val="0"/>
              <w:ind w:right="-108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PFS, Patients with L858R or Del</w:t>
            </w:r>
            <w:r w:rsidR="005A704E" w:rsidRPr="00A168F5">
              <w:rPr>
                <w:rFonts w:ascii="Arial" w:hAnsi="Arial" w:cs="Arial"/>
                <w:b/>
                <w:sz w:val="20"/>
              </w:rPr>
              <w:t xml:space="preserve"> </w:t>
            </w:r>
            <w:r w:rsidRPr="00A168F5">
              <w:rPr>
                <w:rFonts w:ascii="Arial" w:hAnsi="Arial" w:cs="Arial"/>
                <w:b/>
                <w:sz w:val="20"/>
              </w:rPr>
              <w:t>19 Mutations</w:t>
            </w:r>
            <w:r w:rsidRPr="00A168F5">
              <w:rPr>
                <w:rFonts w:ascii="Arial" w:hAnsi="Arial" w:cs="Arial"/>
                <w:b/>
                <w:sz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661A" w:rsidRPr="00A168F5" w:rsidTr="00D5661A">
        <w:tc>
          <w:tcPr>
            <w:tcW w:w="4395" w:type="dxa"/>
            <w:tcBorders>
              <w:top w:val="nil"/>
              <w:bottom w:val="nil"/>
            </w:tcBorders>
          </w:tcPr>
          <w:p w:rsidR="00D5661A" w:rsidRPr="00A168F5" w:rsidRDefault="00D5661A" w:rsidP="00E043F5">
            <w:pPr>
              <w:keepNext/>
              <w:keepLines/>
              <w:widowControl w:val="0"/>
              <w:ind w:left="180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Months (median)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13.6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6.9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HR 0.47</w:t>
            </w:r>
          </w:p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168F5">
              <w:rPr>
                <w:rFonts w:ascii="Arial" w:hAnsi="Arial" w:cs="Arial"/>
                <w:sz w:val="20"/>
                <w:lang w:val="en-GB"/>
              </w:rPr>
              <w:t>(0.34-0.65)</w:t>
            </w:r>
          </w:p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  <w:lang w:val="en-GB"/>
              </w:rPr>
              <w:t>&lt;0.0001</w:t>
            </w:r>
          </w:p>
        </w:tc>
      </w:tr>
      <w:tr w:rsidR="00D5661A" w:rsidRPr="00A168F5" w:rsidTr="00D5661A">
        <w:tc>
          <w:tcPr>
            <w:tcW w:w="4395" w:type="dxa"/>
            <w:tcBorders>
              <w:top w:val="nil"/>
              <w:bottom w:val="nil"/>
            </w:tcBorders>
          </w:tcPr>
          <w:p w:rsidR="00D5661A" w:rsidRPr="00A168F5" w:rsidRDefault="00D5661A" w:rsidP="00E043F5">
            <w:pPr>
              <w:keepLines/>
              <w:widowControl w:val="0"/>
              <w:ind w:left="180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1-year PFS Rate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51.1%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21.4%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5661A" w:rsidRPr="00A168F5" w:rsidTr="00D5661A">
        <w:tc>
          <w:tcPr>
            <w:tcW w:w="4395" w:type="dxa"/>
            <w:tcBorders>
              <w:top w:val="nil"/>
            </w:tcBorders>
          </w:tcPr>
          <w:p w:rsidR="00D5661A" w:rsidRPr="00A168F5" w:rsidRDefault="00D5661A" w:rsidP="00E043F5">
            <w:pPr>
              <w:keepLines/>
              <w:widowControl w:val="0"/>
              <w:ind w:left="180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18-month PFS Rate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28.6%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7.4%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5661A" w:rsidRPr="00A168F5" w:rsidTr="00D5661A">
        <w:tc>
          <w:tcPr>
            <w:tcW w:w="4395" w:type="dxa"/>
          </w:tcPr>
          <w:p w:rsidR="00D5661A" w:rsidRPr="00A168F5" w:rsidRDefault="00D5661A" w:rsidP="00E043F5">
            <w:pPr>
              <w:keepLines/>
              <w:widowControl w:val="0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Objective Response Rate (CR+PR)</w:t>
            </w:r>
            <w:r w:rsidR="006B7F83" w:rsidRPr="00A168F5">
              <w:rPr>
                <w:rFonts w:ascii="Arial" w:hAnsi="Arial" w:cs="Arial"/>
                <w:b/>
                <w:sz w:val="20"/>
                <w:vertAlign w:val="superscript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56.1%</w:t>
            </w:r>
          </w:p>
        </w:tc>
        <w:tc>
          <w:tcPr>
            <w:tcW w:w="1417" w:type="dxa"/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22.6%</w:t>
            </w:r>
          </w:p>
        </w:tc>
        <w:tc>
          <w:tcPr>
            <w:tcW w:w="1985" w:type="dxa"/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168F5">
              <w:rPr>
                <w:rFonts w:ascii="Arial" w:hAnsi="Arial" w:cs="Arial"/>
                <w:sz w:val="20"/>
                <w:lang w:val="en-GB"/>
              </w:rPr>
              <w:t>OR 4.66</w:t>
            </w:r>
          </w:p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168F5">
              <w:rPr>
                <w:rFonts w:ascii="Arial" w:hAnsi="Arial" w:cs="Arial"/>
                <w:sz w:val="20"/>
                <w:lang w:val="en-GB"/>
              </w:rPr>
              <w:t xml:space="preserve">(2.77-7.83) </w:t>
            </w:r>
          </w:p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168F5">
              <w:rPr>
                <w:rFonts w:ascii="Arial" w:hAnsi="Arial" w:cs="Arial"/>
                <w:sz w:val="20"/>
                <w:lang w:val="en-GB"/>
              </w:rPr>
              <w:t>&lt;0.0001</w:t>
            </w:r>
          </w:p>
        </w:tc>
      </w:tr>
      <w:tr w:rsidR="00D5661A" w:rsidRPr="00A168F5" w:rsidTr="00D5661A">
        <w:trPr>
          <w:trHeight w:val="134"/>
        </w:trPr>
        <w:tc>
          <w:tcPr>
            <w:tcW w:w="4395" w:type="dxa"/>
            <w:tcBorders>
              <w:bottom w:val="single" w:sz="4" w:space="0" w:color="auto"/>
            </w:tcBorders>
          </w:tcPr>
          <w:p w:rsidR="00D5661A" w:rsidRPr="00A168F5" w:rsidRDefault="00D5661A" w:rsidP="00E043F5">
            <w:pPr>
              <w:keepLines/>
              <w:widowControl w:val="0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Disease Control Rate (CR+PR+SD)</w:t>
            </w:r>
            <w:r w:rsidR="006B7F83" w:rsidRPr="00A168F5">
              <w:rPr>
                <w:rFonts w:ascii="Arial" w:hAnsi="Arial" w:cs="Arial"/>
                <w:b/>
                <w:sz w:val="20"/>
                <w:vertAlign w:val="superscript"/>
              </w:rPr>
              <w:t xml:space="preserve">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90.0%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80.9%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  <w:lang w:val="en-GB" w:eastAsia="de-DE"/>
              </w:rPr>
            </w:pPr>
            <w:r w:rsidRPr="00A168F5">
              <w:rPr>
                <w:rFonts w:ascii="Arial" w:hAnsi="Arial" w:cs="Arial"/>
                <w:sz w:val="20"/>
                <w:lang w:val="en-GB" w:eastAsia="de-DE"/>
              </w:rPr>
              <w:t>OR 2.14</w:t>
            </w:r>
          </w:p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  <w:lang w:val="en-GB" w:eastAsia="de-DE"/>
              </w:rPr>
            </w:pPr>
            <w:r w:rsidRPr="00A168F5">
              <w:rPr>
                <w:rFonts w:ascii="Arial" w:hAnsi="Arial" w:cs="Arial"/>
                <w:sz w:val="20"/>
                <w:lang w:val="en-GB" w:eastAsia="de-DE"/>
              </w:rPr>
              <w:t>(1.13-4.04)</w:t>
            </w:r>
          </w:p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  <w:lang w:val="en-GB" w:eastAsia="de-DE"/>
              </w:rPr>
            </w:pPr>
            <w:r w:rsidRPr="00A168F5">
              <w:rPr>
                <w:rFonts w:ascii="Arial" w:hAnsi="Arial" w:cs="Arial"/>
                <w:sz w:val="20"/>
                <w:lang w:val="en-GB" w:eastAsia="de-DE"/>
              </w:rPr>
              <w:t>0.0189</w:t>
            </w:r>
          </w:p>
        </w:tc>
      </w:tr>
      <w:tr w:rsidR="00D5661A" w:rsidRPr="00A168F5" w:rsidTr="00D5661A">
        <w:tc>
          <w:tcPr>
            <w:tcW w:w="4395" w:type="dxa"/>
            <w:tcBorders>
              <w:bottom w:val="nil"/>
            </w:tcBorders>
          </w:tcPr>
          <w:p w:rsidR="00D5661A" w:rsidRPr="00A168F5" w:rsidRDefault="00D5661A" w:rsidP="00E043F5">
            <w:pPr>
              <w:keepLines/>
              <w:widowControl w:val="0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Response Duration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661A" w:rsidRPr="00A168F5" w:rsidTr="00D5661A">
        <w:tc>
          <w:tcPr>
            <w:tcW w:w="4395" w:type="dxa"/>
            <w:tcBorders>
              <w:top w:val="nil"/>
            </w:tcBorders>
          </w:tcPr>
          <w:p w:rsidR="00D5661A" w:rsidRPr="00A168F5" w:rsidRDefault="00D5661A" w:rsidP="00E043F5">
            <w:pPr>
              <w:keepLines/>
              <w:widowControl w:val="0"/>
              <w:ind w:left="180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Months (median)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11.1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168F5">
              <w:rPr>
                <w:rFonts w:ascii="Arial" w:hAnsi="Arial" w:cs="Arial"/>
                <w:b/>
                <w:sz w:val="20"/>
              </w:rPr>
              <w:t>5.5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D5661A" w:rsidRPr="00A168F5" w:rsidRDefault="00D5661A" w:rsidP="00E043F5">
            <w:pPr>
              <w:keepLines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168F5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0F7632" w:rsidRPr="00A168F5" w:rsidRDefault="000F7632" w:rsidP="00E043F5">
      <w:pPr>
        <w:keepNext/>
        <w:keepLines/>
        <w:spacing w:before="60"/>
        <w:rPr>
          <w:rFonts w:ascii="Arial" w:hAnsi="Arial" w:cs="Arial"/>
          <w:sz w:val="18"/>
          <w:szCs w:val="18"/>
        </w:rPr>
      </w:pPr>
      <w:r w:rsidRPr="00A168F5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A168F5">
        <w:rPr>
          <w:rFonts w:ascii="Arial" w:hAnsi="Arial" w:cs="Arial"/>
          <w:sz w:val="18"/>
          <w:szCs w:val="18"/>
        </w:rPr>
        <w:t>N=308 (</w:t>
      </w:r>
      <w:r w:rsidR="007B26AF" w:rsidRPr="00A168F5">
        <w:rPr>
          <w:rFonts w:ascii="Arial" w:hAnsi="Arial" w:cs="Arial"/>
          <w:sz w:val="18"/>
          <w:szCs w:val="18"/>
        </w:rPr>
        <w:t>GIOTRIF</w:t>
      </w:r>
      <w:r w:rsidRPr="00A168F5">
        <w:rPr>
          <w:rFonts w:ascii="Arial" w:hAnsi="Arial" w:cs="Arial"/>
          <w:sz w:val="18"/>
          <w:szCs w:val="18"/>
        </w:rPr>
        <w:t xml:space="preserve">: 204, </w:t>
      </w:r>
      <w:proofErr w:type="spellStart"/>
      <w:r w:rsidRPr="00A168F5">
        <w:rPr>
          <w:rFonts w:ascii="Arial" w:hAnsi="Arial" w:cs="Arial"/>
          <w:sz w:val="18"/>
          <w:szCs w:val="18"/>
        </w:rPr>
        <w:t>pemetrexed</w:t>
      </w:r>
      <w:proofErr w:type="spellEnd"/>
      <w:r w:rsidRPr="00A168F5">
        <w:rPr>
          <w:rFonts w:ascii="Arial" w:hAnsi="Arial" w:cs="Arial"/>
          <w:sz w:val="18"/>
          <w:szCs w:val="18"/>
        </w:rPr>
        <w:t>/</w:t>
      </w:r>
      <w:proofErr w:type="spellStart"/>
      <w:r w:rsidRPr="00A168F5">
        <w:rPr>
          <w:rFonts w:ascii="Arial" w:hAnsi="Arial" w:cs="Arial"/>
          <w:sz w:val="18"/>
          <w:szCs w:val="18"/>
        </w:rPr>
        <w:t>cisplatin</w:t>
      </w:r>
      <w:proofErr w:type="spellEnd"/>
      <w:r w:rsidRPr="00A168F5">
        <w:rPr>
          <w:rFonts w:ascii="Arial" w:hAnsi="Arial" w:cs="Arial"/>
          <w:sz w:val="18"/>
          <w:szCs w:val="18"/>
        </w:rPr>
        <w:t>: 104)</w:t>
      </w:r>
    </w:p>
    <w:p w:rsidR="000F7632" w:rsidRPr="00A168F5" w:rsidRDefault="000F7632" w:rsidP="00444D8B">
      <w:pPr>
        <w:keepNext/>
        <w:keepLines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168F5">
        <w:rPr>
          <w:rFonts w:ascii="Arial" w:hAnsi="Arial" w:cs="Arial"/>
          <w:sz w:val="18"/>
          <w:szCs w:val="18"/>
          <w:vertAlign w:val="superscript"/>
        </w:rPr>
        <w:t>2</w:t>
      </w:r>
      <w:r w:rsidRPr="00A168F5">
        <w:rPr>
          <w:rFonts w:ascii="Arial" w:hAnsi="Arial" w:cs="Arial"/>
          <w:sz w:val="18"/>
          <w:szCs w:val="18"/>
        </w:rPr>
        <w:t xml:space="preserve"> </w:t>
      </w:r>
      <w:r w:rsidRPr="00A168F5">
        <w:rPr>
          <w:rFonts w:ascii="Arial" w:hAnsi="Arial" w:cs="Arial"/>
          <w:color w:val="000000"/>
          <w:sz w:val="18"/>
          <w:szCs w:val="18"/>
        </w:rPr>
        <w:t>CR=complete response; PR=partial response; SD=stable disease</w:t>
      </w:r>
    </w:p>
    <w:p w:rsidR="0060330A" w:rsidRDefault="0060330A" w:rsidP="0060330A">
      <w:pPr>
        <w:rPr>
          <w:rFonts w:ascii="Arial" w:hAnsi="Arial" w:cs="Arial"/>
          <w:sz w:val="22"/>
          <w:szCs w:val="22"/>
        </w:rPr>
      </w:pPr>
    </w:p>
    <w:p w:rsidR="009F2851" w:rsidRPr="0060330A" w:rsidRDefault="000F7632" w:rsidP="00F91FE5">
      <w:pPr>
        <w:jc w:val="both"/>
        <w:rPr>
          <w:rFonts w:ascii="Arial" w:hAnsi="Arial" w:cs="Arial"/>
          <w:sz w:val="22"/>
          <w:szCs w:val="22"/>
        </w:rPr>
      </w:pPr>
      <w:r w:rsidRPr="0060330A">
        <w:rPr>
          <w:rFonts w:ascii="Arial" w:hAnsi="Arial" w:cs="Arial"/>
          <w:sz w:val="22"/>
          <w:szCs w:val="22"/>
        </w:rPr>
        <w:t xml:space="preserve">The effect on PFS was consistent within major subgroups, including gender, age, race, ECOG status, and mutation type (L858R, Del 19). </w:t>
      </w:r>
      <w:r w:rsidR="00C439A1" w:rsidRPr="0060330A">
        <w:rPr>
          <w:rFonts w:ascii="Arial" w:hAnsi="Arial" w:cs="Arial"/>
          <w:sz w:val="22"/>
          <w:szCs w:val="22"/>
        </w:rPr>
        <w:t xml:space="preserve"> </w:t>
      </w:r>
      <w:r w:rsidRPr="0060330A">
        <w:rPr>
          <w:rFonts w:ascii="Arial" w:hAnsi="Arial" w:cs="Arial"/>
          <w:sz w:val="22"/>
          <w:szCs w:val="22"/>
        </w:rPr>
        <w:t xml:space="preserve"> </w:t>
      </w:r>
      <w:r w:rsidR="009F2851" w:rsidRPr="0060330A">
        <w:rPr>
          <w:rFonts w:ascii="Arial" w:hAnsi="Arial" w:cs="Arial"/>
          <w:sz w:val="22"/>
          <w:szCs w:val="22"/>
        </w:rPr>
        <w:t>There was no difference in overall survival (OS) based on immature OS data with 28% deaths at the time of primary analysis (PFS).</w:t>
      </w:r>
    </w:p>
    <w:p w:rsidR="000F7632" w:rsidRDefault="000F7632" w:rsidP="009C708C">
      <w:pPr>
        <w:pStyle w:val="TextPI"/>
      </w:pPr>
      <w:r w:rsidRPr="00A470B0">
        <w:rPr>
          <w:lang w:eastAsia="de-DE"/>
        </w:rPr>
        <w:t xml:space="preserve">PFS benefit was accompanied by improvement in disease-related symptoms, as measured by the European </w:t>
      </w:r>
      <w:proofErr w:type="spellStart"/>
      <w:r w:rsidRPr="00A470B0">
        <w:rPr>
          <w:lang w:eastAsia="de-DE"/>
        </w:rPr>
        <w:t>Organi</w:t>
      </w:r>
      <w:r w:rsidR="00C439A1">
        <w:rPr>
          <w:lang w:eastAsia="de-DE"/>
        </w:rPr>
        <w:t>s</w:t>
      </w:r>
      <w:r w:rsidRPr="00A470B0">
        <w:rPr>
          <w:lang w:eastAsia="de-DE"/>
        </w:rPr>
        <w:t>ation</w:t>
      </w:r>
      <w:proofErr w:type="spellEnd"/>
      <w:r w:rsidRPr="00A470B0">
        <w:rPr>
          <w:lang w:eastAsia="de-DE"/>
        </w:rPr>
        <w:t xml:space="preserve"> for Research and Treatment of Cancer (EORTC) Quality of Life Questionnaires (QLQ-C30 and QLQ</w:t>
      </w:r>
      <w:r>
        <w:rPr>
          <w:lang w:eastAsia="de-DE"/>
        </w:rPr>
        <w:t>-</w:t>
      </w:r>
      <w:r w:rsidR="009C5B0A">
        <w:rPr>
          <w:lang w:eastAsia="de-DE"/>
        </w:rPr>
        <w:t xml:space="preserve">LC13). </w:t>
      </w:r>
      <w:r w:rsidR="00C439A1">
        <w:rPr>
          <w:lang w:eastAsia="de-DE"/>
        </w:rPr>
        <w:t xml:space="preserve"> </w:t>
      </w:r>
      <w:r w:rsidR="001C5EAE">
        <w:rPr>
          <w:lang w:eastAsia="de-DE"/>
        </w:rPr>
        <w:t xml:space="preserve">In the overall trial population, </w:t>
      </w:r>
      <w:r w:rsidR="007B26AF">
        <w:t>GIOTRIF</w:t>
      </w:r>
      <w:r w:rsidRPr="00A470B0">
        <w:rPr>
          <w:lang w:eastAsia="de-DE"/>
        </w:rPr>
        <w:t xml:space="preserve"> significantly delayed the time to deterioration for pre-</w:t>
      </w:r>
      <w:r>
        <w:rPr>
          <w:lang w:eastAsia="de-DE"/>
        </w:rPr>
        <w:t>specified symptoms of cough (HR 0.6; p=0.0072</w:t>
      </w:r>
      <w:r w:rsidR="00133193">
        <w:rPr>
          <w:lang w:eastAsia="de-DE"/>
        </w:rPr>
        <w:t>; median time not reached for GIOTRIF vs. 8.0 months for chemotherapy</w:t>
      </w:r>
      <w:r>
        <w:rPr>
          <w:lang w:eastAsia="de-DE"/>
        </w:rPr>
        <w:t xml:space="preserve">) and </w:t>
      </w:r>
      <w:proofErr w:type="spellStart"/>
      <w:r>
        <w:rPr>
          <w:lang w:eastAsia="de-DE"/>
        </w:rPr>
        <w:t>dyspnoea</w:t>
      </w:r>
      <w:proofErr w:type="spellEnd"/>
      <w:r>
        <w:rPr>
          <w:lang w:eastAsia="de-DE"/>
        </w:rPr>
        <w:t xml:space="preserve"> (HR </w:t>
      </w:r>
      <w:r w:rsidRPr="00A470B0">
        <w:rPr>
          <w:lang w:eastAsia="de-DE"/>
        </w:rPr>
        <w:t>0.68; p=0.0145</w:t>
      </w:r>
      <w:r w:rsidR="00133193">
        <w:rPr>
          <w:lang w:eastAsia="de-DE"/>
        </w:rPr>
        <w:t>; median time of 10.3 vs. 2.9 months</w:t>
      </w:r>
      <w:r w:rsidR="00474397">
        <w:rPr>
          <w:lang w:eastAsia="de-DE"/>
        </w:rPr>
        <w:t>).</w:t>
      </w:r>
      <w:r w:rsidR="009C5B0A">
        <w:rPr>
          <w:lang w:eastAsia="de-DE"/>
        </w:rPr>
        <w:t xml:space="preserve"> </w:t>
      </w:r>
      <w:r w:rsidR="00C439A1">
        <w:rPr>
          <w:lang w:eastAsia="de-DE"/>
        </w:rPr>
        <w:t xml:space="preserve"> </w:t>
      </w:r>
      <w:r w:rsidRPr="00A470B0">
        <w:rPr>
          <w:lang w:eastAsia="de-DE"/>
        </w:rPr>
        <w:t xml:space="preserve">Significantly more patients treated with </w:t>
      </w:r>
      <w:r w:rsidR="007B26AF">
        <w:t>GIOTRIF</w:t>
      </w:r>
      <w:r w:rsidRPr="00A470B0">
        <w:rPr>
          <w:lang w:eastAsia="de-DE"/>
        </w:rPr>
        <w:t xml:space="preserve"> compared with those treated with chemotherapy had improvement for </w:t>
      </w:r>
      <w:proofErr w:type="spellStart"/>
      <w:r w:rsidRPr="00A470B0">
        <w:rPr>
          <w:lang w:eastAsia="de-DE"/>
        </w:rPr>
        <w:t>dyspnoea</w:t>
      </w:r>
      <w:proofErr w:type="spellEnd"/>
      <w:r w:rsidRPr="00A470B0">
        <w:rPr>
          <w:lang w:eastAsia="de-DE"/>
        </w:rPr>
        <w:t xml:space="preserve"> (64% vs.</w:t>
      </w:r>
      <w:r>
        <w:rPr>
          <w:lang w:eastAsia="de-DE"/>
        </w:rPr>
        <w:t xml:space="preserve"> 50%; p=</w:t>
      </w:r>
      <w:r w:rsidR="009C5B0A">
        <w:rPr>
          <w:lang w:eastAsia="de-DE"/>
        </w:rPr>
        <w:t>0.0103)</w:t>
      </w:r>
      <w:r w:rsidR="001A79D3">
        <w:rPr>
          <w:lang w:eastAsia="de-DE"/>
        </w:rPr>
        <w:t xml:space="preserve"> and </w:t>
      </w:r>
      <w:r w:rsidRPr="004D51B2">
        <w:rPr>
          <w:lang w:eastAsia="de-DE"/>
        </w:rPr>
        <w:t xml:space="preserve">individual items of pain (‘Have pain’: 56.0% vs. 40.0%; p=0.0095; ‘Pain in chest’: 51.0% vs. 37.0%; p=0.0184; ‘Pain in arm or shoulder’: 41.0% vs. 26.0%; p=0.0103). </w:t>
      </w:r>
      <w:r w:rsidR="00AA7ED0" w:rsidRPr="004D51B2">
        <w:rPr>
          <w:lang w:eastAsia="de-DE"/>
        </w:rPr>
        <w:t xml:space="preserve"> </w:t>
      </w:r>
      <w:r w:rsidRPr="004D51B2">
        <w:t>For co</w:t>
      </w:r>
      <w:r w:rsidRPr="00A470B0">
        <w:t>ugh</w:t>
      </w:r>
      <w:r>
        <w:t>,</w:t>
      </w:r>
      <w:r w:rsidRPr="00A470B0">
        <w:t xml:space="preserve"> numerically more patient</w:t>
      </w:r>
      <w:r>
        <w:t xml:space="preserve">s improved on </w:t>
      </w:r>
      <w:r w:rsidR="007B26AF">
        <w:t>GIOTRIF</w:t>
      </w:r>
      <w:r w:rsidR="00AA7ED0">
        <w:t xml:space="preserve"> </w:t>
      </w:r>
      <w:r w:rsidRPr="00A470B0">
        <w:t>(67% vs. 60%; p=0.2444).</w:t>
      </w:r>
    </w:p>
    <w:p w:rsidR="000F7632" w:rsidRPr="00941314" w:rsidRDefault="000F7632" w:rsidP="00FE0783">
      <w:pPr>
        <w:pStyle w:val="PIheading4"/>
        <w:keepNext/>
        <w:outlineLvl w:val="3"/>
        <w:rPr>
          <w:i w:val="0"/>
          <w:iCs/>
          <w:u w:val="single"/>
        </w:rPr>
      </w:pPr>
      <w:r w:rsidRPr="00941314">
        <w:rPr>
          <w:i w:val="0"/>
          <w:iCs/>
          <w:u w:val="single"/>
        </w:rPr>
        <w:t>LUX-Lung 2 (1200.22)</w:t>
      </w:r>
    </w:p>
    <w:p w:rsidR="000F7632" w:rsidRPr="00A470B0" w:rsidRDefault="000F7632" w:rsidP="00BE36FD">
      <w:pPr>
        <w:pStyle w:val="TextPI"/>
      </w:pPr>
      <w:r>
        <w:t>LUX-Lung </w:t>
      </w:r>
      <w:r w:rsidRPr="00A470B0">
        <w:t xml:space="preserve">2 was an open label single arm Phase II trial which investigated the efficacy and safety of </w:t>
      </w:r>
      <w:r w:rsidR="007B26AF">
        <w:t>GIOTRIF</w:t>
      </w:r>
      <w:r w:rsidRPr="00A470B0">
        <w:t xml:space="preserve"> in 129 EGFR TKI</w:t>
      </w:r>
      <w:r w:rsidR="00BE36FD">
        <w:t>-</w:t>
      </w:r>
      <w:r w:rsidRPr="00A470B0">
        <w:t xml:space="preserve">naïve patients with locally advanced or metastatic lung adenocarcinoma (stage IIIB or IV) with EGFR mutations. </w:t>
      </w:r>
      <w:r w:rsidR="00AA7ED0">
        <w:t xml:space="preserve"> </w:t>
      </w:r>
      <w:r w:rsidRPr="00A470B0">
        <w:t xml:space="preserve">Patients were enrolled in the first-line (N=61) or second-line setting (N=68) (i.e. after failure of </w:t>
      </w:r>
      <w:r w:rsidR="00A229F8">
        <w:t>one</w:t>
      </w:r>
      <w:r w:rsidRPr="00A470B0">
        <w:t xml:space="preserve"> prior chemotherapy regimen)</w:t>
      </w:r>
      <w:r w:rsidR="00BE36FD">
        <w:t xml:space="preserve">. </w:t>
      </w:r>
      <w:r w:rsidR="00AA7ED0">
        <w:t xml:space="preserve"> </w:t>
      </w:r>
      <w:r w:rsidRPr="00A470B0">
        <w:t>Patients were centrally screened for EGFR mutations. Patients receiv</w:t>
      </w:r>
      <w:r>
        <w:t>ed either 40 </w:t>
      </w:r>
      <w:r w:rsidRPr="00A470B0">
        <w:t xml:space="preserve">mg (N=30) </w:t>
      </w:r>
      <w:r>
        <w:t>or 50 </w:t>
      </w:r>
      <w:r w:rsidRPr="00A470B0">
        <w:t xml:space="preserve">mg (N=99) of </w:t>
      </w:r>
      <w:r w:rsidR="007B26AF">
        <w:t>GIOTRIF</w:t>
      </w:r>
      <w:r w:rsidR="00AA7ED0">
        <w:rPr>
          <w:vertAlign w:val="superscript"/>
        </w:rPr>
        <w:t xml:space="preserve"> </w:t>
      </w:r>
      <w:r w:rsidR="00BE36FD">
        <w:t>once daily.</w:t>
      </w:r>
    </w:p>
    <w:p w:rsidR="000F7632" w:rsidRPr="00A470B0" w:rsidRDefault="000F7632" w:rsidP="00BE36FD">
      <w:pPr>
        <w:pStyle w:val="TextPI"/>
      </w:pPr>
      <w:r w:rsidRPr="00A470B0">
        <w:t>The primary endpoint was ORR. Secondary endpoints included PFS, DCR and OS.</w:t>
      </w:r>
    </w:p>
    <w:p w:rsidR="000F7632" w:rsidRPr="00A470B0" w:rsidRDefault="000F7632" w:rsidP="004D6472">
      <w:pPr>
        <w:pStyle w:val="TextPI"/>
      </w:pPr>
      <w:r w:rsidRPr="00A470B0">
        <w:lastRenderedPageBreak/>
        <w:t xml:space="preserve">In 61 patients treated in the first-line setting, confirmed ORR was 65.6% and DCR was 86.9% according to independent </w:t>
      </w:r>
      <w:r>
        <w:t xml:space="preserve">review. </w:t>
      </w:r>
      <w:r w:rsidR="00AA7ED0">
        <w:t xml:space="preserve"> </w:t>
      </w:r>
      <w:r>
        <w:t>The median PFS was 12.0 </w:t>
      </w:r>
      <w:r w:rsidRPr="00A470B0">
        <w:t>months</w:t>
      </w:r>
      <w:r>
        <w:t xml:space="preserve"> by independent review and 15.6 </w:t>
      </w:r>
      <w:r w:rsidRPr="00A470B0">
        <w:t>months by investigator assessment.</w:t>
      </w:r>
      <w:r w:rsidR="00AA7ED0">
        <w:t xml:space="preserve"> </w:t>
      </w:r>
      <w:r w:rsidRPr="00A470B0">
        <w:t xml:space="preserve"> Median OS was not reached in the first</w:t>
      </w:r>
      <w:r>
        <w:noBreakHyphen/>
      </w:r>
      <w:r w:rsidRPr="00A470B0">
        <w:t xml:space="preserve">line population. </w:t>
      </w:r>
      <w:r w:rsidR="00AA7ED0">
        <w:t xml:space="preserve"> </w:t>
      </w:r>
      <w:r w:rsidRPr="00A470B0">
        <w:t xml:space="preserve">Efficacy was similarly high in the group of patients who had received prior chemotherapy (N=68; ORR 57.4%; PFS by independent review 8 months and by investigator assessment 10.5 months; DCR 77.9%). </w:t>
      </w:r>
      <w:r w:rsidR="00AA7ED0">
        <w:t xml:space="preserve"> </w:t>
      </w:r>
      <w:r w:rsidRPr="00A470B0">
        <w:t>Median OS in the second line patients wa</w:t>
      </w:r>
      <w:r w:rsidR="00BE36FD">
        <w:t>s 23.3</w:t>
      </w:r>
      <w:r w:rsidR="000C1FAF">
        <w:t> </w:t>
      </w:r>
      <w:r w:rsidR="00BE36FD">
        <w:t>months (95% CI 18.5-38).</w:t>
      </w:r>
    </w:p>
    <w:p w:rsidR="00014579" w:rsidRPr="00F20F0F" w:rsidRDefault="00014579" w:rsidP="004D6472">
      <w:pPr>
        <w:pStyle w:val="PIHeading1"/>
      </w:pPr>
      <w:r w:rsidRPr="00F20F0F">
        <w:t>INDICATIONS</w:t>
      </w:r>
    </w:p>
    <w:p w:rsidR="00AA4B6E" w:rsidRPr="004B5FF2" w:rsidRDefault="007B26AF" w:rsidP="00AA4B6E">
      <w:pPr>
        <w:pStyle w:val="TextPI"/>
      </w:pPr>
      <w:bookmarkStart w:id="2" w:name="OLE_LINK2"/>
      <w:r>
        <w:t>GIOTRIF</w:t>
      </w:r>
      <w:r w:rsidR="00AA4B6E" w:rsidRPr="004B5FF2">
        <w:t xml:space="preserve"> is indicated </w:t>
      </w:r>
      <w:r w:rsidR="00BB3B86" w:rsidRPr="004B5FF2">
        <w:t xml:space="preserve">as </w:t>
      </w:r>
      <w:proofErr w:type="spellStart"/>
      <w:r w:rsidR="00BB3B86" w:rsidRPr="004B5FF2">
        <w:t>monotherapy</w:t>
      </w:r>
      <w:proofErr w:type="spellEnd"/>
      <w:r w:rsidR="00BB3B86" w:rsidRPr="004B5FF2">
        <w:t xml:space="preserve"> </w:t>
      </w:r>
      <w:r w:rsidR="00AA4B6E" w:rsidRPr="004B5FF2">
        <w:t xml:space="preserve">for the treatment of patients with </w:t>
      </w:r>
      <w:r w:rsidR="005302E1">
        <w:t xml:space="preserve">advanced or </w:t>
      </w:r>
      <w:r w:rsidR="00AA4B6E" w:rsidRPr="004B5FF2">
        <w:t xml:space="preserve">metastatic </w:t>
      </w:r>
      <w:r w:rsidR="005302E1">
        <w:t xml:space="preserve">non-squamous non-small cell carcinoma </w:t>
      </w:r>
      <w:r w:rsidR="008D000D">
        <w:t>of the lung</w:t>
      </w:r>
      <w:r w:rsidR="005302E1">
        <w:t xml:space="preserve">, either as first line therapy or after failure of cytotoxic chemotherapy. </w:t>
      </w:r>
      <w:proofErr w:type="spellStart"/>
      <w:r w:rsidR="005302E1">
        <w:t>Tumours</w:t>
      </w:r>
      <w:proofErr w:type="spellEnd"/>
      <w:r w:rsidR="005302E1">
        <w:t xml:space="preserve"> must</w:t>
      </w:r>
      <w:r w:rsidR="008D000D">
        <w:t xml:space="preserve"> have </w:t>
      </w:r>
      <w:r w:rsidR="00FF0D50">
        <w:t xml:space="preserve">Epidermal Growth Factor Receptor (EGFR) </w:t>
      </w:r>
      <w:r w:rsidR="008D000D">
        <w:t xml:space="preserve">exon 19 deletions or L858R substitution mutations. </w:t>
      </w:r>
      <w:bookmarkEnd w:id="2"/>
    </w:p>
    <w:p w:rsidR="00014579" w:rsidRPr="00F20F0F" w:rsidRDefault="00014579" w:rsidP="004D6472">
      <w:pPr>
        <w:pStyle w:val="PIHeading1"/>
      </w:pPr>
      <w:r w:rsidRPr="00F20F0F">
        <w:t>CONTRAINDICATIONS</w:t>
      </w:r>
    </w:p>
    <w:p w:rsidR="00B57FD2" w:rsidRPr="00A470B0" w:rsidRDefault="007B26AF" w:rsidP="00B57FD2">
      <w:pPr>
        <w:pStyle w:val="TextPI"/>
      </w:pPr>
      <w:r>
        <w:t>GIOTRIF</w:t>
      </w:r>
      <w:r w:rsidR="00B57FD2" w:rsidRPr="00A470B0">
        <w:rPr>
          <w:bCs/>
        </w:rPr>
        <w:t xml:space="preserve"> </w:t>
      </w:r>
      <w:r w:rsidR="00B57FD2" w:rsidRPr="00A470B0">
        <w:t xml:space="preserve">is contraindicated in patients with known hypersensitivity to </w:t>
      </w:r>
      <w:proofErr w:type="spellStart"/>
      <w:r w:rsidR="00B57FD2" w:rsidRPr="00A470B0">
        <w:rPr>
          <w:bCs/>
        </w:rPr>
        <w:t>afatinib</w:t>
      </w:r>
      <w:proofErr w:type="spellEnd"/>
      <w:r w:rsidR="00B57FD2" w:rsidRPr="00A470B0">
        <w:t xml:space="preserve"> or to any of the excipients.</w:t>
      </w:r>
    </w:p>
    <w:p w:rsidR="00014579" w:rsidRDefault="00014579" w:rsidP="001A7050">
      <w:pPr>
        <w:pStyle w:val="PIHeading1"/>
      </w:pPr>
      <w:r w:rsidRPr="00F20F0F">
        <w:t>PRECAUTIONS</w:t>
      </w:r>
    </w:p>
    <w:p w:rsidR="00ED64B7" w:rsidRPr="00A470B0" w:rsidRDefault="00ED64B7" w:rsidP="004D6472">
      <w:pPr>
        <w:pStyle w:val="PIheading2"/>
        <w:rPr>
          <w:highlight w:val="yellow"/>
        </w:rPr>
      </w:pPr>
      <w:r w:rsidRPr="00A470B0">
        <w:t>Assessment of EGFR mutation status</w:t>
      </w:r>
    </w:p>
    <w:p w:rsidR="00ED64B7" w:rsidRPr="00A470B0" w:rsidRDefault="00ED64B7" w:rsidP="00ED64B7">
      <w:pPr>
        <w:pStyle w:val="TextPI"/>
        <w:rPr>
          <w:b/>
          <w:sz w:val="26"/>
          <w:highlight w:val="yellow"/>
          <w:u w:val="single"/>
        </w:rPr>
      </w:pPr>
      <w:r w:rsidRPr="00A470B0">
        <w:t>When assessing the EGFR mutation status of a patient, it is important that a well-validated and robust methodology is chosen to avoid false negative or false positive determinations.</w:t>
      </w:r>
    </w:p>
    <w:p w:rsidR="00ED64B7" w:rsidRPr="00A470B0" w:rsidRDefault="0018385C" w:rsidP="00ED64B7">
      <w:pPr>
        <w:pStyle w:val="PIheading2"/>
      </w:pPr>
      <w:r w:rsidRPr="00A470B0">
        <w:t>Diarr</w:t>
      </w:r>
      <w:r>
        <w:t>hoea</w:t>
      </w:r>
    </w:p>
    <w:p w:rsidR="00ED64B7" w:rsidRPr="00A470B0" w:rsidRDefault="00ED64B7" w:rsidP="00BA5588">
      <w:pPr>
        <w:pStyle w:val="TextPI"/>
      </w:pPr>
      <w:proofErr w:type="spellStart"/>
      <w:r w:rsidRPr="00A470B0">
        <w:t>Diarrhoea</w:t>
      </w:r>
      <w:proofErr w:type="spellEnd"/>
      <w:r w:rsidRPr="00A470B0">
        <w:t xml:space="preserve">, including severe </w:t>
      </w:r>
      <w:proofErr w:type="spellStart"/>
      <w:r w:rsidRPr="00A470B0">
        <w:t>diarrhoea</w:t>
      </w:r>
      <w:proofErr w:type="spellEnd"/>
      <w:r w:rsidRPr="00A470B0">
        <w:t xml:space="preserve">, has been reported </w:t>
      </w:r>
      <w:r w:rsidRPr="00A470B0">
        <w:rPr>
          <w:bCs/>
          <w:iCs/>
        </w:rPr>
        <w:t xml:space="preserve">during treatment with </w:t>
      </w:r>
      <w:r w:rsidR="007B26AF">
        <w:t>GIOTRIF</w:t>
      </w:r>
      <w:r w:rsidRPr="00A470B0">
        <w:rPr>
          <w:bCs/>
          <w:iCs/>
        </w:rPr>
        <w:t xml:space="preserve"> </w:t>
      </w:r>
      <w:r w:rsidRPr="00A470B0">
        <w:t xml:space="preserve">(see </w:t>
      </w:r>
      <w:r w:rsidR="007E3F14">
        <w:t>ADVERSE EFFECTS</w:t>
      </w:r>
      <w:r w:rsidRPr="00A470B0">
        <w:t xml:space="preserve">). </w:t>
      </w:r>
      <w:r w:rsidR="0018385C">
        <w:t xml:space="preserve"> </w:t>
      </w:r>
      <w:proofErr w:type="spellStart"/>
      <w:r w:rsidRPr="00A470B0">
        <w:t>Diarrhoea</w:t>
      </w:r>
      <w:proofErr w:type="spellEnd"/>
      <w:r w:rsidRPr="00A470B0">
        <w:t xml:space="preserve"> may result in </w:t>
      </w:r>
      <w:r w:rsidR="00E1419E">
        <w:t xml:space="preserve">electrolyte abnormalities and/or </w:t>
      </w:r>
      <w:r w:rsidRPr="00A470B0">
        <w:t xml:space="preserve">dehydration with or without renal impairment, which in rare cases has resulted in fatal outcomes. </w:t>
      </w:r>
      <w:r w:rsidR="0018385C">
        <w:t xml:space="preserve"> </w:t>
      </w:r>
      <w:r w:rsidR="00FE7A0F" w:rsidRPr="00FE7A0F">
        <w:t xml:space="preserve">Monitoring for serum electrolyte abnormalities may be required depending on the severity and duration of </w:t>
      </w:r>
      <w:proofErr w:type="spellStart"/>
      <w:r w:rsidR="00FE7A0F" w:rsidRPr="00FE7A0F">
        <w:t>diarrhoea</w:t>
      </w:r>
      <w:proofErr w:type="spellEnd"/>
      <w:r w:rsidR="00FE7A0F" w:rsidRPr="00FE7A0F">
        <w:t xml:space="preserve">. </w:t>
      </w:r>
      <w:r w:rsidR="00FE7A0F">
        <w:t xml:space="preserve"> </w:t>
      </w:r>
      <w:proofErr w:type="spellStart"/>
      <w:r w:rsidRPr="00A470B0">
        <w:t>Diarrhoea</w:t>
      </w:r>
      <w:proofErr w:type="spellEnd"/>
      <w:r w:rsidRPr="00A470B0">
        <w:t xml:space="preserve"> usually occurred within the first 2</w:t>
      </w:r>
      <w:r>
        <w:t> </w:t>
      </w:r>
      <w:r w:rsidRPr="00A470B0">
        <w:t xml:space="preserve">weeks of treatment. </w:t>
      </w:r>
      <w:r w:rsidR="0018385C">
        <w:t xml:space="preserve"> </w:t>
      </w:r>
      <w:r>
        <w:t>Grade </w:t>
      </w:r>
      <w:r w:rsidRPr="00A470B0">
        <w:t xml:space="preserve">3 </w:t>
      </w:r>
      <w:proofErr w:type="spellStart"/>
      <w:r w:rsidRPr="00A470B0">
        <w:t>diarrhoea</w:t>
      </w:r>
      <w:proofErr w:type="spellEnd"/>
      <w:r w:rsidRPr="00A470B0">
        <w:t xml:space="preserve"> most frequen</w:t>
      </w:r>
      <w:r>
        <w:t>tly occurred within the first 6 </w:t>
      </w:r>
      <w:r w:rsidRPr="00A470B0">
        <w:t xml:space="preserve">weeks of treatment. </w:t>
      </w:r>
      <w:r w:rsidR="0018385C">
        <w:t xml:space="preserve"> </w:t>
      </w:r>
      <w:r w:rsidRPr="00A470B0">
        <w:t xml:space="preserve">Proactive management of </w:t>
      </w:r>
      <w:proofErr w:type="spellStart"/>
      <w:r w:rsidRPr="00A470B0">
        <w:t>diarrhoea</w:t>
      </w:r>
      <w:proofErr w:type="spellEnd"/>
      <w:r w:rsidRPr="00A470B0">
        <w:t xml:space="preserve"> including adequa</w:t>
      </w:r>
      <w:r w:rsidR="00AE6782">
        <w:t xml:space="preserve">te hydration combined with </w:t>
      </w:r>
      <w:proofErr w:type="spellStart"/>
      <w:r w:rsidR="00AE6782">
        <w:t>anti</w:t>
      </w:r>
      <w:r w:rsidRPr="00A470B0">
        <w:t>diarrhoeal</w:t>
      </w:r>
      <w:proofErr w:type="spellEnd"/>
      <w:r w:rsidRPr="00A470B0">
        <w:t xml:space="preserve"> agents especially with</w:t>
      </w:r>
      <w:r>
        <w:t xml:space="preserve">in the first </w:t>
      </w:r>
      <w:r w:rsidR="001A6A3A">
        <w:t>six</w:t>
      </w:r>
      <w:r>
        <w:t> </w:t>
      </w:r>
      <w:r w:rsidRPr="00A470B0">
        <w:t xml:space="preserve">weeks of the treatment is important and should start at first signs of </w:t>
      </w:r>
      <w:proofErr w:type="spellStart"/>
      <w:r w:rsidRPr="00A470B0">
        <w:t>diarrhoea</w:t>
      </w:r>
      <w:proofErr w:type="spellEnd"/>
      <w:r w:rsidRPr="00A470B0">
        <w:t xml:space="preserve">. </w:t>
      </w:r>
      <w:r w:rsidR="0018385C">
        <w:t xml:space="preserve"> </w:t>
      </w:r>
      <w:proofErr w:type="spellStart"/>
      <w:r w:rsidRPr="00A470B0">
        <w:t>Antidiarrhoeal</w:t>
      </w:r>
      <w:proofErr w:type="spellEnd"/>
      <w:r w:rsidRPr="00A470B0">
        <w:t xml:space="preserve"> agents (e.g. </w:t>
      </w:r>
      <w:proofErr w:type="spellStart"/>
      <w:r w:rsidRPr="00A470B0">
        <w:t>loperamide</w:t>
      </w:r>
      <w:proofErr w:type="spellEnd"/>
      <w:r w:rsidRPr="00A470B0">
        <w:t xml:space="preserve">) should be used and if necessary their dose should be escalated to the highest recommended approved dose. </w:t>
      </w:r>
      <w:proofErr w:type="spellStart"/>
      <w:r w:rsidRPr="00A470B0">
        <w:t>Antidiarrhoeal</w:t>
      </w:r>
      <w:proofErr w:type="spellEnd"/>
      <w:r w:rsidRPr="00A470B0">
        <w:t xml:space="preserve"> agents should be readily available to the patients so that treatment can be initiated at first signs of </w:t>
      </w:r>
      <w:proofErr w:type="spellStart"/>
      <w:r w:rsidRPr="00A470B0">
        <w:t>diarrhoea</w:t>
      </w:r>
      <w:proofErr w:type="spellEnd"/>
      <w:r>
        <w:t xml:space="preserve"> and continued until loose bowel movements cease for 12 hours</w:t>
      </w:r>
      <w:r w:rsidR="00BA5588">
        <w:t>.</w:t>
      </w:r>
      <w:r w:rsidRPr="00A470B0">
        <w:rPr>
          <w:lang w:bidi="ml-IN"/>
        </w:rPr>
        <w:t xml:space="preserve"> </w:t>
      </w:r>
      <w:r w:rsidR="0018385C">
        <w:rPr>
          <w:lang w:bidi="ml-IN"/>
        </w:rPr>
        <w:t xml:space="preserve"> </w:t>
      </w:r>
      <w:r w:rsidRPr="00A470B0">
        <w:t xml:space="preserve">Patients with severe </w:t>
      </w:r>
      <w:proofErr w:type="spellStart"/>
      <w:r w:rsidRPr="00A470B0">
        <w:t>diarrhoea</w:t>
      </w:r>
      <w:proofErr w:type="spellEnd"/>
      <w:r w:rsidRPr="00A470B0">
        <w:t xml:space="preserve"> may require interruption and dose reduction or discontinuation of therapy with </w:t>
      </w:r>
      <w:r w:rsidR="007B26AF">
        <w:t>GIOTRIF</w:t>
      </w:r>
      <w:r w:rsidRPr="00A470B0">
        <w:t xml:space="preserve"> (see </w:t>
      </w:r>
      <w:r w:rsidR="00DA3792">
        <w:t>DOSAGE AND ADMINISTRATION</w:t>
      </w:r>
      <w:r w:rsidRPr="00A470B0">
        <w:t xml:space="preserve">). </w:t>
      </w:r>
      <w:r w:rsidR="0018385C">
        <w:t xml:space="preserve"> </w:t>
      </w:r>
      <w:r w:rsidRPr="00A470B0">
        <w:t>Patients who become dehydrated may require administration of intravenous electrolytes and fluids.</w:t>
      </w:r>
    </w:p>
    <w:p w:rsidR="00ED64B7" w:rsidRPr="00A470B0" w:rsidRDefault="00ED64B7" w:rsidP="0018385C">
      <w:pPr>
        <w:pStyle w:val="PIheading2"/>
        <w:keepLines/>
      </w:pPr>
      <w:r w:rsidRPr="00A470B0">
        <w:t>Skin related adverse events</w:t>
      </w:r>
    </w:p>
    <w:p w:rsidR="00ED64B7" w:rsidRDefault="00ED64B7" w:rsidP="0018385C">
      <w:pPr>
        <w:pStyle w:val="TextPI"/>
        <w:keepNext/>
        <w:keepLines/>
      </w:pPr>
      <w:r w:rsidRPr="00A470B0">
        <w:t>Rash/</w:t>
      </w:r>
      <w:r>
        <w:t>a</w:t>
      </w:r>
      <w:r w:rsidRPr="00A470B0">
        <w:t xml:space="preserve">cne has been reported in patients treated with </w:t>
      </w:r>
      <w:r w:rsidR="007B26AF">
        <w:t>GIOTRIF</w:t>
      </w:r>
      <w:r w:rsidRPr="00A470B0">
        <w:t xml:space="preserve"> (see </w:t>
      </w:r>
      <w:r w:rsidR="007E3F14">
        <w:t>ADVERSE EFFECTS</w:t>
      </w:r>
      <w:r w:rsidRPr="00A470B0">
        <w:t>).</w:t>
      </w:r>
      <w:r w:rsidRPr="00A470B0">
        <w:rPr>
          <w:i/>
        </w:rPr>
        <w:t xml:space="preserve"> </w:t>
      </w:r>
      <w:r w:rsidR="0018385C">
        <w:rPr>
          <w:i/>
        </w:rPr>
        <w:t xml:space="preserve"> </w:t>
      </w:r>
      <w:r w:rsidRPr="00A470B0">
        <w:t xml:space="preserve">In general, rash manifests as a mild or moderate erythematous and </w:t>
      </w:r>
      <w:proofErr w:type="spellStart"/>
      <w:r w:rsidRPr="00A470B0">
        <w:t>acneiform</w:t>
      </w:r>
      <w:proofErr w:type="spellEnd"/>
      <w:r w:rsidRPr="00A470B0">
        <w:t xml:space="preserve"> rash, which may occur or worsen in areas exposed to sun. </w:t>
      </w:r>
      <w:r w:rsidR="0018385C">
        <w:t xml:space="preserve"> </w:t>
      </w:r>
      <w:r w:rsidRPr="00A470B0">
        <w:t xml:space="preserve">For patients who are exposed to sun, protective clothing, and/or use of sun screen is advisable. </w:t>
      </w:r>
      <w:r w:rsidR="0018385C">
        <w:t xml:space="preserve"> </w:t>
      </w:r>
      <w:r w:rsidRPr="00A470B0">
        <w:t xml:space="preserve">Early intervention (e.g. emollients, antibiotics) of dermatologic reactions can facilitate continuous </w:t>
      </w:r>
      <w:r w:rsidR="007B26AF">
        <w:t>GIOTRIF</w:t>
      </w:r>
      <w:r w:rsidRPr="00A470B0">
        <w:t xml:space="preserve"> treatment.</w:t>
      </w:r>
    </w:p>
    <w:p w:rsidR="00ED64B7" w:rsidRPr="00A470B0" w:rsidRDefault="00ED64B7" w:rsidP="00C256E9">
      <w:pPr>
        <w:pStyle w:val="TextPI"/>
      </w:pPr>
      <w:r w:rsidRPr="00A470B0">
        <w:t xml:space="preserve">Patients with prolonged or severe skin reactions may also require temporary interruption of therapy, dose reduction (see </w:t>
      </w:r>
      <w:r w:rsidR="00DA3792">
        <w:t>DOSAGE AND ADMINISTRATION</w:t>
      </w:r>
      <w:r w:rsidRPr="00A470B0">
        <w:t xml:space="preserve">), additional therapeutic intervention, and referral to a specialist with expertise in managing these dermatologic effects. Bullous, blistering and </w:t>
      </w:r>
      <w:proofErr w:type="spellStart"/>
      <w:r w:rsidRPr="00A470B0">
        <w:t>exfoliative</w:t>
      </w:r>
      <w:proofErr w:type="spellEnd"/>
      <w:r w:rsidRPr="00A470B0">
        <w:t xml:space="preserve"> skin conditions have been reported including rare cases </w:t>
      </w:r>
      <w:r w:rsidRPr="00A470B0">
        <w:lastRenderedPageBreak/>
        <w:t>suggestive of Stevens-Johnson syndrome</w:t>
      </w:r>
      <w:r>
        <w:t>.</w:t>
      </w:r>
      <w:r w:rsidRPr="00A470B0">
        <w:t xml:space="preserve"> </w:t>
      </w:r>
      <w:r w:rsidR="0018385C">
        <w:t xml:space="preserve"> </w:t>
      </w:r>
      <w:r w:rsidR="007B26AF">
        <w:t>GIOTRIF</w:t>
      </w:r>
      <w:r w:rsidRPr="00A470B0">
        <w:t xml:space="preserve"> treatment should be interrupted or discontinued if the patient develops severe bullous, blistering or exfoli</w:t>
      </w:r>
      <w:r w:rsidR="00C256E9">
        <w:t>ating conditions.</w:t>
      </w:r>
    </w:p>
    <w:p w:rsidR="00ED64B7" w:rsidRPr="00A470B0" w:rsidRDefault="00ED64B7" w:rsidP="004F132F">
      <w:pPr>
        <w:pStyle w:val="PIheading2"/>
      </w:pPr>
      <w:r w:rsidRPr="00A470B0">
        <w:t>Female gender, lower body weight and underlying renal impairment</w:t>
      </w:r>
    </w:p>
    <w:p w:rsidR="00ED64B7" w:rsidRDefault="00ED64B7" w:rsidP="004F132F">
      <w:pPr>
        <w:pStyle w:val="TextPI"/>
      </w:pPr>
      <w:r w:rsidRPr="00A470B0">
        <w:t xml:space="preserve">Higher exposure to </w:t>
      </w:r>
      <w:proofErr w:type="spellStart"/>
      <w:r w:rsidRPr="00A470B0">
        <w:t>afatinib</w:t>
      </w:r>
      <w:proofErr w:type="spellEnd"/>
      <w:r w:rsidRPr="00A470B0">
        <w:t xml:space="preserve"> has been observed in female patients, patients with lower body weight and those w</w:t>
      </w:r>
      <w:r w:rsidR="004F132F">
        <w:t>ith underlying renal impairment</w:t>
      </w:r>
      <w:r w:rsidRPr="00A470B0">
        <w:t xml:space="preserve"> (see </w:t>
      </w:r>
      <w:r w:rsidR="00DC4DBB">
        <w:t>PHARMACOLOGY, Pharmacokinetics</w:t>
      </w:r>
      <w:r w:rsidRPr="00A470B0">
        <w:t xml:space="preserve">). </w:t>
      </w:r>
      <w:r w:rsidR="0018385C">
        <w:t xml:space="preserve"> </w:t>
      </w:r>
      <w:r w:rsidRPr="00A470B0">
        <w:t>This could result in a higher risk of developing EGFR</w:t>
      </w:r>
      <w:r w:rsidR="001A6A3A">
        <w:t>-</w:t>
      </w:r>
      <w:r w:rsidRPr="00A470B0">
        <w:t xml:space="preserve">mediated adverse events such as </w:t>
      </w:r>
      <w:proofErr w:type="spellStart"/>
      <w:r w:rsidRPr="00A470B0">
        <w:t>diarrhoea</w:t>
      </w:r>
      <w:proofErr w:type="spellEnd"/>
      <w:r w:rsidRPr="00A470B0">
        <w:t xml:space="preserve">, rash/acne and stomatitis. </w:t>
      </w:r>
      <w:r w:rsidR="0018385C">
        <w:t xml:space="preserve"> </w:t>
      </w:r>
      <w:r w:rsidRPr="00A470B0">
        <w:t>Closer monitoring is recommended in pa</w:t>
      </w:r>
      <w:r w:rsidR="004F132F">
        <w:t>tients with these risk factors.</w:t>
      </w:r>
    </w:p>
    <w:p w:rsidR="00ED64B7" w:rsidRPr="00A470B0" w:rsidRDefault="00ED64B7" w:rsidP="004F132F">
      <w:pPr>
        <w:pStyle w:val="PIheading2"/>
      </w:pPr>
      <w:r w:rsidRPr="00A470B0">
        <w:t>Interstitial Lung Disease (ILD)</w:t>
      </w:r>
    </w:p>
    <w:p w:rsidR="00ED64B7" w:rsidRPr="00A470B0" w:rsidRDefault="00ED64B7" w:rsidP="004F132F">
      <w:pPr>
        <w:pStyle w:val="TextPI"/>
        <w:rPr>
          <w:bCs/>
          <w:lang w:eastAsia="de-DE"/>
        </w:rPr>
      </w:pPr>
      <w:r w:rsidRPr="00A470B0">
        <w:t xml:space="preserve">There have been reports of ILD or ILD-like events (such as Lung infiltration, Pneumonitis, Acute </w:t>
      </w:r>
      <w:r w:rsidR="001A6A3A" w:rsidRPr="00A470B0">
        <w:t>Respiratory Distress Syndrome</w:t>
      </w:r>
      <w:r w:rsidRPr="00A470B0">
        <w:t xml:space="preserve">, </w:t>
      </w:r>
      <w:proofErr w:type="spellStart"/>
      <w:r w:rsidRPr="00A470B0">
        <w:t>Alveolitis</w:t>
      </w:r>
      <w:proofErr w:type="spellEnd"/>
      <w:r w:rsidRPr="00A470B0">
        <w:t xml:space="preserve"> allergic), including fatalities, in patients receiving </w:t>
      </w:r>
      <w:r w:rsidR="007B26AF">
        <w:t>GIOTRIF</w:t>
      </w:r>
      <w:r w:rsidR="00846F0B">
        <w:t xml:space="preserve"> </w:t>
      </w:r>
      <w:r w:rsidRPr="00A470B0">
        <w:t xml:space="preserve">for treatment of NSCLC. </w:t>
      </w:r>
      <w:r w:rsidR="00846F0B">
        <w:t xml:space="preserve"> </w:t>
      </w:r>
      <w:r w:rsidRPr="00A470B0">
        <w:rPr>
          <w:color w:val="000000"/>
          <w:lang w:eastAsia="de-DE"/>
        </w:rPr>
        <w:t>Drug</w:t>
      </w:r>
      <w:r w:rsidR="001A6A3A">
        <w:rPr>
          <w:color w:val="000000"/>
          <w:lang w:eastAsia="de-DE"/>
        </w:rPr>
        <w:t>-</w:t>
      </w:r>
      <w:r w:rsidRPr="00A470B0">
        <w:rPr>
          <w:color w:val="000000"/>
          <w:lang w:eastAsia="de-DE"/>
        </w:rPr>
        <w:t>related ILD-like events were reported in 0.7% of more than 3800 patients treated</w:t>
      </w:r>
      <w:r w:rsidR="004F132F">
        <w:rPr>
          <w:color w:val="000000"/>
          <w:lang w:eastAsia="de-DE"/>
        </w:rPr>
        <w:t xml:space="preserve">. </w:t>
      </w:r>
      <w:r w:rsidR="00846F0B">
        <w:rPr>
          <w:color w:val="000000"/>
          <w:lang w:eastAsia="de-DE"/>
        </w:rPr>
        <w:t xml:space="preserve"> </w:t>
      </w:r>
      <w:r w:rsidRPr="00A470B0">
        <w:rPr>
          <w:color w:val="000000"/>
          <w:lang w:eastAsia="de-DE"/>
        </w:rPr>
        <w:t>CTCAE Grade ≥</w:t>
      </w:r>
      <w:r>
        <w:rPr>
          <w:color w:val="000000"/>
          <w:lang w:eastAsia="de-DE"/>
        </w:rPr>
        <w:t xml:space="preserve"> </w:t>
      </w:r>
      <w:r w:rsidRPr="00A470B0">
        <w:rPr>
          <w:color w:val="000000"/>
          <w:lang w:eastAsia="de-DE"/>
        </w:rPr>
        <w:t>3 ILD-like events, regardless of causality, w</w:t>
      </w:r>
      <w:r w:rsidR="004F132F">
        <w:rPr>
          <w:color w:val="000000"/>
          <w:lang w:eastAsia="de-DE"/>
        </w:rPr>
        <w:t>ere reported in 1% of patients (</w:t>
      </w:r>
      <w:r w:rsidRPr="00A470B0">
        <w:t xml:space="preserve">see </w:t>
      </w:r>
      <w:r w:rsidR="007E3F14">
        <w:t>ADVERSE EFFECTS</w:t>
      </w:r>
      <w:r w:rsidRPr="00A470B0">
        <w:t xml:space="preserve">). </w:t>
      </w:r>
      <w:r w:rsidR="00846F0B">
        <w:t xml:space="preserve"> </w:t>
      </w:r>
      <w:r w:rsidRPr="00A470B0">
        <w:t xml:space="preserve">Patients with a history of ILD have not been studied. </w:t>
      </w:r>
      <w:r w:rsidR="00846F0B">
        <w:t xml:space="preserve"> </w:t>
      </w:r>
      <w:r w:rsidRPr="00A470B0">
        <w:t>Careful assessment of all patients with an acute onset and/or unexplained worsening of pulmonary symptoms (</w:t>
      </w:r>
      <w:proofErr w:type="spellStart"/>
      <w:r w:rsidRPr="00A470B0">
        <w:t>dyspnoea</w:t>
      </w:r>
      <w:proofErr w:type="spellEnd"/>
      <w:r w:rsidRPr="00A470B0">
        <w:t xml:space="preserve">, cough, fever) should be performed to exclude ILD. </w:t>
      </w:r>
      <w:r w:rsidR="00846F0B">
        <w:t xml:space="preserve"> </w:t>
      </w:r>
      <w:r w:rsidR="007B26AF">
        <w:t>GIOTRIF</w:t>
      </w:r>
      <w:r w:rsidRPr="00A470B0">
        <w:t xml:space="preserve"> should be interrupted pending investigation of these symptoms. </w:t>
      </w:r>
      <w:r w:rsidR="00846F0B">
        <w:t xml:space="preserve"> </w:t>
      </w:r>
      <w:r w:rsidRPr="00A470B0">
        <w:t xml:space="preserve">If ILD is diagnosed, </w:t>
      </w:r>
      <w:r w:rsidR="007B26AF">
        <w:t>GIOTRIF</w:t>
      </w:r>
      <w:r w:rsidRPr="00A470B0">
        <w:t xml:space="preserve"> should be permanently discontinued and appropriate treatment instituted as necessary (see </w:t>
      </w:r>
      <w:r w:rsidR="00DA3792">
        <w:t>DOSAGE AND ADMINISTRATION</w:t>
      </w:r>
      <w:r w:rsidRPr="00A470B0">
        <w:t>).</w:t>
      </w:r>
    </w:p>
    <w:p w:rsidR="00ED64B7" w:rsidRPr="00A470B0" w:rsidRDefault="00ED64B7" w:rsidP="004D6472">
      <w:pPr>
        <w:pStyle w:val="PIheading2"/>
      </w:pPr>
      <w:r w:rsidRPr="00A470B0">
        <w:t xml:space="preserve">Severe </w:t>
      </w:r>
      <w:r>
        <w:t>h</w:t>
      </w:r>
      <w:r w:rsidRPr="00A470B0">
        <w:t xml:space="preserve">epatic </w:t>
      </w:r>
      <w:r>
        <w:t>i</w:t>
      </w:r>
      <w:r w:rsidRPr="00A470B0">
        <w:t>mpairment</w:t>
      </w:r>
    </w:p>
    <w:p w:rsidR="00ED64B7" w:rsidRPr="00A470B0" w:rsidRDefault="00ED64B7" w:rsidP="00A40BBC">
      <w:pPr>
        <w:pStyle w:val="TextPI"/>
      </w:pPr>
      <w:r w:rsidRPr="00A470B0">
        <w:t xml:space="preserve">Hepatic failure, including fatalities, has been reported during treatment with </w:t>
      </w:r>
      <w:r w:rsidR="007B26AF">
        <w:t>GIOTRIF</w:t>
      </w:r>
      <w:r w:rsidR="00846F0B">
        <w:t xml:space="preserve"> i</w:t>
      </w:r>
      <w:r w:rsidRPr="00A470B0">
        <w:t>n less than 1% of patients.</w:t>
      </w:r>
      <w:r w:rsidR="00846F0B">
        <w:t xml:space="preserve"> </w:t>
      </w:r>
      <w:r w:rsidRPr="00A470B0">
        <w:t xml:space="preserve"> In these patients, confounding factors have included pre-existing liver disease and/or co</w:t>
      </w:r>
      <w:r w:rsidR="00846F0B">
        <w:t>-</w:t>
      </w:r>
      <w:r w:rsidRPr="00A470B0">
        <w:t>morbidities associated with progression of underlying malignancy. Periodic liver function testing is recommended in patients with pre-existing liver disease.</w:t>
      </w:r>
      <w:r w:rsidRPr="00A470B0">
        <w:rPr>
          <w:bCs/>
          <w:lang w:eastAsia="de-DE"/>
        </w:rPr>
        <w:t xml:space="preserve"> </w:t>
      </w:r>
      <w:r w:rsidR="007B26AF">
        <w:t>GIOTRIF</w:t>
      </w:r>
      <w:r w:rsidR="00846F0B">
        <w:t xml:space="preserve"> </w:t>
      </w:r>
      <w:r w:rsidRPr="00A470B0">
        <w:t xml:space="preserve">dose interruption may become necessary in patients who experience worsening of liver function (see </w:t>
      </w:r>
      <w:r w:rsidR="00DA3792">
        <w:t>DOSAGE AND ADMINISTRATION</w:t>
      </w:r>
      <w:r w:rsidRPr="00A470B0">
        <w:t xml:space="preserve">). </w:t>
      </w:r>
      <w:r w:rsidR="00846F0B">
        <w:t xml:space="preserve"> </w:t>
      </w:r>
      <w:r w:rsidRPr="00A470B0">
        <w:t xml:space="preserve">In patients who develop severe hepatic impairment while taking </w:t>
      </w:r>
      <w:r w:rsidR="007B26AF">
        <w:t>GIOTRIF</w:t>
      </w:r>
      <w:r w:rsidRPr="00A470B0">
        <w:t>, tr</w:t>
      </w:r>
      <w:r w:rsidR="00A40BBC">
        <w:t>eatment should be discontinued.</w:t>
      </w:r>
    </w:p>
    <w:p w:rsidR="00ED64B7" w:rsidRPr="00A470B0" w:rsidRDefault="00ED64B7" w:rsidP="00A40BBC">
      <w:pPr>
        <w:pStyle w:val="PIheading2"/>
        <w:rPr>
          <w:lang w:bidi="ml-IN"/>
        </w:rPr>
      </w:pPr>
      <w:r w:rsidRPr="00A470B0">
        <w:rPr>
          <w:lang w:bidi="ml-IN"/>
        </w:rPr>
        <w:t>Keratitis</w:t>
      </w:r>
    </w:p>
    <w:p w:rsidR="00ED64B7" w:rsidRPr="00A470B0" w:rsidRDefault="00ED64B7" w:rsidP="00A40BBC">
      <w:pPr>
        <w:pStyle w:val="TextPI"/>
        <w:rPr>
          <w:lang w:bidi="ml-IN"/>
        </w:rPr>
      </w:pPr>
      <w:r w:rsidRPr="00A470B0">
        <w:t>Symptoms such as acute or worsening eye inflammation,</w:t>
      </w:r>
      <w:r w:rsidR="00EC2550" w:rsidRPr="00EC2550">
        <w:rPr>
          <w:lang w:val="en-AU"/>
        </w:rPr>
        <w:t xml:space="preserve"> lacrimation</w:t>
      </w:r>
      <w:r w:rsidRPr="00A470B0">
        <w:t xml:space="preserve">, light sensitivity, blurred vision, eye pain and/or red eye should be referred promptly to an ophthalmology specialist. </w:t>
      </w:r>
      <w:r w:rsidR="00846F0B">
        <w:t xml:space="preserve"> </w:t>
      </w:r>
      <w:r w:rsidRPr="00A470B0">
        <w:t xml:space="preserve">If a diagnosis of ulcerative keratitis is confirmed, treatment with </w:t>
      </w:r>
      <w:r w:rsidR="007B26AF">
        <w:t>GIOTRIF</w:t>
      </w:r>
      <w:r w:rsidRPr="00A470B0">
        <w:t xml:space="preserve"> should be interrupted or discontinued. </w:t>
      </w:r>
      <w:r w:rsidR="00846F0B">
        <w:t xml:space="preserve"> </w:t>
      </w:r>
      <w:r w:rsidRPr="00A470B0">
        <w:t xml:space="preserve">If keratitis is diagnosed, the benefits and risks of continuing treatment should be carefully considered. </w:t>
      </w:r>
      <w:r w:rsidR="00846F0B">
        <w:t xml:space="preserve"> </w:t>
      </w:r>
      <w:r w:rsidR="007B26AF">
        <w:t>GIOTRIF</w:t>
      </w:r>
      <w:r w:rsidRPr="00A470B0">
        <w:t xml:space="preserve"> should be used with caution in patients with a history of keratitis, ulcerative keratitis or severe dry eye. </w:t>
      </w:r>
      <w:r w:rsidR="00846F0B">
        <w:t xml:space="preserve"> </w:t>
      </w:r>
      <w:r w:rsidRPr="00A470B0">
        <w:rPr>
          <w:iCs/>
        </w:rPr>
        <w:t>Contact lens use is also a risk factor for keratitis and ulceration</w:t>
      </w:r>
      <w:r w:rsidRPr="00A470B0">
        <w:t xml:space="preserve"> (see </w:t>
      </w:r>
      <w:r w:rsidR="00D07242">
        <w:t>ADVERSE EFFECTS</w:t>
      </w:r>
      <w:r w:rsidR="00A40BBC">
        <w:t>).</w:t>
      </w:r>
    </w:p>
    <w:p w:rsidR="00ED64B7" w:rsidRPr="00A470B0" w:rsidRDefault="00ED64B7" w:rsidP="00A40BBC">
      <w:pPr>
        <w:pStyle w:val="PIheading2"/>
      </w:pPr>
      <w:r w:rsidRPr="00A470B0">
        <w:t>Left ventricular function</w:t>
      </w:r>
    </w:p>
    <w:p w:rsidR="00ED64B7" w:rsidRPr="00A470B0" w:rsidRDefault="00ED64B7" w:rsidP="00A40BBC">
      <w:pPr>
        <w:pStyle w:val="TextPI"/>
      </w:pPr>
      <w:r w:rsidRPr="00A470B0">
        <w:t xml:space="preserve">Left ventricular dysfunction has been associated with HER2 inhibition. </w:t>
      </w:r>
      <w:r w:rsidR="007B26AF">
        <w:t>GIOTRIF</w:t>
      </w:r>
      <w:r w:rsidRPr="00A470B0">
        <w:t xml:space="preserve"> has not been studied in patients with abnormal left ventricular ejection fraction (LVEF) or those with significant cardiac history. </w:t>
      </w:r>
      <w:r w:rsidR="00846F0B">
        <w:t xml:space="preserve"> </w:t>
      </w:r>
      <w:r w:rsidRPr="00A470B0">
        <w:t xml:space="preserve">In patients with cardiac risk factors and those with conditions that can affect LVEF, cardiac monitoring, including an assessment of LVEF at baseline and during </w:t>
      </w:r>
      <w:r w:rsidR="007B26AF">
        <w:t>GIOTRIF</w:t>
      </w:r>
      <w:r w:rsidRPr="00A470B0">
        <w:rPr>
          <w:vertAlign w:val="superscript"/>
        </w:rPr>
        <w:t xml:space="preserve"> </w:t>
      </w:r>
      <w:r w:rsidRPr="00A470B0">
        <w:t>treatment</w:t>
      </w:r>
      <w:r>
        <w:t>,</w:t>
      </w:r>
      <w:r w:rsidRPr="00A470B0">
        <w:t xml:space="preserve"> should be considered. </w:t>
      </w:r>
      <w:r w:rsidR="00846F0B">
        <w:t xml:space="preserve"> </w:t>
      </w:r>
      <w:r w:rsidRPr="00A470B0">
        <w:t>In patients that develop relevant cardiac signs/symptoms during treatment, cardiac monitoring including LVEF a</w:t>
      </w:r>
      <w:r w:rsidR="00A40BBC">
        <w:t>ssessment should be considered.</w:t>
      </w:r>
    </w:p>
    <w:p w:rsidR="00ED64B7" w:rsidRDefault="00ED64B7" w:rsidP="00A40BBC">
      <w:pPr>
        <w:pStyle w:val="TextPI"/>
      </w:pPr>
      <w:r w:rsidRPr="00A470B0">
        <w:t xml:space="preserve">In patients with an ejection fraction below the institution’s lower limit of normal, cardiac consultation as well as </w:t>
      </w:r>
      <w:r w:rsidR="007B26AF">
        <w:t>GIOTRIF</w:t>
      </w:r>
      <w:r w:rsidRPr="00A470B0">
        <w:t xml:space="preserve"> treatment interruption or discon</w:t>
      </w:r>
      <w:r w:rsidR="00A40BBC">
        <w:t>tinuation should be considered.</w:t>
      </w:r>
    </w:p>
    <w:p w:rsidR="00796804" w:rsidRPr="00796804" w:rsidRDefault="00796804" w:rsidP="00796804">
      <w:pPr>
        <w:pStyle w:val="PIheading2"/>
      </w:pPr>
      <w:r w:rsidRPr="00796804">
        <w:lastRenderedPageBreak/>
        <w:t>Pancreatitis</w:t>
      </w:r>
    </w:p>
    <w:p w:rsidR="00796804" w:rsidRPr="00796804" w:rsidRDefault="00796804" w:rsidP="00796804">
      <w:pPr>
        <w:pStyle w:val="TextPI"/>
      </w:pPr>
      <w:r w:rsidRPr="00796804">
        <w:t xml:space="preserve">Adverse events of pancreatitis have been observed uncommonly in patients treated with </w:t>
      </w:r>
      <w:r w:rsidR="008451F1">
        <w:t>GIOTRIF</w:t>
      </w:r>
      <w:r w:rsidRPr="00796804">
        <w:t>. Although a causal association was not established, patients who develop symptoms consistent with the diagnosis should be evaluated for pancreatitis.</w:t>
      </w:r>
    </w:p>
    <w:p w:rsidR="00ED64B7" w:rsidRPr="00B058B4" w:rsidDel="00BC6B83" w:rsidRDefault="00ED64B7" w:rsidP="00A40BBC">
      <w:pPr>
        <w:pStyle w:val="PIheading2"/>
      </w:pPr>
      <w:r w:rsidRPr="00B058B4" w:rsidDel="00BC6B83">
        <w:t>P-glycoprotein (P-</w:t>
      </w:r>
      <w:proofErr w:type="spellStart"/>
      <w:r w:rsidRPr="00B058B4" w:rsidDel="00BC6B83">
        <w:t>gp</w:t>
      </w:r>
      <w:proofErr w:type="spellEnd"/>
      <w:r w:rsidRPr="00B058B4" w:rsidDel="00BC6B83">
        <w:t>) interactions</w:t>
      </w:r>
    </w:p>
    <w:p w:rsidR="00ED64B7" w:rsidDel="00BC6B83" w:rsidRDefault="00ED64B7" w:rsidP="00A40BBC">
      <w:pPr>
        <w:pStyle w:val="TextPI"/>
        <w:rPr>
          <w:iCs/>
          <w:u w:val="single"/>
        </w:rPr>
      </w:pPr>
      <w:r w:rsidRPr="00A470B0" w:rsidDel="00BC6B83">
        <w:t>Concomitant treatment with strong inducers of P-</w:t>
      </w:r>
      <w:proofErr w:type="spellStart"/>
      <w:r w:rsidRPr="00A470B0" w:rsidDel="00BC6B83">
        <w:t>gp</w:t>
      </w:r>
      <w:proofErr w:type="spellEnd"/>
      <w:r w:rsidRPr="00A470B0" w:rsidDel="00BC6B83">
        <w:t xml:space="preserve"> may decrease exposure to </w:t>
      </w:r>
      <w:proofErr w:type="spellStart"/>
      <w:r w:rsidRPr="00A470B0" w:rsidDel="00BC6B83">
        <w:t>afatinib</w:t>
      </w:r>
      <w:proofErr w:type="spellEnd"/>
      <w:r w:rsidRPr="00A470B0" w:rsidDel="00BC6B83">
        <w:t xml:space="preserve"> (see </w:t>
      </w:r>
      <w:r w:rsidR="00DA3792" w:rsidDel="00BC6B83">
        <w:t>DOSAGE AND ADMINISTRATION</w:t>
      </w:r>
      <w:r w:rsidRPr="00D07242" w:rsidDel="00BC6B83">
        <w:t xml:space="preserve">, </w:t>
      </w:r>
      <w:r w:rsidR="00D07242" w:rsidRPr="00D07242" w:rsidDel="00BC6B83">
        <w:t xml:space="preserve">and </w:t>
      </w:r>
      <w:r w:rsidR="00D07242" w:rsidRPr="00D07242" w:rsidDel="00BC6B83">
        <w:rPr>
          <w:caps/>
          <w:lang w:val="en-AU"/>
        </w:rPr>
        <w:t>Interactions with other medicines</w:t>
      </w:r>
      <w:r w:rsidRPr="00A470B0" w:rsidDel="00BC6B83">
        <w:t>).</w:t>
      </w:r>
    </w:p>
    <w:p w:rsidR="00ED64B7" w:rsidRPr="00A470B0" w:rsidRDefault="00ED64B7" w:rsidP="00A40BBC">
      <w:pPr>
        <w:pStyle w:val="PIheading2"/>
      </w:pPr>
      <w:r w:rsidRPr="00A470B0">
        <w:t>Lactose</w:t>
      </w:r>
    </w:p>
    <w:p w:rsidR="00ED64B7" w:rsidRPr="00A470B0" w:rsidRDefault="007B26AF" w:rsidP="00A40BBC">
      <w:pPr>
        <w:pStyle w:val="TextPI"/>
      </w:pPr>
      <w:r>
        <w:t>GIOTRIF</w:t>
      </w:r>
      <w:r w:rsidR="00ED64B7" w:rsidRPr="00A470B0">
        <w:t xml:space="preserve"> contains lactose. </w:t>
      </w:r>
      <w:r w:rsidR="00846F0B">
        <w:t xml:space="preserve"> </w:t>
      </w:r>
      <w:r w:rsidR="00ED64B7" w:rsidRPr="00A470B0">
        <w:t xml:space="preserve">Patients with rare hereditary conditions of </w:t>
      </w:r>
      <w:proofErr w:type="spellStart"/>
      <w:r w:rsidR="00ED64B7" w:rsidRPr="00A470B0">
        <w:t>galactose</w:t>
      </w:r>
      <w:proofErr w:type="spellEnd"/>
      <w:r w:rsidR="00ED64B7" w:rsidRPr="00A470B0">
        <w:t xml:space="preserve"> intolerance, the Lapp lactase deficiency or glucose-</w:t>
      </w:r>
      <w:proofErr w:type="spellStart"/>
      <w:r w:rsidR="00ED64B7" w:rsidRPr="00A470B0">
        <w:t>galactose</w:t>
      </w:r>
      <w:proofErr w:type="spellEnd"/>
      <w:r w:rsidR="00ED64B7" w:rsidRPr="00A470B0">
        <w:t xml:space="preserve"> </w:t>
      </w:r>
      <w:proofErr w:type="spellStart"/>
      <w:r w:rsidR="00ED64B7" w:rsidRPr="00A470B0">
        <w:t>malabsorption</w:t>
      </w:r>
      <w:proofErr w:type="spellEnd"/>
      <w:r w:rsidR="00ED64B7" w:rsidRPr="00A470B0">
        <w:t xml:space="preserve"> should not take this medicine.</w:t>
      </w:r>
    </w:p>
    <w:p w:rsidR="00070BA4" w:rsidRDefault="00070BA4" w:rsidP="0095783A">
      <w:pPr>
        <w:pStyle w:val="PIheading2"/>
      </w:pPr>
      <w:r>
        <w:t>Effects on ability to drive and use machines</w:t>
      </w:r>
    </w:p>
    <w:p w:rsidR="000461C8" w:rsidRDefault="00E90452" w:rsidP="00E90452">
      <w:pPr>
        <w:pStyle w:val="TextPI"/>
      </w:pPr>
      <w:r w:rsidRPr="00A470B0">
        <w:t>No studies on the effects on the ability to drive or operate machinery have been performed.</w:t>
      </w:r>
    </w:p>
    <w:p w:rsidR="00102140" w:rsidRDefault="00E456E3" w:rsidP="00E22BDE">
      <w:pPr>
        <w:pStyle w:val="PIheading2"/>
      </w:pPr>
      <w:r w:rsidRPr="00E456E3">
        <w:t>E</w:t>
      </w:r>
      <w:r w:rsidR="00E22BDE">
        <w:t>ffects on fertility</w:t>
      </w:r>
    </w:p>
    <w:p w:rsidR="000461C8" w:rsidRDefault="007C33E7" w:rsidP="007C33E7">
      <w:pPr>
        <w:pStyle w:val="TextPI"/>
      </w:pPr>
      <w:r w:rsidRPr="00A470B0">
        <w:t xml:space="preserve">Fertility studies in humans have not been performed with </w:t>
      </w:r>
      <w:r w:rsidR="007B26AF">
        <w:t>GIOTRIF</w:t>
      </w:r>
      <w:r w:rsidRPr="00A470B0">
        <w:t xml:space="preserve">. </w:t>
      </w:r>
      <w:r w:rsidR="00526EEA">
        <w:t xml:space="preserve"> </w:t>
      </w:r>
      <w:r w:rsidRPr="00A470B0">
        <w:t xml:space="preserve">Available nonclinical toxicology data have shown effects on reproductive organs at higher doses. </w:t>
      </w:r>
      <w:r w:rsidR="00526EEA">
        <w:t xml:space="preserve"> </w:t>
      </w:r>
      <w:r w:rsidRPr="00A470B0">
        <w:t xml:space="preserve">Therefore, an adverse effect of </w:t>
      </w:r>
      <w:r w:rsidR="007B26AF">
        <w:t>GIOTRIF</w:t>
      </w:r>
      <w:r w:rsidRPr="00A470B0">
        <w:t xml:space="preserve"> therapy on huma</w:t>
      </w:r>
      <w:r>
        <w:t>n fertility cannot be excluded.</w:t>
      </w:r>
    </w:p>
    <w:p w:rsidR="00865FC7" w:rsidRPr="00A470B0" w:rsidRDefault="00865FC7" w:rsidP="00865FC7">
      <w:pPr>
        <w:pStyle w:val="TextPI"/>
        <w:rPr>
          <w:lang w:val="en-GB"/>
        </w:rPr>
      </w:pPr>
      <w:r w:rsidRPr="00A470B0">
        <w:rPr>
          <w:lang w:val="en-GB"/>
        </w:rPr>
        <w:t xml:space="preserve">A fertility study in male and female rats by the oral route up to the maximum tolerated dose revealed no significant impact on fertility. </w:t>
      </w:r>
      <w:r w:rsidR="00F34E4E">
        <w:rPr>
          <w:lang w:val="en-GB"/>
        </w:rPr>
        <w:t xml:space="preserve">Post-implantation loss was increased at the highest dose.  </w:t>
      </w:r>
      <w:r w:rsidRPr="00A470B0">
        <w:rPr>
          <w:lang w:val="en-GB"/>
        </w:rPr>
        <w:t>The systemic exposure (AUC</w:t>
      </w:r>
      <w:r w:rsidRPr="00A470B0">
        <w:rPr>
          <w:vertAlign w:val="subscript"/>
          <w:lang w:val="en-GB"/>
        </w:rPr>
        <w:t>0-24</w:t>
      </w:r>
      <w:r w:rsidRPr="00A470B0">
        <w:rPr>
          <w:lang w:val="en-GB"/>
        </w:rPr>
        <w:t xml:space="preserve">) achieved in male and </w:t>
      </w:r>
      <w:proofErr w:type="gramStart"/>
      <w:r w:rsidRPr="00A470B0">
        <w:rPr>
          <w:lang w:val="en-GB"/>
        </w:rPr>
        <w:t>female rats was</w:t>
      </w:r>
      <w:proofErr w:type="gramEnd"/>
      <w:r w:rsidRPr="00A470B0">
        <w:rPr>
          <w:lang w:val="en-GB"/>
        </w:rPr>
        <w:t xml:space="preserve"> </w:t>
      </w:r>
      <w:r w:rsidR="00F34E4E">
        <w:rPr>
          <w:lang w:val="en-GB"/>
        </w:rPr>
        <w:t>similar to</w:t>
      </w:r>
      <w:r w:rsidRPr="00A470B0">
        <w:rPr>
          <w:lang w:val="en-GB"/>
        </w:rPr>
        <w:t xml:space="preserve"> or less than that observed in patients (1.3</w:t>
      </w:r>
      <w:r>
        <w:rPr>
          <w:lang w:val="en-GB"/>
        </w:rPr>
        <w:t> times</w:t>
      </w:r>
      <w:r w:rsidRPr="00A470B0">
        <w:rPr>
          <w:lang w:val="en-GB"/>
        </w:rPr>
        <w:t xml:space="preserve"> and 0.51</w:t>
      </w:r>
      <w:r>
        <w:rPr>
          <w:lang w:val="en-GB"/>
        </w:rPr>
        <w:t> times</w:t>
      </w:r>
      <w:r w:rsidRPr="00A470B0">
        <w:rPr>
          <w:lang w:val="en-GB"/>
        </w:rPr>
        <w:t>, respectively).</w:t>
      </w:r>
    </w:p>
    <w:p w:rsidR="00102140" w:rsidRDefault="00E22BDE" w:rsidP="00E22BDE">
      <w:pPr>
        <w:pStyle w:val="PIheading2"/>
      </w:pPr>
      <w:r>
        <w:t xml:space="preserve">Use in pregnancy (Category </w:t>
      </w:r>
      <w:r w:rsidR="00067B85">
        <w:t>C</w:t>
      </w:r>
      <w:r>
        <w:t>)</w:t>
      </w:r>
    </w:p>
    <w:p w:rsidR="00CA4720" w:rsidRPr="00CA4720" w:rsidRDefault="00CA4720" w:rsidP="00CA4720">
      <w:pPr>
        <w:pStyle w:val="TextPI"/>
      </w:pPr>
      <w:r w:rsidRPr="00A470B0">
        <w:t xml:space="preserve">Based on the mechanism of action, </w:t>
      </w:r>
      <w:r w:rsidR="007B26AF">
        <w:t>GIOTRIF</w:t>
      </w:r>
      <w:r w:rsidRPr="00A470B0">
        <w:t xml:space="preserve"> has the potential to cause fetal harm. </w:t>
      </w:r>
      <w:r w:rsidR="00526EEA">
        <w:t xml:space="preserve"> </w:t>
      </w:r>
      <w:r w:rsidRPr="00A470B0">
        <w:t xml:space="preserve">The embryo-fetal development studies </w:t>
      </w:r>
      <w:r w:rsidR="00A51E10">
        <w:t>in rats and rabbits</w:t>
      </w:r>
      <w:r w:rsidRPr="00A470B0">
        <w:t xml:space="preserve"> on </w:t>
      </w:r>
      <w:proofErr w:type="spellStart"/>
      <w:r w:rsidRPr="00A470B0">
        <w:t>afatinib</w:t>
      </w:r>
      <w:proofErr w:type="spellEnd"/>
      <w:r w:rsidRPr="00A470B0">
        <w:t xml:space="preserve"> revealed no indication of teratogenicity up to dose levels </w:t>
      </w:r>
      <w:r w:rsidR="00A51E10">
        <w:t xml:space="preserve">(16 mg/kg/day in rats and 10 mg/kg/day in rabbits) </w:t>
      </w:r>
      <w:r w:rsidRPr="00A470B0">
        <w:t xml:space="preserve">including maternal death. </w:t>
      </w:r>
      <w:r w:rsidR="00526EEA">
        <w:t xml:space="preserve"> </w:t>
      </w:r>
      <w:r w:rsidR="00A51E10">
        <w:t xml:space="preserve">However, </w:t>
      </w:r>
      <w:proofErr w:type="spellStart"/>
      <w:r w:rsidR="00A51E10">
        <w:t>afatinib</w:t>
      </w:r>
      <w:proofErr w:type="spellEnd"/>
      <w:r w:rsidR="00A51E10">
        <w:t xml:space="preserve"> showed very limited placental transfer in rats. </w:t>
      </w:r>
      <w:r w:rsidRPr="00A470B0">
        <w:t xml:space="preserve">Changes identified were </w:t>
      </w:r>
      <w:r w:rsidR="00516673">
        <w:t xml:space="preserve">reduced fetal weights (rat and rabbit), abortions (rabbit), and skeletal alterations (flexure of extremities, abnormal rib curvature, lumbar ribs) </w:t>
      </w:r>
      <w:r w:rsidRPr="00A470B0">
        <w:t xml:space="preserve">and dermal variation </w:t>
      </w:r>
      <w:r w:rsidR="00516673">
        <w:t xml:space="preserve">(less integument of forelimbs) </w:t>
      </w:r>
      <w:r w:rsidRPr="00A470B0">
        <w:t xml:space="preserve">(rabbit). </w:t>
      </w:r>
      <w:r w:rsidR="00526EEA">
        <w:t xml:space="preserve"> </w:t>
      </w:r>
      <w:r w:rsidRPr="00A470B0">
        <w:t>The systemic exposure</w:t>
      </w:r>
      <w:r w:rsidR="00516673">
        <w:t>s</w:t>
      </w:r>
      <w:r w:rsidRPr="00A470B0">
        <w:t xml:space="preserve"> (AUC)</w:t>
      </w:r>
      <w:r w:rsidR="00516673">
        <w:t>, achieved in these experiments were</w:t>
      </w:r>
      <w:r w:rsidRPr="00A470B0">
        <w:t xml:space="preserve"> either slightly above (2.2</w:t>
      </w:r>
      <w:r>
        <w:t> times</w:t>
      </w:r>
      <w:r w:rsidRPr="00A470B0">
        <w:t xml:space="preserve"> in rats) or below (0.3</w:t>
      </w:r>
      <w:r>
        <w:t> times</w:t>
      </w:r>
      <w:r w:rsidRPr="00A470B0">
        <w:t xml:space="preserve"> in rabbits) </w:t>
      </w:r>
      <w:r w:rsidR="00516673">
        <w:t xml:space="preserve">the exposure </w:t>
      </w:r>
      <w:r w:rsidRPr="00A470B0">
        <w:t>in patients.</w:t>
      </w:r>
    </w:p>
    <w:p w:rsidR="000461C8" w:rsidRDefault="00A93002" w:rsidP="003C234C">
      <w:pPr>
        <w:pStyle w:val="TextPI"/>
      </w:pPr>
      <w:r w:rsidRPr="00A470B0">
        <w:t xml:space="preserve">There are no studies in pregnant women using </w:t>
      </w:r>
      <w:r w:rsidR="007B26AF">
        <w:t>GIOTRIF</w:t>
      </w:r>
      <w:r w:rsidRPr="00A470B0">
        <w:t>.</w:t>
      </w:r>
      <w:r w:rsidR="00887A79">
        <w:t xml:space="preserve"> </w:t>
      </w:r>
      <w:r w:rsidRPr="00A470B0">
        <w:t xml:space="preserve"> </w:t>
      </w:r>
      <w:r w:rsidR="00033512" w:rsidRPr="00033512">
        <w:t xml:space="preserve">It is unknown whether </w:t>
      </w:r>
      <w:proofErr w:type="spellStart"/>
      <w:r w:rsidR="00033512" w:rsidRPr="00033512">
        <w:t>afatinib</w:t>
      </w:r>
      <w:proofErr w:type="spellEnd"/>
      <w:r w:rsidR="00033512" w:rsidRPr="00033512">
        <w:t xml:space="preserve"> crosses the placenta in humans. Therefore, the </w:t>
      </w:r>
      <w:r w:rsidRPr="00A470B0">
        <w:t xml:space="preserve">potential risk for humans is thus unknown. </w:t>
      </w:r>
      <w:r w:rsidR="00887A79">
        <w:t xml:space="preserve"> </w:t>
      </w:r>
      <w:r w:rsidRPr="00A470B0">
        <w:t xml:space="preserve">Women of childbearing potential should be advised to avoid becoming pregnant while receiving treatment with </w:t>
      </w:r>
      <w:r w:rsidR="007B26AF">
        <w:t>GIOTRIF</w:t>
      </w:r>
      <w:r w:rsidRPr="00A470B0">
        <w:t xml:space="preserve">. </w:t>
      </w:r>
      <w:r w:rsidR="00887A79">
        <w:t xml:space="preserve"> </w:t>
      </w:r>
      <w:r w:rsidRPr="00A470B0">
        <w:t xml:space="preserve">Adequate contraceptive methods should be used during therapy and for at least 2 weeks after the last dose. </w:t>
      </w:r>
      <w:r w:rsidR="00887A79">
        <w:t xml:space="preserve"> </w:t>
      </w:r>
      <w:r w:rsidRPr="00A470B0">
        <w:t xml:space="preserve">If </w:t>
      </w:r>
      <w:r w:rsidR="007B26AF">
        <w:t>GIOTRIF</w:t>
      </w:r>
      <w:r w:rsidRPr="00A470B0">
        <w:t xml:space="preserve"> is used during pregnancy or if the patient becomes pregnant while receiving </w:t>
      </w:r>
      <w:r w:rsidR="007B26AF">
        <w:t>GIOTRIF</w:t>
      </w:r>
      <w:r w:rsidRPr="00A470B0">
        <w:t>, the patient should be apprised of the potential hazard to the f</w:t>
      </w:r>
      <w:r>
        <w:t>etus.</w:t>
      </w:r>
    </w:p>
    <w:p w:rsidR="00102140" w:rsidRDefault="00E22BDE" w:rsidP="00EF6727">
      <w:pPr>
        <w:pStyle w:val="PIheading2"/>
        <w:keepLines/>
      </w:pPr>
      <w:r>
        <w:lastRenderedPageBreak/>
        <w:t>Use in lactation</w:t>
      </w:r>
    </w:p>
    <w:p w:rsidR="003821B4" w:rsidRPr="00A470B0" w:rsidRDefault="003821B4" w:rsidP="00EF6727">
      <w:pPr>
        <w:pStyle w:val="TextPI"/>
        <w:keepNext/>
        <w:keepLines/>
      </w:pPr>
      <w:r w:rsidRPr="00904093">
        <w:t xml:space="preserve">Radiolabelled </w:t>
      </w:r>
      <w:proofErr w:type="spellStart"/>
      <w:r w:rsidRPr="00904093">
        <w:t>afatinib</w:t>
      </w:r>
      <w:proofErr w:type="spellEnd"/>
      <w:r w:rsidRPr="00904093">
        <w:t xml:space="preserve"> administered orally to </w:t>
      </w:r>
      <w:r w:rsidR="0089780C">
        <w:t xml:space="preserve">lactating </w:t>
      </w:r>
      <w:r w:rsidRPr="00904093">
        <w:t xml:space="preserve">rats was excreted into milk. The average concentrations in milk at time points 1 h and 6 h post dose were approximately </w:t>
      </w:r>
      <w:proofErr w:type="gramStart"/>
      <w:r w:rsidRPr="00904093">
        <w:t>80- and 150-fold</w:t>
      </w:r>
      <w:proofErr w:type="gramEnd"/>
      <w:r w:rsidRPr="00904093">
        <w:t xml:space="preserve"> above the respective concentration in plasma.</w:t>
      </w:r>
    </w:p>
    <w:p w:rsidR="000461C8" w:rsidRDefault="003C234C" w:rsidP="00DD6D49">
      <w:pPr>
        <w:pStyle w:val="TextPI"/>
      </w:pPr>
      <w:r w:rsidRPr="00A470B0">
        <w:t xml:space="preserve">Based on nonclinical data it is likely that </w:t>
      </w:r>
      <w:proofErr w:type="spellStart"/>
      <w:r w:rsidRPr="00A470B0">
        <w:t>afatinib</w:t>
      </w:r>
      <w:proofErr w:type="spellEnd"/>
      <w:r w:rsidRPr="00A470B0">
        <w:t xml:space="preserve"> is excreted in human milk. </w:t>
      </w:r>
      <w:r w:rsidR="00887A79">
        <w:t xml:space="preserve"> </w:t>
      </w:r>
      <w:r w:rsidRPr="00A470B0">
        <w:t>A risk to the nursing child c</w:t>
      </w:r>
      <w:r>
        <w:t xml:space="preserve">annot be excluded. </w:t>
      </w:r>
      <w:r w:rsidR="00887A79">
        <w:t xml:space="preserve"> </w:t>
      </w:r>
      <w:r w:rsidRPr="00A470B0">
        <w:t xml:space="preserve">Mothers should be advised against breast-feeding while receiving </w:t>
      </w:r>
      <w:r w:rsidR="007B26AF">
        <w:t>GIOTRIF</w:t>
      </w:r>
      <w:r>
        <w:t>.</w:t>
      </w:r>
    </w:p>
    <w:p w:rsidR="00283111" w:rsidRPr="00283111" w:rsidRDefault="00283111" w:rsidP="00DD6D49">
      <w:pPr>
        <w:pStyle w:val="TextPI"/>
        <w:rPr>
          <w:lang w:val="en-GB"/>
        </w:rPr>
      </w:pPr>
      <w:r w:rsidRPr="00A470B0">
        <w:rPr>
          <w:lang w:val="en-GB"/>
        </w:rPr>
        <w:t>A study in rats by the oral route u</w:t>
      </w:r>
      <w:r>
        <w:rPr>
          <w:lang w:val="en-GB"/>
        </w:rPr>
        <w:t>p to the maximum tolerated dose</w:t>
      </w:r>
      <w:r w:rsidRPr="00A470B0">
        <w:rPr>
          <w:lang w:val="en-GB"/>
        </w:rPr>
        <w:t xml:space="preserve"> revealed no significant impact on </w:t>
      </w:r>
      <w:r>
        <w:rPr>
          <w:lang w:val="en-GB"/>
        </w:rPr>
        <w:t>the attainment of developmental landmarks, sexual maturation or performance by behavioural assessments</w:t>
      </w:r>
      <w:r w:rsidRPr="00A470B0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A470B0">
        <w:rPr>
          <w:lang w:val="en-GB"/>
        </w:rPr>
        <w:t xml:space="preserve">Effects were limited to lower birth weight and body weight gain of offspring. </w:t>
      </w:r>
      <w:r>
        <w:rPr>
          <w:lang w:val="en-GB"/>
        </w:rPr>
        <w:t xml:space="preserve"> </w:t>
      </w:r>
      <w:r w:rsidRPr="00A470B0">
        <w:rPr>
          <w:bCs/>
          <w:lang w:val="en-GB"/>
        </w:rPr>
        <w:t>The highest total systemic exposure (AUC</w:t>
      </w:r>
      <w:r w:rsidRPr="00A470B0">
        <w:rPr>
          <w:bCs/>
          <w:vertAlign w:val="subscript"/>
          <w:lang w:val="en-GB"/>
        </w:rPr>
        <w:t>0-24</w:t>
      </w:r>
      <w:r w:rsidRPr="00A470B0">
        <w:rPr>
          <w:bCs/>
          <w:lang w:val="en-GB"/>
        </w:rPr>
        <w:t>) achieved in female rats was less than that observed in patients (0.</w:t>
      </w:r>
      <w:r>
        <w:rPr>
          <w:bCs/>
          <w:lang w:val="en-GB"/>
        </w:rPr>
        <w:t>2</w:t>
      </w:r>
      <w:r w:rsidR="0089780C">
        <w:rPr>
          <w:bCs/>
          <w:lang w:val="en-GB"/>
        </w:rPr>
        <w:t>3</w:t>
      </w:r>
      <w:r>
        <w:rPr>
          <w:bCs/>
          <w:lang w:val="en-GB"/>
        </w:rPr>
        <w:t> times).</w:t>
      </w:r>
    </w:p>
    <w:p w:rsidR="00102140" w:rsidRPr="009A3EB3" w:rsidRDefault="00E22BDE" w:rsidP="00DD6D49">
      <w:pPr>
        <w:pStyle w:val="PIheading2"/>
        <w:keepNext w:val="0"/>
      </w:pPr>
      <w:proofErr w:type="spellStart"/>
      <w:r w:rsidRPr="008E5DF1">
        <w:t>Genotoxicity</w:t>
      </w:r>
      <w:proofErr w:type="spellEnd"/>
    </w:p>
    <w:p w:rsidR="008E5DF1" w:rsidRDefault="00C11E87" w:rsidP="00C11E87">
      <w:pPr>
        <w:pStyle w:val="TextPI"/>
        <w:rPr>
          <w:lang w:val="en-GB"/>
        </w:rPr>
      </w:pPr>
      <w:proofErr w:type="spellStart"/>
      <w:r w:rsidRPr="00C11E87">
        <w:rPr>
          <w:lang w:val="en-GB"/>
        </w:rPr>
        <w:t>Afatinib</w:t>
      </w:r>
      <w:proofErr w:type="spellEnd"/>
      <w:r w:rsidRPr="00C11E87">
        <w:rPr>
          <w:lang w:val="en-GB"/>
        </w:rPr>
        <w:t xml:space="preserve"> was weakly positive </w:t>
      </w:r>
      <w:r w:rsidR="008E5DF1" w:rsidRPr="00A470B0">
        <w:rPr>
          <w:lang w:val="en-GB"/>
        </w:rPr>
        <w:t xml:space="preserve">in </w:t>
      </w:r>
      <w:r>
        <w:rPr>
          <w:lang w:val="en-GB"/>
        </w:rPr>
        <w:t>one</w:t>
      </w:r>
      <w:r w:rsidR="008E5DF1" w:rsidRPr="00A470B0">
        <w:rPr>
          <w:lang w:val="en-GB"/>
        </w:rPr>
        <w:t xml:space="preserve"> </w:t>
      </w:r>
      <w:r>
        <w:rPr>
          <w:lang w:val="en-GB"/>
        </w:rPr>
        <w:t xml:space="preserve">bacterial </w:t>
      </w:r>
      <w:r w:rsidR="008E5DF1" w:rsidRPr="00A470B0">
        <w:rPr>
          <w:lang w:val="en-GB"/>
        </w:rPr>
        <w:t xml:space="preserve">strain </w:t>
      </w:r>
      <w:r>
        <w:rPr>
          <w:lang w:val="en-GB"/>
        </w:rPr>
        <w:t>in</w:t>
      </w:r>
      <w:r w:rsidRPr="00A470B0">
        <w:rPr>
          <w:lang w:val="en-GB"/>
        </w:rPr>
        <w:t xml:space="preserve"> </w:t>
      </w:r>
      <w:r w:rsidR="008E5DF1" w:rsidRPr="00A470B0">
        <w:rPr>
          <w:lang w:val="en-GB"/>
        </w:rPr>
        <w:t>a (Ames) mutagenicity assay</w:t>
      </w:r>
      <w:r>
        <w:rPr>
          <w:lang w:val="en-GB"/>
        </w:rPr>
        <w:t xml:space="preserve"> </w:t>
      </w:r>
      <w:r w:rsidRPr="00C11E87">
        <w:rPr>
          <w:lang w:val="en-GB"/>
        </w:rPr>
        <w:t xml:space="preserve">and induced chromosome aberrations in human lymphocytes </w:t>
      </w:r>
      <w:r w:rsidRPr="00982376">
        <w:rPr>
          <w:i/>
          <w:iCs/>
          <w:lang w:val="en-GB"/>
        </w:rPr>
        <w:t>in vitro</w:t>
      </w:r>
      <w:r w:rsidRPr="00C11E87">
        <w:rPr>
          <w:lang w:val="en-GB"/>
        </w:rPr>
        <w:t xml:space="preserve"> at a cytotoxic concentration. However, testing in the </w:t>
      </w:r>
      <w:proofErr w:type="spellStart"/>
      <w:r w:rsidRPr="00C11E87">
        <w:rPr>
          <w:lang w:val="en-GB"/>
        </w:rPr>
        <w:t>Muta</w:t>
      </w:r>
      <w:proofErr w:type="spellEnd"/>
      <w:r w:rsidRPr="00C11E87">
        <w:rPr>
          <w:lang w:val="en-GB"/>
        </w:rPr>
        <w:t xml:space="preserve">™ Mouse </w:t>
      </w:r>
      <w:r w:rsidRPr="00982376">
        <w:rPr>
          <w:i/>
          <w:iCs/>
          <w:lang w:val="en-GB"/>
        </w:rPr>
        <w:t>in vivo</w:t>
      </w:r>
      <w:r w:rsidRPr="00C11E87">
        <w:rPr>
          <w:lang w:val="en-GB"/>
        </w:rPr>
        <w:t xml:space="preserve"> mutagenicity assay at oral doses up to 47 mg/kg for 4 weeks, in the rat bone marrow micronucleus assays at up to 32 mg/kg/day for 2 weeks and 18 mg/kg/day for 4 weeks (7 and 4 times, respectively, the clinical exposure based on AUC), and in the Comet assay (detecting DNA damage) using cells from rats given two doses at 200 mg/kg, showed no evidence of </w:t>
      </w:r>
      <w:proofErr w:type="spellStart"/>
      <w:r w:rsidRPr="00C11E87">
        <w:rPr>
          <w:lang w:val="en-GB"/>
        </w:rPr>
        <w:t>genotoxicity</w:t>
      </w:r>
      <w:proofErr w:type="spellEnd"/>
      <w:r w:rsidR="008E5DF1" w:rsidRPr="00A470B0">
        <w:rPr>
          <w:lang w:val="en-GB"/>
        </w:rPr>
        <w:t>.</w:t>
      </w:r>
    </w:p>
    <w:p w:rsidR="00C11E87" w:rsidRDefault="00C11E87" w:rsidP="00C11E87">
      <w:pPr>
        <w:pStyle w:val="TextPI"/>
        <w:rPr>
          <w:lang w:val="en-GB"/>
        </w:rPr>
      </w:pPr>
      <w:r>
        <w:rPr>
          <w:lang w:val="en-GB"/>
        </w:rPr>
        <w:t xml:space="preserve">The balance of evidence indicates that </w:t>
      </w:r>
      <w:proofErr w:type="spellStart"/>
      <w:r>
        <w:rPr>
          <w:lang w:val="en-GB"/>
        </w:rPr>
        <w:t>afatinib</w:t>
      </w:r>
      <w:proofErr w:type="spellEnd"/>
      <w:r>
        <w:rPr>
          <w:lang w:val="en-GB"/>
        </w:rPr>
        <w:t xml:space="preserve"> is unlikely to pose a </w:t>
      </w:r>
      <w:proofErr w:type="spellStart"/>
      <w:r>
        <w:rPr>
          <w:lang w:val="en-GB"/>
        </w:rPr>
        <w:t>genotoxic</w:t>
      </w:r>
      <w:proofErr w:type="spellEnd"/>
      <w:r>
        <w:rPr>
          <w:lang w:val="en-GB"/>
        </w:rPr>
        <w:t xml:space="preserve"> risk to patients.</w:t>
      </w:r>
    </w:p>
    <w:p w:rsidR="00102140" w:rsidRPr="009A3EB3" w:rsidRDefault="00E22BDE" w:rsidP="00DD6D49">
      <w:pPr>
        <w:pStyle w:val="PIheading2"/>
        <w:keepNext w:val="0"/>
      </w:pPr>
      <w:r w:rsidRPr="009A3EB3">
        <w:t>Carcinogenicity</w:t>
      </w:r>
    </w:p>
    <w:p w:rsidR="00D6515A" w:rsidRPr="00A470B0" w:rsidRDefault="00D6515A" w:rsidP="00DD6D49">
      <w:pPr>
        <w:pStyle w:val="TextPI"/>
      </w:pPr>
      <w:r w:rsidRPr="00A470B0">
        <w:t xml:space="preserve">Carcinogenicity studies have not been conducted with </w:t>
      </w:r>
      <w:r w:rsidR="007B26AF">
        <w:t>GIOTRIF</w:t>
      </w:r>
      <w:r w:rsidRPr="00A470B0">
        <w:t>.</w:t>
      </w:r>
    </w:p>
    <w:p w:rsidR="008C2CF8" w:rsidRPr="00A470B0" w:rsidRDefault="008C2CF8" w:rsidP="00DD6D49">
      <w:pPr>
        <w:pStyle w:val="PIheading2"/>
        <w:keepNext w:val="0"/>
        <w:rPr>
          <w:lang w:eastAsia="en-GB"/>
        </w:rPr>
      </w:pPr>
      <w:proofErr w:type="spellStart"/>
      <w:r w:rsidRPr="00A470B0">
        <w:rPr>
          <w:lang w:eastAsia="en-GB"/>
        </w:rPr>
        <w:t>Phototoxicity</w:t>
      </w:r>
      <w:proofErr w:type="spellEnd"/>
      <w:r w:rsidRPr="00A470B0">
        <w:rPr>
          <w:lang w:eastAsia="en-GB"/>
        </w:rPr>
        <w:t xml:space="preserve"> </w:t>
      </w:r>
    </w:p>
    <w:p w:rsidR="00880816" w:rsidRDefault="008C2CF8" w:rsidP="00DD6D49">
      <w:pPr>
        <w:pStyle w:val="TextPI"/>
      </w:pPr>
      <w:r w:rsidRPr="00A470B0">
        <w:t xml:space="preserve">An </w:t>
      </w:r>
      <w:r w:rsidRPr="00A470B0">
        <w:rPr>
          <w:i/>
        </w:rPr>
        <w:t>in vitro</w:t>
      </w:r>
      <w:r w:rsidRPr="00A470B0">
        <w:t xml:space="preserve"> </w:t>
      </w:r>
      <w:r w:rsidR="007A6998">
        <w:t xml:space="preserve">mouse </w:t>
      </w:r>
      <w:r w:rsidRPr="00A470B0">
        <w:t>3T3</w:t>
      </w:r>
      <w:r w:rsidR="007A6998">
        <w:t xml:space="preserve"> cell</w:t>
      </w:r>
      <w:r w:rsidRPr="00A470B0">
        <w:t xml:space="preserve"> </w:t>
      </w:r>
      <w:proofErr w:type="spellStart"/>
      <w:r w:rsidRPr="00A470B0">
        <w:t>phototoxicity</w:t>
      </w:r>
      <w:proofErr w:type="spellEnd"/>
      <w:r w:rsidRPr="00A470B0">
        <w:t xml:space="preserve"> test with </w:t>
      </w:r>
      <w:proofErr w:type="spellStart"/>
      <w:r w:rsidRPr="00A470B0">
        <w:t>afatinib</w:t>
      </w:r>
      <w:proofErr w:type="spellEnd"/>
      <w:r w:rsidRPr="00A470B0">
        <w:t xml:space="preserve"> was performed. </w:t>
      </w:r>
      <w:r w:rsidR="00887A79">
        <w:t xml:space="preserve"> </w:t>
      </w:r>
      <w:r w:rsidRPr="00A470B0">
        <w:t xml:space="preserve">It was concluded that </w:t>
      </w:r>
      <w:r w:rsidR="007B26AF">
        <w:t>GIOTRIF</w:t>
      </w:r>
      <w:r w:rsidRPr="00A470B0">
        <w:t xml:space="preserve"> may have </w:t>
      </w:r>
      <w:proofErr w:type="spellStart"/>
      <w:r w:rsidRPr="00A470B0">
        <w:t>phototoxicity</w:t>
      </w:r>
      <w:proofErr w:type="spellEnd"/>
      <w:r w:rsidRPr="00A470B0">
        <w:t xml:space="preserve"> potential.</w:t>
      </w:r>
      <w:r w:rsidR="000C1FAF">
        <w:t xml:space="preserve">  </w:t>
      </w:r>
      <w:r w:rsidR="00880816">
        <w:t xml:space="preserve">See PRECAUTIONS, </w:t>
      </w:r>
      <w:r w:rsidR="00880816" w:rsidRPr="00880816">
        <w:t>Skin related adverse events</w:t>
      </w:r>
      <w:r w:rsidR="000C1FAF">
        <w:t>.</w:t>
      </w:r>
    </w:p>
    <w:p w:rsidR="00C46478" w:rsidRPr="00A470B0" w:rsidRDefault="00C46478" w:rsidP="00DD6D49">
      <w:pPr>
        <w:pStyle w:val="PIheading2"/>
        <w:keepNext w:val="0"/>
      </w:pPr>
      <w:r w:rsidRPr="00A470B0">
        <w:t xml:space="preserve">Food effect on </w:t>
      </w:r>
      <w:proofErr w:type="spellStart"/>
      <w:r w:rsidRPr="00A470B0">
        <w:t>afatinib</w:t>
      </w:r>
      <w:proofErr w:type="spellEnd"/>
    </w:p>
    <w:p w:rsidR="00D741AA" w:rsidRDefault="00C46478" w:rsidP="00DD6D49">
      <w:pPr>
        <w:pStyle w:val="TextPI"/>
      </w:pPr>
      <w:r w:rsidRPr="00A470B0">
        <w:t xml:space="preserve">Co-administration of a high-fat meal with </w:t>
      </w:r>
      <w:r w:rsidR="007B26AF">
        <w:t>GIOTRIF</w:t>
      </w:r>
      <w:r w:rsidRPr="00A470B0">
        <w:t xml:space="preserve"> resulted in a significant decrease of exposure to </w:t>
      </w:r>
      <w:proofErr w:type="spellStart"/>
      <w:r w:rsidRPr="00A470B0">
        <w:t>afatinib</w:t>
      </w:r>
      <w:proofErr w:type="spellEnd"/>
      <w:r w:rsidRPr="00A470B0">
        <w:t xml:space="preserve"> by about 50% in regard to </w:t>
      </w:r>
      <w:proofErr w:type="spellStart"/>
      <w:r w:rsidRPr="00A470B0">
        <w:t>C</w:t>
      </w:r>
      <w:r w:rsidRPr="009A662B">
        <w:rPr>
          <w:vertAlign w:val="subscript"/>
        </w:rPr>
        <w:t>max</w:t>
      </w:r>
      <w:proofErr w:type="spellEnd"/>
      <w:r w:rsidRPr="00A470B0">
        <w:t xml:space="preserve"> and 39% in regard to AUC</w:t>
      </w:r>
      <w:r w:rsidRPr="00A470B0">
        <w:rPr>
          <w:vertAlign w:val="subscript"/>
        </w:rPr>
        <w:t>0-∞</w:t>
      </w:r>
      <w:r w:rsidRPr="00A470B0">
        <w:t xml:space="preserve">. </w:t>
      </w:r>
      <w:r w:rsidR="007B26AF">
        <w:t>GIOTRIF</w:t>
      </w:r>
      <w:r w:rsidRPr="00A470B0">
        <w:t xml:space="preserve"> should be administered without food (see </w:t>
      </w:r>
      <w:r w:rsidR="004E1784">
        <w:t xml:space="preserve">PHARMACOLOGY, </w:t>
      </w:r>
      <w:r w:rsidR="004E1784" w:rsidRPr="007F0F4B">
        <w:t>Pharmacokinetics</w:t>
      </w:r>
      <w:r w:rsidR="004E1784">
        <w:t xml:space="preserve"> and DOSAGE AND ADMINISTRATION</w:t>
      </w:r>
      <w:r>
        <w:t>).</w:t>
      </w:r>
    </w:p>
    <w:p w:rsidR="00102140" w:rsidRDefault="0032121C" w:rsidP="00444D8B">
      <w:pPr>
        <w:pStyle w:val="PIHeading1"/>
        <w:rPr>
          <w:lang w:val="en-AU"/>
        </w:rPr>
      </w:pPr>
      <w:r w:rsidRPr="0032121C">
        <w:rPr>
          <w:lang w:val="en-AU"/>
        </w:rPr>
        <w:t>Interactions with other medicines</w:t>
      </w:r>
    </w:p>
    <w:p w:rsidR="003561B3" w:rsidRPr="00A470B0" w:rsidRDefault="003561B3" w:rsidP="00D74938">
      <w:pPr>
        <w:pStyle w:val="PIheading2"/>
      </w:pPr>
      <w:r w:rsidRPr="00A470B0">
        <w:t>P-glycoprotein (P-</w:t>
      </w:r>
      <w:proofErr w:type="spellStart"/>
      <w:r w:rsidRPr="00A470B0">
        <w:t>gp</w:t>
      </w:r>
      <w:proofErr w:type="spellEnd"/>
      <w:r w:rsidRPr="00A470B0">
        <w:t>) interactions</w:t>
      </w:r>
    </w:p>
    <w:p w:rsidR="004E1784" w:rsidRPr="008C2CF8" w:rsidRDefault="004E1784" w:rsidP="004E1784">
      <w:pPr>
        <w:pStyle w:val="TextPI"/>
      </w:pPr>
      <w:r>
        <w:t xml:space="preserve">Based on </w:t>
      </w:r>
      <w:r>
        <w:rPr>
          <w:i/>
        </w:rPr>
        <w:t>in vitro</w:t>
      </w:r>
      <w:r>
        <w:t xml:space="preserve"> data, </w:t>
      </w:r>
      <w:proofErr w:type="spellStart"/>
      <w:r>
        <w:t>afatinib</w:t>
      </w:r>
      <w:proofErr w:type="spellEnd"/>
      <w:r>
        <w:t xml:space="preserve"> is a substrate of P-</w:t>
      </w:r>
      <w:proofErr w:type="spellStart"/>
      <w:r>
        <w:t>gp</w:t>
      </w:r>
      <w:proofErr w:type="spellEnd"/>
      <w:r>
        <w:t xml:space="preserve">.  </w:t>
      </w:r>
      <w:r w:rsidR="003561B3" w:rsidRPr="00A470B0">
        <w:t>Based on clinical data, concomitant administration of strong P-</w:t>
      </w:r>
      <w:proofErr w:type="spellStart"/>
      <w:r w:rsidR="003561B3" w:rsidRPr="00A470B0">
        <w:t>gp</w:t>
      </w:r>
      <w:proofErr w:type="spellEnd"/>
      <w:r w:rsidR="003561B3" w:rsidRPr="00A470B0">
        <w:t xml:space="preserve"> inhibitors or inducers may alter </w:t>
      </w:r>
      <w:r w:rsidR="003561B3">
        <w:t xml:space="preserve">exposure to </w:t>
      </w:r>
      <w:proofErr w:type="spellStart"/>
      <w:r w:rsidR="003561B3">
        <w:t>afatinib</w:t>
      </w:r>
      <w:proofErr w:type="spellEnd"/>
      <w:r w:rsidR="003561B3">
        <w:t>.</w:t>
      </w:r>
      <w:r w:rsidR="003561B3" w:rsidRPr="00A470B0">
        <w:t xml:space="preserve"> </w:t>
      </w:r>
      <w:r w:rsidR="00887A79">
        <w:t xml:space="preserve"> </w:t>
      </w:r>
      <w:r w:rsidR="003561B3" w:rsidRPr="00A470B0">
        <w:t xml:space="preserve">Results of a drug interaction trial demonstrated that </w:t>
      </w:r>
      <w:r w:rsidR="007B26AF">
        <w:t>GIOTRIF</w:t>
      </w:r>
      <w:r w:rsidR="003561B3" w:rsidRPr="00A470B0">
        <w:t xml:space="preserve"> can be safely combined with P-</w:t>
      </w:r>
      <w:proofErr w:type="spellStart"/>
      <w:r w:rsidR="003561B3" w:rsidRPr="00A470B0">
        <w:t>gp</w:t>
      </w:r>
      <w:proofErr w:type="spellEnd"/>
      <w:r w:rsidR="003561B3" w:rsidRPr="00A470B0">
        <w:t xml:space="preserve"> inhibitors (such as ritonavir) as long as the inhibitor is administered simultaneously with or after </w:t>
      </w:r>
      <w:r w:rsidR="007B26AF">
        <w:t>GIOTRIF</w:t>
      </w:r>
      <w:r w:rsidR="003561B3" w:rsidRPr="00A470B0">
        <w:t>.</w:t>
      </w:r>
      <w:r w:rsidR="003561B3">
        <w:t xml:space="preserve"> </w:t>
      </w:r>
      <w:r w:rsidR="00887A79">
        <w:t xml:space="preserve"> </w:t>
      </w:r>
      <w:r w:rsidR="003561B3" w:rsidRPr="00A470B0">
        <w:t xml:space="preserve">If administered prior to </w:t>
      </w:r>
      <w:r w:rsidR="007B26AF">
        <w:t>GIOTRIF</w:t>
      </w:r>
      <w:r w:rsidR="003561B3" w:rsidRPr="00A470B0">
        <w:t>, strong P-</w:t>
      </w:r>
      <w:proofErr w:type="spellStart"/>
      <w:r w:rsidR="003561B3" w:rsidRPr="00A470B0">
        <w:t>gp</w:t>
      </w:r>
      <w:proofErr w:type="spellEnd"/>
      <w:r w:rsidR="003561B3" w:rsidRPr="00A470B0">
        <w:t xml:space="preserve"> inhibitors (including but not limited to</w:t>
      </w:r>
      <w:r w:rsidR="003561B3" w:rsidRPr="00A470B0">
        <w:rPr>
          <w:b/>
        </w:rPr>
        <w:t xml:space="preserve"> </w:t>
      </w:r>
      <w:r w:rsidR="003561B3" w:rsidRPr="00A470B0">
        <w:t xml:space="preserve">ritonavir, cyclosporine A, </w:t>
      </w:r>
      <w:r w:rsidR="003561B3" w:rsidRPr="00880816">
        <w:t xml:space="preserve">ketoconazole, </w:t>
      </w:r>
      <w:proofErr w:type="spellStart"/>
      <w:r w:rsidR="003561B3" w:rsidRPr="00880816">
        <w:t>itraconazole</w:t>
      </w:r>
      <w:proofErr w:type="spellEnd"/>
      <w:r w:rsidR="003561B3" w:rsidRPr="00880816">
        <w:t xml:space="preserve">, erythromycin, verapamil, quinidine, </w:t>
      </w:r>
      <w:proofErr w:type="spellStart"/>
      <w:r w:rsidR="003561B3" w:rsidRPr="00880816">
        <w:t>tacrolimus</w:t>
      </w:r>
      <w:proofErr w:type="spellEnd"/>
      <w:r w:rsidR="003561B3" w:rsidRPr="00880816">
        <w:t xml:space="preserve">, </w:t>
      </w:r>
      <w:proofErr w:type="spellStart"/>
      <w:r w:rsidR="003561B3" w:rsidRPr="00880816">
        <w:t>nelfinavir</w:t>
      </w:r>
      <w:proofErr w:type="spellEnd"/>
      <w:r w:rsidR="003561B3" w:rsidRPr="00880816">
        <w:t xml:space="preserve">, </w:t>
      </w:r>
      <w:proofErr w:type="spellStart"/>
      <w:r w:rsidR="003561B3" w:rsidRPr="00880816">
        <w:t>saquinavir</w:t>
      </w:r>
      <w:proofErr w:type="spellEnd"/>
      <w:r w:rsidR="003561B3" w:rsidRPr="00880816">
        <w:t xml:space="preserve">, and </w:t>
      </w:r>
      <w:proofErr w:type="spellStart"/>
      <w:r w:rsidR="003561B3" w:rsidRPr="00880816">
        <w:t>amiodarone</w:t>
      </w:r>
      <w:proofErr w:type="spellEnd"/>
      <w:r w:rsidR="003561B3" w:rsidRPr="00880816">
        <w:t xml:space="preserve">) may increase exposure to </w:t>
      </w:r>
      <w:proofErr w:type="spellStart"/>
      <w:r w:rsidR="003561B3" w:rsidRPr="00880816">
        <w:t>afatinib</w:t>
      </w:r>
      <w:proofErr w:type="spellEnd"/>
      <w:r w:rsidR="003561B3" w:rsidRPr="00880816">
        <w:t xml:space="preserve"> and should be used with caution</w:t>
      </w:r>
      <w:r w:rsidR="003561B3" w:rsidRPr="00880816">
        <w:rPr>
          <w:vertAlign w:val="superscript"/>
        </w:rPr>
        <w:t>.</w:t>
      </w:r>
      <w:r w:rsidR="003561B3" w:rsidRPr="00880816">
        <w:t xml:space="preserve"> (</w:t>
      </w:r>
      <w:proofErr w:type="gramStart"/>
      <w:r w:rsidRPr="00A470B0">
        <w:t>see</w:t>
      </w:r>
      <w:proofErr w:type="gramEnd"/>
      <w:r w:rsidRPr="00A470B0">
        <w:t xml:space="preserve"> </w:t>
      </w:r>
      <w:r>
        <w:t xml:space="preserve">PHARMACOLOGY, </w:t>
      </w:r>
      <w:r w:rsidRPr="007F0F4B">
        <w:t>Pharmacokinetics</w:t>
      </w:r>
      <w:r>
        <w:t>; PRECAUTIONS and DOSAGE AND ADMINISTRATION).</w:t>
      </w:r>
    </w:p>
    <w:p w:rsidR="003561B3" w:rsidRDefault="003561B3" w:rsidP="003561B3">
      <w:pPr>
        <w:pStyle w:val="TextPI"/>
      </w:pPr>
      <w:r w:rsidRPr="00880816">
        <w:rPr>
          <w:iCs/>
        </w:rPr>
        <w:lastRenderedPageBreak/>
        <w:t>S</w:t>
      </w:r>
      <w:r w:rsidRPr="00880816">
        <w:t>trong P-</w:t>
      </w:r>
      <w:proofErr w:type="spellStart"/>
      <w:r w:rsidRPr="00880816">
        <w:t>gp</w:t>
      </w:r>
      <w:proofErr w:type="spellEnd"/>
      <w:r w:rsidRPr="00880816">
        <w:t xml:space="preserve"> inducers (including but not limited to rifampicin, carbamazepine, phenytoin, phenobarbital or St. John’s </w:t>
      </w:r>
      <w:proofErr w:type="spellStart"/>
      <w:r w:rsidRPr="00880816">
        <w:t>Wort</w:t>
      </w:r>
      <w:proofErr w:type="spellEnd"/>
      <w:r w:rsidRPr="00880816">
        <w:t xml:space="preserve">) may decrease exposure to </w:t>
      </w:r>
      <w:proofErr w:type="spellStart"/>
      <w:r w:rsidRPr="00880816">
        <w:t>afatinib</w:t>
      </w:r>
      <w:proofErr w:type="spellEnd"/>
      <w:r w:rsidR="004E1784">
        <w:t xml:space="preserve"> (</w:t>
      </w:r>
      <w:r w:rsidR="004E1784" w:rsidRPr="00A470B0">
        <w:t xml:space="preserve">see </w:t>
      </w:r>
      <w:r w:rsidR="004E1784">
        <w:t xml:space="preserve">PHARMACOLOGY, </w:t>
      </w:r>
      <w:r w:rsidR="004E1784" w:rsidRPr="007F0F4B">
        <w:t>Pharmacokinetics</w:t>
      </w:r>
      <w:r w:rsidR="004E1784">
        <w:t xml:space="preserve"> and PRECAUTIONS).</w:t>
      </w:r>
    </w:p>
    <w:p w:rsidR="00BB3527" w:rsidRPr="00BB3527" w:rsidRDefault="00BB3527" w:rsidP="00BB3527">
      <w:pPr>
        <w:pStyle w:val="TextPI"/>
        <w:rPr>
          <w:b/>
          <w:iCs/>
        </w:rPr>
      </w:pPr>
      <w:r w:rsidRPr="00BB3527">
        <w:rPr>
          <w:b/>
          <w:iCs/>
        </w:rPr>
        <w:t xml:space="preserve">Interactions with breast cancer resistance protein (BCRP) </w:t>
      </w:r>
    </w:p>
    <w:p w:rsidR="00BB3527" w:rsidRPr="00BB3527" w:rsidRDefault="00BB3527" w:rsidP="00BB3527">
      <w:pPr>
        <w:pStyle w:val="TextPI"/>
      </w:pPr>
      <w:r w:rsidRPr="00BB3527">
        <w:rPr>
          <w:i/>
          <w:iCs/>
        </w:rPr>
        <w:t xml:space="preserve">In vitro </w:t>
      </w:r>
      <w:r w:rsidRPr="00BB3527">
        <w:t xml:space="preserve">studies indicated that </w:t>
      </w:r>
      <w:proofErr w:type="spellStart"/>
      <w:r w:rsidRPr="00BB3527">
        <w:t>afatinib</w:t>
      </w:r>
      <w:proofErr w:type="spellEnd"/>
      <w:r w:rsidRPr="00BB3527">
        <w:t xml:space="preserve"> is a substrate and an inhibitor of the transporter BCRP. </w:t>
      </w:r>
      <w:proofErr w:type="spellStart"/>
      <w:r w:rsidRPr="00BB3527">
        <w:t>Afatinib</w:t>
      </w:r>
      <w:proofErr w:type="spellEnd"/>
      <w:r w:rsidRPr="00BB3527">
        <w:t xml:space="preserve"> may increase the bioavailability of orally administered BCRP substrates (including but not limited to </w:t>
      </w:r>
      <w:proofErr w:type="spellStart"/>
      <w:r w:rsidRPr="00BB3527">
        <w:t>rosuvastatin</w:t>
      </w:r>
      <w:proofErr w:type="spellEnd"/>
      <w:r w:rsidRPr="00BB3527">
        <w:t xml:space="preserve"> and sulfasalazine) and caution should be exercised when co-administrating GIOTRIF and BCRP substrates.</w:t>
      </w:r>
    </w:p>
    <w:p w:rsidR="00014579" w:rsidRPr="00B43DE5" w:rsidRDefault="00014579" w:rsidP="009B3AF5">
      <w:pPr>
        <w:pStyle w:val="PIHeading1"/>
        <w:keepLines/>
      </w:pPr>
      <w:r w:rsidRPr="00B43DE5">
        <w:t xml:space="preserve">ADVERSE </w:t>
      </w:r>
      <w:r w:rsidR="00F2572F" w:rsidRPr="00B43DE5">
        <w:t>Effects</w:t>
      </w:r>
    </w:p>
    <w:p w:rsidR="004B20A6" w:rsidRPr="00A470B0" w:rsidRDefault="004B20A6" w:rsidP="009B3AF5">
      <w:pPr>
        <w:pStyle w:val="TextPI"/>
        <w:keepNext/>
        <w:keepLines/>
      </w:pPr>
      <w:r w:rsidRPr="00A470B0">
        <w:t xml:space="preserve">The safety evaluation of </w:t>
      </w:r>
      <w:r w:rsidR="007B26AF">
        <w:t>GIOTRIF</w:t>
      </w:r>
      <w:r w:rsidRPr="00A470B0">
        <w:rPr>
          <w:lang w:bidi="ml-IN"/>
        </w:rPr>
        <w:t xml:space="preserve"> </w:t>
      </w:r>
      <w:r w:rsidRPr="00A470B0">
        <w:t>is based on the data from more than 3800 patients, including more than 1638</w:t>
      </w:r>
      <w:r>
        <w:t> </w:t>
      </w:r>
      <w:r w:rsidRPr="00A470B0">
        <w:t xml:space="preserve">NSCLC patients treated with a </w:t>
      </w:r>
      <w:r>
        <w:t xml:space="preserve">daily </w:t>
      </w:r>
      <w:r w:rsidRPr="00A470B0">
        <w:t xml:space="preserve">dose of </w:t>
      </w:r>
      <w:r w:rsidR="007B26AF">
        <w:t>GIOTRIF</w:t>
      </w:r>
      <w:r w:rsidR="005D318A">
        <w:rPr>
          <w:vertAlign w:val="superscript"/>
        </w:rPr>
        <w:t xml:space="preserve"> </w:t>
      </w:r>
      <w:r w:rsidR="005D318A">
        <w:t>5</w:t>
      </w:r>
      <w:r w:rsidRPr="00A470B0">
        <w:t xml:space="preserve">0 mg </w:t>
      </w:r>
      <w:proofErr w:type="spellStart"/>
      <w:r w:rsidRPr="00A470B0">
        <w:t>monotherapy</w:t>
      </w:r>
      <w:proofErr w:type="spellEnd"/>
      <w:r w:rsidRPr="00A470B0">
        <w:t xml:space="preserve"> and more than 497</w:t>
      </w:r>
      <w:r>
        <w:t> </w:t>
      </w:r>
      <w:r w:rsidRPr="00A470B0">
        <w:t xml:space="preserve">NSCLC patients who received </w:t>
      </w:r>
      <w:r w:rsidR="007B26AF">
        <w:t>GIOTRIF</w:t>
      </w:r>
      <w:r w:rsidR="005D318A">
        <w:t xml:space="preserve"> 4</w:t>
      </w:r>
      <w:r>
        <w:t>0 </w:t>
      </w:r>
      <w:r w:rsidRPr="00A470B0">
        <w:t xml:space="preserve">mg </w:t>
      </w:r>
      <w:proofErr w:type="spellStart"/>
      <w:r w:rsidRPr="00A470B0">
        <w:t>monotherapy</w:t>
      </w:r>
      <w:proofErr w:type="spellEnd"/>
      <w:r>
        <w:t xml:space="preserve"> once daily</w:t>
      </w:r>
      <w:r w:rsidRPr="00A470B0">
        <w:t>.</w:t>
      </w:r>
    </w:p>
    <w:p w:rsidR="004B20A6" w:rsidRDefault="004B20A6" w:rsidP="004B20A6">
      <w:pPr>
        <w:pStyle w:val="TextPI"/>
      </w:pPr>
      <w:r w:rsidRPr="00A470B0">
        <w:rPr>
          <w:lang w:bidi="ml-IN"/>
        </w:rPr>
        <w:t>In the pivotal LUX-L</w:t>
      </w:r>
      <w:r>
        <w:rPr>
          <w:lang w:bidi="ml-IN"/>
        </w:rPr>
        <w:t>ung </w:t>
      </w:r>
      <w:r w:rsidRPr="00A470B0">
        <w:rPr>
          <w:lang w:bidi="ml-IN"/>
        </w:rPr>
        <w:t xml:space="preserve">3 (1200.32) </w:t>
      </w:r>
      <w:r>
        <w:rPr>
          <w:lang w:bidi="ml-IN"/>
        </w:rPr>
        <w:t>trial</w:t>
      </w:r>
      <w:r w:rsidRPr="00A470B0">
        <w:rPr>
          <w:lang w:bidi="ml-IN"/>
        </w:rPr>
        <w:t xml:space="preserve"> a total of 229 EGFR TKI naïve patients were treated with </w:t>
      </w:r>
      <w:r w:rsidR="007B26AF">
        <w:t>GIOTRIF</w:t>
      </w:r>
      <w:r>
        <w:rPr>
          <w:lang w:bidi="ml-IN"/>
        </w:rPr>
        <w:t xml:space="preserve"> with a starting dose of 40 </w:t>
      </w:r>
      <w:r w:rsidRPr="00A470B0">
        <w:rPr>
          <w:lang w:bidi="ml-IN"/>
        </w:rPr>
        <w:t xml:space="preserve">mg once daily. </w:t>
      </w:r>
      <w:r w:rsidR="005D318A">
        <w:rPr>
          <w:lang w:bidi="ml-IN"/>
        </w:rPr>
        <w:t xml:space="preserve"> </w:t>
      </w:r>
      <w:r w:rsidRPr="00A470B0">
        <w:rPr>
          <w:lang w:bidi="ml-IN"/>
        </w:rPr>
        <w:t xml:space="preserve">A total of 111 patients were treated with </w:t>
      </w:r>
      <w:proofErr w:type="spellStart"/>
      <w:r w:rsidRPr="00A470B0">
        <w:rPr>
          <w:lang w:bidi="ml-IN"/>
        </w:rPr>
        <w:t>pemetrexed</w:t>
      </w:r>
      <w:proofErr w:type="spellEnd"/>
      <w:r w:rsidRPr="00A470B0">
        <w:rPr>
          <w:lang w:bidi="ml-IN"/>
        </w:rPr>
        <w:t>/</w:t>
      </w:r>
      <w:proofErr w:type="spellStart"/>
      <w:r w:rsidRPr="00A470B0">
        <w:rPr>
          <w:lang w:bidi="ml-IN"/>
        </w:rPr>
        <w:t>cisplatin</w:t>
      </w:r>
      <w:proofErr w:type="spellEnd"/>
      <w:r w:rsidRPr="00A470B0">
        <w:rPr>
          <w:lang w:bidi="ml-IN"/>
        </w:rPr>
        <w:t xml:space="preserve">. </w:t>
      </w:r>
      <w:r w:rsidR="005D318A">
        <w:rPr>
          <w:lang w:bidi="ml-IN"/>
        </w:rPr>
        <w:t xml:space="preserve"> </w:t>
      </w:r>
      <w:r w:rsidRPr="00A470B0">
        <w:rPr>
          <w:lang w:bidi="ml-IN"/>
        </w:rPr>
        <w:t>T</w:t>
      </w:r>
      <w:r w:rsidRPr="00A470B0">
        <w:t xml:space="preserve">he overall incidence of Adverse Drug Reactions (ADRs) in patients treated with once daily </w:t>
      </w:r>
      <w:r w:rsidR="007B26AF">
        <w:t>GIOTRIF</w:t>
      </w:r>
      <w:r>
        <w:t xml:space="preserve"> 40 </w:t>
      </w:r>
      <w:r w:rsidRPr="00A470B0">
        <w:t xml:space="preserve">mg was similar to </w:t>
      </w:r>
      <w:proofErr w:type="spellStart"/>
      <w:r w:rsidRPr="00A470B0">
        <w:t>pemetrexed</w:t>
      </w:r>
      <w:proofErr w:type="spellEnd"/>
      <w:r w:rsidRPr="00A470B0">
        <w:t>/</w:t>
      </w:r>
      <w:proofErr w:type="spellStart"/>
      <w:r w:rsidRPr="00A470B0">
        <w:t>cisplatin</w:t>
      </w:r>
      <w:proofErr w:type="spellEnd"/>
      <w:r w:rsidRPr="00A470B0">
        <w:t xml:space="preserve"> (100% vs. 96%). </w:t>
      </w:r>
      <w:r w:rsidR="005D318A">
        <w:t xml:space="preserve"> </w:t>
      </w:r>
      <w:r w:rsidRPr="00A470B0">
        <w:t xml:space="preserve">The incidence of </w:t>
      </w:r>
      <w:proofErr w:type="spellStart"/>
      <w:r w:rsidRPr="00A470B0">
        <w:t>diarrhoea</w:t>
      </w:r>
      <w:proofErr w:type="spellEnd"/>
      <w:r w:rsidRPr="00A470B0">
        <w:t xml:space="preserve"> (95% vs. 15%) and rash/acne (89% vs. 6%) </w:t>
      </w:r>
      <w:proofErr w:type="gramStart"/>
      <w:r w:rsidRPr="00A470B0">
        <w:t>ADRs was</w:t>
      </w:r>
      <w:proofErr w:type="gramEnd"/>
      <w:r w:rsidRPr="00A470B0">
        <w:t xml:space="preserve"> higher in the </w:t>
      </w:r>
      <w:r w:rsidR="007B26AF">
        <w:t>GIOTRIF</w:t>
      </w:r>
      <w:r>
        <w:t>-</w:t>
      </w:r>
      <w:r w:rsidRPr="00A470B0">
        <w:t xml:space="preserve">treated patients than in those patients treated with </w:t>
      </w:r>
      <w:proofErr w:type="spellStart"/>
      <w:r w:rsidRPr="00A470B0">
        <w:t>pemetrexed</w:t>
      </w:r>
      <w:proofErr w:type="spellEnd"/>
      <w:r w:rsidRPr="00A470B0">
        <w:t>/</w:t>
      </w:r>
      <w:proofErr w:type="spellStart"/>
      <w:r w:rsidRPr="00A470B0">
        <w:t>cisplatin</w:t>
      </w:r>
      <w:proofErr w:type="spellEnd"/>
      <w:r w:rsidRPr="00A470B0">
        <w:t>, respectively.</w:t>
      </w:r>
      <w:r w:rsidR="005D318A">
        <w:t xml:space="preserve"> </w:t>
      </w:r>
      <w:r w:rsidRPr="00A470B0">
        <w:t xml:space="preserve"> Dose reductions due to ADRs occurred in 57% of </w:t>
      </w:r>
      <w:r w:rsidR="007B26AF">
        <w:t>GIOTRIF</w:t>
      </w:r>
      <w:r>
        <w:t>-</w:t>
      </w:r>
      <w:r w:rsidRPr="00A470B0">
        <w:t>treated patients.</w:t>
      </w:r>
      <w:r w:rsidR="005D318A">
        <w:t xml:space="preserve"> </w:t>
      </w:r>
      <w:r w:rsidRPr="00A470B0">
        <w:t xml:space="preserve"> Overall dose reduction led to a lower frequency of common adverse events (e.g. after first dose reduction, frequency for </w:t>
      </w:r>
      <w:proofErr w:type="spellStart"/>
      <w:r w:rsidRPr="00A470B0">
        <w:t>diarrhoea</w:t>
      </w:r>
      <w:proofErr w:type="spellEnd"/>
      <w:r w:rsidRPr="00A470B0">
        <w:t xml:space="preserve"> regardless of causality decreased from 96% to 52%).</w:t>
      </w:r>
    </w:p>
    <w:p w:rsidR="007E54DB" w:rsidRPr="007E54DB" w:rsidRDefault="007E54DB" w:rsidP="007E54DB">
      <w:pPr>
        <w:pStyle w:val="TextPI"/>
      </w:pPr>
      <w:r w:rsidRPr="007E54DB">
        <w:t>Elderly patients may be more likely to experience a higher grade of the more frequent EGFR TKI-associated events. Grade 3 AEs were observed in 67% in patients ≥70 years of age versus 47% in patients &lt;70 years of age.</w:t>
      </w:r>
    </w:p>
    <w:p w:rsidR="004B20A6" w:rsidRDefault="004B20A6" w:rsidP="004B20A6">
      <w:pPr>
        <w:pStyle w:val="TextPI"/>
      </w:pPr>
      <w:r w:rsidRPr="00A470B0">
        <w:t xml:space="preserve">Discontinuation of therapy due to ADRs was lower in patients who received once daily </w:t>
      </w:r>
      <w:r w:rsidR="007B26AF">
        <w:t>GIOTRIF</w:t>
      </w:r>
      <w:r>
        <w:t xml:space="preserve"> 40 </w:t>
      </w:r>
      <w:r w:rsidRPr="00A470B0">
        <w:t xml:space="preserve">mg compared with </w:t>
      </w:r>
      <w:proofErr w:type="spellStart"/>
      <w:r w:rsidRPr="00A470B0">
        <w:t>pemetrexed</w:t>
      </w:r>
      <w:proofErr w:type="spellEnd"/>
      <w:r w:rsidRPr="00A470B0">
        <w:t>/</w:t>
      </w:r>
      <w:proofErr w:type="spellStart"/>
      <w:r w:rsidRPr="00A470B0">
        <w:t>cisplatin</w:t>
      </w:r>
      <w:proofErr w:type="spellEnd"/>
      <w:r w:rsidRPr="00A470B0">
        <w:t xml:space="preserve"> (8% vs. 12%). </w:t>
      </w:r>
      <w:r w:rsidR="005D318A">
        <w:t xml:space="preserve"> </w:t>
      </w:r>
      <w:r w:rsidRPr="00A470B0">
        <w:t xml:space="preserve">In patients treated with </w:t>
      </w:r>
      <w:r w:rsidR="007B26AF">
        <w:t>GIOTRIF</w:t>
      </w:r>
      <w:r w:rsidRPr="00A470B0">
        <w:t xml:space="preserve">, discontinuation due to ADRs </w:t>
      </w:r>
      <w:proofErr w:type="spellStart"/>
      <w:r w:rsidRPr="00A470B0">
        <w:t>diarrhoea</w:t>
      </w:r>
      <w:proofErr w:type="spellEnd"/>
      <w:r w:rsidRPr="00A470B0">
        <w:t xml:space="preserve"> and rash/acne was 1.3% and 0%, respectively.</w:t>
      </w:r>
    </w:p>
    <w:p w:rsidR="009B3AF5" w:rsidRDefault="00880816" w:rsidP="004B20A6">
      <w:pPr>
        <w:pStyle w:val="TextPI"/>
      </w:pPr>
      <w:r>
        <w:t xml:space="preserve">Very Common ADRs in </w:t>
      </w:r>
      <w:r w:rsidR="007B26AF">
        <w:t>GIOTRIF</w:t>
      </w:r>
      <w:r>
        <w:t xml:space="preserve">-treated patients occurring in at least 10% of patients in trial LUX-LUNG 3 are </w:t>
      </w:r>
      <w:proofErr w:type="spellStart"/>
      <w:r>
        <w:t>summarised</w:t>
      </w:r>
      <w:proofErr w:type="spellEnd"/>
      <w:r>
        <w:t xml:space="preserve"> by National Institute</w:t>
      </w:r>
      <w:r w:rsidR="005F6A87">
        <w:t xml:space="preserve"> – </w:t>
      </w:r>
      <w:r>
        <w:t>Common</w:t>
      </w:r>
      <w:r w:rsidR="005F6A87">
        <w:t xml:space="preserve"> </w:t>
      </w:r>
      <w:r>
        <w:t>Terminology Criteria (NCI</w:t>
      </w:r>
      <w:r>
        <w:noBreakHyphen/>
        <w:t xml:space="preserve">CTC) Grade in Table </w:t>
      </w:r>
      <w:r w:rsidR="0001652F">
        <w:t>2</w:t>
      </w:r>
      <w:r>
        <w:t>.</w:t>
      </w:r>
    </w:p>
    <w:p w:rsidR="009B3AF5" w:rsidRDefault="009B3AF5" w:rsidP="002A1AED">
      <w:pPr>
        <w:pStyle w:val="Caption"/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2A1AED" w:rsidRPr="002D46BF" w:rsidRDefault="002A1AED" w:rsidP="002A1AED">
      <w:pPr>
        <w:pStyle w:val="Caption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2D46BF">
        <w:rPr>
          <w:rFonts w:ascii="Arial" w:hAnsi="Arial" w:cs="Arial"/>
          <w:sz w:val="22"/>
          <w:szCs w:val="22"/>
        </w:rPr>
        <w:t xml:space="preserve">Table </w:t>
      </w:r>
      <w:r w:rsidR="0001652F">
        <w:rPr>
          <w:rFonts w:ascii="Arial" w:hAnsi="Arial" w:cs="Arial"/>
          <w:sz w:val="22"/>
          <w:szCs w:val="22"/>
        </w:rPr>
        <w:t>2</w:t>
      </w:r>
      <w:r w:rsidRPr="002D46BF">
        <w:rPr>
          <w:rFonts w:ascii="Arial" w:hAnsi="Arial" w:cs="Arial"/>
          <w:sz w:val="22"/>
          <w:szCs w:val="22"/>
        </w:rPr>
        <w:t xml:space="preserve">: Adverse </w:t>
      </w:r>
      <w:r w:rsidR="000057BC">
        <w:rPr>
          <w:rFonts w:ascii="Arial" w:hAnsi="Arial" w:cs="Arial"/>
          <w:sz w:val="22"/>
          <w:szCs w:val="22"/>
        </w:rPr>
        <w:t xml:space="preserve">Events </w:t>
      </w:r>
      <w:r w:rsidRPr="002D46BF">
        <w:rPr>
          <w:rFonts w:ascii="Arial" w:hAnsi="Arial" w:cs="Arial"/>
          <w:sz w:val="22"/>
          <w:szCs w:val="22"/>
        </w:rPr>
        <w:t>Reported in ≥10% of GIOTRIF Treated Patients in LUX-Lung 3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1080"/>
        <w:gridCol w:w="1080"/>
        <w:gridCol w:w="1080"/>
        <w:gridCol w:w="1170"/>
        <w:gridCol w:w="1080"/>
        <w:gridCol w:w="1080"/>
      </w:tblGrid>
      <w:tr w:rsidR="002A1AED" w:rsidRPr="002D46BF" w:rsidTr="002B4B97">
        <w:trPr>
          <w:trHeight w:val="378"/>
          <w:tblHeader/>
        </w:trPr>
        <w:tc>
          <w:tcPr>
            <w:tcW w:w="3708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color w:val="000000"/>
                <w:sz w:val="20"/>
                <w:szCs w:val="20"/>
              </w:rPr>
              <w:t>GIOTRIF</w:t>
            </w:r>
          </w:p>
          <w:p w:rsidR="002A1AED" w:rsidRPr="002D46BF" w:rsidRDefault="0001652F" w:rsidP="00163F7F">
            <w:pPr>
              <w:pStyle w:val="PLRTex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="002A1AED" w:rsidRPr="002D46BF">
              <w:rPr>
                <w:rFonts w:ascii="Arial" w:hAnsi="Arial" w:cs="Arial"/>
                <w:b/>
                <w:color w:val="000000"/>
                <w:sz w:val="20"/>
                <w:szCs w:val="20"/>
              </w:rPr>
              <w:t>=229</w:t>
            </w:r>
          </w:p>
        </w:tc>
        <w:tc>
          <w:tcPr>
            <w:tcW w:w="3330" w:type="dxa"/>
            <w:gridSpan w:val="3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D46BF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 w:rsidRPr="002D46BF">
              <w:rPr>
                <w:rFonts w:ascii="Arial" w:hAnsi="Arial" w:cs="Arial"/>
                <w:b/>
                <w:sz w:val="20"/>
                <w:szCs w:val="20"/>
                <w:lang w:bidi="ml-IN"/>
              </w:rPr>
              <w:t>emetrexed</w:t>
            </w:r>
            <w:proofErr w:type="spellEnd"/>
            <w:r w:rsidRPr="002D46BF">
              <w:rPr>
                <w:rFonts w:ascii="Arial" w:hAnsi="Arial" w:cs="Arial"/>
                <w:b/>
                <w:sz w:val="20"/>
                <w:szCs w:val="20"/>
                <w:lang w:bidi="ml-IN"/>
              </w:rPr>
              <w:t>/</w:t>
            </w:r>
            <w:proofErr w:type="spellStart"/>
            <w:r w:rsidRPr="002D46BF">
              <w:rPr>
                <w:rFonts w:ascii="Arial" w:hAnsi="Arial" w:cs="Arial"/>
                <w:b/>
                <w:sz w:val="20"/>
                <w:szCs w:val="20"/>
                <w:lang w:bidi="ml-IN"/>
              </w:rPr>
              <w:t>Cisplatin</w:t>
            </w:r>
            <w:proofErr w:type="spellEnd"/>
          </w:p>
          <w:p w:rsidR="002A1AED" w:rsidRPr="002D46BF" w:rsidRDefault="0001652F" w:rsidP="00163F7F">
            <w:pPr>
              <w:pStyle w:val="PLRTex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="002A1AED" w:rsidRPr="002D46BF">
              <w:rPr>
                <w:rFonts w:ascii="Arial" w:hAnsi="Arial" w:cs="Arial"/>
                <w:b/>
                <w:color w:val="000000"/>
                <w:sz w:val="20"/>
                <w:szCs w:val="20"/>
              </w:rPr>
              <w:t>=111</w:t>
            </w:r>
          </w:p>
        </w:tc>
      </w:tr>
      <w:tr w:rsidR="002A1AED" w:rsidRPr="002D46BF" w:rsidTr="002B4B97">
        <w:trPr>
          <w:trHeight w:val="378"/>
          <w:tblHeader/>
        </w:trPr>
        <w:tc>
          <w:tcPr>
            <w:tcW w:w="3708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 xml:space="preserve">Adverse </w:t>
            </w:r>
            <w:r w:rsidR="000057BC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All Grades</w:t>
            </w:r>
          </w:p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Grade 3</w:t>
            </w:r>
          </w:p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Grade 4</w:t>
            </w:r>
          </w:p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All Grades</w:t>
            </w:r>
          </w:p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Grade 3</w:t>
            </w:r>
          </w:p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Grade 4</w:t>
            </w:r>
          </w:p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</w:tr>
      <w:tr w:rsidR="002A1AED" w:rsidRPr="002D46BF" w:rsidTr="00163F7F">
        <w:tc>
          <w:tcPr>
            <w:tcW w:w="10278" w:type="dxa"/>
            <w:gridSpan w:val="7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Gastrointestinal disorders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2D46BF">
              <w:rPr>
                <w:rFonts w:ascii="Arial" w:hAnsi="Arial" w:cs="Arial"/>
                <w:sz w:val="20"/>
                <w:szCs w:val="20"/>
              </w:rPr>
              <w:t>Diarrhoea</w:t>
            </w:r>
            <w:proofErr w:type="spellEnd"/>
            <w:r w:rsidRPr="002D46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Stomatitis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Nausea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Vomiting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Constipation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2D46BF">
              <w:rPr>
                <w:rFonts w:ascii="Arial" w:hAnsi="Arial" w:cs="Arial"/>
                <w:sz w:val="20"/>
                <w:szCs w:val="20"/>
              </w:rPr>
              <w:t>Cheilitis</w:t>
            </w:r>
            <w:proofErr w:type="spellEnd"/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Skin and subcutaneous tissue disorders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lastRenderedPageBreak/>
              <w:t xml:space="preserve">     Rash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Dermatitis acneiform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Pruritus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Dry skin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Alopecia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Infections and infestations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Paronychia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2D46BF">
              <w:rPr>
                <w:rFonts w:ascii="Arial" w:hAnsi="Arial" w:cs="Arial"/>
                <w:sz w:val="20"/>
                <w:szCs w:val="20"/>
              </w:rPr>
              <w:t>Nasopharyngitis</w:t>
            </w:r>
            <w:proofErr w:type="spellEnd"/>
            <w:r w:rsidRPr="002D46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Cystitis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Upper respiratory tract infection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9B3AF5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Metabolism and nutrition disorders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Decreased appetite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Hypokalemia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General disorders and administration site conditions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Fatigue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Pyrexia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 xml:space="preserve">Respiratory, thoracic and </w:t>
            </w:r>
            <w:proofErr w:type="spellStart"/>
            <w:r w:rsidRPr="002D46BF">
              <w:rPr>
                <w:rFonts w:ascii="Arial" w:hAnsi="Arial" w:cs="Arial"/>
                <w:b/>
                <w:sz w:val="20"/>
                <w:szCs w:val="20"/>
              </w:rPr>
              <w:t>mediastinal</w:t>
            </w:r>
            <w:proofErr w:type="spellEnd"/>
            <w:r w:rsidRPr="002D46BF">
              <w:rPr>
                <w:rFonts w:ascii="Arial" w:hAnsi="Arial" w:cs="Arial"/>
                <w:b/>
                <w:sz w:val="20"/>
                <w:szCs w:val="20"/>
              </w:rPr>
              <w:t xml:space="preserve"> disorders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Epistaxis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Cough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Rhinorrhea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Investigations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Weight decreased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Alanine aminotransferase increased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2B4B97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Psychiatric disorders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2B4B97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2D46BF">
              <w:rPr>
                <w:rFonts w:ascii="Arial" w:hAnsi="Arial" w:cs="Arial"/>
                <w:sz w:val="20"/>
                <w:szCs w:val="20"/>
              </w:rPr>
              <w:t xml:space="preserve">Insomnia </w:t>
            </w:r>
          </w:p>
        </w:tc>
        <w:tc>
          <w:tcPr>
            <w:tcW w:w="1080" w:type="dxa"/>
          </w:tcPr>
          <w:p w:rsidR="002A1AED" w:rsidRPr="002D46BF" w:rsidRDefault="002A1AED" w:rsidP="002B4B97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2A1AED" w:rsidRPr="002D46BF" w:rsidRDefault="002A1AED" w:rsidP="002B4B97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2B4B97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2B4B97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2A1AED" w:rsidRPr="002D46BF" w:rsidRDefault="002A1AED" w:rsidP="002B4B97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2B4B97">
            <w:pPr>
              <w:pStyle w:val="PLRText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Nervous system disorder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Headache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 Dizziness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Musculoskeletal and connective tissue disorders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Back pain 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A1AED" w:rsidRPr="002D46BF" w:rsidTr="00163F7F">
        <w:tc>
          <w:tcPr>
            <w:tcW w:w="10278" w:type="dxa"/>
            <w:gridSpan w:val="7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b/>
                <w:sz w:val="20"/>
                <w:szCs w:val="20"/>
              </w:rPr>
            </w:pPr>
            <w:r w:rsidRPr="002D46BF">
              <w:rPr>
                <w:rFonts w:ascii="Arial" w:hAnsi="Arial" w:cs="Arial"/>
                <w:b/>
                <w:sz w:val="20"/>
                <w:szCs w:val="20"/>
              </w:rPr>
              <w:t>Eye disorders</w:t>
            </w:r>
          </w:p>
        </w:tc>
      </w:tr>
      <w:tr w:rsidR="002A1AED" w:rsidRPr="002D46BF" w:rsidTr="00163F7F">
        <w:tc>
          <w:tcPr>
            <w:tcW w:w="3708" w:type="dxa"/>
            <w:shd w:val="clear" w:color="auto" w:fill="auto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 xml:space="preserve">    Conjunctivitis</w:t>
            </w:r>
            <w:r w:rsidRPr="002D46BF">
              <w:rPr>
                <w:rFonts w:ascii="Arial" w:hAnsi="Arial" w:cs="Arial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A1AED" w:rsidRPr="002D46BF" w:rsidRDefault="002A1AED" w:rsidP="00163F7F">
            <w:pPr>
              <w:pStyle w:val="PLRText"/>
              <w:rPr>
                <w:rFonts w:ascii="Arial" w:hAnsi="Arial" w:cs="Arial"/>
                <w:sz w:val="20"/>
                <w:szCs w:val="20"/>
              </w:rPr>
            </w:pPr>
            <w:r w:rsidRPr="002D46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1</w:t>
      </w:r>
      <w:r w:rsidRPr="00EF6727">
        <w:rPr>
          <w:rFonts w:ascii="Arial" w:hAnsi="Arial" w:cs="Arial"/>
          <w:sz w:val="18"/>
          <w:szCs w:val="18"/>
        </w:rPr>
        <w:t xml:space="preserve">Includes stomatitis, </w:t>
      </w:r>
      <w:proofErr w:type="spellStart"/>
      <w:r w:rsidRPr="00EF6727">
        <w:rPr>
          <w:rFonts w:ascii="Arial" w:hAnsi="Arial" w:cs="Arial"/>
          <w:sz w:val="18"/>
          <w:szCs w:val="18"/>
        </w:rPr>
        <w:t>aphthous</w:t>
      </w:r>
      <w:proofErr w:type="spellEnd"/>
      <w:r w:rsidRPr="00EF6727">
        <w:rPr>
          <w:rFonts w:ascii="Arial" w:hAnsi="Arial" w:cs="Arial"/>
          <w:sz w:val="18"/>
          <w:szCs w:val="18"/>
        </w:rPr>
        <w:t xml:space="preserve"> stomatitis, mucosal inflammation, mouth ulceration, oral mucosa erosion, mucosal erosion, mucosal ulceration </w:t>
      </w:r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2</w:t>
      </w:r>
      <w:r w:rsidRPr="00EF6727">
        <w:rPr>
          <w:rFonts w:ascii="Arial" w:hAnsi="Arial" w:cs="Arial"/>
          <w:sz w:val="18"/>
          <w:szCs w:val="18"/>
        </w:rPr>
        <w:t>Includes group of rash preferred terms</w:t>
      </w:r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3</w:t>
      </w:r>
      <w:r w:rsidRPr="00EF6727">
        <w:rPr>
          <w:rFonts w:ascii="Arial" w:hAnsi="Arial" w:cs="Arial"/>
          <w:sz w:val="18"/>
          <w:szCs w:val="18"/>
        </w:rPr>
        <w:t xml:space="preserve">Includes acne, acne </w:t>
      </w:r>
      <w:proofErr w:type="spellStart"/>
      <w:r w:rsidRPr="00EF6727">
        <w:rPr>
          <w:rFonts w:ascii="Arial" w:hAnsi="Arial" w:cs="Arial"/>
          <w:sz w:val="18"/>
          <w:szCs w:val="18"/>
        </w:rPr>
        <w:t>pustular</w:t>
      </w:r>
      <w:proofErr w:type="spellEnd"/>
      <w:r w:rsidRPr="00EF6727">
        <w:rPr>
          <w:rFonts w:ascii="Arial" w:hAnsi="Arial" w:cs="Arial"/>
          <w:sz w:val="18"/>
          <w:szCs w:val="18"/>
        </w:rPr>
        <w:t xml:space="preserve">, dermatitis </w:t>
      </w:r>
      <w:proofErr w:type="spellStart"/>
      <w:r w:rsidRPr="00EF6727">
        <w:rPr>
          <w:rFonts w:ascii="Arial" w:hAnsi="Arial" w:cs="Arial"/>
          <w:sz w:val="18"/>
          <w:szCs w:val="18"/>
        </w:rPr>
        <w:t>acneiform</w:t>
      </w:r>
      <w:proofErr w:type="spellEnd"/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4</w:t>
      </w:r>
      <w:r w:rsidRPr="00EF6727">
        <w:rPr>
          <w:rFonts w:ascii="Arial" w:hAnsi="Arial" w:cs="Arial"/>
          <w:sz w:val="18"/>
          <w:szCs w:val="18"/>
        </w:rPr>
        <w:t>Includes pruritus, pruritus generalized</w:t>
      </w:r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lastRenderedPageBreak/>
        <w:t>5</w:t>
      </w:r>
      <w:r w:rsidRPr="00EF6727">
        <w:rPr>
          <w:rFonts w:ascii="Arial" w:hAnsi="Arial" w:cs="Arial"/>
          <w:sz w:val="18"/>
          <w:szCs w:val="18"/>
        </w:rPr>
        <w:t>Includes dry skin, skin chapped</w:t>
      </w:r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6</w:t>
      </w:r>
      <w:r w:rsidRPr="00EF6727">
        <w:rPr>
          <w:rFonts w:ascii="Arial" w:hAnsi="Arial" w:cs="Arial"/>
          <w:sz w:val="18"/>
          <w:szCs w:val="18"/>
        </w:rPr>
        <w:t>Includes paronychia, nail infection, nail bed infection</w:t>
      </w:r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7</w:t>
      </w:r>
      <w:r w:rsidRPr="00EF6727">
        <w:rPr>
          <w:rFonts w:ascii="Arial" w:hAnsi="Arial" w:cs="Arial"/>
          <w:sz w:val="18"/>
          <w:szCs w:val="18"/>
        </w:rPr>
        <w:t>Includes cystitis, urinary tract infection</w:t>
      </w:r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8</w:t>
      </w:r>
      <w:r w:rsidRPr="00EF6727">
        <w:rPr>
          <w:rFonts w:ascii="Arial" w:hAnsi="Arial" w:cs="Arial"/>
          <w:sz w:val="18"/>
          <w:szCs w:val="18"/>
        </w:rPr>
        <w:t>Includes hypokalemia, blood potassium decreased</w:t>
      </w:r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9</w:t>
      </w:r>
      <w:r w:rsidRPr="00EF6727">
        <w:rPr>
          <w:rFonts w:ascii="Arial" w:hAnsi="Arial" w:cs="Arial"/>
          <w:sz w:val="18"/>
          <w:szCs w:val="18"/>
        </w:rPr>
        <w:t>Includes rhinorrhea, nasal inflammation</w:t>
      </w:r>
    </w:p>
    <w:p w:rsidR="002A1AED" w:rsidRPr="00EF6727" w:rsidRDefault="002A1AED" w:rsidP="002A1AED">
      <w:pPr>
        <w:pStyle w:val="PLRText"/>
        <w:rPr>
          <w:rFonts w:ascii="Arial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10</w:t>
      </w:r>
      <w:r w:rsidRPr="00EF6727">
        <w:rPr>
          <w:rFonts w:ascii="Arial" w:hAnsi="Arial" w:cs="Arial"/>
          <w:sz w:val="18"/>
          <w:szCs w:val="18"/>
        </w:rPr>
        <w:t xml:space="preserve">Includes pyrexia, body temperature increased </w:t>
      </w:r>
    </w:p>
    <w:p w:rsidR="002A1AED" w:rsidRPr="00EF6727" w:rsidRDefault="002A1AED" w:rsidP="002A1AED">
      <w:pPr>
        <w:pStyle w:val="PLRText"/>
        <w:rPr>
          <w:rFonts w:ascii="Arial" w:eastAsia="MS Mincho" w:hAnsi="Arial" w:cs="Arial"/>
          <w:sz w:val="18"/>
          <w:szCs w:val="18"/>
        </w:rPr>
      </w:pPr>
      <w:r w:rsidRPr="00EF6727">
        <w:rPr>
          <w:rFonts w:ascii="Arial" w:hAnsi="Arial" w:cs="Arial"/>
          <w:sz w:val="18"/>
          <w:szCs w:val="18"/>
          <w:vertAlign w:val="superscript"/>
        </w:rPr>
        <w:t>11</w:t>
      </w:r>
      <w:r w:rsidRPr="00EF6727">
        <w:rPr>
          <w:rFonts w:ascii="Arial" w:hAnsi="Arial" w:cs="Arial"/>
          <w:sz w:val="18"/>
          <w:szCs w:val="18"/>
        </w:rPr>
        <w:t xml:space="preserve">Includes conjunctivitis, </w:t>
      </w:r>
      <w:proofErr w:type="spellStart"/>
      <w:r w:rsidRPr="00EF6727">
        <w:rPr>
          <w:rFonts w:ascii="Arial" w:hAnsi="Arial" w:cs="Arial"/>
          <w:sz w:val="18"/>
          <w:szCs w:val="18"/>
        </w:rPr>
        <w:t>conjunctival</w:t>
      </w:r>
      <w:proofErr w:type="spellEnd"/>
      <w:r w:rsidRPr="00EF6727">
        <w:rPr>
          <w:rFonts w:ascii="Arial" w:hAnsi="Arial" w:cs="Arial"/>
          <w:sz w:val="18"/>
          <w:szCs w:val="18"/>
        </w:rPr>
        <w:t xml:space="preserve"> irritation, </w:t>
      </w:r>
      <w:proofErr w:type="spellStart"/>
      <w:r w:rsidRPr="00EF6727">
        <w:rPr>
          <w:rFonts w:ascii="Arial" w:hAnsi="Arial" w:cs="Arial"/>
          <w:sz w:val="18"/>
          <w:szCs w:val="18"/>
        </w:rPr>
        <w:t>conjunctival</w:t>
      </w:r>
      <w:proofErr w:type="spellEnd"/>
      <w:r w:rsidRPr="00EF6727">
        <w:rPr>
          <w:rFonts w:ascii="Arial" w:hAnsi="Arial" w:cs="Arial"/>
          <w:sz w:val="18"/>
          <w:szCs w:val="18"/>
        </w:rPr>
        <w:t xml:space="preserve"> hyperemia</w:t>
      </w:r>
    </w:p>
    <w:p w:rsidR="007331F1" w:rsidRPr="007331F1" w:rsidRDefault="007331F1" w:rsidP="007331F1">
      <w:pPr>
        <w:pStyle w:val="TextPI"/>
        <w:rPr>
          <w:lang w:bidi="ml-IN"/>
        </w:rPr>
      </w:pPr>
      <w:r w:rsidRPr="007D47FC">
        <w:rPr>
          <w:lang w:bidi="ml-IN"/>
        </w:rPr>
        <w:t xml:space="preserve">Liver function test abnormalities (including elevated alanine aminotransferase [ALT] and aspartate aminotransferase [AST]) were observed in patients receiving </w:t>
      </w:r>
      <w:r w:rsidR="007B26AF">
        <w:t>GIOTRIF</w:t>
      </w:r>
      <w:r w:rsidRPr="00A470B0">
        <w:rPr>
          <w:lang w:bidi="ml-IN"/>
        </w:rPr>
        <w:t xml:space="preserve"> </w:t>
      </w:r>
      <w:r w:rsidRPr="007D47FC">
        <w:rPr>
          <w:lang w:bidi="ml-IN"/>
        </w:rPr>
        <w:t>40 mg. These elevations were mainly transient and did not lead to discontinuation</w:t>
      </w:r>
      <w:r>
        <w:rPr>
          <w:lang w:bidi="ml-IN"/>
        </w:rPr>
        <w:t xml:space="preserve"> of treatment</w:t>
      </w:r>
      <w:r w:rsidRPr="007D47FC">
        <w:rPr>
          <w:lang w:bidi="ml-IN"/>
        </w:rPr>
        <w:t xml:space="preserve">. </w:t>
      </w:r>
      <w:r w:rsidR="00FB1580">
        <w:rPr>
          <w:lang w:bidi="ml-IN"/>
        </w:rPr>
        <w:t xml:space="preserve"> </w:t>
      </w:r>
      <w:r w:rsidRPr="007D47FC">
        <w:rPr>
          <w:lang w:bidi="ml-IN"/>
        </w:rPr>
        <w:t>Grade</w:t>
      </w:r>
      <w:r w:rsidR="00A54AF7">
        <w:rPr>
          <w:lang w:bidi="ml-IN"/>
        </w:rPr>
        <w:t> </w:t>
      </w:r>
      <w:r w:rsidRPr="007D47FC">
        <w:rPr>
          <w:lang w:bidi="ml-IN"/>
        </w:rPr>
        <w:t>2 (&gt;</w:t>
      </w:r>
      <w:r w:rsidR="00FB1580">
        <w:rPr>
          <w:lang w:bidi="ml-IN"/>
        </w:rPr>
        <w:t xml:space="preserve"> </w:t>
      </w:r>
      <w:r w:rsidRPr="007D47FC">
        <w:rPr>
          <w:lang w:bidi="ml-IN"/>
        </w:rPr>
        <w:t xml:space="preserve">2.5 </w:t>
      </w:r>
      <w:r>
        <w:rPr>
          <w:lang w:bidi="ml-IN"/>
        </w:rPr>
        <w:t>to</w:t>
      </w:r>
      <w:r w:rsidRPr="007D47FC">
        <w:rPr>
          <w:lang w:bidi="ml-IN"/>
        </w:rPr>
        <w:t xml:space="preserve"> 5.0 times ULN</w:t>
      </w:r>
      <w:r>
        <w:rPr>
          <w:lang w:bidi="ml-IN"/>
        </w:rPr>
        <w:t xml:space="preserve"> [upper limit of normal]</w:t>
      </w:r>
      <w:r w:rsidRPr="007D47FC">
        <w:rPr>
          <w:lang w:bidi="ml-IN"/>
        </w:rPr>
        <w:t xml:space="preserve">) ALT elevations occurred in 7.9% and 3.6% of patients treated with </w:t>
      </w:r>
      <w:r w:rsidR="007B26AF">
        <w:t>GIOTRIF</w:t>
      </w:r>
      <w:r w:rsidRPr="00A470B0">
        <w:rPr>
          <w:lang w:bidi="ml-IN"/>
        </w:rPr>
        <w:t xml:space="preserve"> </w:t>
      </w:r>
      <w:r w:rsidRPr="007D47FC">
        <w:rPr>
          <w:lang w:bidi="ml-IN"/>
        </w:rPr>
        <w:t>or chemothe</w:t>
      </w:r>
      <w:r>
        <w:rPr>
          <w:lang w:bidi="ml-IN"/>
        </w:rPr>
        <w:t xml:space="preserve">rapy, respectively. </w:t>
      </w:r>
      <w:r w:rsidR="00FB1580">
        <w:rPr>
          <w:lang w:bidi="ml-IN"/>
        </w:rPr>
        <w:t xml:space="preserve"> </w:t>
      </w:r>
      <w:r w:rsidRPr="007D47FC">
        <w:rPr>
          <w:lang w:bidi="ml-IN"/>
        </w:rPr>
        <w:t>Grade 3 (&gt;</w:t>
      </w:r>
      <w:r w:rsidR="00FB1580">
        <w:rPr>
          <w:lang w:bidi="ml-IN"/>
        </w:rPr>
        <w:t xml:space="preserve"> </w:t>
      </w:r>
      <w:r w:rsidRPr="007D47FC">
        <w:rPr>
          <w:lang w:bidi="ml-IN"/>
        </w:rPr>
        <w:t xml:space="preserve">5.0 </w:t>
      </w:r>
      <w:r>
        <w:rPr>
          <w:lang w:bidi="ml-IN"/>
        </w:rPr>
        <w:t>to</w:t>
      </w:r>
      <w:r w:rsidRPr="007D47FC">
        <w:rPr>
          <w:lang w:bidi="ml-IN"/>
        </w:rPr>
        <w:t xml:space="preserve"> 20.0 times ULN) elevations occurred in 3.5% and 1.8% of patients treated with </w:t>
      </w:r>
      <w:r w:rsidR="007B26AF">
        <w:t>GIOTRIF</w:t>
      </w:r>
      <w:r w:rsidRPr="00A470B0">
        <w:rPr>
          <w:lang w:bidi="ml-IN"/>
        </w:rPr>
        <w:t xml:space="preserve"> </w:t>
      </w:r>
      <w:r w:rsidRPr="007D47FC">
        <w:rPr>
          <w:lang w:bidi="ml-IN"/>
        </w:rPr>
        <w:t xml:space="preserve">or chemotherapy, respectively </w:t>
      </w:r>
      <w:r w:rsidRPr="007331F1">
        <w:rPr>
          <w:lang w:bidi="ml-IN"/>
        </w:rPr>
        <w:t xml:space="preserve">(see </w:t>
      </w:r>
      <w:r w:rsidRPr="00875A94">
        <w:rPr>
          <w:caps/>
          <w:lang w:bidi="ml-IN"/>
        </w:rPr>
        <w:t>Precautions</w:t>
      </w:r>
      <w:r w:rsidRPr="007331F1">
        <w:rPr>
          <w:lang w:bidi="ml-IN"/>
        </w:rPr>
        <w:t>).</w:t>
      </w:r>
    </w:p>
    <w:p w:rsidR="00520FF6" w:rsidRPr="00A470B0" w:rsidRDefault="00520FF6" w:rsidP="00520FF6">
      <w:pPr>
        <w:pStyle w:val="TextPI"/>
      </w:pPr>
      <w:r w:rsidRPr="00A470B0">
        <w:t xml:space="preserve">The safety of </w:t>
      </w:r>
      <w:r w:rsidR="007B26AF">
        <w:t>GIOTRIF</w:t>
      </w:r>
      <w:r w:rsidRPr="00A470B0">
        <w:t xml:space="preserve"> </w:t>
      </w:r>
      <w:proofErr w:type="spellStart"/>
      <w:r w:rsidRPr="00A470B0">
        <w:t>mono</w:t>
      </w:r>
      <w:r>
        <w:t>therapy</w:t>
      </w:r>
      <w:proofErr w:type="spellEnd"/>
      <w:r>
        <w:t xml:space="preserve"> at starting doses of 40 mg or 50 </w:t>
      </w:r>
      <w:r w:rsidRPr="00A470B0">
        <w:t xml:space="preserve">mg once daily was assessed in pooled analyses of patients in </w:t>
      </w:r>
      <w:r w:rsidR="008871D2">
        <w:t xml:space="preserve">all </w:t>
      </w:r>
      <w:r w:rsidRPr="00A470B0">
        <w:t xml:space="preserve">NSCLC </w:t>
      </w:r>
      <w:r>
        <w:t>trials</w:t>
      </w:r>
      <w:r w:rsidRPr="00A470B0">
        <w:t xml:space="preserve">. </w:t>
      </w:r>
      <w:r w:rsidR="00FB1580">
        <w:t xml:space="preserve"> </w:t>
      </w:r>
      <w:r w:rsidRPr="00A470B0">
        <w:rPr>
          <w:lang w:bidi="ml-IN"/>
        </w:rPr>
        <w:t xml:space="preserve">In general, the types of ADRs </w:t>
      </w:r>
      <w:r>
        <w:rPr>
          <w:lang w:bidi="ml-IN"/>
        </w:rPr>
        <w:t>were</w:t>
      </w:r>
      <w:r w:rsidRPr="00A470B0">
        <w:rPr>
          <w:lang w:bidi="ml-IN"/>
        </w:rPr>
        <w:t xml:space="preserve"> </w:t>
      </w:r>
      <w:r w:rsidRPr="00A470B0">
        <w:t xml:space="preserve">generally associated with the EGFR inhibitory mode of action of </w:t>
      </w:r>
      <w:proofErr w:type="spellStart"/>
      <w:r w:rsidRPr="00A470B0">
        <w:t>afatinib</w:t>
      </w:r>
      <w:proofErr w:type="spellEnd"/>
      <w:r w:rsidRPr="00A470B0">
        <w:t>.</w:t>
      </w:r>
      <w:r w:rsidRPr="00A470B0">
        <w:rPr>
          <w:lang w:bidi="ml-IN"/>
        </w:rPr>
        <w:t xml:space="preserve"> </w:t>
      </w:r>
      <w:r w:rsidR="00D77A24">
        <w:rPr>
          <w:lang w:bidi="ml-IN"/>
        </w:rPr>
        <w:t xml:space="preserve"> </w:t>
      </w:r>
      <w:r w:rsidRPr="00A470B0">
        <w:rPr>
          <w:lang w:bidi="ml-IN"/>
        </w:rPr>
        <w:t>The ADR profile from the pooled ana</w:t>
      </w:r>
      <w:r>
        <w:rPr>
          <w:lang w:bidi="ml-IN"/>
        </w:rPr>
        <w:t xml:space="preserve">lysis in </w:t>
      </w:r>
      <w:r w:rsidR="0065282C">
        <w:rPr>
          <w:lang w:bidi="ml-IN"/>
        </w:rPr>
        <w:t xml:space="preserve">NSCLC </w:t>
      </w:r>
      <w:r>
        <w:rPr>
          <w:lang w:bidi="ml-IN"/>
        </w:rPr>
        <w:t>patients exposed to 40 </w:t>
      </w:r>
      <w:r w:rsidRPr="00A470B0">
        <w:rPr>
          <w:lang w:bidi="ml-IN"/>
        </w:rPr>
        <w:t xml:space="preserve">mg </w:t>
      </w:r>
      <w:r w:rsidR="007B26AF">
        <w:t>GIOTRIF</w:t>
      </w:r>
      <w:r w:rsidRPr="00A470B0">
        <w:rPr>
          <w:lang w:bidi="ml-IN"/>
        </w:rPr>
        <w:t xml:space="preserve"> once daily </w:t>
      </w:r>
      <w:r>
        <w:rPr>
          <w:lang w:bidi="ml-IN"/>
        </w:rPr>
        <w:t>was</w:t>
      </w:r>
      <w:r w:rsidRPr="00A470B0">
        <w:rPr>
          <w:lang w:bidi="ml-IN"/>
        </w:rPr>
        <w:t xml:space="preserve"> c</w:t>
      </w:r>
      <w:r>
        <w:rPr>
          <w:lang w:bidi="ml-IN"/>
        </w:rPr>
        <w:t xml:space="preserve">onsistent with </w:t>
      </w:r>
      <w:r w:rsidR="008871D2">
        <w:rPr>
          <w:lang w:bidi="ml-IN"/>
        </w:rPr>
        <w:t xml:space="preserve">the </w:t>
      </w:r>
      <w:r>
        <w:rPr>
          <w:lang w:bidi="ml-IN"/>
        </w:rPr>
        <w:t xml:space="preserve">LUX-Lung 3 </w:t>
      </w:r>
      <w:r w:rsidR="008871D2">
        <w:rPr>
          <w:lang w:bidi="ml-IN"/>
        </w:rPr>
        <w:t>trial</w:t>
      </w:r>
      <w:r w:rsidRPr="00462478">
        <w:t xml:space="preserve">. </w:t>
      </w:r>
      <w:r w:rsidR="00D77A24" w:rsidRPr="00462478">
        <w:t xml:space="preserve"> </w:t>
      </w:r>
      <w:r w:rsidRPr="00462478">
        <w:t>CTCAE</w:t>
      </w:r>
      <w:r w:rsidRPr="00A470B0">
        <w:t xml:space="preserve"> Grade 1 or 2 ADRs occurred in 58.8% of patients treated with </w:t>
      </w:r>
      <w:r w:rsidR="007B26AF">
        <w:t>GIOTRIF</w:t>
      </w:r>
      <w:r>
        <w:t xml:space="preserve"> 40 </w:t>
      </w:r>
      <w:r w:rsidRPr="00A470B0">
        <w:t>mg</w:t>
      </w:r>
      <w:r>
        <w:t>.</w:t>
      </w:r>
      <w:r w:rsidRPr="00A470B0">
        <w:t xml:space="preserve"> </w:t>
      </w:r>
      <w:r w:rsidR="00D77A24">
        <w:t xml:space="preserve"> </w:t>
      </w:r>
      <w:r w:rsidR="008871D2">
        <w:t>T</w:t>
      </w:r>
      <w:r w:rsidRPr="00A470B0">
        <w:t xml:space="preserve">he majority of ADRs were of CTCAE </w:t>
      </w:r>
      <w:r>
        <w:t>G</w:t>
      </w:r>
      <w:r w:rsidRPr="00A470B0">
        <w:t xml:space="preserve">rade 1 or 2 and manageable as described in sections </w:t>
      </w:r>
      <w:r w:rsidR="00DA3792">
        <w:t>DOSAGE AND ADMINISTRATION</w:t>
      </w:r>
      <w:r w:rsidR="003A2CD9">
        <w:t>,</w:t>
      </w:r>
      <w:r w:rsidRPr="00A470B0">
        <w:t xml:space="preserve"> and </w:t>
      </w:r>
      <w:r w:rsidR="003A2CD9">
        <w:t>PRECAUTIONS</w:t>
      </w:r>
      <w:r>
        <w:t>.</w:t>
      </w:r>
      <w:r w:rsidRPr="00A470B0">
        <w:t xml:space="preserve"> </w:t>
      </w:r>
      <w:r w:rsidR="00D77A24">
        <w:t xml:space="preserve"> </w:t>
      </w:r>
      <w:r w:rsidRPr="00A470B0">
        <w:t xml:space="preserve">CTCAE Grade 3 or 4 ADRs occurred in 38% of patients treated with </w:t>
      </w:r>
      <w:r w:rsidR="007B26AF">
        <w:t>GIOTRIF</w:t>
      </w:r>
      <w:r>
        <w:t xml:space="preserve"> 40 mg</w:t>
      </w:r>
      <w:r w:rsidRPr="00A470B0">
        <w:t xml:space="preserve">. </w:t>
      </w:r>
      <w:r w:rsidR="00D77A24">
        <w:t xml:space="preserve"> </w:t>
      </w:r>
      <w:r>
        <w:t>CTCAE Grade </w:t>
      </w:r>
      <w:r w:rsidRPr="00A470B0">
        <w:t>3 ADRs were also manag</w:t>
      </w:r>
      <w:r>
        <w:t xml:space="preserve">eable as described in sections </w:t>
      </w:r>
      <w:r w:rsidR="003A2CD9">
        <w:t>DOSAGE AND ADMINISTRATION</w:t>
      </w:r>
      <w:r w:rsidR="00050E7B">
        <w:t>,</w:t>
      </w:r>
      <w:r w:rsidR="003A2CD9" w:rsidRPr="00A470B0">
        <w:t xml:space="preserve"> and </w:t>
      </w:r>
      <w:r w:rsidR="003A2CD9">
        <w:t xml:space="preserve">PRECAUTIONS, </w:t>
      </w:r>
      <w:r w:rsidRPr="00A470B0">
        <w:t xml:space="preserve">which was reflected in </w:t>
      </w:r>
      <w:r w:rsidR="00050E7B">
        <w:t xml:space="preserve">the </w:t>
      </w:r>
      <w:r w:rsidRPr="00A470B0">
        <w:t>low treatment discontinuation rate</w:t>
      </w:r>
      <w:r w:rsidR="0065282C">
        <w:t xml:space="preserve"> of 7%</w:t>
      </w:r>
      <w:r w:rsidRPr="00A470B0">
        <w:t xml:space="preserve"> due to ADRs.</w:t>
      </w:r>
    </w:p>
    <w:p w:rsidR="00520FF6" w:rsidRPr="00A470B0" w:rsidRDefault="00520FF6" w:rsidP="00520FF6">
      <w:pPr>
        <w:pStyle w:val="TextPI"/>
        <w:rPr>
          <w:lang w:bidi="ml-IN"/>
        </w:rPr>
      </w:pPr>
      <w:r w:rsidRPr="00A470B0">
        <w:t xml:space="preserve">A summary of common ADRs of </w:t>
      </w:r>
      <w:proofErr w:type="spellStart"/>
      <w:r w:rsidRPr="00A470B0">
        <w:t>diarrhoea</w:t>
      </w:r>
      <w:proofErr w:type="spellEnd"/>
      <w:r w:rsidRPr="00A470B0">
        <w:t xml:space="preserve"> and rash/acne in all patients receiving </w:t>
      </w:r>
      <w:r w:rsidR="003B664C">
        <w:t xml:space="preserve">40 mg/day </w:t>
      </w:r>
      <w:r w:rsidR="007B26AF">
        <w:t>GIOTRIF</w:t>
      </w:r>
      <w:r w:rsidRPr="00A470B0">
        <w:t xml:space="preserve"> </w:t>
      </w:r>
      <w:proofErr w:type="spellStart"/>
      <w:r w:rsidRPr="00A470B0">
        <w:t>monotherapy</w:t>
      </w:r>
      <w:proofErr w:type="spellEnd"/>
      <w:r w:rsidRPr="00A470B0">
        <w:t xml:space="preserve"> in NSC</w:t>
      </w:r>
      <w:r>
        <w:t>LC studies is provided in Table </w:t>
      </w:r>
      <w:r w:rsidR="008871D2">
        <w:t>3</w:t>
      </w:r>
      <w:r w:rsidRPr="00A470B0">
        <w:t>.</w:t>
      </w:r>
    </w:p>
    <w:p w:rsidR="00520FF6" w:rsidRPr="00FB1580" w:rsidRDefault="00520FF6" w:rsidP="00444D8B">
      <w:pPr>
        <w:pStyle w:val="TextPI"/>
        <w:keepNext/>
        <w:keepLines/>
        <w:tabs>
          <w:tab w:val="left" w:pos="1134"/>
        </w:tabs>
        <w:spacing w:before="240"/>
        <w:ind w:left="1134" w:hanging="1134"/>
        <w:jc w:val="left"/>
        <w:rPr>
          <w:b/>
        </w:rPr>
      </w:pPr>
      <w:r w:rsidRPr="00FB1580">
        <w:rPr>
          <w:b/>
        </w:rPr>
        <w:t xml:space="preserve">Table </w:t>
      </w:r>
      <w:r w:rsidR="008871D2">
        <w:rPr>
          <w:b/>
        </w:rPr>
        <w:t>3</w:t>
      </w:r>
      <w:r w:rsidRPr="00FB1580">
        <w:rPr>
          <w:b/>
        </w:rPr>
        <w:t xml:space="preserve">: </w:t>
      </w:r>
      <w:r w:rsidR="00FB1580">
        <w:rPr>
          <w:b/>
        </w:rPr>
        <w:tab/>
      </w:r>
      <w:r w:rsidRPr="00FB1580">
        <w:rPr>
          <w:b/>
        </w:rPr>
        <w:t xml:space="preserve">Pooled analyses of drug related </w:t>
      </w:r>
      <w:proofErr w:type="spellStart"/>
      <w:r w:rsidRPr="00FB1580">
        <w:rPr>
          <w:b/>
        </w:rPr>
        <w:t>diarrhoea</w:t>
      </w:r>
      <w:proofErr w:type="spellEnd"/>
      <w:r w:rsidRPr="00FB1580">
        <w:rPr>
          <w:b/>
        </w:rPr>
        <w:t xml:space="preserve"> and rash/acne </w:t>
      </w:r>
      <w:bookmarkStart w:id="3" w:name="OLE_LINK1"/>
      <w:r w:rsidRPr="00FB1580">
        <w:rPr>
          <w:b/>
        </w:rPr>
        <w:t>in all patients receiving</w:t>
      </w:r>
      <w:r w:rsidR="003B664C">
        <w:rPr>
          <w:b/>
        </w:rPr>
        <w:t xml:space="preserve"> 40 mg/day</w:t>
      </w:r>
      <w:r w:rsidRPr="00FB1580">
        <w:rPr>
          <w:b/>
        </w:rPr>
        <w:t xml:space="preserve"> </w:t>
      </w:r>
      <w:r w:rsidR="007B26AF">
        <w:rPr>
          <w:b/>
        </w:rPr>
        <w:t>GIOTRIF</w:t>
      </w:r>
      <w:r w:rsidR="00FB1580">
        <w:rPr>
          <w:b/>
        </w:rPr>
        <w:t xml:space="preserve"> </w:t>
      </w:r>
      <w:proofErr w:type="spellStart"/>
      <w:r w:rsidRPr="00FB1580">
        <w:rPr>
          <w:b/>
        </w:rPr>
        <w:t>monotherapy</w:t>
      </w:r>
      <w:proofErr w:type="spellEnd"/>
      <w:r w:rsidRPr="00FB1580">
        <w:rPr>
          <w:b/>
        </w:rPr>
        <w:t xml:space="preserve"> in NSCLC studies</w:t>
      </w:r>
      <w:bookmarkEnd w:id="3"/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</w:tblGrid>
      <w:tr w:rsidR="00941314" w:rsidRPr="00EF6727" w:rsidTr="00941314">
        <w:tc>
          <w:tcPr>
            <w:tcW w:w="5070" w:type="dxa"/>
          </w:tcPr>
          <w:p w:rsidR="00941314" w:rsidRPr="00EF6727" w:rsidRDefault="00941314" w:rsidP="00444D8B">
            <w:pPr>
              <w:pStyle w:val="TextPItable"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314" w:rsidRPr="00EF6727" w:rsidRDefault="00941314" w:rsidP="00444D8B">
            <w:pPr>
              <w:pStyle w:val="TextPItable"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EF6727">
              <w:rPr>
                <w:rFonts w:cs="Arial"/>
                <w:b/>
                <w:sz w:val="20"/>
                <w:szCs w:val="20"/>
              </w:rPr>
              <w:t>EGFR TKI-naïve</w:t>
            </w:r>
          </w:p>
          <w:p w:rsidR="00941314" w:rsidRPr="00EF6727" w:rsidRDefault="00941314" w:rsidP="00444D8B">
            <w:pPr>
              <w:pStyle w:val="TextPItable"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EF6727">
              <w:rPr>
                <w:rFonts w:cs="Arial"/>
                <w:b/>
                <w:sz w:val="20"/>
                <w:szCs w:val="20"/>
              </w:rPr>
              <w:t>(Starting dose 40 mg/day)</w:t>
            </w:r>
          </w:p>
          <w:p w:rsidR="00941314" w:rsidRPr="00EF6727" w:rsidRDefault="00941314" w:rsidP="00444D8B">
            <w:pPr>
              <w:pStyle w:val="TextPItable"/>
              <w:keepLines/>
              <w:jc w:val="center"/>
              <w:rPr>
                <w:rFonts w:cs="Arial"/>
                <w:sz w:val="20"/>
                <w:szCs w:val="20"/>
              </w:rPr>
            </w:pPr>
            <w:r w:rsidRPr="00EF6727">
              <w:rPr>
                <w:rFonts w:cs="Arial"/>
                <w:sz w:val="20"/>
                <w:szCs w:val="20"/>
              </w:rPr>
              <w:t>N=497</w:t>
            </w:r>
          </w:p>
        </w:tc>
      </w:tr>
      <w:tr w:rsidR="00941314" w:rsidRPr="00EF6727" w:rsidTr="00941314">
        <w:tc>
          <w:tcPr>
            <w:tcW w:w="5070" w:type="dxa"/>
          </w:tcPr>
          <w:p w:rsidR="00941314" w:rsidRPr="00EF6727" w:rsidRDefault="00941314" w:rsidP="00444D8B">
            <w:pPr>
              <w:pStyle w:val="TextPItable"/>
              <w:keepLines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F6727">
              <w:rPr>
                <w:rFonts w:cs="Arial"/>
                <w:b/>
                <w:sz w:val="20"/>
                <w:szCs w:val="20"/>
              </w:rPr>
              <w:t>CTCAE</w:t>
            </w:r>
            <w:r w:rsidRPr="00EF6727">
              <w:rPr>
                <w:rFonts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  <w:r w:rsidRPr="00EF6727">
              <w:rPr>
                <w:rFonts w:cs="Arial"/>
                <w:b/>
                <w:sz w:val="20"/>
                <w:szCs w:val="20"/>
              </w:rPr>
              <w:t xml:space="preserve"> Grade 3 rash/acne</w:t>
            </w:r>
          </w:p>
        </w:tc>
        <w:tc>
          <w:tcPr>
            <w:tcW w:w="2551" w:type="dxa"/>
          </w:tcPr>
          <w:p w:rsidR="00941314" w:rsidRPr="00EF6727" w:rsidRDefault="00941314" w:rsidP="00444D8B">
            <w:pPr>
              <w:pStyle w:val="TextPItable"/>
              <w:keepLines/>
              <w:jc w:val="center"/>
              <w:rPr>
                <w:rFonts w:cs="Arial"/>
                <w:sz w:val="20"/>
                <w:szCs w:val="20"/>
              </w:rPr>
            </w:pPr>
            <w:r w:rsidRPr="00EF6727">
              <w:rPr>
                <w:rFonts w:cs="Arial"/>
                <w:sz w:val="20"/>
                <w:szCs w:val="20"/>
              </w:rPr>
              <w:t>14.3%</w:t>
            </w:r>
          </w:p>
        </w:tc>
      </w:tr>
      <w:tr w:rsidR="00941314" w:rsidRPr="00EF6727" w:rsidTr="00941314">
        <w:tc>
          <w:tcPr>
            <w:tcW w:w="5070" w:type="dxa"/>
          </w:tcPr>
          <w:p w:rsidR="00941314" w:rsidRPr="00EF6727" w:rsidRDefault="00941314" w:rsidP="00444D8B">
            <w:pPr>
              <w:pStyle w:val="TextPItable"/>
              <w:keepLines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F6727">
              <w:rPr>
                <w:rFonts w:cs="Arial"/>
                <w:b/>
                <w:sz w:val="20"/>
                <w:szCs w:val="20"/>
              </w:rPr>
              <w:t>CTCAE</w:t>
            </w:r>
            <w:r w:rsidRPr="00EF6727">
              <w:rPr>
                <w:rFonts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  <w:r w:rsidRPr="00EF6727">
              <w:rPr>
                <w:rFonts w:cs="Arial"/>
                <w:b/>
                <w:sz w:val="20"/>
                <w:szCs w:val="20"/>
              </w:rPr>
              <w:t xml:space="preserve"> Grade 3 </w:t>
            </w:r>
            <w:proofErr w:type="spellStart"/>
            <w:r w:rsidRPr="00EF6727">
              <w:rPr>
                <w:rFonts w:cs="Arial"/>
                <w:b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2551" w:type="dxa"/>
          </w:tcPr>
          <w:p w:rsidR="00941314" w:rsidRPr="00EF6727" w:rsidRDefault="00941314" w:rsidP="00444D8B">
            <w:pPr>
              <w:pStyle w:val="TextPItable"/>
              <w:keepLines/>
              <w:jc w:val="center"/>
              <w:rPr>
                <w:rFonts w:cs="Arial"/>
                <w:sz w:val="20"/>
                <w:szCs w:val="20"/>
              </w:rPr>
            </w:pPr>
            <w:r w:rsidRPr="00EF6727">
              <w:rPr>
                <w:rFonts w:cs="Arial"/>
                <w:sz w:val="20"/>
                <w:szCs w:val="20"/>
              </w:rPr>
              <w:t>9.9%</w:t>
            </w:r>
          </w:p>
        </w:tc>
      </w:tr>
      <w:tr w:rsidR="00941314" w:rsidRPr="00EF6727" w:rsidTr="00941314">
        <w:tc>
          <w:tcPr>
            <w:tcW w:w="5070" w:type="dxa"/>
          </w:tcPr>
          <w:p w:rsidR="00941314" w:rsidRPr="00EF6727" w:rsidRDefault="00941314" w:rsidP="00444D8B">
            <w:pPr>
              <w:pStyle w:val="TextPItable"/>
              <w:keepNext/>
              <w:keepLines/>
              <w:jc w:val="left"/>
              <w:rPr>
                <w:rFonts w:cs="Arial"/>
                <w:b/>
                <w:sz w:val="20"/>
                <w:szCs w:val="20"/>
              </w:rPr>
            </w:pPr>
            <w:r w:rsidRPr="00EF6727">
              <w:rPr>
                <w:rFonts w:cs="Arial"/>
                <w:b/>
                <w:sz w:val="20"/>
                <w:szCs w:val="20"/>
              </w:rPr>
              <w:t>Discontinuation due to rash/acne (all Grades)</w:t>
            </w:r>
          </w:p>
        </w:tc>
        <w:tc>
          <w:tcPr>
            <w:tcW w:w="2551" w:type="dxa"/>
          </w:tcPr>
          <w:p w:rsidR="00941314" w:rsidRPr="00EF6727" w:rsidRDefault="00941314" w:rsidP="00444D8B">
            <w:pPr>
              <w:pStyle w:val="TextPItable"/>
              <w:keepLines/>
              <w:jc w:val="center"/>
              <w:rPr>
                <w:rFonts w:cs="Arial"/>
                <w:sz w:val="20"/>
                <w:szCs w:val="20"/>
              </w:rPr>
            </w:pPr>
            <w:r w:rsidRPr="00EF6727">
              <w:rPr>
                <w:rFonts w:cs="Arial"/>
                <w:sz w:val="20"/>
                <w:szCs w:val="20"/>
              </w:rPr>
              <w:t>1.2%</w:t>
            </w:r>
          </w:p>
        </w:tc>
      </w:tr>
      <w:tr w:rsidR="00941314" w:rsidRPr="00EF6727" w:rsidTr="00941314">
        <w:tc>
          <w:tcPr>
            <w:tcW w:w="5070" w:type="dxa"/>
          </w:tcPr>
          <w:p w:rsidR="00941314" w:rsidRPr="00EF6727" w:rsidRDefault="00941314" w:rsidP="00444D8B">
            <w:pPr>
              <w:pStyle w:val="TextPItable"/>
              <w:keepLines/>
              <w:jc w:val="left"/>
              <w:rPr>
                <w:rFonts w:cs="Arial"/>
                <w:b/>
                <w:sz w:val="20"/>
                <w:szCs w:val="20"/>
              </w:rPr>
            </w:pPr>
            <w:r w:rsidRPr="00EF6727">
              <w:rPr>
                <w:rFonts w:cs="Arial"/>
                <w:b/>
                <w:sz w:val="20"/>
                <w:szCs w:val="20"/>
              </w:rPr>
              <w:t xml:space="preserve">Discontinuation due to </w:t>
            </w:r>
            <w:proofErr w:type="spellStart"/>
            <w:r w:rsidRPr="00EF6727">
              <w:rPr>
                <w:rFonts w:cs="Arial"/>
                <w:b/>
                <w:sz w:val="20"/>
                <w:szCs w:val="20"/>
              </w:rPr>
              <w:t>diarrhoea</w:t>
            </w:r>
            <w:proofErr w:type="spellEnd"/>
            <w:r w:rsidRPr="00EF6727">
              <w:rPr>
                <w:rFonts w:cs="Arial"/>
                <w:b/>
                <w:sz w:val="20"/>
                <w:szCs w:val="20"/>
              </w:rPr>
              <w:t xml:space="preserve"> (all Grades)</w:t>
            </w:r>
          </w:p>
        </w:tc>
        <w:tc>
          <w:tcPr>
            <w:tcW w:w="2551" w:type="dxa"/>
          </w:tcPr>
          <w:p w:rsidR="00941314" w:rsidRPr="00EF6727" w:rsidRDefault="00941314" w:rsidP="00444D8B">
            <w:pPr>
              <w:pStyle w:val="TextPItable"/>
              <w:keepLines/>
              <w:jc w:val="center"/>
              <w:rPr>
                <w:rFonts w:cs="Arial"/>
                <w:sz w:val="20"/>
                <w:szCs w:val="20"/>
              </w:rPr>
            </w:pPr>
            <w:r w:rsidRPr="00EF6727">
              <w:rPr>
                <w:rFonts w:cs="Arial"/>
                <w:sz w:val="20"/>
                <w:szCs w:val="20"/>
              </w:rPr>
              <w:t>0.6%</w:t>
            </w:r>
          </w:p>
        </w:tc>
      </w:tr>
    </w:tbl>
    <w:p w:rsidR="00556D82" w:rsidRPr="00EF6727" w:rsidRDefault="00556D82" w:rsidP="00444D8B">
      <w:pPr>
        <w:keepLines/>
        <w:tabs>
          <w:tab w:val="left" w:pos="1930"/>
        </w:tabs>
        <w:spacing w:before="60"/>
        <w:rPr>
          <w:rFonts w:ascii="Arial" w:hAnsi="Arial" w:cs="Arial"/>
          <w:sz w:val="18"/>
          <w:szCs w:val="18"/>
          <w:vertAlign w:val="superscript"/>
          <w:lang w:eastAsia="en-GB"/>
        </w:rPr>
      </w:pPr>
      <w:proofErr w:type="gramStart"/>
      <w:r w:rsidRPr="00EF6727">
        <w:rPr>
          <w:rFonts w:ascii="Arial" w:hAnsi="Arial" w:cs="Arial"/>
          <w:sz w:val="18"/>
          <w:szCs w:val="18"/>
          <w:vertAlign w:val="superscript"/>
          <w:lang w:eastAsia="en-GB"/>
        </w:rPr>
        <w:t>a</w:t>
      </w:r>
      <w:proofErr w:type="gramEnd"/>
      <w:r w:rsidRPr="00EF6727">
        <w:rPr>
          <w:rFonts w:ascii="Arial" w:hAnsi="Arial" w:cs="Arial"/>
          <w:sz w:val="18"/>
          <w:szCs w:val="18"/>
          <w:vertAlign w:val="superscript"/>
          <w:lang w:eastAsia="en-GB"/>
        </w:rPr>
        <w:t xml:space="preserve"> </w:t>
      </w:r>
      <w:r w:rsidRPr="00EF6727">
        <w:rPr>
          <w:rFonts w:ascii="Arial" w:hAnsi="Arial" w:cs="Arial"/>
          <w:sz w:val="18"/>
          <w:szCs w:val="18"/>
          <w:lang w:eastAsia="en-GB"/>
        </w:rPr>
        <w:t>NCI Common Terminology Criteria for Adverse Events v 3.0</w:t>
      </w:r>
    </w:p>
    <w:p w:rsidR="00520FF6" w:rsidRPr="00A470B0" w:rsidRDefault="008029C2" w:rsidP="000C1FAF">
      <w:pPr>
        <w:pStyle w:val="TextPI"/>
      </w:pPr>
      <w:r>
        <w:t>One</w:t>
      </w:r>
      <w:r w:rsidR="00941314">
        <w:t xml:space="preserve"> </w:t>
      </w:r>
      <w:r w:rsidR="00520FF6" w:rsidRPr="00A470B0">
        <w:t>p</w:t>
      </w:r>
      <w:r w:rsidR="00520FF6">
        <w:t>atient (0.</w:t>
      </w:r>
      <w:r w:rsidR="00B92AC9">
        <w:t>2</w:t>
      </w:r>
      <w:r w:rsidR="00520FF6">
        <w:t xml:space="preserve">%) </w:t>
      </w:r>
      <w:r>
        <w:t xml:space="preserve">receiving a 40 mg starting dose </w:t>
      </w:r>
      <w:r w:rsidR="00520FF6">
        <w:t>experienced Grade </w:t>
      </w:r>
      <w:proofErr w:type="gramStart"/>
      <w:r w:rsidR="00520FF6">
        <w:t>4 rash</w:t>
      </w:r>
      <w:r w:rsidR="00941314">
        <w:t>/acne</w:t>
      </w:r>
      <w:proofErr w:type="gramEnd"/>
      <w:r w:rsidR="00941314">
        <w:t>.</w:t>
      </w:r>
    </w:p>
    <w:p w:rsidR="00941314" w:rsidRDefault="00941314" w:rsidP="00444D8B">
      <w:pPr>
        <w:pStyle w:val="TextPI"/>
      </w:pPr>
    </w:p>
    <w:p w:rsidR="00CD1B5B" w:rsidRDefault="005F6A87" w:rsidP="00444D8B">
      <w:pPr>
        <w:pStyle w:val="TextPI"/>
      </w:pPr>
      <w:r>
        <w:t>The ADRs</w:t>
      </w:r>
      <w:r w:rsidR="00463269">
        <w:t xml:space="preserve"> </w:t>
      </w:r>
      <w:r>
        <w:t xml:space="preserve">pooled </w:t>
      </w:r>
      <w:r w:rsidR="00463269">
        <w:t xml:space="preserve">from all NSCLC trials with daily </w:t>
      </w:r>
      <w:r w:rsidR="007B26AF">
        <w:t>GIOTRIF</w:t>
      </w:r>
      <w:r>
        <w:t xml:space="preserve"> </w:t>
      </w:r>
      <w:r w:rsidR="00463269">
        <w:t xml:space="preserve">doses </w:t>
      </w:r>
      <w:r>
        <w:t xml:space="preserve">as </w:t>
      </w:r>
      <w:proofErr w:type="spellStart"/>
      <w:r>
        <w:t>monotherapy</w:t>
      </w:r>
      <w:proofErr w:type="spellEnd"/>
      <w:r>
        <w:t xml:space="preserve"> </w:t>
      </w:r>
      <w:r w:rsidR="00CD1B5B">
        <w:t xml:space="preserve">(N=2135) </w:t>
      </w:r>
      <w:r w:rsidR="00463269">
        <w:t>are shown below</w:t>
      </w:r>
      <w:r>
        <w:t xml:space="preserve"> by system organ class</w:t>
      </w:r>
      <w:r w:rsidR="00463269">
        <w:t>.</w:t>
      </w:r>
      <w:r w:rsidR="008D1109">
        <w:t xml:space="preserve"> </w:t>
      </w:r>
      <w:r w:rsidR="00444D8B">
        <w:t xml:space="preserve"> </w:t>
      </w:r>
      <w:r w:rsidR="008D1109">
        <w:t>The frequency categori</w:t>
      </w:r>
      <w:r w:rsidR="008D1109" w:rsidRPr="008D1109">
        <w:t xml:space="preserve">es </w:t>
      </w:r>
      <w:r w:rsidR="00444D8B">
        <w:t xml:space="preserve">used </w:t>
      </w:r>
      <w:r w:rsidR="008D1109" w:rsidRPr="008D1109">
        <w:t>are defined as</w:t>
      </w:r>
      <w:r w:rsidRPr="005F6A87">
        <w:t xml:space="preserve">: </w:t>
      </w:r>
    </w:p>
    <w:p w:rsidR="005F6A87" w:rsidRDefault="005F6A87" w:rsidP="00444D8B">
      <w:pPr>
        <w:pStyle w:val="TextPI"/>
      </w:pPr>
      <w:r>
        <w:t>V</w:t>
      </w:r>
      <w:r w:rsidR="008D1109">
        <w:t>ery common (≥</w:t>
      </w:r>
      <w:r w:rsidRPr="005F6A87">
        <w:t xml:space="preserve">1/10); </w:t>
      </w:r>
      <w:r>
        <w:t>C</w:t>
      </w:r>
      <w:r w:rsidR="008D1109">
        <w:t>ommon (≥1/100 to &lt;</w:t>
      </w:r>
      <w:r w:rsidRPr="005F6A87">
        <w:t xml:space="preserve">1/10); </w:t>
      </w:r>
      <w:r>
        <w:t>U</w:t>
      </w:r>
      <w:r w:rsidR="008D1109">
        <w:t>ncommon (≥</w:t>
      </w:r>
      <w:r w:rsidRPr="005F6A87">
        <w:t>1/1,000</w:t>
      </w:r>
      <w:r w:rsidR="008D1109">
        <w:t xml:space="preserve"> to </w:t>
      </w:r>
      <w:r w:rsidR="00D969A3">
        <w:t>&lt;1/100)</w:t>
      </w:r>
    </w:p>
    <w:p w:rsidR="008D1109" w:rsidRPr="00EE4C1B" w:rsidRDefault="008D1109" w:rsidP="00592A9B">
      <w:pPr>
        <w:pStyle w:val="PIheading4"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t>Infections and infestations:</w:t>
      </w:r>
    </w:p>
    <w:p w:rsidR="008D1109" w:rsidRDefault="008D1109" w:rsidP="000C1FAF">
      <w:pPr>
        <w:pStyle w:val="TextPI"/>
        <w:tabs>
          <w:tab w:val="left" w:pos="1701"/>
        </w:tabs>
        <w:spacing w:before="0" w:after="0"/>
      </w:pPr>
      <w:r>
        <w:t xml:space="preserve">Very common: </w:t>
      </w:r>
      <w:r w:rsidR="000C1FAF">
        <w:tab/>
      </w:r>
      <w:r w:rsidR="00C4748F">
        <w:t>paronychia</w:t>
      </w:r>
    </w:p>
    <w:p w:rsidR="008D1109" w:rsidRDefault="008D1109" w:rsidP="000C1FAF">
      <w:pPr>
        <w:pStyle w:val="TextPI"/>
        <w:tabs>
          <w:tab w:val="left" w:pos="1701"/>
        </w:tabs>
        <w:spacing w:before="0" w:after="0"/>
      </w:pPr>
      <w:r>
        <w:t>Common:</w:t>
      </w:r>
      <w:r w:rsidR="000C1FAF">
        <w:tab/>
      </w:r>
      <w:r>
        <w:t>c</w:t>
      </w:r>
      <w:r w:rsidRPr="00174B6F">
        <w:t>ystitis</w:t>
      </w:r>
    </w:p>
    <w:p w:rsidR="008D1109" w:rsidRPr="00EE4C1B" w:rsidRDefault="008D1109" w:rsidP="00592A9B">
      <w:pPr>
        <w:pStyle w:val="PIheading4"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t>Metabolism and nutrition disorders:</w:t>
      </w:r>
    </w:p>
    <w:p w:rsidR="00C4748F" w:rsidRDefault="00C4748F" w:rsidP="000C1FAF">
      <w:pPr>
        <w:pStyle w:val="TextPI"/>
        <w:tabs>
          <w:tab w:val="left" w:pos="1701"/>
        </w:tabs>
        <w:spacing w:before="0" w:after="0"/>
      </w:pPr>
      <w:r>
        <w:t xml:space="preserve">Very common: </w:t>
      </w:r>
      <w:r w:rsidR="000C1FAF">
        <w:tab/>
      </w:r>
      <w:r>
        <w:t>decreased appetite</w:t>
      </w:r>
    </w:p>
    <w:p w:rsidR="008D1109" w:rsidRDefault="008D1109" w:rsidP="000C1FAF">
      <w:pPr>
        <w:pStyle w:val="TextPI"/>
        <w:tabs>
          <w:tab w:val="left" w:pos="1701"/>
        </w:tabs>
        <w:spacing w:before="0" w:after="0"/>
      </w:pPr>
      <w:r>
        <w:t xml:space="preserve">Common: </w:t>
      </w:r>
      <w:r w:rsidR="000C1FAF">
        <w:tab/>
      </w:r>
      <w:r w:rsidR="00943670">
        <w:t xml:space="preserve">dehydration, </w:t>
      </w:r>
      <w:r w:rsidRPr="00174B6F">
        <w:t>h</w:t>
      </w:r>
      <w:r w:rsidR="00943670">
        <w:t>ypokalemia</w:t>
      </w:r>
    </w:p>
    <w:p w:rsidR="008D1109" w:rsidRPr="00EE4C1B" w:rsidRDefault="008D1109" w:rsidP="00592A9B">
      <w:pPr>
        <w:pStyle w:val="PIheading4"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t xml:space="preserve">Nervous system disorders:  </w:t>
      </w:r>
    </w:p>
    <w:p w:rsidR="008D1109" w:rsidRPr="00174B6F" w:rsidRDefault="008D1109" w:rsidP="000C1FAF">
      <w:pPr>
        <w:pStyle w:val="TextPI"/>
        <w:tabs>
          <w:tab w:val="left" w:pos="1701"/>
        </w:tabs>
        <w:spacing w:before="0" w:after="0"/>
      </w:pPr>
      <w:r>
        <w:t xml:space="preserve">Common: </w:t>
      </w:r>
      <w:r w:rsidR="000C1FAF">
        <w:tab/>
      </w:r>
      <w:proofErr w:type="spellStart"/>
      <w:r>
        <w:t>d</w:t>
      </w:r>
      <w:r w:rsidRPr="00174B6F">
        <w:t>ysgeusia</w:t>
      </w:r>
      <w:proofErr w:type="spellEnd"/>
    </w:p>
    <w:p w:rsidR="008D1109" w:rsidRPr="00EE4C1B" w:rsidRDefault="008D1109" w:rsidP="00592A9B">
      <w:pPr>
        <w:pStyle w:val="PIheading4"/>
        <w:keepNext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lastRenderedPageBreak/>
        <w:t>Eye disorders:</w:t>
      </w:r>
    </w:p>
    <w:p w:rsidR="008D1109" w:rsidRDefault="008D1109" w:rsidP="000C1FAF">
      <w:pPr>
        <w:pStyle w:val="TextPI"/>
        <w:tabs>
          <w:tab w:val="left" w:pos="1701"/>
        </w:tabs>
        <w:spacing w:before="0" w:after="0"/>
      </w:pPr>
      <w:r>
        <w:t xml:space="preserve">Common: </w:t>
      </w:r>
      <w:r w:rsidR="00510C45">
        <w:tab/>
      </w:r>
      <w:r>
        <w:t>conjunctivitis, dry eye</w:t>
      </w:r>
    </w:p>
    <w:p w:rsidR="008D1109" w:rsidRDefault="008D1109" w:rsidP="000C1FAF">
      <w:pPr>
        <w:pStyle w:val="TextPI"/>
        <w:tabs>
          <w:tab w:val="left" w:pos="1701"/>
        </w:tabs>
        <w:spacing w:before="0" w:after="0"/>
      </w:pPr>
      <w:r>
        <w:t xml:space="preserve">Uncommon: </w:t>
      </w:r>
      <w:r w:rsidR="000C1FAF">
        <w:tab/>
      </w:r>
      <w:r w:rsidRPr="00174B6F">
        <w:t>keratitis</w:t>
      </w:r>
    </w:p>
    <w:p w:rsidR="008903EE" w:rsidRPr="00EE4C1B" w:rsidRDefault="00104786" w:rsidP="00592A9B">
      <w:pPr>
        <w:pStyle w:val="PIheading4"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t xml:space="preserve">Respiratory, thoracic and </w:t>
      </w:r>
      <w:proofErr w:type="spellStart"/>
      <w:r w:rsidRPr="00EE4C1B">
        <w:rPr>
          <w:b/>
          <w:bCs/>
        </w:rPr>
        <w:t>mediastinal</w:t>
      </w:r>
      <w:proofErr w:type="spellEnd"/>
      <w:r w:rsidRPr="00EE4C1B">
        <w:rPr>
          <w:b/>
          <w:bCs/>
        </w:rPr>
        <w:t xml:space="preserve"> disorders:</w:t>
      </w:r>
    </w:p>
    <w:p w:rsidR="00943670" w:rsidRDefault="00943670" w:rsidP="000C1FAF">
      <w:pPr>
        <w:pStyle w:val="TextPI"/>
        <w:tabs>
          <w:tab w:val="left" w:pos="1701"/>
        </w:tabs>
        <w:spacing w:before="0" w:after="0"/>
      </w:pPr>
      <w:r>
        <w:t xml:space="preserve">Very common: </w:t>
      </w:r>
      <w:r w:rsidR="000C1FAF">
        <w:tab/>
      </w:r>
      <w:r>
        <w:t>epistaxis</w:t>
      </w:r>
    </w:p>
    <w:p w:rsidR="008903EE" w:rsidRDefault="008903EE" w:rsidP="000C1FAF">
      <w:pPr>
        <w:pStyle w:val="TextPI"/>
        <w:tabs>
          <w:tab w:val="left" w:pos="1701"/>
        </w:tabs>
        <w:spacing w:before="0" w:after="0"/>
      </w:pPr>
      <w:r w:rsidRPr="00A240F6">
        <w:t>Common:</w:t>
      </w:r>
      <w:r w:rsidR="000C1FAF">
        <w:tab/>
      </w:r>
      <w:proofErr w:type="spellStart"/>
      <w:r w:rsidR="00104786" w:rsidRPr="00A240F6">
        <w:t>rhinorrh</w:t>
      </w:r>
      <w:r w:rsidR="00E24C7A">
        <w:t>o</w:t>
      </w:r>
      <w:r w:rsidRPr="00A240F6">
        <w:t>ea</w:t>
      </w:r>
      <w:proofErr w:type="spellEnd"/>
    </w:p>
    <w:p w:rsidR="00104786" w:rsidRDefault="008903EE" w:rsidP="000C1FAF">
      <w:pPr>
        <w:pStyle w:val="TextPI"/>
        <w:tabs>
          <w:tab w:val="left" w:pos="1701"/>
        </w:tabs>
        <w:spacing w:before="0" w:after="0"/>
      </w:pPr>
      <w:r>
        <w:t xml:space="preserve">Uncommon: </w:t>
      </w:r>
      <w:r w:rsidR="000C1FAF">
        <w:tab/>
      </w:r>
      <w:r w:rsidR="00104786" w:rsidRPr="00174B6F">
        <w:t>interstitial lung disease</w:t>
      </w:r>
    </w:p>
    <w:p w:rsidR="008D1109" w:rsidRPr="00EE4C1B" w:rsidRDefault="008D1109" w:rsidP="00941314">
      <w:pPr>
        <w:pStyle w:val="PIheading4"/>
        <w:keepNext/>
        <w:keepLines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t>Gastrointestinal disorders:</w:t>
      </w:r>
    </w:p>
    <w:p w:rsidR="00943670" w:rsidRDefault="00943670" w:rsidP="00941314">
      <w:pPr>
        <w:pStyle w:val="TextPI"/>
        <w:keepNext/>
        <w:keepLines/>
        <w:tabs>
          <w:tab w:val="left" w:pos="1701"/>
        </w:tabs>
        <w:spacing w:before="0" w:after="0"/>
      </w:pPr>
      <w:r>
        <w:t xml:space="preserve">Very common: </w:t>
      </w:r>
      <w:r w:rsidR="000C1FAF">
        <w:tab/>
      </w:r>
      <w:proofErr w:type="spellStart"/>
      <w:r>
        <w:t>diarrhoea</w:t>
      </w:r>
      <w:proofErr w:type="spellEnd"/>
      <w:r>
        <w:t>, stomatitis</w:t>
      </w:r>
    </w:p>
    <w:p w:rsidR="008D1109" w:rsidRDefault="008D1109" w:rsidP="00941314">
      <w:pPr>
        <w:pStyle w:val="TextPI"/>
        <w:keepNext/>
        <w:keepLines/>
        <w:tabs>
          <w:tab w:val="left" w:pos="1701"/>
        </w:tabs>
        <w:spacing w:before="0" w:after="0"/>
      </w:pPr>
      <w:r>
        <w:t>Common:</w:t>
      </w:r>
      <w:r w:rsidR="000C1FAF">
        <w:tab/>
      </w:r>
      <w:r w:rsidRPr="00174B6F">
        <w:t xml:space="preserve">dyspepsia, </w:t>
      </w:r>
      <w:proofErr w:type="spellStart"/>
      <w:r w:rsidRPr="00174B6F">
        <w:t>cheilitis</w:t>
      </w:r>
      <w:proofErr w:type="spellEnd"/>
    </w:p>
    <w:p w:rsidR="008D1109" w:rsidRPr="00EE4C1B" w:rsidRDefault="008D1109" w:rsidP="00592A9B">
      <w:pPr>
        <w:pStyle w:val="PIheading4"/>
        <w:tabs>
          <w:tab w:val="left" w:pos="1701"/>
        </w:tabs>
        <w:spacing w:before="120" w:after="0"/>
        <w:rPr>
          <w:b/>
          <w:bCs/>
        </w:rPr>
      </w:pPr>
      <w:proofErr w:type="spellStart"/>
      <w:r w:rsidRPr="00EE4C1B">
        <w:rPr>
          <w:b/>
          <w:bCs/>
        </w:rPr>
        <w:t>Hepatobiliary</w:t>
      </w:r>
      <w:proofErr w:type="spellEnd"/>
      <w:r w:rsidRPr="00EE4C1B">
        <w:rPr>
          <w:b/>
          <w:bCs/>
        </w:rPr>
        <w:t xml:space="preserve"> disorders:</w:t>
      </w:r>
    </w:p>
    <w:p w:rsidR="008D1109" w:rsidRDefault="008D1109" w:rsidP="000C1FAF">
      <w:pPr>
        <w:pStyle w:val="TextPI"/>
        <w:tabs>
          <w:tab w:val="left" w:pos="1701"/>
        </w:tabs>
        <w:spacing w:before="0" w:after="0"/>
      </w:pPr>
      <w:r>
        <w:t xml:space="preserve">Common: </w:t>
      </w:r>
      <w:r w:rsidR="000C1FAF">
        <w:tab/>
      </w:r>
      <w:r w:rsidR="00943670" w:rsidRPr="00E325C2">
        <w:rPr>
          <w:lang w:bidi="ml-IN"/>
        </w:rPr>
        <w:t>ALT increased, AST increased</w:t>
      </w:r>
    </w:p>
    <w:p w:rsidR="008903EE" w:rsidRPr="00EE4C1B" w:rsidRDefault="00104786" w:rsidP="00592A9B">
      <w:pPr>
        <w:pStyle w:val="PIheading4"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t xml:space="preserve">Skin and subcutaneous tissue disorders:  </w:t>
      </w:r>
    </w:p>
    <w:p w:rsidR="00943670" w:rsidRDefault="00943670" w:rsidP="000C1FAF">
      <w:pPr>
        <w:pStyle w:val="TextPI"/>
        <w:tabs>
          <w:tab w:val="left" w:pos="1701"/>
        </w:tabs>
        <w:spacing w:before="0" w:after="0"/>
      </w:pPr>
      <w:r>
        <w:t>Very common:</w:t>
      </w:r>
      <w:r w:rsidR="000C1FAF">
        <w:tab/>
      </w:r>
      <w:r>
        <w:t xml:space="preserve">rash, dermatitis </w:t>
      </w:r>
      <w:proofErr w:type="spellStart"/>
      <w:r>
        <w:t>acneiform</w:t>
      </w:r>
      <w:proofErr w:type="spellEnd"/>
      <w:r>
        <w:t>, pruritus, dry skin</w:t>
      </w:r>
    </w:p>
    <w:p w:rsidR="00104786" w:rsidRDefault="008903EE" w:rsidP="000C1FAF">
      <w:pPr>
        <w:pStyle w:val="TextPI"/>
        <w:tabs>
          <w:tab w:val="left" w:pos="1701"/>
        </w:tabs>
        <w:spacing w:before="0" w:after="0"/>
      </w:pPr>
      <w:r>
        <w:t xml:space="preserve">Common: </w:t>
      </w:r>
      <w:r w:rsidR="000C1FAF">
        <w:tab/>
      </w:r>
      <w:r w:rsidR="00104786">
        <w:t xml:space="preserve">palmar-plantar </w:t>
      </w:r>
      <w:proofErr w:type="spellStart"/>
      <w:r w:rsidR="00104786">
        <w:t>erythrodys</w:t>
      </w:r>
      <w:r w:rsidR="00D431BC">
        <w:t>esthesia</w:t>
      </w:r>
      <w:proofErr w:type="spellEnd"/>
      <w:r w:rsidR="00D431BC">
        <w:t xml:space="preserve"> syndrome</w:t>
      </w:r>
    </w:p>
    <w:p w:rsidR="008903EE" w:rsidRPr="00EE4C1B" w:rsidRDefault="00104786" w:rsidP="00592A9B">
      <w:pPr>
        <w:pStyle w:val="PIheading4"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t>Musculoskeletal and connective tissue disorders:</w:t>
      </w:r>
    </w:p>
    <w:p w:rsidR="00104786" w:rsidRDefault="008903EE" w:rsidP="000C1FAF">
      <w:pPr>
        <w:pStyle w:val="TextPI"/>
        <w:tabs>
          <w:tab w:val="left" w:pos="1701"/>
        </w:tabs>
        <w:spacing w:before="0" w:after="0"/>
      </w:pPr>
      <w:r>
        <w:t xml:space="preserve">Common: </w:t>
      </w:r>
      <w:r w:rsidR="000C1FAF">
        <w:tab/>
      </w:r>
      <w:r w:rsidR="00104786">
        <w:t>muscle spasms</w:t>
      </w:r>
    </w:p>
    <w:p w:rsidR="008D1109" w:rsidRPr="00EE4C1B" w:rsidRDefault="008D1109" w:rsidP="00592A9B">
      <w:pPr>
        <w:pStyle w:val="PIheading4"/>
        <w:tabs>
          <w:tab w:val="left" w:pos="1701"/>
        </w:tabs>
        <w:spacing w:before="120" w:after="0"/>
        <w:rPr>
          <w:b/>
          <w:bCs/>
        </w:rPr>
      </w:pPr>
      <w:r w:rsidRPr="00EE4C1B">
        <w:rPr>
          <w:b/>
          <w:bCs/>
        </w:rPr>
        <w:t xml:space="preserve">Renal and urinary disorders:  </w:t>
      </w:r>
    </w:p>
    <w:p w:rsidR="008D1109" w:rsidRDefault="008D1109" w:rsidP="000C1FAF">
      <w:pPr>
        <w:pStyle w:val="TextPI"/>
        <w:tabs>
          <w:tab w:val="left" w:pos="1701"/>
        </w:tabs>
        <w:spacing w:before="0" w:after="0"/>
      </w:pPr>
      <w:r>
        <w:t xml:space="preserve">Common: </w:t>
      </w:r>
      <w:r w:rsidR="000C1FAF">
        <w:tab/>
      </w:r>
      <w:r w:rsidRPr="00174B6F">
        <w:t>renal impairment/renal failure</w:t>
      </w:r>
    </w:p>
    <w:p w:rsidR="008D1109" w:rsidRPr="00EE4C1B" w:rsidRDefault="008D1109" w:rsidP="00592A9B">
      <w:pPr>
        <w:pStyle w:val="PIheading4"/>
        <w:spacing w:before="120" w:after="0"/>
        <w:rPr>
          <w:b/>
          <w:bCs/>
        </w:rPr>
      </w:pPr>
      <w:r w:rsidRPr="00EE4C1B">
        <w:rPr>
          <w:b/>
          <w:bCs/>
        </w:rPr>
        <w:t>General disorders and administration site conditions:</w:t>
      </w:r>
    </w:p>
    <w:p w:rsidR="008D1109" w:rsidRDefault="008D1109" w:rsidP="000C1FAF">
      <w:pPr>
        <w:pStyle w:val="TextPI"/>
        <w:tabs>
          <w:tab w:val="left" w:pos="1701"/>
        </w:tabs>
        <w:spacing w:before="0" w:after="0"/>
      </w:pPr>
      <w:r>
        <w:t xml:space="preserve">Common: </w:t>
      </w:r>
      <w:r w:rsidR="000C1FAF">
        <w:tab/>
      </w:r>
      <w:r>
        <w:t>pyrexia</w:t>
      </w:r>
    </w:p>
    <w:p w:rsidR="008D1109" w:rsidRPr="00EE4C1B" w:rsidRDefault="008D1109" w:rsidP="00592A9B">
      <w:pPr>
        <w:pStyle w:val="PIheading4"/>
        <w:keepNext/>
        <w:spacing w:before="120" w:after="0"/>
        <w:rPr>
          <w:b/>
          <w:bCs/>
        </w:rPr>
      </w:pPr>
      <w:r w:rsidRPr="00EE4C1B">
        <w:rPr>
          <w:b/>
          <w:bCs/>
        </w:rPr>
        <w:t>Investigations:</w:t>
      </w:r>
    </w:p>
    <w:p w:rsidR="008D1109" w:rsidRDefault="008D1109" w:rsidP="000C1FAF">
      <w:pPr>
        <w:pStyle w:val="TextPI"/>
        <w:keepLines/>
        <w:tabs>
          <w:tab w:val="left" w:pos="1701"/>
        </w:tabs>
        <w:spacing w:before="0" w:after="0"/>
      </w:pPr>
      <w:r>
        <w:t xml:space="preserve">Common: </w:t>
      </w:r>
      <w:r w:rsidR="000C1FAF">
        <w:tab/>
      </w:r>
      <w:r w:rsidR="00943670">
        <w:t>weight decreased</w:t>
      </w:r>
    </w:p>
    <w:p w:rsidR="00014579" w:rsidRDefault="00014579" w:rsidP="005B5CC4">
      <w:pPr>
        <w:pStyle w:val="PIHeading1"/>
        <w:keepLines/>
        <w:spacing w:before="360"/>
      </w:pPr>
      <w:r w:rsidRPr="002A55F0">
        <w:t>DOSAGE AND ADMINISTRATION</w:t>
      </w:r>
    </w:p>
    <w:p w:rsidR="00195AC4" w:rsidRPr="00A470B0" w:rsidRDefault="00195AC4" w:rsidP="009208F1">
      <w:pPr>
        <w:pStyle w:val="PIheading2"/>
        <w:keepLines/>
      </w:pPr>
      <w:r w:rsidRPr="00A470B0">
        <w:t>Non</w:t>
      </w:r>
      <w:r w:rsidR="00736122">
        <w:t>-Small Cell Lung Cancer (NSCLC)</w:t>
      </w:r>
    </w:p>
    <w:p w:rsidR="00195AC4" w:rsidRPr="00A470B0" w:rsidRDefault="00195AC4" w:rsidP="00195AC4">
      <w:pPr>
        <w:pStyle w:val="TextPI"/>
      </w:pPr>
      <w:r w:rsidRPr="00A470B0">
        <w:t xml:space="preserve">The recommended dose of </w:t>
      </w:r>
      <w:r w:rsidR="007B26AF">
        <w:t>GIOTRIF</w:t>
      </w:r>
      <w:r w:rsidRPr="00A470B0">
        <w:rPr>
          <w:vertAlign w:val="superscript"/>
        </w:rPr>
        <w:t xml:space="preserve"> </w:t>
      </w:r>
      <w:r>
        <w:t>is 40 </w:t>
      </w:r>
      <w:r w:rsidRPr="00A470B0">
        <w:t>mg orally once daily for first-line treatment or for patients not previously treated with an EGFR Tyrosine Kinase Inhibitor (EGFR TKI-naïve patients)</w:t>
      </w:r>
      <w:r w:rsidR="00570FFF">
        <w:t>.</w:t>
      </w:r>
    </w:p>
    <w:p w:rsidR="00195AC4" w:rsidRPr="00A470B0" w:rsidRDefault="007B26AF" w:rsidP="00570FFF">
      <w:pPr>
        <w:pStyle w:val="TextPI"/>
      </w:pPr>
      <w:r>
        <w:t>GIOTRIF</w:t>
      </w:r>
      <w:r w:rsidR="00195AC4" w:rsidRPr="00A470B0">
        <w:rPr>
          <w:vertAlign w:val="superscript"/>
        </w:rPr>
        <w:t xml:space="preserve"> </w:t>
      </w:r>
      <w:r w:rsidR="00195AC4" w:rsidRPr="00A470B0">
        <w:t xml:space="preserve">should be taken without food. Food should not be consumed for at least </w:t>
      </w:r>
      <w:r w:rsidR="00195AC4">
        <w:t>3 </w:t>
      </w:r>
      <w:r w:rsidR="00195AC4" w:rsidRPr="00A470B0">
        <w:t>hours before and at least 1</w:t>
      </w:r>
      <w:r w:rsidR="00195AC4">
        <w:t> </w:t>
      </w:r>
      <w:r w:rsidR="00195AC4" w:rsidRPr="00A470B0">
        <w:t xml:space="preserve">hour after taking </w:t>
      </w:r>
      <w:r>
        <w:t>GIOTRIF</w:t>
      </w:r>
      <w:r w:rsidR="00195AC4">
        <w:rPr>
          <w:vertAlign w:val="superscript"/>
        </w:rPr>
        <w:t xml:space="preserve"> </w:t>
      </w:r>
      <w:r w:rsidR="00195AC4">
        <w:t xml:space="preserve">(see </w:t>
      </w:r>
      <w:r w:rsidR="004E1784">
        <w:t xml:space="preserve">PHARMACOLOGY, </w:t>
      </w:r>
      <w:r w:rsidR="004E1784" w:rsidRPr="00626B3C">
        <w:t>Pharmacokinetics</w:t>
      </w:r>
      <w:r w:rsidR="004E1784">
        <w:t xml:space="preserve"> and </w:t>
      </w:r>
      <w:r w:rsidR="00626B3C">
        <w:t>PRECAUTIONS</w:t>
      </w:r>
      <w:r w:rsidR="00195AC4">
        <w:t>)</w:t>
      </w:r>
      <w:r w:rsidR="00570FFF">
        <w:t>.</w:t>
      </w:r>
      <w:r w:rsidR="00195AC4" w:rsidRPr="00A470B0">
        <w:t xml:space="preserve"> Tablets should be swallowed whole with water.</w:t>
      </w:r>
    </w:p>
    <w:p w:rsidR="00195AC4" w:rsidRPr="00A470B0" w:rsidRDefault="007B26AF" w:rsidP="00570FFF">
      <w:pPr>
        <w:pStyle w:val="TextPI"/>
      </w:pPr>
      <w:r>
        <w:t>GIOTRIF</w:t>
      </w:r>
      <w:r w:rsidR="00195AC4" w:rsidRPr="00A470B0">
        <w:rPr>
          <w:bCs/>
        </w:rPr>
        <w:t xml:space="preserve"> </w:t>
      </w:r>
      <w:r w:rsidR="00195AC4" w:rsidRPr="00A470B0">
        <w:rPr>
          <w:iCs/>
        </w:rPr>
        <w:t xml:space="preserve">treatment should be continued until disease progression </w:t>
      </w:r>
      <w:r w:rsidR="00195AC4" w:rsidRPr="00A470B0">
        <w:t>or until no longer tolerated by the patient</w:t>
      </w:r>
      <w:r w:rsidR="00195AC4">
        <w:t xml:space="preserve"> (see Table </w:t>
      </w:r>
      <w:r w:rsidR="00DE664A">
        <w:t>4</w:t>
      </w:r>
      <w:r w:rsidR="00DE664A" w:rsidRPr="00A470B0">
        <w:t xml:space="preserve"> </w:t>
      </w:r>
      <w:r w:rsidR="00195AC4" w:rsidRPr="00A470B0">
        <w:t>below).</w:t>
      </w:r>
    </w:p>
    <w:p w:rsidR="00195AC4" w:rsidRPr="00A470B0" w:rsidRDefault="00195AC4" w:rsidP="00FE0783">
      <w:pPr>
        <w:pStyle w:val="PIHeading3"/>
        <w:outlineLvl w:val="2"/>
      </w:pPr>
      <w:r w:rsidRPr="00A470B0">
        <w:t>Dose escalation</w:t>
      </w:r>
    </w:p>
    <w:p w:rsidR="00195AC4" w:rsidRPr="00A470B0" w:rsidRDefault="00195AC4" w:rsidP="00570FFF">
      <w:pPr>
        <w:pStyle w:val="TextPI"/>
      </w:pPr>
      <w:r w:rsidRPr="00A470B0">
        <w:t>A dose escalation to a maximum of</w:t>
      </w:r>
      <w:r>
        <w:t> </w:t>
      </w:r>
      <w:r w:rsidRPr="00A470B0">
        <w:t>50 mg/day may be considered in EGFR</w:t>
      </w:r>
      <w:r>
        <w:t xml:space="preserve"> </w:t>
      </w:r>
      <w:r w:rsidRPr="00A470B0">
        <w:t xml:space="preserve">TKI-naïve </w:t>
      </w:r>
      <w:r>
        <w:t>patients who tolerate a 40 </w:t>
      </w:r>
      <w:r w:rsidRPr="00A470B0">
        <w:t>mg/day dose (</w:t>
      </w:r>
      <w:r>
        <w:t xml:space="preserve">i.e. </w:t>
      </w:r>
      <w:r w:rsidRPr="00A470B0">
        <w:t xml:space="preserve">absence of </w:t>
      </w:r>
      <w:proofErr w:type="spellStart"/>
      <w:r w:rsidRPr="00A470B0">
        <w:t>diarrhoea</w:t>
      </w:r>
      <w:proofErr w:type="spellEnd"/>
      <w:r w:rsidRPr="00A470B0">
        <w:t>, skin rash, stomatitis and other drug</w:t>
      </w:r>
      <w:r>
        <w:t xml:space="preserve"> </w:t>
      </w:r>
      <w:r w:rsidRPr="00A470B0">
        <w:t>related event</w:t>
      </w:r>
      <w:r>
        <w:t>s of </w:t>
      </w:r>
      <w:r w:rsidRPr="00A470B0">
        <w:t>CTCAE G</w:t>
      </w:r>
      <w:r>
        <w:t xml:space="preserve">rade &gt; </w:t>
      </w:r>
      <w:r w:rsidRPr="00A470B0">
        <w:t xml:space="preserve">1) </w:t>
      </w:r>
      <w:r>
        <w:t>in the first 3 </w:t>
      </w:r>
      <w:r w:rsidRPr="00A470B0">
        <w:t xml:space="preserve">weeks. The dose should not be escalated in patients with a prior dose reduction. </w:t>
      </w:r>
      <w:r w:rsidR="00CB5939">
        <w:t xml:space="preserve"> </w:t>
      </w:r>
      <w:r w:rsidRPr="00A470B0">
        <w:t>The maximum daily dose in any setting is</w:t>
      </w:r>
      <w:r>
        <w:t xml:space="preserve"> 50 </w:t>
      </w:r>
      <w:r w:rsidRPr="00A470B0">
        <w:t>mg.</w:t>
      </w:r>
    </w:p>
    <w:p w:rsidR="00195AC4" w:rsidRPr="00A470B0" w:rsidRDefault="00195AC4" w:rsidP="00FE0783">
      <w:pPr>
        <w:pStyle w:val="PIHeading3"/>
        <w:keepNext/>
        <w:keepLines/>
        <w:outlineLvl w:val="2"/>
      </w:pPr>
      <w:r w:rsidRPr="00A470B0">
        <w:t>Dose adjustment for adverse reactions</w:t>
      </w:r>
    </w:p>
    <w:p w:rsidR="00195AC4" w:rsidRPr="00A470B0" w:rsidRDefault="00195AC4" w:rsidP="008422C9">
      <w:pPr>
        <w:pStyle w:val="TextPI"/>
        <w:keepLines/>
      </w:pPr>
      <w:r w:rsidRPr="00A470B0">
        <w:t xml:space="preserve">Symptomatic adverse drug reactions (e.g. severe/persistent </w:t>
      </w:r>
      <w:proofErr w:type="spellStart"/>
      <w:r w:rsidRPr="00A470B0">
        <w:t>diarrhoea</w:t>
      </w:r>
      <w:proofErr w:type="spellEnd"/>
      <w:r w:rsidRPr="00A470B0">
        <w:t xml:space="preserve"> or skin</w:t>
      </w:r>
      <w:r w:rsidR="006B0665">
        <w:t>-</w:t>
      </w:r>
      <w:r w:rsidRPr="00A470B0">
        <w:t xml:space="preserve">related adverse reactions) may be successfully managed by treatment interruption and dose reductions of </w:t>
      </w:r>
      <w:r w:rsidR="007B26AF">
        <w:t>GIOTRIF</w:t>
      </w:r>
      <w:r w:rsidRPr="00A470B0">
        <w:rPr>
          <w:bCs/>
        </w:rPr>
        <w:t xml:space="preserve"> </w:t>
      </w:r>
      <w:r w:rsidRPr="00A470B0">
        <w:t xml:space="preserve">as outlined in </w:t>
      </w:r>
      <w:r>
        <w:t>Table </w:t>
      </w:r>
      <w:r w:rsidR="00BF0170">
        <w:t>4</w:t>
      </w:r>
      <w:r w:rsidR="00BF0170" w:rsidRPr="00A470B0">
        <w:t xml:space="preserve"> </w:t>
      </w:r>
      <w:r w:rsidRPr="00A470B0">
        <w:t>(</w:t>
      </w:r>
      <w:r>
        <w:t xml:space="preserve">see </w:t>
      </w:r>
      <w:r w:rsidR="004B5070">
        <w:t>ADVERSE EFFECTS</w:t>
      </w:r>
      <w:r>
        <w:t xml:space="preserve">; </w:t>
      </w:r>
      <w:r w:rsidRPr="00A470B0">
        <w:t>for further details on management of speci</w:t>
      </w:r>
      <w:r w:rsidR="00471365">
        <w:t>fic drug-</w:t>
      </w:r>
      <w:r w:rsidR="00CB5939">
        <w:t xml:space="preserve">related Adverse Events, </w:t>
      </w:r>
      <w:r>
        <w:t xml:space="preserve">see </w:t>
      </w:r>
      <w:r w:rsidR="004B5070">
        <w:t>PRECAUTIONS</w:t>
      </w:r>
      <w:r w:rsidRPr="00A470B0">
        <w:t>).</w:t>
      </w:r>
    </w:p>
    <w:p w:rsidR="00195AC4" w:rsidRPr="008E241B" w:rsidRDefault="00195AC4" w:rsidP="005A0D7C">
      <w:pPr>
        <w:pStyle w:val="TextPI"/>
        <w:keepNext/>
        <w:keepLines/>
        <w:tabs>
          <w:tab w:val="left" w:pos="1134"/>
        </w:tabs>
        <w:spacing w:before="240"/>
        <w:rPr>
          <w:b/>
        </w:rPr>
      </w:pPr>
      <w:r w:rsidRPr="008E241B">
        <w:rPr>
          <w:b/>
        </w:rPr>
        <w:lastRenderedPageBreak/>
        <w:t xml:space="preserve">Table </w:t>
      </w:r>
      <w:r w:rsidR="00BF0170">
        <w:rPr>
          <w:b/>
        </w:rPr>
        <w:t>4</w:t>
      </w:r>
      <w:r w:rsidRPr="008E241B">
        <w:rPr>
          <w:b/>
        </w:rPr>
        <w:t xml:space="preserve">: </w:t>
      </w:r>
      <w:r w:rsidR="008E241B">
        <w:rPr>
          <w:b/>
        </w:rPr>
        <w:tab/>
      </w:r>
      <w:r w:rsidRPr="008E241B">
        <w:rPr>
          <w:b/>
        </w:rPr>
        <w:t>Dose Adjustment In</w:t>
      </w:r>
      <w:r w:rsidR="00570FFF" w:rsidRPr="008E241B">
        <w:rPr>
          <w:b/>
        </w:rPr>
        <w:t>formation for Adverse Reactions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2977"/>
      </w:tblGrid>
      <w:tr w:rsidR="00195AC4" w:rsidRPr="00BC1C14" w:rsidTr="005B5CC4">
        <w:tc>
          <w:tcPr>
            <w:tcW w:w="3686" w:type="dxa"/>
          </w:tcPr>
          <w:p w:rsidR="00195AC4" w:rsidRPr="00BC1C14" w:rsidRDefault="00195AC4" w:rsidP="005A0D7C">
            <w:pPr>
              <w:pStyle w:val="TextPItable"/>
              <w:keepNext/>
              <w:keepLines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BC1C14">
              <w:rPr>
                <w:rFonts w:cs="Arial"/>
                <w:b/>
                <w:sz w:val="20"/>
                <w:szCs w:val="20"/>
              </w:rPr>
              <w:t>CTCAE</w:t>
            </w:r>
            <w:r w:rsidRPr="00BC1C14">
              <w:rPr>
                <w:rFonts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  <w:r w:rsidRPr="00BC1C14">
              <w:rPr>
                <w:rFonts w:cs="Arial"/>
                <w:b/>
                <w:sz w:val="20"/>
                <w:szCs w:val="20"/>
              </w:rPr>
              <w:t xml:space="preserve"> Drug Related Adverse Event</w:t>
            </w:r>
          </w:p>
        </w:tc>
        <w:tc>
          <w:tcPr>
            <w:tcW w:w="5670" w:type="dxa"/>
            <w:gridSpan w:val="2"/>
          </w:tcPr>
          <w:p w:rsidR="00195AC4" w:rsidRPr="00BC1C14" w:rsidRDefault="00195AC4" w:rsidP="005A0D7C">
            <w:pPr>
              <w:pStyle w:val="TextPItable"/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BC1C14">
              <w:rPr>
                <w:rFonts w:cs="Arial"/>
                <w:b/>
                <w:sz w:val="20"/>
                <w:szCs w:val="20"/>
              </w:rPr>
              <w:t xml:space="preserve">Recommended Dosing of </w:t>
            </w:r>
            <w:r w:rsidR="007B26AF" w:rsidRPr="00BC1C14">
              <w:rPr>
                <w:rFonts w:cs="Arial"/>
                <w:b/>
                <w:sz w:val="20"/>
                <w:szCs w:val="20"/>
              </w:rPr>
              <w:t>GIOTRIF</w:t>
            </w:r>
          </w:p>
        </w:tc>
      </w:tr>
      <w:tr w:rsidR="00B51947" w:rsidRPr="00BC1C14" w:rsidTr="005B5CC4">
        <w:tc>
          <w:tcPr>
            <w:tcW w:w="3686" w:type="dxa"/>
          </w:tcPr>
          <w:p w:rsidR="00195AC4" w:rsidRPr="00BC1C14" w:rsidRDefault="00195AC4" w:rsidP="005A0D7C">
            <w:pPr>
              <w:pStyle w:val="TextPItable"/>
              <w:keepNext/>
              <w:keepLines/>
              <w:rPr>
                <w:rFonts w:cs="Arial"/>
                <w:sz w:val="20"/>
                <w:szCs w:val="20"/>
              </w:rPr>
            </w:pPr>
            <w:r w:rsidRPr="00BC1C14">
              <w:rPr>
                <w:rFonts w:cs="Arial"/>
                <w:sz w:val="20"/>
                <w:szCs w:val="20"/>
              </w:rPr>
              <w:t>Grade 1 or Grade 2</w:t>
            </w:r>
          </w:p>
        </w:tc>
        <w:tc>
          <w:tcPr>
            <w:tcW w:w="2693" w:type="dxa"/>
          </w:tcPr>
          <w:p w:rsidR="00195AC4" w:rsidRPr="00BC1C14" w:rsidRDefault="00195AC4" w:rsidP="005A0D7C">
            <w:pPr>
              <w:pStyle w:val="TextPItable"/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BC1C14">
              <w:rPr>
                <w:rFonts w:cs="Arial"/>
                <w:sz w:val="20"/>
                <w:szCs w:val="20"/>
              </w:rPr>
              <w:t xml:space="preserve">No </w:t>
            </w:r>
            <w:proofErr w:type="spellStart"/>
            <w:r w:rsidRPr="00BC1C14">
              <w:rPr>
                <w:rFonts w:cs="Arial"/>
                <w:sz w:val="20"/>
                <w:szCs w:val="20"/>
              </w:rPr>
              <w:t>interruption</w:t>
            </w:r>
            <w:r w:rsidRPr="00BC1C14">
              <w:rPr>
                <w:rFonts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977" w:type="dxa"/>
          </w:tcPr>
          <w:p w:rsidR="00195AC4" w:rsidRPr="00BC1C14" w:rsidRDefault="00195AC4" w:rsidP="005A0D7C">
            <w:pPr>
              <w:pStyle w:val="TextPItable"/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BC1C14">
              <w:rPr>
                <w:rFonts w:cs="Arial"/>
                <w:sz w:val="20"/>
                <w:szCs w:val="20"/>
              </w:rPr>
              <w:t>No dose adjustment</w:t>
            </w:r>
          </w:p>
        </w:tc>
      </w:tr>
      <w:tr w:rsidR="00B51947" w:rsidRPr="00BC1C14" w:rsidTr="005B5CC4">
        <w:trPr>
          <w:trHeight w:val="451"/>
        </w:trPr>
        <w:tc>
          <w:tcPr>
            <w:tcW w:w="3686" w:type="dxa"/>
          </w:tcPr>
          <w:p w:rsidR="00195AC4" w:rsidRPr="00BC1C14" w:rsidRDefault="00195AC4" w:rsidP="005A0D7C">
            <w:pPr>
              <w:pStyle w:val="TextPItable"/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  <w:r w:rsidRPr="00BC1C14">
              <w:rPr>
                <w:rFonts w:cs="Arial"/>
                <w:sz w:val="20"/>
                <w:szCs w:val="20"/>
              </w:rPr>
              <w:t>Grade 2 (</w:t>
            </w:r>
            <w:proofErr w:type="spellStart"/>
            <w:r w:rsidRPr="00BC1C14">
              <w:rPr>
                <w:rFonts w:cs="Arial"/>
                <w:sz w:val="20"/>
                <w:szCs w:val="20"/>
              </w:rPr>
              <w:t>prolonged</w:t>
            </w:r>
            <w:r w:rsidRPr="00BC1C14">
              <w:rPr>
                <w:rFonts w:cs="Arial"/>
                <w:sz w:val="20"/>
                <w:szCs w:val="20"/>
                <w:vertAlign w:val="superscript"/>
              </w:rPr>
              <w:t>c</w:t>
            </w:r>
            <w:proofErr w:type="spellEnd"/>
            <w:r w:rsidRPr="00BC1C14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 w:rsidRPr="00BC1C14">
              <w:rPr>
                <w:rFonts w:cs="Arial"/>
                <w:sz w:val="20"/>
                <w:szCs w:val="20"/>
              </w:rPr>
              <w:t>or intolerable) or</w:t>
            </w:r>
            <w:r w:rsidR="008E241B" w:rsidRPr="00BC1C14">
              <w:rPr>
                <w:rFonts w:cs="Arial"/>
                <w:sz w:val="20"/>
                <w:szCs w:val="20"/>
              </w:rPr>
              <w:t xml:space="preserve"> </w:t>
            </w:r>
            <w:r w:rsidRPr="00BC1C14">
              <w:rPr>
                <w:rFonts w:cs="Arial"/>
                <w:sz w:val="20"/>
                <w:szCs w:val="20"/>
              </w:rPr>
              <w:t>Grade </w:t>
            </w:r>
            <w:r w:rsidR="00471365" w:rsidRPr="00BC1C14">
              <w:rPr>
                <w:rFonts w:cs="Arial"/>
                <w:sz w:val="20"/>
                <w:szCs w:val="20"/>
              </w:rPr>
              <w:t>≥</w:t>
            </w:r>
            <w:r w:rsidRPr="00BC1C14">
              <w:rPr>
                <w:rFonts w:cs="Arial"/>
                <w:sz w:val="20"/>
                <w:szCs w:val="20"/>
              </w:rPr>
              <w:t> 3</w:t>
            </w:r>
          </w:p>
        </w:tc>
        <w:tc>
          <w:tcPr>
            <w:tcW w:w="2693" w:type="dxa"/>
            <w:vAlign w:val="center"/>
          </w:tcPr>
          <w:p w:rsidR="00195AC4" w:rsidRPr="00BC1C14" w:rsidRDefault="00C75797" w:rsidP="005A0D7C">
            <w:pPr>
              <w:pStyle w:val="TextPItable"/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BC1C14">
              <w:rPr>
                <w:rFonts w:cs="Arial"/>
                <w:sz w:val="20"/>
                <w:szCs w:val="20"/>
              </w:rPr>
              <w:t xml:space="preserve">Interrupt </w:t>
            </w:r>
            <w:r w:rsidR="00195AC4" w:rsidRPr="00BC1C14">
              <w:rPr>
                <w:rFonts w:cs="Arial"/>
                <w:sz w:val="20"/>
                <w:szCs w:val="20"/>
              </w:rPr>
              <w:t>until Grade 0/1</w:t>
            </w:r>
            <w:r w:rsidR="00195AC4" w:rsidRPr="00BC1C14">
              <w:rPr>
                <w:rFonts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977" w:type="dxa"/>
          </w:tcPr>
          <w:p w:rsidR="00195AC4" w:rsidRPr="00BC1C14" w:rsidRDefault="00195AC4" w:rsidP="005A0D7C">
            <w:pPr>
              <w:pStyle w:val="TextPItable"/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BC1C14">
              <w:rPr>
                <w:rFonts w:cs="Arial"/>
                <w:sz w:val="20"/>
                <w:szCs w:val="20"/>
                <w:lang w:eastAsia="en-GB"/>
              </w:rPr>
              <w:t xml:space="preserve">Resume with dose reduction by 10 mg </w:t>
            </w:r>
            <w:proofErr w:type="spellStart"/>
            <w:r w:rsidRPr="00BC1C14">
              <w:rPr>
                <w:rFonts w:cs="Arial"/>
                <w:sz w:val="20"/>
                <w:szCs w:val="20"/>
                <w:lang w:eastAsia="en-GB"/>
              </w:rPr>
              <w:t>decrements</w:t>
            </w:r>
            <w:r w:rsidRPr="00BC1C14">
              <w:rPr>
                <w:rFonts w:cs="Arial"/>
                <w:sz w:val="20"/>
                <w:szCs w:val="20"/>
                <w:vertAlign w:val="superscript"/>
                <w:lang w:eastAsia="en-GB"/>
              </w:rPr>
              <w:t>d</w:t>
            </w:r>
            <w:proofErr w:type="spellEnd"/>
          </w:p>
        </w:tc>
      </w:tr>
    </w:tbl>
    <w:p w:rsidR="00195AC4" w:rsidRPr="00BC1C14" w:rsidRDefault="00195AC4" w:rsidP="005A0D7C">
      <w:pPr>
        <w:keepNext/>
        <w:keepLines/>
        <w:tabs>
          <w:tab w:val="left" w:pos="1930"/>
        </w:tabs>
        <w:spacing w:before="60"/>
        <w:rPr>
          <w:rFonts w:ascii="Arial" w:hAnsi="Arial" w:cs="Arial"/>
          <w:sz w:val="18"/>
          <w:szCs w:val="18"/>
          <w:vertAlign w:val="superscript"/>
          <w:lang w:eastAsia="en-GB"/>
        </w:rPr>
      </w:pPr>
      <w:proofErr w:type="gramStart"/>
      <w:r w:rsidRPr="00BC1C14">
        <w:rPr>
          <w:rFonts w:ascii="Arial" w:hAnsi="Arial" w:cs="Arial"/>
          <w:sz w:val="18"/>
          <w:szCs w:val="18"/>
          <w:vertAlign w:val="superscript"/>
          <w:lang w:eastAsia="en-GB"/>
        </w:rPr>
        <w:t>a</w:t>
      </w:r>
      <w:proofErr w:type="gramEnd"/>
      <w:r w:rsidRPr="00BC1C14">
        <w:rPr>
          <w:rFonts w:ascii="Arial" w:hAnsi="Arial" w:cs="Arial"/>
          <w:sz w:val="18"/>
          <w:szCs w:val="18"/>
          <w:vertAlign w:val="superscript"/>
          <w:lang w:eastAsia="en-GB"/>
        </w:rPr>
        <w:t xml:space="preserve"> </w:t>
      </w:r>
      <w:r w:rsidRPr="00BC1C14">
        <w:rPr>
          <w:rFonts w:ascii="Arial" w:hAnsi="Arial" w:cs="Arial"/>
          <w:sz w:val="18"/>
          <w:szCs w:val="18"/>
          <w:lang w:eastAsia="en-GB"/>
        </w:rPr>
        <w:t>NCI Common Terminology Criteria for Adverse Events v 3.0</w:t>
      </w:r>
    </w:p>
    <w:p w:rsidR="00195AC4" w:rsidRPr="00BC1C14" w:rsidRDefault="00195AC4" w:rsidP="005A0D7C">
      <w:pPr>
        <w:pStyle w:val="CommentText"/>
        <w:keepNext/>
        <w:keepLines/>
        <w:ind w:left="85" w:hanging="85"/>
        <w:rPr>
          <w:rFonts w:ascii="Arial" w:hAnsi="Arial" w:cs="Arial"/>
          <w:sz w:val="18"/>
          <w:szCs w:val="18"/>
        </w:rPr>
      </w:pPr>
      <w:proofErr w:type="gramStart"/>
      <w:r w:rsidRPr="00BC1C14">
        <w:rPr>
          <w:rFonts w:ascii="Arial" w:hAnsi="Arial" w:cs="Arial"/>
          <w:sz w:val="18"/>
          <w:szCs w:val="18"/>
          <w:vertAlign w:val="superscript"/>
          <w:lang w:eastAsia="en-GB"/>
        </w:rPr>
        <w:t>b</w:t>
      </w:r>
      <w:proofErr w:type="gramEnd"/>
      <w:r w:rsidR="00AE6782" w:rsidRPr="00BC1C14">
        <w:rPr>
          <w:rFonts w:ascii="Arial" w:hAnsi="Arial" w:cs="Arial"/>
          <w:sz w:val="18"/>
          <w:szCs w:val="18"/>
          <w:lang w:eastAsia="en-GB"/>
        </w:rPr>
        <w:t xml:space="preserve"> In case of </w:t>
      </w:r>
      <w:proofErr w:type="spellStart"/>
      <w:r w:rsidR="00AE6782" w:rsidRPr="00BC1C14">
        <w:rPr>
          <w:rFonts w:ascii="Arial" w:hAnsi="Arial" w:cs="Arial"/>
          <w:sz w:val="18"/>
          <w:szCs w:val="18"/>
          <w:lang w:eastAsia="en-GB"/>
        </w:rPr>
        <w:t>diarrhoea</w:t>
      </w:r>
      <w:proofErr w:type="spellEnd"/>
      <w:r w:rsidR="00AE6782" w:rsidRPr="00BC1C14">
        <w:rPr>
          <w:rFonts w:ascii="Arial" w:hAnsi="Arial" w:cs="Arial"/>
          <w:sz w:val="18"/>
          <w:szCs w:val="18"/>
          <w:lang w:eastAsia="en-GB"/>
        </w:rPr>
        <w:t xml:space="preserve">, </w:t>
      </w:r>
      <w:proofErr w:type="spellStart"/>
      <w:r w:rsidR="00AE6782" w:rsidRPr="00BC1C14">
        <w:rPr>
          <w:rFonts w:ascii="Arial" w:hAnsi="Arial" w:cs="Arial"/>
          <w:sz w:val="18"/>
          <w:szCs w:val="18"/>
          <w:lang w:eastAsia="en-GB"/>
        </w:rPr>
        <w:t>anti</w:t>
      </w:r>
      <w:r w:rsidRPr="00BC1C14">
        <w:rPr>
          <w:rFonts w:ascii="Arial" w:hAnsi="Arial" w:cs="Arial"/>
          <w:sz w:val="18"/>
          <w:szCs w:val="18"/>
          <w:lang w:eastAsia="en-GB"/>
        </w:rPr>
        <w:t>diarrhoeal</w:t>
      </w:r>
      <w:proofErr w:type="spellEnd"/>
      <w:r w:rsidRPr="00BC1C14">
        <w:rPr>
          <w:rFonts w:ascii="Arial" w:hAnsi="Arial" w:cs="Arial"/>
          <w:sz w:val="18"/>
          <w:szCs w:val="18"/>
          <w:lang w:eastAsia="en-GB"/>
        </w:rPr>
        <w:t xml:space="preserve"> medicines (</w:t>
      </w:r>
      <w:r w:rsidRPr="00BC1C14">
        <w:rPr>
          <w:rFonts w:ascii="Arial" w:hAnsi="Arial" w:cs="Arial"/>
          <w:sz w:val="18"/>
          <w:szCs w:val="18"/>
        </w:rPr>
        <w:t xml:space="preserve">e.g. </w:t>
      </w:r>
      <w:proofErr w:type="spellStart"/>
      <w:r w:rsidRPr="00BC1C14">
        <w:rPr>
          <w:rFonts w:ascii="Arial" w:hAnsi="Arial" w:cs="Arial"/>
          <w:sz w:val="18"/>
          <w:szCs w:val="18"/>
        </w:rPr>
        <w:t>loperamide</w:t>
      </w:r>
      <w:proofErr w:type="spellEnd"/>
      <w:r w:rsidRPr="00BC1C14">
        <w:rPr>
          <w:rFonts w:ascii="Arial" w:hAnsi="Arial" w:cs="Arial"/>
          <w:sz w:val="18"/>
          <w:szCs w:val="18"/>
        </w:rPr>
        <w:t xml:space="preserve">) should be taken immediately and continued for persistent </w:t>
      </w:r>
      <w:proofErr w:type="spellStart"/>
      <w:r w:rsidRPr="00BC1C14">
        <w:rPr>
          <w:rFonts w:ascii="Arial" w:hAnsi="Arial" w:cs="Arial"/>
          <w:sz w:val="18"/>
          <w:szCs w:val="18"/>
        </w:rPr>
        <w:t>diarrhoea</w:t>
      </w:r>
      <w:proofErr w:type="spellEnd"/>
      <w:r w:rsidRPr="00BC1C14">
        <w:rPr>
          <w:rFonts w:ascii="Arial" w:hAnsi="Arial" w:cs="Arial"/>
          <w:sz w:val="18"/>
          <w:szCs w:val="18"/>
        </w:rPr>
        <w:t xml:space="preserve"> until loose bowel movements cease.</w:t>
      </w:r>
    </w:p>
    <w:p w:rsidR="00195AC4" w:rsidRPr="00BC1C14" w:rsidRDefault="00195AC4" w:rsidP="005A0D7C">
      <w:pPr>
        <w:keepNext/>
        <w:keepLines/>
        <w:rPr>
          <w:rFonts w:ascii="Arial" w:hAnsi="Arial" w:cs="Arial"/>
          <w:sz w:val="18"/>
          <w:szCs w:val="18"/>
        </w:rPr>
      </w:pPr>
      <w:proofErr w:type="gramStart"/>
      <w:r w:rsidRPr="00BC1C14">
        <w:rPr>
          <w:rFonts w:ascii="Arial" w:hAnsi="Arial" w:cs="Arial"/>
          <w:sz w:val="18"/>
          <w:szCs w:val="18"/>
          <w:vertAlign w:val="superscript"/>
        </w:rPr>
        <w:t>c</w:t>
      </w:r>
      <w:proofErr w:type="gramEnd"/>
      <w:r w:rsidRPr="00BC1C14">
        <w:rPr>
          <w:rFonts w:ascii="Arial" w:hAnsi="Arial" w:cs="Arial"/>
          <w:sz w:val="18"/>
          <w:szCs w:val="18"/>
        </w:rPr>
        <w:t xml:space="preserve"> &gt; 48 hours of </w:t>
      </w:r>
      <w:proofErr w:type="spellStart"/>
      <w:r w:rsidRPr="00BC1C14">
        <w:rPr>
          <w:rFonts w:ascii="Arial" w:hAnsi="Arial" w:cs="Arial"/>
          <w:sz w:val="18"/>
          <w:szCs w:val="18"/>
        </w:rPr>
        <w:t>diarrhoea</w:t>
      </w:r>
      <w:proofErr w:type="spellEnd"/>
      <w:r w:rsidRPr="00BC1C14">
        <w:rPr>
          <w:rFonts w:ascii="Arial" w:hAnsi="Arial" w:cs="Arial"/>
          <w:sz w:val="18"/>
          <w:szCs w:val="18"/>
        </w:rPr>
        <w:t xml:space="preserve"> and/or &gt; 7 days of rash</w:t>
      </w:r>
    </w:p>
    <w:p w:rsidR="00195AC4" w:rsidRPr="00BC1C14" w:rsidRDefault="00195AC4" w:rsidP="005A0D7C">
      <w:pPr>
        <w:keepNext/>
        <w:keepLines/>
        <w:tabs>
          <w:tab w:val="left" w:pos="1930"/>
        </w:tabs>
        <w:spacing w:after="240"/>
        <w:ind w:right="-155"/>
        <w:rPr>
          <w:rFonts w:ascii="Arial" w:hAnsi="Arial" w:cs="Arial"/>
          <w:sz w:val="18"/>
          <w:szCs w:val="18"/>
        </w:rPr>
      </w:pPr>
      <w:proofErr w:type="gramStart"/>
      <w:r w:rsidRPr="00BC1C14">
        <w:rPr>
          <w:rFonts w:ascii="Arial" w:hAnsi="Arial" w:cs="Arial"/>
          <w:sz w:val="18"/>
          <w:szCs w:val="18"/>
          <w:vertAlign w:val="superscript"/>
          <w:lang w:eastAsia="en-GB"/>
        </w:rPr>
        <w:t>d</w:t>
      </w:r>
      <w:proofErr w:type="gramEnd"/>
      <w:r w:rsidRPr="00BC1C14">
        <w:rPr>
          <w:rFonts w:ascii="Arial" w:hAnsi="Arial" w:cs="Arial"/>
          <w:sz w:val="18"/>
          <w:szCs w:val="18"/>
        </w:rPr>
        <w:t xml:space="preserve"> If patient cannot tolerate 20 mg/day, permanent discontinuation of </w:t>
      </w:r>
      <w:r w:rsidR="007B26AF" w:rsidRPr="00BC1C14">
        <w:rPr>
          <w:rFonts w:ascii="Arial" w:hAnsi="Arial" w:cs="Arial"/>
          <w:sz w:val="18"/>
          <w:szCs w:val="18"/>
        </w:rPr>
        <w:t>GIOTRIF</w:t>
      </w:r>
      <w:r w:rsidRPr="00BC1C14">
        <w:rPr>
          <w:rFonts w:ascii="Arial" w:hAnsi="Arial" w:cs="Arial"/>
          <w:sz w:val="18"/>
          <w:szCs w:val="18"/>
        </w:rPr>
        <w:t xml:space="preserve"> should be considered</w:t>
      </w:r>
    </w:p>
    <w:p w:rsidR="00195AC4" w:rsidRPr="00A470B0" w:rsidRDefault="00195AC4" w:rsidP="00444D8B">
      <w:pPr>
        <w:pStyle w:val="TextPI"/>
        <w:keepLines/>
        <w:spacing w:before="240"/>
        <w:rPr>
          <w:snapToGrid w:val="0"/>
        </w:rPr>
      </w:pPr>
      <w:r w:rsidRPr="00A470B0">
        <w:t>Interstitial Lung Disease (ILD) sho</w:t>
      </w:r>
      <w:r w:rsidR="00736122">
        <w:t xml:space="preserve">uld be considered if a patient </w:t>
      </w:r>
      <w:r w:rsidRPr="00A470B0">
        <w:t xml:space="preserve">develops acute or worsening of respiratory symptoms in which case </w:t>
      </w:r>
      <w:r w:rsidR="007B26AF">
        <w:t>GIOTRIF</w:t>
      </w:r>
      <w:r w:rsidRPr="00A470B0">
        <w:rPr>
          <w:bCs/>
        </w:rPr>
        <w:t xml:space="preserve"> </w:t>
      </w:r>
      <w:r w:rsidRPr="00A470B0">
        <w:t>should be interrupted pending evaluation.</w:t>
      </w:r>
      <w:r w:rsidR="008E241B">
        <w:t xml:space="preserve"> </w:t>
      </w:r>
      <w:r w:rsidRPr="00A470B0">
        <w:t xml:space="preserve"> </w:t>
      </w:r>
      <w:r w:rsidRPr="00A470B0">
        <w:rPr>
          <w:snapToGrid w:val="0"/>
        </w:rPr>
        <w:t xml:space="preserve">If ILD is diagnosed, </w:t>
      </w:r>
      <w:r w:rsidR="007B26AF">
        <w:t>GIOTRIF</w:t>
      </w:r>
      <w:r w:rsidRPr="00A470B0">
        <w:rPr>
          <w:snapToGrid w:val="0"/>
        </w:rPr>
        <w:t xml:space="preserve"> should be discontinued and appropriate treatment instituted as necessary </w:t>
      </w:r>
      <w:r w:rsidR="00E6758E">
        <w:rPr>
          <w:snapToGrid w:val="0"/>
        </w:rPr>
        <w:t>(</w:t>
      </w:r>
      <w:r w:rsidRPr="00A470B0">
        <w:rPr>
          <w:snapToGrid w:val="0"/>
        </w:rPr>
        <w:t xml:space="preserve">see </w:t>
      </w:r>
      <w:r w:rsidR="00E6758E">
        <w:rPr>
          <w:snapToGrid w:val="0"/>
        </w:rPr>
        <w:t>PRECAUTIONS)</w:t>
      </w:r>
      <w:r w:rsidR="00F546A3">
        <w:rPr>
          <w:snapToGrid w:val="0"/>
        </w:rPr>
        <w:t>.</w:t>
      </w:r>
    </w:p>
    <w:p w:rsidR="00195AC4" w:rsidRPr="00A470B0" w:rsidRDefault="00195AC4" w:rsidP="00FE0783">
      <w:pPr>
        <w:pStyle w:val="PIHeading3"/>
        <w:keepLines/>
        <w:outlineLvl w:val="2"/>
      </w:pPr>
      <w:r w:rsidRPr="00A470B0">
        <w:t>Missed dose</w:t>
      </w:r>
    </w:p>
    <w:p w:rsidR="00195AC4" w:rsidRPr="00A470B0" w:rsidRDefault="00195AC4" w:rsidP="000C1FAF">
      <w:pPr>
        <w:pStyle w:val="TextPI"/>
        <w:keepLines/>
      </w:pPr>
      <w:r w:rsidRPr="00A470B0">
        <w:t xml:space="preserve">If a dose of </w:t>
      </w:r>
      <w:r w:rsidR="007B26AF">
        <w:t>GIOTRIF</w:t>
      </w:r>
      <w:r w:rsidRPr="00A470B0">
        <w:rPr>
          <w:bCs/>
        </w:rPr>
        <w:t xml:space="preserve"> </w:t>
      </w:r>
      <w:r w:rsidRPr="00A470B0">
        <w:t xml:space="preserve">is missed, it should be taken during the same day as </w:t>
      </w:r>
      <w:r w:rsidR="00D75DA6">
        <w:t xml:space="preserve">soon as the patient remembers. </w:t>
      </w:r>
      <w:r w:rsidR="008E241B">
        <w:t xml:space="preserve"> </w:t>
      </w:r>
      <w:r w:rsidRPr="00A470B0">
        <w:t>However, if the next scheduled dose is due within 8</w:t>
      </w:r>
      <w:r>
        <w:t> </w:t>
      </w:r>
      <w:r w:rsidRPr="00A470B0">
        <w:t>hours then the missed dose must be skipped</w:t>
      </w:r>
      <w:r w:rsidR="00F546A3">
        <w:t>.</w:t>
      </w:r>
    </w:p>
    <w:p w:rsidR="00195AC4" w:rsidRPr="00A470B0" w:rsidRDefault="00195AC4" w:rsidP="00FE0783">
      <w:pPr>
        <w:pStyle w:val="PIHeading3"/>
        <w:keepNext/>
        <w:outlineLvl w:val="2"/>
      </w:pPr>
      <w:r w:rsidRPr="00A470B0">
        <w:t>Patients with renal impairment</w:t>
      </w:r>
    </w:p>
    <w:p w:rsidR="00195AC4" w:rsidRPr="00A470B0" w:rsidRDefault="00195AC4" w:rsidP="00F20C88">
      <w:pPr>
        <w:pStyle w:val="TextPI"/>
        <w:rPr>
          <w:u w:val="single"/>
        </w:rPr>
      </w:pPr>
      <w:r w:rsidRPr="00A470B0">
        <w:t xml:space="preserve">The safety, pharmacokinetics and efficacy of </w:t>
      </w:r>
      <w:r w:rsidR="007B26AF">
        <w:t>GIOTRIF</w:t>
      </w:r>
      <w:r w:rsidRPr="00A470B0">
        <w:rPr>
          <w:bCs/>
        </w:rPr>
        <w:t xml:space="preserve"> </w:t>
      </w:r>
      <w:r w:rsidRPr="00A470B0">
        <w:t xml:space="preserve">have not been studied in a dedicated trial in patients with renal impairment. </w:t>
      </w:r>
      <w:r w:rsidR="008E241B">
        <w:t xml:space="preserve"> </w:t>
      </w:r>
      <w:r w:rsidRPr="00A470B0">
        <w:t xml:space="preserve">Based on population pharmacokinetic analyses (see </w:t>
      </w:r>
      <w:r w:rsidR="008D465C">
        <w:t xml:space="preserve">PHARMACOLOGY, </w:t>
      </w:r>
      <w:r w:rsidRPr="008D465C">
        <w:t>Pharmacokinetics</w:t>
      </w:r>
      <w:r w:rsidRPr="00A470B0">
        <w:t>)</w:t>
      </w:r>
      <w:r>
        <w:t>,</w:t>
      </w:r>
      <w:r w:rsidRPr="00A470B0">
        <w:t xml:space="preserve"> adjustments to the starting dose are not necessary in patients with mil</w:t>
      </w:r>
      <w:r w:rsidR="00F20C88">
        <w:t>d or moderate renal impairment.</w:t>
      </w:r>
      <w:r w:rsidRPr="00A470B0">
        <w:t xml:space="preserve"> </w:t>
      </w:r>
      <w:r w:rsidR="008E241B">
        <w:t xml:space="preserve"> </w:t>
      </w:r>
      <w:r w:rsidR="007B26AF">
        <w:t>GIOTRIF</w:t>
      </w:r>
      <w:r w:rsidR="00736122">
        <w:rPr>
          <w:vertAlign w:val="superscript"/>
        </w:rPr>
        <w:t xml:space="preserve"> </w:t>
      </w:r>
      <w:r w:rsidRPr="00A470B0">
        <w:t>treatment in patients with severel</w:t>
      </w:r>
      <w:r>
        <w:t>y impaired renal function (&lt; 30 </w:t>
      </w:r>
      <w:r w:rsidRPr="00A470B0">
        <w:t>m</w:t>
      </w:r>
      <w:r>
        <w:t>L</w:t>
      </w:r>
      <w:r w:rsidRPr="00A470B0">
        <w:t>/min creatinine clearance) is not recommended.</w:t>
      </w:r>
    </w:p>
    <w:p w:rsidR="00195AC4" w:rsidRPr="00A470B0" w:rsidRDefault="00195AC4" w:rsidP="00FE0783">
      <w:pPr>
        <w:pStyle w:val="PIHeading3"/>
        <w:keepNext/>
        <w:outlineLvl w:val="2"/>
      </w:pPr>
      <w:r w:rsidRPr="00A470B0">
        <w:t>Patients with hepatic impairment</w:t>
      </w:r>
    </w:p>
    <w:p w:rsidR="00195AC4" w:rsidRPr="00A470B0" w:rsidRDefault="00195AC4" w:rsidP="00F05DAF">
      <w:pPr>
        <w:pStyle w:val="TextPI"/>
      </w:pPr>
      <w:r w:rsidRPr="00A470B0">
        <w:t xml:space="preserve">Exposure to </w:t>
      </w:r>
      <w:proofErr w:type="spellStart"/>
      <w:r w:rsidRPr="00A470B0">
        <w:t>afatinib</w:t>
      </w:r>
      <w:proofErr w:type="spellEnd"/>
      <w:r w:rsidRPr="00A470B0">
        <w:t xml:space="preserve"> is not significantly changed in patients with mild (Child Pugh A) or moderate (Child Pugh B) hepatic impairment (see </w:t>
      </w:r>
      <w:r w:rsidR="008D465C">
        <w:t xml:space="preserve">PHARMACOLOGY, </w:t>
      </w:r>
      <w:r w:rsidR="008D465C" w:rsidRPr="008D465C">
        <w:t>Pharmacokinetics</w:t>
      </w:r>
      <w:r w:rsidRPr="00A470B0">
        <w:t xml:space="preserve">). Adjustments to the starting dose are not necessary in patients with mild or moderate hepatic impairment. </w:t>
      </w:r>
      <w:r w:rsidR="008E241B">
        <w:t xml:space="preserve"> </w:t>
      </w:r>
      <w:r w:rsidR="007B26AF">
        <w:t>GIOTRIF</w:t>
      </w:r>
      <w:r w:rsidRPr="00A470B0">
        <w:t xml:space="preserve"> has not been studied in patients with severe (Child Pugh C) hepatic impairment. </w:t>
      </w:r>
      <w:r w:rsidR="007B26AF">
        <w:t>GIOTRIF</w:t>
      </w:r>
      <w:r w:rsidRPr="00A470B0">
        <w:t xml:space="preserve"> treatment in this</w:t>
      </w:r>
      <w:r w:rsidR="00F05DAF">
        <w:t xml:space="preserve"> population is not recommended.</w:t>
      </w:r>
    </w:p>
    <w:p w:rsidR="00195AC4" w:rsidRPr="00A470B0" w:rsidRDefault="00195AC4" w:rsidP="00FE0783">
      <w:pPr>
        <w:pStyle w:val="PIHeading3"/>
        <w:outlineLvl w:val="2"/>
      </w:pPr>
      <w:r w:rsidRPr="00A470B0">
        <w:t>Age, Race, Gender</w:t>
      </w:r>
    </w:p>
    <w:p w:rsidR="00195AC4" w:rsidRPr="00A470B0" w:rsidRDefault="00195AC4" w:rsidP="00F05DAF">
      <w:pPr>
        <w:pStyle w:val="TextPI"/>
      </w:pPr>
      <w:r w:rsidRPr="00A470B0">
        <w:t xml:space="preserve">No dose adjustment is necessary based on patient age, race, or gender (see </w:t>
      </w:r>
      <w:r w:rsidR="008D465C">
        <w:t xml:space="preserve">PHARMACOLOGY, </w:t>
      </w:r>
      <w:r w:rsidR="008D465C" w:rsidRPr="008D465C">
        <w:t>Pharmacokinetics</w:t>
      </w:r>
      <w:r w:rsidR="00F05DAF">
        <w:t>).</w:t>
      </w:r>
    </w:p>
    <w:p w:rsidR="00195AC4" w:rsidRPr="00A470B0" w:rsidRDefault="00195AC4" w:rsidP="00BC1C14">
      <w:pPr>
        <w:pStyle w:val="PIHeading3"/>
        <w:outlineLvl w:val="2"/>
      </w:pPr>
      <w:proofErr w:type="spellStart"/>
      <w:r w:rsidRPr="00A470B0">
        <w:t>Paediatric</w:t>
      </w:r>
      <w:proofErr w:type="spellEnd"/>
      <w:r w:rsidRPr="00A470B0">
        <w:t xml:space="preserve"> population</w:t>
      </w:r>
    </w:p>
    <w:p w:rsidR="00195AC4" w:rsidRPr="00A470B0" w:rsidRDefault="00195AC4" w:rsidP="00BC1C14">
      <w:pPr>
        <w:pStyle w:val="TextPI"/>
        <w:rPr>
          <w:lang w:eastAsia="en-GB"/>
        </w:rPr>
      </w:pPr>
      <w:r w:rsidRPr="00A470B0">
        <w:t xml:space="preserve">The safety and efficacy of </w:t>
      </w:r>
      <w:r w:rsidR="007B26AF">
        <w:t>GIOTRIF</w:t>
      </w:r>
      <w:r w:rsidRPr="00A470B0">
        <w:t xml:space="preserve"> have not been studied </w:t>
      </w:r>
      <w:r w:rsidRPr="00A470B0">
        <w:rPr>
          <w:lang w:eastAsia="en-GB"/>
        </w:rPr>
        <w:t xml:space="preserve">in </w:t>
      </w:r>
      <w:proofErr w:type="spellStart"/>
      <w:r w:rsidRPr="00A470B0">
        <w:rPr>
          <w:lang w:eastAsia="en-GB"/>
        </w:rPr>
        <w:t>paediatric</w:t>
      </w:r>
      <w:proofErr w:type="spellEnd"/>
      <w:r w:rsidRPr="00A470B0">
        <w:rPr>
          <w:lang w:eastAsia="en-GB"/>
        </w:rPr>
        <w:t xml:space="preserve"> patients. Therefore, treatment of children or adolescents with </w:t>
      </w:r>
      <w:r w:rsidR="007B26AF">
        <w:t>GIOTRIF</w:t>
      </w:r>
      <w:r w:rsidRPr="00A470B0">
        <w:rPr>
          <w:lang w:eastAsia="en-GB"/>
        </w:rPr>
        <w:t xml:space="preserve"> is not recommended.</w:t>
      </w:r>
    </w:p>
    <w:p w:rsidR="00195AC4" w:rsidRPr="00A470B0" w:rsidRDefault="00195AC4" w:rsidP="00BC1C14">
      <w:pPr>
        <w:pStyle w:val="PIHeading3"/>
        <w:keepNext/>
        <w:keepLines/>
        <w:outlineLvl w:val="2"/>
        <w:rPr>
          <w:lang w:eastAsia="en-GB"/>
        </w:rPr>
      </w:pPr>
      <w:r w:rsidRPr="00A470B0">
        <w:rPr>
          <w:lang w:eastAsia="en-GB"/>
        </w:rPr>
        <w:lastRenderedPageBreak/>
        <w:t xml:space="preserve">Use of </w:t>
      </w:r>
      <w:r w:rsidRPr="00A470B0">
        <w:t>P-glycoprotein (P-</w:t>
      </w:r>
      <w:proofErr w:type="spellStart"/>
      <w:r w:rsidRPr="00A470B0">
        <w:t>gp</w:t>
      </w:r>
      <w:proofErr w:type="spellEnd"/>
      <w:r w:rsidRPr="00A470B0">
        <w:t>) inhibitors</w:t>
      </w:r>
    </w:p>
    <w:p w:rsidR="00195AC4" w:rsidRPr="00A470B0" w:rsidRDefault="00195AC4" w:rsidP="00BC1C14">
      <w:pPr>
        <w:pStyle w:val="TextPI"/>
        <w:keepNext/>
        <w:keepLines/>
      </w:pPr>
      <w:r w:rsidRPr="00A470B0">
        <w:t>If P-</w:t>
      </w:r>
      <w:proofErr w:type="spellStart"/>
      <w:r w:rsidRPr="00A470B0">
        <w:t>gp</w:t>
      </w:r>
      <w:proofErr w:type="spellEnd"/>
      <w:r w:rsidRPr="00A470B0">
        <w:t xml:space="preserve"> inhibitors need to be taken, they should be administered simultaneously with or after </w:t>
      </w:r>
      <w:r w:rsidR="007B26AF">
        <w:t>GIOTRIF</w:t>
      </w:r>
      <w:r>
        <w:rPr>
          <w:vertAlign w:val="superscript"/>
        </w:rPr>
        <w:t xml:space="preserve"> </w:t>
      </w:r>
      <w:r>
        <w:t xml:space="preserve">(see </w:t>
      </w:r>
      <w:r w:rsidR="004E1784">
        <w:t xml:space="preserve">PHARMACOLOGY, </w:t>
      </w:r>
      <w:r w:rsidR="004E1784" w:rsidRPr="008D465C">
        <w:t>Pharmacokinetics</w:t>
      </w:r>
      <w:r w:rsidR="004E1784">
        <w:t xml:space="preserve">; </w:t>
      </w:r>
      <w:r w:rsidR="008D465C">
        <w:t>PRECAUTIONS</w:t>
      </w:r>
      <w:r w:rsidR="004E1784">
        <w:t xml:space="preserve"> and</w:t>
      </w:r>
      <w:r>
        <w:t xml:space="preserve"> </w:t>
      </w:r>
      <w:r w:rsidR="008D465C">
        <w:t>INTERACTIONS WITH OTHER MEDICINES</w:t>
      </w:r>
      <w:r>
        <w:t>)</w:t>
      </w:r>
      <w:r w:rsidR="00F05DAF">
        <w:t>.</w:t>
      </w:r>
    </w:p>
    <w:p w:rsidR="00195AC4" w:rsidRPr="00A470B0" w:rsidRDefault="00195AC4" w:rsidP="00FE0783">
      <w:pPr>
        <w:pStyle w:val="PIHeading3"/>
        <w:keepNext/>
        <w:outlineLvl w:val="2"/>
      </w:pPr>
      <w:r w:rsidRPr="00A470B0">
        <w:t>Alternative method of administration</w:t>
      </w:r>
    </w:p>
    <w:p w:rsidR="00195AC4" w:rsidRPr="002A55F0" w:rsidRDefault="00195AC4" w:rsidP="00F05DAF">
      <w:pPr>
        <w:pStyle w:val="TextPI"/>
      </w:pPr>
      <w:r w:rsidRPr="00A470B0">
        <w:t xml:space="preserve">If dosing of whole tablets is not possible, </w:t>
      </w:r>
      <w:r w:rsidR="007B26AF">
        <w:t>GIOTRIF</w:t>
      </w:r>
      <w:r w:rsidRPr="00A470B0">
        <w:t xml:space="preserve"> tablets can be</w:t>
      </w:r>
      <w:r>
        <w:t xml:space="preserve"> dispersed in approximately 100 </w:t>
      </w:r>
      <w:r w:rsidRPr="00A470B0">
        <w:t>m</w:t>
      </w:r>
      <w:r w:rsidR="00F05DAF">
        <w:t>L</w:t>
      </w:r>
      <w:r w:rsidRPr="00A470B0">
        <w:t xml:space="preserve"> of noncarbonated drinking water. No other liquids should be used. </w:t>
      </w:r>
      <w:r w:rsidR="008E241B">
        <w:t xml:space="preserve"> </w:t>
      </w:r>
      <w:r w:rsidRPr="00A470B0">
        <w:t xml:space="preserve">The tablet should be dropped into the water without crushing it, and stirred occasionally </w:t>
      </w:r>
      <w:r>
        <w:t>for up to 15 </w:t>
      </w:r>
      <w:r w:rsidRPr="00A470B0">
        <w:t>min</w:t>
      </w:r>
      <w:r w:rsidR="00BF0170">
        <w:t>utes</w:t>
      </w:r>
      <w:r w:rsidRPr="00A470B0">
        <w:t xml:space="preserve"> until the tablet is broken up into very small particles. </w:t>
      </w:r>
      <w:r w:rsidR="008E241B">
        <w:t xml:space="preserve"> </w:t>
      </w:r>
      <w:r w:rsidRPr="00A470B0">
        <w:t xml:space="preserve">The dispersion should be consumed immediately. </w:t>
      </w:r>
      <w:r w:rsidR="008E241B">
        <w:t xml:space="preserve"> </w:t>
      </w:r>
      <w:r w:rsidRPr="00A470B0">
        <w:t>The glass should b</w:t>
      </w:r>
      <w:r>
        <w:t>e rinsed with approximately 100 </w:t>
      </w:r>
      <w:r w:rsidRPr="00A470B0">
        <w:t>m</w:t>
      </w:r>
      <w:r w:rsidR="00F05DAF">
        <w:t>L</w:t>
      </w:r>
      <w:r w:rsidRPr="00A470B0">
        <w:t xml:space="preserve"> of water which should also be consumed. </w:t>
      </w:r>
      <w:r w:rsidR="008E241B">
        <w:t xml:space="preserve"> </w:t>
      </w:r>
      <w:r w:rsidRPr="00A470B0">
        <w:t>The dispersion can also be administered through a gastric tube.</w:t>
      </w:r>
    </w:p>
    <w:p w:rsidR="00B327DD" w:rsidRDefault="00B327DD" w:rsidP="004F4F53">
      <w:pPr>
        <w:pStyle w:val="PIHeading1"/>
        <w:keepNext w:val="0"/>
      </w:pPr>
      <w:r>
        <w:t>OVERDOSAGE</w:t>
      </w:r>
    </w:p>
    <w:p w:rsidR="00B327DD" w:rsidRPr="00FE7787" w:rsidRDefault="00B327DD" w:rsidP="004F4F53">
      <w:pPr>
        <w:pStyle w:val="TextPI"/>
      </w:pPr>
      <w:r w:rsidRPr="00FE7787">
        <w:t>For information on the management of overdose, contact the Poison Information Centre on 13</w:t>
      </w:r>
      <w:r w:rsidR="00471365">
        <w:t> </w:t>
      </w:r>
      <w:r w:rsidRPr="00FE7787">
        <w:t>11</w:t>
      </w:r>
      <w:r w:rsidR="00FE7787">
        <w:t xml:space="preserve"> </w:t>
      </w:r>
      <w:r w:rsidR="00CB342A">
        <w:t>26 (Australia).</w:t>
      </w:r>
    </w:p>
    <w:p w:rsidR="00014579" w:rsidRDefault="00E22BDE" w:rsidP="008422C9">
      <w:pPr>
        <w:pStyle w:val="PIheading2"/>
      </w:pPr>
      <w:r>
        <w:t>Symptoms</w:t>
      </w:r>
    </w:p>
    <w:p w:rsidR="00CB342A" w:rsidRPr="00A470B0" w:rsidRDefault="00CB342A" w:rsidP="004F4F53">
      <w:pPr>
        <w:pStyle w:val="TextPI"/>
      </w:pPr>
      <w:r w:rsidRPr="00A470B0">
        <w:t xml:space="preserve">The highest dose of </w:t>
      </w:r>
      <w:r w:rsidR="007B26AF">
        <w:t>GIOTRIF</w:t>
      </w:r>
      <w:r w:rsidRPr="00A470B0">
        <w:t xml:space="preserve"> studied in a limi</w:t>
      </w:r>
      <w:r>
        <w:t>ted number of patients in Phase </w:t>
      </w:r>
      <w:r w:rsidRPr="00A470B0">
        <w:t xml:space="preserve">I clinical trials was </w:t>
      </w:r>
      <w:r>
        <w:t>160 </w:t>
      </w:r>
      <w:r w:rsidRPr="00A470B0">
        <w:t>mg once daily for 3 d</w:t>
      </w:r>
      <w:r>
        <w:t>ays and 100 mg once daily for 2 </w:t>
      </w:r>
      <w:r w:rsidRPr="00A470B0">
        <w:t xml:space="preserve">weeks. </w:t>
      </w:r>
      <w:r w:rsidR="008E241B">
        <w:t xml:space="preserve"> </w:t>
      </w:r>
      <w:r w:rsidRPr="00A470B0">
        <w:t xml:space="preserve">The adverse reactions observed at this dose were primarily dermatological (rash/acne) and gastrointestinal events (especially </w:t>
      </w:r>
      <w:proofErr w:type="spellStart"/>
      <w:r w:rsidRPr="00A470B0">
        <w:t>diarrhoea</w:t>
      </w:r>
      <w:proofErr w:type="spellEnd"/>
      <w:r w:rsidRPr="00A470B0">
        <w:t xml:space="preserve">). </w:t>
      </w:r>
      <w:r w:rsidR="008E241B">
        <w:t xml:space="preserve"> </w:t>
      </w:r>
      <w:r w:rsidRPr="00A470B0">
        <w:t xml:space="preserve">Overdose in </w:t>
      </w:r>
      <w:r>
        <w:t>2</w:t>
      </w:r>
      <w:r w:rsidRPr="00A470B0">
        <w:t xml:space="preserve"> healthy adolescents</w:t>
      </w:r>
      <w:r>
        <w:t xml:space="preserve"> involving the ingestion of 360 </w:t>
      </w:r>
      <w:r w:rsidRPr="00A470B0">
        <w:t xml:space="preserve">mg each of </w:t>
      </w:r>
      <w:r w:rsidR="007B26AF">
        <w:t>GIOTRIF</w:t>
      </w:r>
      <w:r w:rsidRPr="00A470B0">
        <w:t xml:space="preserve"> (as part of a mixed drug ingestion) was associated with adverse drug reactions of nausea, vomiting, asthenia, dizziness, headache, abdominal pain and elevated amylase (&lt;</w:t>
      </w:r>
      <w:r>
        <w:t> </w:t>
      </w:r>
      <w:r w:rsidRPr="00A470B0">
        <w:t>1.5</w:t>
      </w:r>
      <w:r>
        <w:t> times</w:t>
      </w:r>
      <w:r w:rsidRPr="00A470B0">
        <w:t xml:space="preserve"> ULN). </w:t>
      </w:r>
      <w:r w:rsidR="008E241B">
        <w:t xml:space="preserve"> </w:t>
      </w:r>
      <w:r w:rsidRPr="00A470B0">
        <w:rPr>
          <w:color w:val="000000"/>
          <w:lang w:eastAsia="de-DE"/>
        </w:rPr>
        <w:t xml:space="preserve">Both subjects recovered from these adverse </w:t>
      </w:r>
      <w:r>
        <w:t>events.</w:t>
      </w:r>
    </w:p>
    <w:p w:rsidR="00AE4580" w:rsidRDefault="00E22BDE" w:rsidP="00AE6782">
      <w:pPr>
        <w:pStyle w:val="PIheading2"/>
      </w:pPr>
      <w:r>
        <w:t>Treatment</w:t>
      </w:r>
    </w:p>
    <w:p w:rsidR="00CB342A" w:rsidRPr="00A470B0" w:rsidRDefault="00CB342A" w:rsidP="004F4F53">
      <w:pPr>
        <w:pStyle w:val="TextPI"/>
      </w:pPr>
      <w:r w:rsidRPr="00A470B0">
        <w:t>There is no specific antidote for overdos</w:t>
      </w:r>
      <w:r>
        <w:t>e</w:t>
      </w:r>
      <w:r w:rsidRPr="00A470B0">
        <w:t xml:space="preserve"> with </w:t>
      </w:r>
      <w:r w:rsidR="007B26AF">
        <w:t>GIOTRIF</w:t>
      </w:r>
      <w:r w:rsidRPr="00736122">
        <w:t xml:space="preserve">. </w:t>
      </w:r>
      <w:r w:rsidR="00736122">
        <w:t xml:space="preserve"> </w:t>
      </w:r>
      <w:r w:rsidRPr="00A470B0">
        <w:t xml:space="preserve">In cases of suspected overdose, </w:t>
      </w:r>
      <w:r w:rsidR="007B26AF">
        <w:t>GIOTRIF</w:t>
      </w:r>
      <w:r w:rsidRPr="00A470B0">
        <w:t xml:space="preserve"> should be withheld </w:t>
      </w:r>
      <w:r>
        <w:t>and supportive care instituted.</w:t>
      </w:r>
    </w:p>
    <w:p w:rsidR="00014579" w:rsidRDefault="00014579" w:rsidP="004F4F53">
      <w:pPr>
        <w:pStyle w:val="PIHeading1"/>
        <w:keepNext w:val="0"/>
      </w:pPr>
      <w:r w:rsidRPr="00336DF7">
        <w:t>PRESENTATION</w:t>
      </w:r>
      <w:r w:rsidR="00694409">
        <w:t xml:space="preserve"> and storage conditions</w:t>
      </w:r>
    </w:p>
    <w:p w:rsidR="00D10E1A" w:rsidRDefault="007B26AF" w:rsidP="00D10E1A">
      <w:pPr>
        <w:pStyle w:val="TextPI"/>
      </w:pPr>
      <w:r>
        <w:t>GIOTRIF</w:t>
      </w:r>
      <w:r w:rsidR="005E2B40" w:rsidRPr="001C74A5">
        <w:t xml:space="preserve"> </w:t>
      </w:r>
      <w:r w:rsidR="00D10E1A" w:rsidRPr="00D603FA">
        <w:t>20</w:t>
      </w:r>
      <w:r w:rsidR="00D10E1A">
        <w:t xml:space="preserve"> </w:t>
      </w:r>
      <w:r w:rsidR="00D10E1A" w:rsidRPr="00D603FA">
        <w:t>mg</w:t>
      </w:r>
      <w:r w:rsidR="005E2B40">
        <w:t xml:space="preserve"> – One tablet contains 20 mg </w:t>
      </w:r>
      <w:proofErr w:type="spellStart"/>
      <w:r w:rsidR="005E2B40" w:rsidRPr="004B386C">
        <w:t>afatinib</w:t>
      </w:r>
      <w:proofErr w:type="spellEnd"/>
      <w:r w:rsidR="005E2B40" w:rsidRPr="004B386C">
        <w:t xml:space="preserve"> </w:t>
      </w:r>
      <w:r w:rsidR="005E2B40">
        <w:rPr>
          <w:rStyle w:val="TextPIChar"/>
        </w:rPr>
        <w:t xml:space="preserve">(as </w:t>
      </w:r>
      <w:proofErr w:type="spellStart"/>
      <w:r w:rsidR="005E2B40" w:rsidRPr="004B386C">
        <w:t>afatinib</w:t>
      </w:r>
      <w:proofErr w:type="spellEnd"/>
      <w:r w:rsidR="005E2B40" w:rsidRPr="004B386C">
        <w:t xml:space="preserve"> </w:t>
      </w:r>
      <w:proofErr w:type="spellStart"/>
      <w:r w:rsidR="005E2B40" w:rsidRPr="004B386C">
        <w:t>dimaleate</w:t>
      </w:r>
      <w:proofErr w:type="spellEnd"/>
      <w:r w:rsidR="005E2B40">
        <w:rPr>
          <w:rStyle w:val="TextPIChar"/>
        </w:rPr>
        <w:t xml:space="preserve">). </w:t>
      </w:r>
      <w:r w:rsidR="00736122">
        <w:rPr>
          <w:rStyle w:val="TextPIChar"/>
        </w:rPr>
        <w:t xml:space="preserve"> </w:t>
      </w:r>
      <w:r w:rsidR="005E2B40">
        <w:rPr>
          <w:rStyle w:val="TextPIChar"/>
        </w:rPr>
        <w:t>The tablets are</w:t>
      </w:r>
      <w:r w:rsidR="005E2B40">
        <w:t xml:space="preserve"> film-coated</w:t>
      </w:r>
      <w:r w:rsidR="00D10E1A" w:rsidRPr="00CA1BBA">
        <w:t xml:space="preserve"> white to slightly yellowish, round, biconvex and bevel-edged. </w:t>
      </w:r>
      <w:r w:rsidR="00736122">
        <w:t xml:space="preserve"> </w:t>
      </w:r>
      <w:r w:rsidR="00D10E1A" w:rsidRPr="001C74A5">
        <w:t xml:space="preserve">One side is </w:t>
      </w:r>
      <w:proofErr w:type="spellStart"/>
      <w:r w:rsidR="00D10E1A" w:rsidRPr="001C74A5">
        <w:t>debossed</w:t>
      </w:r>
      <w:proofErr w:type="spellEnd"/>
      <w:r w:rsidR="00D10E1A" w:rsidRPr="001C74A5">
        <w:t xml:space="preserve"> with the code “T</w:t>
      </w:r>
      <w:r w:rsidR="00D10E1A">
        <w:t>2</w:t>
      </w:r>
      <w:r w:rsidR="00D10E1A" w:rsidRPr="001C74A5">
        <w:t xml:space="preserve">0”, the other side is </w:t>
      </w:r>
      <w:proofErr w:type="spellStart"/>
      <w:r w:rsidR="00D10E1A" w:rsidRPr="001C74A5">
        <w:t>debossed</w:t>
      </w:r>
      <w:proofErr w:type="spellEnd"/>
      <w:r w:rsidR="00D10E1A" w:rsidRPr="001C74A5">
        <w:t xml:space="preserve"> with the </w:t>
      </w:r>
      <w:proofErr w:type="spellStart"/>
      <w:r w:rsidR="00D10E1A" w:rsidRPr="001C74A5">
        <w:t>Boehringer</w:t>
      </w:r>
      <w:proofErr w:type="spellEnd"/>
      <w:r w:rsidR="00D10E1A" w:rsidRPr="001C74A5">
        <w:t xml:space="preserve"> </w:t>
      </w:r>
      <w:proofErr w:type="spellStart"/>
      <w:r w:rsidR="00D10E1A" w:rsidRPr="001C74A5">
        <w:t>Ingelheim</w:t>
      </w:r>
      <w:proofErr w:type="spellEnd"/>
      <w:r w:rsidR="00D10E1A" w:rsidRPr="001C74A5">
        <w:t xml:space="preserve"> company symbol.</w:t>
      </w:r>
      <w:r w:rsidR="005E2B40">
        <w:t xml:space="preserve"> </w:t>
      </w:r>
      <w:r w:rsidR="00736122">
        <w:t xml:space="preserve"> </w:t>
      </w:r>
      <w:r>
        <w:t>GIOTRIF</w:t>
      </w:r>
      <w:r w:rsidR="007F7D9C" w:rsidRPr="001C74A5">
        <w:t xml:space="preserve"> </w:t>
      </w:r>
      <w:r w:rsidR="007F7D9C" w:rsidRPr="00D603FA">
        <w:t>20</w:t>
      </w:r>
      <w:r w:rsidR="007F7D9C">
        <w:t xml:space="preserve"> </w:t>
      </w:r>
      <w:r w:rsidR="007F7D9C" w:rsidRPr="00D603FA">
        <w:t>mg</w:t>
      </w:r>
      <w:r w:rsidR="007F7D9C">
        <w:t xml:space="preserve"> </w:t>
      </w:r>
      <w:r w:rsidR="005E2B40">
        <w:t>are supplied in packs of 7</w:t>
      </w:r>
      <w:r w:rsidR="00394127">
        <w:t>*</w:t>
      </w:r>
      <w:r w:rsidR="005E2B40">
        <w:t>, 14</w:t>
      </w:r>
      <w:r w:rsidR="00394127">
        <w:t>*</w:t>
      </w:r>
      <w:r w:rsidR="005E2B40">
        <w:t xml:space="preserve"> and 28 tablets.</w:t>
      </w:r>
    </w:p>
    <w:p w:rsidR="00D10E1A" w:rsidRDefault="007B26AF" w:rsidP="00D10E1A">
      <w:pPr>
        <w:pStyle w:val="TextPI"/>
      </w:pPr>
      <w:r>
        <w:t>GIOTRIF</w:t>
      </w:r>
      <w:r w:rsidR="005E2B40" w:rsidRPr="001C74A5">
        <w:t xml:space="preserve"> </w:t>
      </w:r>
      <w:r w:rsidR="00D10E1A">
        <w:t xml:space="preserve">30 </w:t>
      </w:r>
      <w:r w:rsidR="00736122">
        <w:t xml:space="preserve">mg </w:t>
      </w:r>
      <w:r w:rsidR="005E2B40">
        <w:t xml:space="preserve">– One tablet contains 30 </w:t>
      </w:r>
      <w:r w:rsidR="00D10E1A">
        <w:t xml:space="preserve">mg </w:t>
      </w:r>
      <w:proofErr w:type="spellStart"/>
      <w:r w:rsidR="005E2B40" w:rsidRPr="004B386C">
        <w:t>afatinib</w:t>
      </w:r>
      <w:proofErr w:type="spellEnd"/>
      <w:r w:rsidR="005E2B40" w:rsidRPr="004B386C">
        <w:t xml:space="preserve"> </w:t>
      </w:r>
      <w:r w:rsidR="005E2B40">
        <w:rPr>
          <w:rStyle w:val="TextPIChar"/>
        </w:rPr>
        <w:t xml:space="preserve">(as </w:t>
      </w:r>
      <w:proofErr w:type="spellStart"/>
      <w:r w:rsidR="005E2B40" w:rsidRPr="004B386C">
        <w:t>afatinib</w:t>
      </w:r>
      <w:proofErr w:type="spellEnd"/>
      <w:r w:rsidR="005E2B40" w:rsidRPr="004B386C">
        <w:t xml:space="preserve"> </w:t>
      </w:r>
      <w:proofErr w:type="spellStart"/>
      <w:r w:rsidR="005E2B40" w:rsidRPr="004B386C">
        <w:t>dimaleate</w:t>
      </w:r>
      <w:proofErr w:type="spellEnd"/>
      <w:r w:rsidR="005E2B40">
        <w:rPr>
          <w:rStyle w:val="TextPIChar"/>
        </w:rPr>
        <w:t xml:space="preserve">). </w:t>
      </w:r>
      <w:r w:rsidR="00736122">
        <w:rPr>
          <w:rStyle w:val="TextPIChar"/>
        </w:rPr>
        <w:t xml:space="preserve"> </w:t>
      </w:r>
      <w:r w:rsidR="005E2B40">
        <w:rPr>
          <w:rStyle w:val="TextPIChar"/>
        </w:rPr>
        <w:t>The tablets are</w:t>
      </w:r>
      <w:r w:rsidR="005E2B40">
        <w:t xml:space="preserve"> film-coated </w:t>
      </w:r>
      <w:r w:rsidR="00D10E1A" w:rsidRPr="00D603FA">
        <w:t>dark blue, round, biconvex</w:t>
      </w:r>
      <w:r w:rsidR="00D10E1A">
        <w:t xml:space="preserve"> and</w:t>
      </w:r>
      <w:r w:rsidR="00D10E1A" w:rsidRPr="00D603FA">
        <w:t xml:space="preserve"> bevel-edged. </w:t>
      </w:r>
      <w:r w:rsidR="00736122">
        <w:t xml:space="preserve"> </w:t>
      </w:r>
      <w:r w:rsidR="00D10E1A" w:rsidRPr="001C74A5">
        <w:t xml:space="preserve">One side is </w:t>
      </w:r>
      <w:proofErr w:type="spellStart"/>
      <w:r w:rsidR="00D10E1A" w:rsidRPr="001C74A5">
        <w:t>debossed</w:t>
      </w:r>
      <w:proofErr w:type="spellEnd"/>
      <w:r w:rsidR="00D10E1A" w:rsidRPr="001C74A5">
        <w:t xml:space="preserve"> with the code </w:t>
      </w:r>
      <w:r w:rsidR="00D10E1A">
        <w:t>“</w:t>
      </w:r>
      <w:r w:rsidR="00D10E1A" w:rsidRPr="001C74A5">
        <w:t>T</w:t>
      </w:r>
      <w:r w:rsidR="00D10E1A">
        <w:t>3</w:t>
      </w:r>
      <w:r w:rsidR="00D10E1A" w:rsidRPr="001C74A5">
        <w:t xml:space="preserve">0”, the other side is </w:t>
      </w:r>
      <w:proofErr w:type="spellStart"/>
      <w:r w:rsidR="00D10E1A" w:rsidRPr="001C74A5">
        <w:t>debossed</w:t>
      </w:r>
      <w:proofErr w:type="spellEnd"/>
      <w:r w:rsidR="00D10E1A" w:rsidRPr="001C74A5">
        <w:t xml:space="preserve"> with the </w:t>
      </w:r>
      <w:proofErr w:type="spellStart"/>
      <w:r w:rsidR="00D10E1A" w:rsidRPr="001C74A5">
        <w:t>Boehringer</w:t>
      </w:r>
      <w:proofErr w:type="spellEnd"/>
      <w:r w:rsidR="00D10E1A" w:rsidRPr="001C74A5">
        <w:t xml:space="preserve"> </w:t>
      </w:r>
      <w:proofErr w:type="spellStart"/>
      <w:r w:rsidR="00D10E1A" w:rsidRPr="001C74A5">
        <w:t>Ingelheim</w:t>
      </w:r>
      <w:proofErr w:type="spellEnd"/>
      <w:r w:rsidR="00D10E1A" w:rsidRPr="001C74A5">
        <w:t xml:space="preserve"> company symbol.</w:t>
      </w:r>
      <w:r w:rsidR="005E2B40">
        <w:t xml:space="preserve"> </w:t>
      </w:r>
      <w:r w:rsidR="00736122">
        <w:t xml:space="preserve"> </w:t>
      </w:r>
      <w:r>
        <w:t>GIOTRIF</w:t>
      </w:r>
      <w:r w:rsidR="007F7D9C" w:rsidRPr="001C74A5">
        <w:t xml:space="preserve"> </w:t>
      </w:r>
      <w:r w:rsidR="007F7D9C">
        <w:t>3</w:t>
      </w:r>
      <w:r w:rsidR="007F7D9C" w:rsidRPr="00D603FA">
        <w:t>0</w:t>
      </w:r>
      <w:r w:rsidR="007F7D9C">
        <w:t xml:space="preserve"> </w:t>
      </w:r>
      <w:r w:rsidR="007F7D9C" w:rsidRPr="00D603FA">
        <w:t>mg</w:t>
      </w:r>
      <w:r w:rsidR="005E2B40">
        <w:t xml:space="preserve"> are supplied in packs of 7</w:t>
      </w:r>
      <w:r w:rsidR="00394127">
        <w:t>*</w:t>
      </w:r>
      <w:r w:rsidR="005E2B40">
        <w:t>, 14</w:t>
      </w:r>
      <w:r w:rsidR="00394127">
        <w:t>*</w:t>
      </w:r>
      <w:r w:rsidR="005E2B40">
        <w:t xml:space="preserve"> and 28 tablets.</w:t>
      </w:r>
    </w:p>
    <w:p w:rsidR="00D10E1A" w:rsidRDefault="007B26AF" w:rsidP="00D10E1A">
      <w:pPr>
        <w:pStyle w:val="TextPI"/>
      </w:pPr>
      <w:r>
        <w:t>GIOTRIF</w:t>
      </w:r>
      <w:r w:rsidR="00736122">
        <w:rPr>
          <w:vertAlign w:val="superscript"/>
        </w:rPr>
        <w:t xml:space="preserve"> </w:t>
      </w:r>
      <w:r w:rsidR="00D10E1A">
        <w:t xml:space="preserve">40 mg </w:t>
      </w:r>
      <w:r w:rsidR="005E2B40">
        <w:t xml:space="preserve">– One tablet contains 40 mg </w:t>
      </w:r>
      <w:proofErr w:type="spellStart"/>
      <w:r w:rsidR="005E2B40" w:rsidRPr="004B386C">
        <w:t>afatinib</w:t>
      </w:r>
      <w:proofErr w:type="spellEnd"/>
      <w:r w:rsidR="005E2B40" w:rsidRPr="004B386C">
        <w:t xml:space="preserve"> </w:t>
      </w:r>
      <w:r w:rsidR="005E2B40">
        <w:rPr>
          <w:rStyle w:val="TextPIChar"/>
        </w:rPr>
        <w:t xml:space="preserve">(as </w:t>
      </w:r>
      <w:proofErr w:type="spellStart"/>
      <w:r w:rsidR="005E2B40" w:rsidRPr="004B386C">
        <w:t>afatinib</w:t>
      </w:r>
      <w:proofErr w:type="spellEnd"/>
      <w:r w:rsidR="005E2B40" w:rsidRPr="004B386C">
        <w:t xml:space="preserve"> </w:t>
      </w:r>
      <w:proofErr w:type="spellStart"/>
      <w:r w:rsidR="005E2B40" w:rsidRPr="004B386C">
        <w:t>dimaleate</w:t>
      </w:r>
      <w:proofErr w:type="spellEnd"/>
      <w:r w:rsidR="005E2B40">
        <w:rPr>
          <w:rStyle w:val="TextPIChar"/>
        </w:rPr>
        <w:t xml:space="preserve">). </w:t>
      </w:r>
      <w:r w:rsidR="00736122">
        <w:rPr>
          <w:rStyle w:val="TextPIChar"/>
        </w:rPr>
        <w:t xml:space="preserve"> </w:t>
      </w:r>
      <w:r w:rsidR="005E2B40">
        <w:rPr>
          <w:rStyle w:val="TextPIChar"/>
        </w:rPr>
        <w:t>The tablets are</w:t>
      </w:r>
      <w:r w:rsidR="005E2B40">
        <w:t xml:space="preserve"> </w:t>
      </w:r>
      <w:r w:rsidR="00D10E1A">
        <w:t xml:space="preserve">film-coated </w:t>
      </w:r>
      <w:r w:rsidR="00D10E1A" w:rsidRPr="00D603FA">
        <w:t>light blue, round, biconvex</w:t>
      </w:r>
      <w:r w:rsidR="00D10E1A">
        <w:t xml:space="preserve"> and</w:t>
      </w:r>
      <w:r w:rsidR="00D10E1A" w:rsidRPr="00D603FA">
        <w:t xml:space="preserve"> bevel-edged. </w:t>
      </w:r>
      <w:r w:rsidR="00736122">
        <w:t xml:space="preserve"> </w:t>
      </w:r>
      <w:r w:rsidR="00D10E1A" w:rsidRPr="001C74A5">
        <w:t xml:space="preserve">One side is </w:t>
      </w:r>
      <w:proofErr w:type="spellStart"/>
      <w:r w:rsidR="00D10E1A" w:rsidRPr="001C74A5">
        <w:t>debossed</w:t>
      </w:r>
      <w:proofErr w:type="spellEnd"/>
      <w:r w:rsidR="00D10E1A" w:rsidRPr="001C74A5">
        <w:t xml:space="preserve"> with the code “T</w:t>
      </w:r>
      <w:r w:rsidR="00D10E1A">
        <w:t>4</w:t>
      </w:r>
      <w:r w:rsidR="00D10E1A" w:rsidRPr="001C74A5">
        <w:t xml:space="preserve">0”, the other side is </w:t>
      </w:r>
      <w:proofErr w:type="spellStart"/>
      <w:r w:rsidR="00D10E1A" w:rsidRPr="001C74A5">
        <w:t>debossed</w:t>
      </w:r>
      <w:proofErr w:type="spellEnd"/>
      <w:r w:rsidR="00D10E1A" w:rsidRPr="001C74A5">
        <w:t xml:space="preserve"> with the </w:t>
      </w:r>
      <w:proofErr w:type="spellStart"/>
      <w:r w:rsidR="00D10E1A" w:rsidRPr="001C74A5">
        <w:t>Boehringer</w:t>
      </w:r>
      <w:proofErr w:type="spellEnd"/>
      <w:r w:rsidR="00D10E1A" w:rsidRPr="001C74A5">
        <w:t xml:space="preserve"> </w:t>
      </w:r>
      <w:proofErr w:type="spellStart"/>
      <w:r w:rsidR="00D10E1A" w:rsidRPr="001C74A5">
        <w:t>Ingelheim</w:t>
      </w:r>
      <w:proofErr w:type="spellEnd"/>
      <w:r w:rsidR="00D10E1A" w:rsidRPr="001C74A5">
        <w:t xml:space="preserve"> company symbol.</w:t>
      </w:r>
      <w:r w:rsidR="00736122">
        <w:t xml:space="preserve"> </w:t>
      </w:r>
      <w:r w:rsidR="005E2B40">
        <w:t xml:space="preserve"> </w:t>
      </w:r>
      <w:r>
        <w:t>GIOTRIF</w:t>
      </w:r>
      <w:r w:rsidR="007F7D9C">
        <w:rPr>
          <w:vertAlign w:val="superscript"/>
        </w:rPr>
        <w:t xml:space="preserve"> </w:t>
      </w:r>
      <w:r w:rsidR="007F7D9C">
        <w:t>40 mg</w:t>
      </w:r>
      <w:r w:rsidR="005E2B40">
        <w:t xml:space="preserve"> are supplied in packs of 7</w:t>
      </w:r>
      <w:r w:rsidR="00394127">
        <w:t>*</w:t>
      </w:r>
      <w:r w:rsidR="005E2B40">
        <w:t>, 14</w:t>
      </w:r>
      <w:r w:rsidR="00394127">
        <w:t>*</w:t>
      </w:r>
      <w:r w:rsidR="005E2B40">
        <w:t xml:space="preserve"> and 28 tablets.</w:t>
      </w:r>
    </w:p>
    <w:p w:rsidR="00D10E1A" w:rsidRDefault="007B26AF" w:rsidP="004F4F53">
      <w:pPr>
        <w:pStyle w:val="TextPI"/>
      </w:pPr>
      <w:r>
        <w:t>GIOTRIF</w:t>
      </w:r>
      <w:r w:rsidR="005E2B40" w:rsidRPr="001C74A5">
        <w:t xml:space="preserve"> </w:t>
      </w:r>
      <w:r w:rsidR="00D10E1A">
        <w:t xml:space="preserve">50 mg </w:t>
      </w:r>
      <w:r w:rsidR="005E2B40">
        <w:t xml:space="preserve">– One tablet contains 50 mg </w:t>
      </w:r>
      <w:proofErr w:type="spellStart"/>
      <w:r w:rsidR="005E2B40" w:rsidRPr="004B386C">
        <w:t>afatinib</w:t>
      </w:r>
      <w:proofErr w:type="spellEnd"/>
      <w:r w:rsidR="005E2B40" w:rsidRPr="004B386C">
        <w:t xml:space="preserve"> </w:t>
      </w:r>
      <w:r w:rsidR="005E2B40">
        <w:rPr>
          <w:rStyle w:val="TextPIChar"/>
        </w:rPr>
        <w:t xml:space="preserve">(as </w:t>
      </w:r>
      <w:proofErr w:type="spellStart"/>
      <w:r w:rsidR="005E2B40" w:rsidRPr="004B386C">
        <w:t>afatinib</w:t>
      </w:r>
      <w:proofErr w:type="spellEnd"/>
      <w:r w:rsidR="005E2B40" w:rsidRPr="004B386C">
        <w:t xml:space="preserve"> </w:t>
      </w:r>
      <w:proofErr w:type="spellStart"/>
      <w:r w:rsidR="005E2B40" w:rsidRPr="004B386C">
        <w:t>dimaleate</w:t>
      </w:r>
      <w:proofErr w:type="spellEnd"/>
      <w:r w:rsidR="005E2B40">
        <w:rPr>
          <w:rStyle w:val="TextPIChar"/>
        </w:rPr>
        <w:t xml:space="preserve">). </w:t>
      </w:r>
      <w:r w:rsidR="00736122">
        <w:rPr>
          <w:rStyle w:val="TextPIChar"/>
        </w:rPr>
        <w:t xml:space="preserve"> </w:t>
      </w:r>
      <w:r w:rsidR="005E2B40">
        <w:rPr>
          <w:rStyle w:val="TextPIChar"/>
        </w:rPr>
        <w:t xml:space="preserve">The tablets are </w:t>
      </w:r>
      <w:r w:rsidR="00D10E1A">
        <w:t xml:space="preserve">film-coated </w:t>
      </w:r>
      <w:r w:rsidR="00D10E1A" w:rsidRPr="001C74A5">
        <w:t xml:space="preserve">dark blue, oval and biconvex. </w:t>
      </w:r>
      <w:r w:rsidR="00736122">
        <w:t xml:space="preserve"> </w:t>
      </w:r>
      <w:r w:rsidR="00D10E1A" w:rsidRPr="001C74A5">
        <w:t xml:space="preserve">One side is </w:t>
      </w:r>
      <w:proofErr w:type="spellStart"/>
      <w:r w:rsidR="00D10E1A" w:rsidRPr="001C74A5">
        <w:t>debossed</w:t>
      </w:r>
      <w:proofErr w:type="spellEnd"/>
      <w:r w:rsidR="00D10E1A" w:rsidRPr="001C74A5">
        <w:t xml:space="preserve"> with the code “T50”, the other side is </w:t>
      </w:r>
      <w:proofErr w:type="spellStart"/>
      <w:r w:rsidR="00D10E1A" w:rsidRPr="001C74A5">
        <w:t>debossed</w:t>
      </w:r>
      <w:proofErr w:type="spellEnd"/>
      <w:r w:rsidR="00D10E1A" w:rsidRPr="001C74A5">
        <w:t xml:space="preserve"> with the </w:t>
      </w:r>
      <w:proofErr w:type="spellStart"/>
      <w:r w:rsidR="00D10E1A" w:rsidRPr="001C74A5">
        <w:t>Boehringer</w:t>
      </w:r>
      <w:proofErr w:type="spellEnd"/>
      <w:r w:rsidR="00D10E1A" w:rsidRPr="001C74A5">
        <w:t xml:space="preserve"> </w:t>
      </w:r>
      <w:proofErr w:type="spellStart"/>
      <w:r w:rsidR="00D10E1A" w:rsidRPr="001C74A5">
        <w:t>Ingelheim</w:t>
      </w:r>
      <w:proofErr w:type="spellEnd"/>
      <w:r w:rsidR="00D10E1A" w:rsidRPr="001C74A5">
        <w:t xml:space="preserve"> company symbol.</w:t>
      </w:r>
      <w:r w:rsidR="005E2B40" w:rsidRPr="005E2B40">
        <w:t xml:space="preserve"> </w:t>
      </w:r>
      <w:r w:rsidR="00736122">
        <w:t xml:space="preserve"> </w:t>
      </w:r>
      <w:r>
        <w:t>GIOTRIF</w:t>
      </w:r>
      <w:r w:rsidR="007F7D9C" w:rsidRPr="001C74A5">
        <w:t xml:space="preserve"> </w:t>
      </w:r>
      <w:r w:rsidR="007F7D9C">
        <w:t xml:space="preserve">50 mg </w:t>
      </w:r>
      <w:r w:rsidR="005E2B40">
        <w:t>are supplied in packs of 7</w:t>
      </w:r>
      <w:r w:rsidR="00394127">
        <w:t>*</w:t>
      </w:r>
      <w:r w:rsidR="005E2B40">
        <w:t>, 14</w:t>
      </w:r>
      <w:r w:rsidR="00394127">
        <w:t>*</w:t>
      </w:r>
      <w:r w:rsidR="005E2B40">
        <w:t xml:space="preserve"> and 28 tablets.</w:t>
      </w:r>
    </w:p>
    <w:p w:rsidR="00810A10" w:rsidRDefault="00810A10" w:rsidP="004F4F53">
      <w:pPr>
        <w:pStyle w:val="TextPI"/>
      </w:pPr>
      <w:r w:rsidRPr="001C74A5">
        <w:t xml:space="preserve">Seven </w:t>
      </w:r>
      <w:r w:rsidR="007B26AF">
        <w:t>GIOTRIF</w:t>
      </w:r>
      <w:r w:rsidRPr="001C74A5">
        <w:t xml:space="preserve"> film-coated tablets are packed in one </w:t>
      </w:r>
      <w:r>
        <w:t xml:space="preserve">perforated unit dose </w:t>
      </w:r>
      <w:r w:rsidRPr="001C74A5">
        <w:t xml:space="preserve">blister card </w:t>
      </w:r>
      <w:r>
        <w:t>consisting</w:t>
      </w:r>
      <w:r w:rsidRPr="001C74A5">
        <w:t xml:space="preserve"> of a PVC/PVDC forming sheet and an </w:t>
      </w:r>
      <w:proofErr w:type="spellStart"/>
      <w:r w:rsidRPr="001C74A5">
        <w:t>aluminium</w:t>
      </w:r>
      <w:proofErr w:type="spellEnd"/>
      <w:r w:rsidRPr="001C74A5">
        <w:t xml:space="preserve"> lidding foil. </w:t>
      </w:r>
      <w:r w:rsidR="00736122">
        <w:t xml:space="preserve"> </w:t>
      </w:r>
      <w:r w:rsidRPr="001C74A5">
        <w:t xml:space="preserve">One blister card is </w:t>
      </w:r>
      <w:r w:rsidRPr="001C74A5">
        <w:lastRenderedPageBreak/>
        <w:t>packed together with a desiccant sachet in a laminat</w:t>
      </w:r>
      <w:r>
        <w:t xml:space="preserve">ed </w:t>
      </w:r>
      <w:proofErr w:type="spellStart"/>
      <w:r>
        <w:t>aluminium</w:t>
      </w:r>
      <w:proofErr w:type="spellEnd"/>
      <w:r>
        <w:t xml:space="preserve"> pouch. </w:t>
      </w:r>
      <w:r w:rsidR="00736122">
        <w:t xml:space="preserve"> </w:t>
      </w:r>
      <w:r>
        <w:t xml:space="preserve">One, </w:t>
      </w:r>
      <w:r w:rsidR="00736122">
        <w:t>two</w:t>
      </w:r>
      <w:r>
        <w:t xml:space="preserve"> or </w:t>
      </w:r>
      <w:r w:rsidR="008E241B">
        <w:t>four</w:t>
      </w:r>
      <w:r>
        <w:t> </w:t>
      </w:r>
      <w:r w:rsidRPr="001C74A5">
        <w:t xml:space="preserve">pouches are packed into a carton box resulting in </w:t>
      </w:r>
      <w:r>
        <w:t xml:space="preserve">pack sizes of </w:t>
      </w:r>
      <w:r w:rsidRPr="007F7D9C">
        <w:t>7</w:t>
      </w:r>
      <w:r w:rsidR="0074316F">
        <w:t>*</w:t>
      </w:r>
      <w:r w:rsidRPr="007F7D9C">
        <w:t>, 14</w:t>
      </w:r>
      <w:r w:rsidR="0074316F">
        <w:t>*</w:t>
      </w:r>
      <w:r w:rsidRPr="007F7D9C">
        <w:t xml:space="preserve"> or 28</w:t>
      </w:r>
      <w:r w:rsidR="0074316F">
        <w:t xml:space="preserve"> </w:t>
      </w:r>
      <w:r w:rsidRPr="007F7D9C">
        <w:t>film</w:t>
      </w:r>
      <w:r w:rsidR="0074316F">
        <w:t>-</w:t>
      </w:r>
      <w:r w:rsidRPr="007F7D9C">
        <w:t xml:space="preserve">coated </w:t>
      </w:r>
      <w:r w:rsidR="008317C2" w:rsidRPr="007F7D9C">
        <w:t>tablets per pack, respectively.</w:t>
      </w:r>
    </w:p>
    <w:p w:rsidR="0074316F" w:rsidRPr="001C74A5" w:rsidRDefault="0074316F" w:rsidP="0074316F">
      <w:pPr>
        <w:pStyle w:val="TextPI"/>
      </w:pPr>
      <w:r>
        <w:t>*</w:t>
      </w:r>
      <w:r w:rsidRPr="005B461E">
        <w:t>Not distributed in Australia.</w:t>
      </w:r>
    </w:p>
    <w:p w:rsidR="009900B2" w:rsidRDefault="009900B2" w:rsidP="000E25AD">
      <w:pPr>
        <w:pStyle w:val="TextPI"/>
        <w:rPr>
          <w:lang w:val="en-AU"/>
        </w:rPr>
      </w:pPr>
      <w:r>
        <w:rPr>
          <w:lang w:val="en-AU"/>
        </w:rPr>
        <w:t>Store below 30</w:t>
      </w:r>
      <w:r>
        <w:rPr>
          <w:lang w:val="en-AU"/>
        </w:rPr>
        <w:sym w:font="Symbol" w:char="F0B0"/>
      </w:r>
      <w:r>
        <w:rPr>
          <w:lang w:val="en-AU"/>
        </w:rPr>
        <w:t>C.</w:t>
      </w:r>
      <w:r w:rsidR="008E241B">
        <w:rPr>
          <w:lang w:val="en-AU"/>
        </w:rPr>
        <w:t xml:space="preserve"> </w:t>
      </w:r>
      <w:r w:rsidR="001A09FF">
        <w:rPr>
          <w:lang w:val="en-AU"/>
        </w:rPr>
        <w:t xml:space="preserve"> </w:t>
      </w:r>
      <w:proofErr w:type="gramStart"/>
      <w:r w:rsidR="00810A10" w:rsidRPr="001C74A5">
        <w:t>Store in the original package in order to protect from moisture and light.</w:t>
      </w:r>
      <w:proofErr w:type="gramEnd"/>
    </w:p>
    <w:p w:rsidR="000A1804" w:rsidRPr="00BA11A5" w:rsidRDefault="000A1804" w:rsidP="00582B31">
      <w:pPr>
        <w:pStyle w:val="PIHeading1"/>
        <w:keepLines/>
      </w:pPr>
      <w:r w:rsidRPr="00BA11A5">
        <w:t>NAME AND ADDRESS OF THE SPONSOR</w:t>
      </w:r>
    </w:p>
    <w:p w:rsidR="000A1804" w:rsidRPr="0093486C" w:rsidRDefault="000A1804" w:rsidP="00582B31">
      <w:pPr>
        <w:pStyle w:val="TextPI"/>
        <w:keepNext/>
        <w:keepLines/>
      </w:pPr>
      <w:proofErr w:type="spellStart"/>
      <w:r w:rsidRPr="0093486C">
        <w:t>Boehringer</w:t>
      </w:r>
      <w:proofErr w:type="spellEnd"/>
      <w:r w:rsidRPr="0093486C">
        <w:t xml:space="preserve"> </w:t>
      </w:r>
      <w:proofErr w:type="spellStart"/>
      <w:r w:rsidRPr="0093486C">
        <w:t>Ingelheim</w:t>
      </w:r>
      <w:proofErr w:type="spellEnd"/>
      <w:r w:rsidRPr="0093486C">
        <w:t xml:space="preserve"> Pty Limited</w:t>
      </w:r>
    </w:p>
    <w:p w:rsidR="000A1804" w:rsidRPr="0093486C" w:rsidRDefault="000A1804" w:rsidP="00582B31">
      <w:pPr>
        <w:pStyle w:val="TextPI"/>
        <w:keepNext/>
        <w:keepLines/>
      </w:pPr>
      <w:r w:rsidRPr="0093486C">
        <w:t>ABN 52 000 452 308</w:t>
      </w:r>
    </w:p>
    <w:p w:rsidR="000A1804" w:rsidRPr="0093486C" w:rsidRDefault="000A1804" w:rsidP="00582B31">
      <w:pPr>
        <w:pStyle w:val="TextPI"/>
        <w:keepNext/>
        <w:keepLines/>
      </w:pPr>
      <w:r w:rsidRPr="0093486C">
        <w:t>78 Waterloo Road</w:t>
      </w:r>
    </w:p>
    <w:p w:rsidR="000A1804" w:rsidRPr="0093486C" w:rsidRDefault="000A1804" w:rsidP="00582B31">
      <w:pPr>
        <w:pStyle w:val="TextPI"/>
        <w:keepNext/>
        <w:keepLines/>
      </w:pPr>
      <w:r w:rsidRPr="0093486C">
        <w:t xml:space="preserve">North </w:t>
      </w:r>
      <w:proofErr w:type="spellStart"/>
      <w:r w:rsidRPr="0093486C">
        <w:t>Ryde</w:t>
      </w:r>
      <w:proofErr w:type="spellEnd"/>
      <w:r w:rsidRPr="0093486C">
        <w:t xml:space="preserve"> NSW 2113</w:t>
      </w:r>
    </w:p>
    <w:p w:rsidR="000A1804" w:rsidRPr="00BA11A5" w:rsidRDefault="000A1804" w:rsidP="004F4F53">
      <w:pPr>
        <w:pStyle w:val="PIHeading1"/>
        <w:keepNext w:val="0"/>
      </w:pPr>
      <w:r w:rsidRPr="00BA11A5">
        <w:t>POISON SCHEDULE OF THE MEDICINE</w:t>
      </w:r>
    </w:p>
    <w:p w:rsidR="000A1804" w:rsidRPr="00BA11A5" w:rsidRDefault="000A1804" w:rsidP="004F4F53">
      <w:pPr>
        <w:pStyle w:val="TextPI"/>
      </w:pPr>
      <w:r w:rsidRPr="00BA11A5">
        <w:t>S4 – Prescription Only Medicine</w:t>
      </w:r>
    </w:p>
    <w:p w:rsidR="00102140" w:rsidRPr="00381F35" w:rsidRDefault="009900B2" w:rsidP="00941314">
      <w:pPr>
        <w:pStyle w:val="PIHeading1"/>
        <w:keepLines/>
        <w:tabs>
          <w:tab w:val="clear" w:pos="1418"/>
          <w:tab w:val="left" w:pos="0"/>
        </w:tabs>
        <w:ind w:left="0" w:firstLine="0"/>
      </w:pPr>
      <w:r w:rsidRPr="00DE664A">
        <w:t>Date of first inclusion in the Australian Register of Therapeutic Goods (the ARTG)</w:t>
      </w:r>
    </w:p>
    <w:p w:rsidR="00102140" w:rsidRDefault="00685034" w:rsidP="00941314">
      <w:pPr>
        <w:pStyle w:val="TextPI"/>
        <w:keepNext/>
        <w:keepLines/>
      </w:pPr>
      <w:r>
        <w:t>07 November 2013</w:t>
      </w:r>
    </w:p>
    <w:p w:rsidR="00102140" w:rsidRDefault="00102140" w:rsidP="00941314">
      <w:pPr>
        <w:pStyle w:val="TextPI"/>
        <w:keepNext/>
        <w:keepLines/>
        <w:rPr>
          <w:lang w:val="en-AU"/>
        </w:rPr>
      </w:pPr>
    </w:p>
    <w:sectPr w:rsidR="00102140" w:rsidSect="000C1FAF">
      <w:headerReference w:type="default" r:id="rId14"/>
      <w:footerReference w:type="default" r:id="rId15"/>
      <w:pgSz w:w="11907" w:h="16840" w:code="9"/>
      <w:pgMar w:top="1077" w:right="1304" w:bottom="1134" w:left="1304" w:header="68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8A" w:rsidRDefault="00A7398A" w:rsidP="00102140">
      <w:r>
        <w:separator/>
      </w:r>
    </w:p>
  </w:endnote>
  <w:endnote w:type="continuationSeparator" w:id="0">
    <w:p w:rsidR="00A7398A" w:rsidRDefault="00A7398A" w:rsidP="0010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Logo"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8B" w:rsidRPr="000A1951" w:rsidRDefault="001A2D8B">
    <w:pPr>
      <w:pStyle w:val="Footer"/>
      <w:rPr>
        <w:sz w:val="20"/>
      </w:rPr>
    </w:pPr>
    <w:r w:rsidRPr="000A1951">
      <w:rPr>
        <w:rFonts w:ascii="Arial" w:hAnsi="Arial" w:cs="Arial"/>
        <w:position w:val="6"/>
        <w:sz w:val="18"/>
        <w:szCs w:val="16"/>
      </w:rPr>
      <w:t>PI014</w:t>
    </w:r>
    <w:r>
      <w:rPr>
        <w:rFonts w:ascii="Arial" w:hAnsi="Arial" w:cs="Arial"/>
        <w:position w:val="6"/>
        <w:sz w:val="18"/>
        <w:szCs w:val="16"/>
      </w:rPr>
      <w:t>3</w:t>
    </w:r>
    <w:r w:rsidRPr="000A1951">
      <w:rPr>
        <w:rFonts w:ascii="Arial" w:hAnsi="Arial" w:cs="Arial"/>
        <w:position w:val="6"/>
        <w:sz w:val="18"/>
        <w:szCs w:val="16"/>
      </w:rPr>
      <w:t>-01</w:t>
    </w:r>
    <w:r w:rsidRPr="000A1951">
      <w:rPr>
        <w:sz w:val="20"/>
      </w:rPr>
      <w:tab/>
    </w:r>
    <w:r w:rsidRPr="000A1951">
      <w:rPr>
        <w:sz w:val="20"/>
      </w:rPr>
      <w:tab/>
    </w:r>
    <w:r w:rsidRPr="000A1951">
      <w:rPr>
        <w:rFonts w:ascii="Arial" w:hAnsi="Arial" w:cs="Arial"/>
        <w:sz w:val="18"/>
      </w:rPr>
      <w:fldChar w:fldCharType="begin"/>
    </w:r>
    <w:r w:rsidRPr="000A1951">
      <w:rPr>
        <w:rFonts w:ascii="Arial" w:hAnsi="Arial" w:cs="Arial"/>
        <w:sz w:val="18"/>
      </w:rPr>
      <w:instrText xml:space="preserve"> PAGE   \* MERGEFORMAT </w:instrText>
    </w:r>
    <w:r w:rsidRPr="000A1951">
      <w:rPr>
        <w:rFonts w:ascii="Arial" w:hAnsi="Arial" w:cs="Arial"/>
        <w:sz w:val="18"/>
      </w:rPr>
      <w:fldChar w:fldCharType="separate"/>
    </w:r>
    <w:r w:rsidR="00341BD0">
      <w:rPr>
        <w:rFonts w:ascii="Arial" w:hAnsi="Arial" w:cs="Arial"/>
        <w:noProof/>
        <w:sz w:val="18"/>
      </w:rPr>
      <w:t>1</w:t>
    </w:r>
    <w:r w:rsidRPr="000A1951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8A" w:rsidRDefault="00A7398A" w:rsidP="00102140">
      <w:r>
        <w:separator/>
      </w:r>
    </w:p>
  </w:footnote>
  <w:footnote w:type="continuationSeparator" w:id="0">
    <w:p w:rsidR="00A7398A" w:rsidRDefault="00A7398A" w:rsidP="0010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AC" w:rsidRPr="000A0DAC" w:rsidRDefault="00501B2F" w:rsidP="00501B2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4F2E0"/>
      <w:spacing w:before="40" w:after="40"/>
    </w:pPr>
    <w:r w:rsidRPr="00D361CA">
      <w:rPr>
        <w:b/>
        <w:sz w:val="20"/>
      </w:rPr>
      <w:t xml:space="preserve">Attachment 1: Product information for </w:t>
    </w:r>
    <w:proofErr w:type="spellStart"/>
    <w:r w:rsidRPr="00501B2F">
      <w:rPr>
        <w:b/>
        <w:sz w:val="20"/>
      </w:rPr>
      <w:t>AusPAR</w:t>
    </w:r>
    <w:proofErr w:type="spellEnd"/>
    <w:r w:rsidRPr="00501B2F">
      <w:rPr>
        <w:b/>
        <w:sz w:val="20"/>
      </w:rPr>
      <w:t xml:space="preserve"> </w:t>
    </w:r>
    <w:proofErr w:type="spellStart"/>
    <w:r w:rsidRPr="00501B2F">
      <w:rPr>
        <w:b/>
        <w:sz w:val="20"/>
      </w:rPr>
      <w:t>Giotrif</w:t>
    </w:r>
    <w:proofErr w:type="spellEnd"/>
    <w:r w:rsidRPr="00501B2F">
      <w:rPr>
        <w:b/>
        <w:sz w:val="20"/>
      </w:rPr>
      <w:t xml:space="preserve"> </w:t>
    </w:r>
    <w:proofErr w:type="spellStart"/>
    <w:r w:rsidRPr="00501B2F">
      <w:rPr>
        <w:b/>
        <w:sz w:val="20"/>
      </w:rPr>
      <w:t>Boehringer</w:t>
    </w:r>
    <w:proofErr w:type="spellEnd"/>
    <w:r w:rsidRPr="00501B2F">
      <w:rPr>
        <w:b/>
        <w:sz w:val="20"/>
      </w:rPr>
      <w:t xml:space="preserve"> </w:t>
    </w:r>
    <w:proofErr w:type="spellStart"/>
    <w:r w:rsidRPr="00501B2F">
      <w:rPr>
        <w:b/>
        <w:sz w:val="20"/>
      </w:rPr>
      <w:t>Ingelheim</w:t>
    </w:r>
    <w:proofErr w:type="spellEnd"/>
    <w:r w:rsidRPr="00501B2F">
      <w:rPr>
        <w:b/>
        <w:sz w:val="20"/>
      </w:rPr>
      <w:t xml:space="preserve"> Pty Ltd PM-2012-02708-3-4</w:t>
    </w:r>
    <w:r>
      <w:rPr>
        <w:b/>
        <w:sz w:val="20"/>
      </w:rPr>
      <w:t xml:space="preserve"> </w:t>
    </w:r>
    <w:r w:rsidRPr="00501B2F">
      <w:rPr>
        <w:b/>
        <w:sz w:val="20"/>
      </w:rPr>
      <w:t>Final 14 April 2014</w:t>
    </w:r>
    <w:r w:rsidRPr="00D361CA">
      <w:rPr>
        <w:b/>
        <w:sz w:val="20"/>
      </w:rPr>
      <w:t xml:space="preserve">. This Product Information was approved at the time this </w:t>
    </w:r>
    <w:proofErr w:type="spellStart"/>
    <w:r w:rsidRPr="00D361CA">
      <w:rPr>
        <w:b/>
        <w:sz w:val="20"/>
      </w:rPr>
      <w:t>AusPAR</w:t>
    </w:r>
    <w:proofErr w:type="spellEnd"/>
    <w:r w:rsidRPr="00D361CA">
      <w:rPr>
        <w:b/>
        <w:sz w:val="20"/>
      </w:rPr>
      <w:t xml:space="preserve"> was published.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3BAA"/>
    <w:multiLevelType w:val="hybridMultilevel"/>
    <w:tmpl w:val="40D23BF8"/>
    <w:lvl w:ilvl="0" w:tplc="9492530A">
      <w:start w:val="10"/>
      <w:numFmt w:val="decimal"/>
      <w:lvlText w:val="%1"/>
      <w:lvlJc w:val="left"/>
      <w:pPr>
        <w:ind w:left="720" w:hanging="360"/>
      </w:pPr>
      <w:rPr>
        <w:rFonts w:hint="default"/>
        <w:i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3736"/>
    <w:multiLevelType w:val="hybridMultilevel"/>
    <w:tmpl w:val="D71CFC8E"/>
    <w:lvl w:ilvl="0" w:tplc="192E4DEC">
      <w:start w:val="15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84DEA"/>
    <w:multiLevelType w:val="hybridMultilevel"/>
    <w:tmpl w:val="275C424A"/>
    <w:lvl w:ilvl="0" w:tplc="F8322FE8">
      <w:start w:val="9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14E23"/>
    <w:multiLevelType w:val="hybridMultilevel"/>
    <w:tmpl w:val="7A72DFBA"/>
    <w:lvl w:ilvl="0" w:tplc="088E7694">
      <w:start w:val="6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5449"/>
    <w:multiLevelType w:val="hybridMultilevel"/>
    <w:tmpl w:val="A7526344"/>
    <w:lvl w:ilvl="0" w:tplc="0C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F4C81"/>
    <w:multiLevelType w:val="hybridMultilevel"/>
    <w:tmpl w:val="099A963C"/>
    <w:lvl w:ilvl="0" w:tplc="0C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66889"/>
    <w:multiLevelType w:val="hybridMultilevel"/>
    <w:tmpl w:val="1CBCC704"/>
    <w:lvl w:ilvl="0" w:tplc="1ACEC3B2">
      <w:start w:val="1"/>
      <w:numFmt w:val="bullet"/>
      <w:pStyle w:val="TextPI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E7374"/>
    <w:multiLevelType w:val="hybridMultilevel"/>
    <w:tmpl w:val="89DADF14"/>
    <w:lvl w:ilvl="0" w:tplc="2932ADBC">
      <w:start w:val="10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76DE8"/>
    <w:multiLevelType w:val="hybridMultilevel"/>
    <w:tmpl w:val="13F03264"/>
    <w:lvl w:ilvl="0" w:tplc="0C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40F83"/>
    <w:multiLevelType w:val="hybridMultilevel"/>
    <w:tmpl w:val="0A5A7574"/>
    <w:lvl w:ilvl="0" w:tplc="0C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429E9"/>
    <w:multiLevelType w:val="hybridMultilevel"/>
    <w:tmpl w:val="FB7ED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1263D"/>
    <w:multiLevelType w:val="hybridMultilevel"/>
    <w:tmpl w:val="73142330"/>
    <w:lvl w:ilvl="0" w:tplc="9492530A">
      <w:start w:val="10"/>
      <w:numFmt w:val="decimal"/>
      <w:lvlText w:val="%1"/>
      <w:lvlJc w:val="left"/>
      <w:pPr>
        <w:ind w:left="720" w:hanging="360"/>
      </w:pPr>
      <w:rPr>
        <w:rFonts w:hint="default"/>
        <w:i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26C9D"/>
    <w:multiLevelType w:val="hybridMultilevel"/>
    <w:tmpl w:val="40B4C8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493634"/>
    <w:multiLevelType w:val="hybridMultilevel"/>
    <w:tmpl w:val="EF484BB6"/>
    <w:lvl w:ilvl="0" w:tplc="9492530A">
      <w:start w:val="13"/>
      <w:numFmt w:val="decimal"/>
      <w:lvlText w:val="%1"/>
      <w:lvlJc w:val="left"/>
      <w:pPr>
        <w:ind w:left="720" w:hanging="360"/>
      </w:pPr>
      <w:rPr>
        <w:rFonts w:hint="default"/>
        <w:i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A40CD"/>
    <w:multiLevelType w:val="hybridMultilevel"/>
    <w:tmpl w:val="54DACA00"/>
    <w:lvl w:ilvl="0" w:tplc="9492530A">
      <w:start w:val="10"/>
      <w:numFmt w:val="decimal"/>
      <w:lvlText w:val="%1"/>
      <w:lvlJc w:val="left"/>
      <w:pPr>
        <w:ind w:left="720" w:hanging="360"/>
      </w:pPr>
      <w:rPr>
        <w:rFonts w:hint="default"/>
        <w:i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43933"/>
    <w:multiLevelType w:val="hybridMultilevel"/>
    <w:tmpl w:val="DA14D784"/>
    <w:lvl w:ilvl="0" w:tplc="0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60FCC"/>
    <w:multiLevelType w:val="hybridMultilevel"/>
    <w:tmpl w:val="6C88FE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196AD3"/>
    <w:multiLevelType w:val="hybridMultilevel"/>
    <w:tmpl w:val="D3A27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772FE4"/>
    <w:multiLevelType w:val="hybridMultilevel"/>
    <w:tmpl w:val="C90A428E"/>
    <w:lvl w:ilvl="0" w:tplc="9492530A">
      <w:start w:val="14"/>
      <w:numFmt w:val="decimal"/>
      <w:lvlText w:val="%1"/>
      <w:lvlJc w:val="left"/>
      <w:pPr>
        <w:ind w:left="720" w:hanging="360"/>
      </w:pPr>
      <w:rPr>
        <w:rFonts w:hint="default"/>
        <w:i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203AB"/>
    <w:multiLevelType w:val="hybridMultilevel"/>
    <w:tmpl w:val="577A6E9A"/>
    <w:lvl w:ilvl="0" w:tplc="8D544BAC">
      <w:start w:val="1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3"/>
  </w:num>
  <w:num w:numId="5">
    <w:abstractNumId w:val="15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13"/>
  </w:num>
  <w:num w:numId="11">
    <w:abstractNumId w:val="4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19"/>
  </w:num>
  <w:num w:numId="19">
    <w:abstractNumId w:val="10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1C"/>
    <w:rsid w:val="000012BF"/>
    <w:rsid w:val="000041B9"/>
    <w:rsid w:val="000057BC"/>
    <w:rsid w:val="00011EE5"/>
    <w:rsid w:val="000122D9"/>
    <w:rsid w:val="00014579"/>
    <w:rsid w:val="0001652F"/>
    <w:rsid w:val="00022F95"/>
    <w:rsid w:val="00025C1B"/>
    <w:rsid w:val="0003135C"/>
    <w:rsid w:val="00033512"/>
    <w:rsid w:val="0003393C"/>
    <w:rsid w:val="00036D88"/>
    <w:rsid w:val="000461C8"/>
    <w:rsid w:val="00046886"/>
    <w:rsid w:val="00047718"/>
    <w:rsid w:val="00050E7B"/>
    <w:rsid w:val="00053935"/>
    <w:rsid w:val="00065BB2"/>
    <w:rsid w:val="00067B85"/>
    <w:rsid w:val="00070BA4"/>
    <w:rsid w:val="000751D8"/>
    <w:rsid w:val="00075FBC"/>
    <w:rsid w:val="00077B37"/>
    <w:rsid w:val="00077DC8"/>
    <w:rsid w:val="000820A7"/>
    <w:rsid w:val="00090C2A"/>
    <w:rsid w:val="00091B5E"/>
    <w:rsid w:val="0009403A"/>
    <w:rsid w:val="0009764C"/>
    <w:rsid w:val="000A0DAC"/>
    <w:rsid w:val="000A1804"/>
    <w:rsid w:val="000A1951"/>
    <w:rsid w:val="000A1D9D"/>
    <w:rsid w:val="000B6294"/>
    <w:rsid w:val="000C054F"/>
    <w:rsid w:val="000C1FAF"/>
    <w:rsid w:val="000C4DC4"/>
    <w:rsid w:val="000D008E"/>
    <w:rsid w:val="000D21CB"/>
    <w:rsid w:val="000D28A8"/>
    <w:rsid w:val="000D35BF"/>
    <w:rsid w:val="000D48D9"/>
    <w:rsid w:val="000E25AD"/>
    <w:rsid w:val="000E5B0E"/>
    <w:rsid w:val="000E7B19"/>
    <w:rsid w:val="000F5C10"/>
    <w:rsid w:val="000F7632"/>
    <w:rsid w:val="00102140"/>
    <w:rsid w:val="00104786"/>
    <w:rsid w:val="001143B0"/>
    <w:rsid w:val="0012025A"/>
    <w:rsid w:val="001278B7"/>
    <w:rsid w:val="00133193"/>
    <w:rsid w:val="00147E11"/>
    <w:rsid w:val="00150D60"/>
    <w:rsid w:val="00152260"/>
    <w:rsid w:val="00163F7F"/>
    <w:rsid w:val="00164805"/>
    <w:rsid w:val="0018310F"/>
    <w:rsid w:val="0018385C"/>
    <w:rsid w:val="00184541"/>
    <w:rsid w:val="00187A3D"/>
    <w:rsid w:val="0019142C"/>
    <w:rsid w:val="00195AC4"/>
    <w:rsid w:val="00195AD8"/>
    <w:rsid w:val="00196FC5"/>
    <w:rsid w:val="001A031B"/>
    <w:rsid w:val="001A09FF"/>
    <w:rsid w:val="001A2D8B"/>
    <w:rsid w:val="001A6A3A"/>
    <w:rsid w:val="001A7050"/>
    <w:rsid w:val="001A79D3"/>
    <w:rsid w:val="001B205F"/>
    <w:rsid w:val="001B3F62"/>
    <w:rsid w:val="001C544E"/>
    <w:rsid w:val="001C5EAE"/>
    <w:rsid w:val="001C6D08"/>
    <w:rsid w:val="001D036D"/>
    <w:rsid w:val="001D1C54"/>
    <w:rsid w:val="001E0389"/>
    <w:rsid w:val="001F2B9A"/>
    <w:rsid w:val="001F641A"/>
    <w:rsid w:val="00201620"/>
    <w:rsid w:val="00216764"/>
    <w:rsid w:val="00220292"/>
    <w:rsid w:val="002252D3"/>
    <w:rsid w:val="002278AA"/>
    <w:rsid w:val="00231134"/>
    <w:rsid w:val="00232DD7"/>
    <w:rsid w:val="00234878"/>
    <w:rsid w:val="00240F44"/>
    <w:rsid w:val="00242168"/>
    <w:rsid w:val="0024410E"/>
    <w:rsid w:val="002522EB"/>
    <w:rsid w:val="00260771"/>
    <w:rsid w:val="00261160"/>
    <w:rsid w:val="00261848"/>
    <w:rsid w:val="00264853"/>
    <w:rsid w:val="00266DCE"/>
    <w:rsid w:val="002679B4"/>
    <w:rsid w:val="00270096"/>
    <w:rsid w:val="002714E7"/>
    <w:rsid w:val="0027630E"/>
    <w:rsid w:val="002828D4"/>
    <w:rsid w:val="00283111"/>
    <w:rsid w:val="00284969"/>
    <w:rsid w:val="00285D26"/>
    <w:rsid w:val="0028717A"/>
    <w:rsid w:val="00292D90"/>
    <w:rsid w:val="00293664"/>
    <w:rsid w:val="002A1AED"/>
    <w:rsid w:val="002A463C"/>
    <w:rsid w:val="002A55F0"/>
    <w:rsid w:val="002A60FF"/>
    <w:rsid w:val="002A698A"/>
    <w:rsid w:val="002B382B"/>
    <w:rsid w:val="002B42E6"/>
    <w:rsid w:val="002B4B97"/>
    <w:rsid w:val="002B6E9F"/>
    <w:rsid w:val="002B7F90"/>
    <w:rsid w:val="002C2DBD"/>
    <w:rsid w:val="002D2789"/>
    <w:rsid w:val="002D3D37"/>
    <w:rsid w:val="002D45F4"/>
    <w:rsid w:val="002D46BF"/>
    <w:rsid w:val="002E7FDF"/>
    <w:rsid w:val="002F655E"/>
    <w:rsid w:val="00302D3E"/>
    <w:rsid w:val="00303099"/>
    <w:rsid w:val="0030582C"/>
    <w:rsid w:val="003103E0"/>
    <w:rsid w:val="003137FA"/>
    <w:rsid w:val="00313828"/>
    <w:rsid w:val="00315108"/>
    <w:rsid w:val="00315DCF"/>
    <w:rsid w:val="0032121C"/>
    <w:rsid w:val="00322CAE"/>
    <w:rsid w:val="003256E8"/>
    <w:rsid w:val="00331357"/>
    <w:rsid w:val="003327F5"/>
    <w:rsid w:val="003343D3"/>
    <w:rsid w:val="00334AAB"/>
    <w:rsid w:val="00335FC4"/>
    <w:rsid w:val="0033660D"/>
    <w:rsid w:val="00336DF7"/>
    <w:rsid w:val="0034190D"/>
    <w:rsid w:val="00341BD0"/>
    <w:rsid w:val="00344118"/>
    <w:rsid w:val="003461CC"/>
    <w:rsid w:val="0034629C"/>
    <w:rsid w:val="0035024C"/>
    <w:rsid w:val="003561B3"/>
    <w:rsid w:val="00363CC2"/>
    <w:rsid w:val="00374CC9"/>
    <w:rsid w:val="00377744"/>
    <w:rsid w:val="00381F35"/>
    <w:rsid w:val="003821B4"/>
    <w:rsid w:val="00393C85"/>
    <w:rsid w:val="00394127"/>
    <w:rsid w:val="0039448A"/>
    <w:rsid w:val="00394AF3"/>
    <w:rsid w:val="00397C5A"/>
    <w:rsid w:val="003A25B9"/>
    <w:rsid w:val="003A2CD9"/>
    <w:rsid w:val="003A5291"/>
    <w:rsid w:val="003B0F6D"/>
    <w:rsid w:val="003B664C"/>
    <w:rsid w:val="003C0999"/>
    <w:rsid w:val="003C1576"/>
    <w:rsid w:val="003C234C"/>
    <w:rsid w:val="003C2792"/>
    <w:rsid w:val="003D03E1"/>
    <w:rsid w:val="003D480E"/>
    <w:rsid w:val="003D798C"/>
    <w:rsid w:val="003D7DBA"/>
    <w:rsid w:val="003E34F5"/>
    <w:rsid w:val="003E4344"/>
    <w:rsid w:val="003F0572"/>
    <w:rsid w:val="003F2D3A"/>
    <w:rsid w:val="003F2EBE"/>
    <w:rsid w:val="003F7916"/>
    <w:rsid w:val="0040449C"/>
    <w:rsid w:val="00411B6F"/>
    <w:rsid w:val="00413F52"/>
    <w:rsid w:val="00416062"/>
    <w:rsid w:val="00420393"/>
    <w:rsid w:val="00431749"/>
    <w:rsid w:val="00432A28"/>
    <w:rsid w:val="004338BE"/>
    <w:rsid w:val="00434C90"/>
    <w:rsid w:val="00435E21"/>
    <w:rsid w:val="00435FB0"/>
    <w:rsid w:val="0043666D"/>
    <w:rsid w:val="00437ECE"/>
    <w:rsid w:val="00442D15"/>
    <w:rsid w:val="00443DEE"/>
    <w:rsid w:val="00444D8B"/>
    <w:rsid w:val="00446927"/>
    <w:rsid w:val="00450750"/>
    <w:rsid w:val="0045374B"/>
    <w:rsid w:val="00457B26"/>
    <w:rsid w:val="00461FD0"/>
    <w:rsid w:val="00462478"/>
    <w:rsid w:val="00463269"/>
    <w:rsid w:val="004640F0"/>
    <w:rsid w:val="00466DD4"/>
    <w:rsid w:val="00467035"/>
    <w:rsid w:val="00471365"/>
    <w:rsid w:val="00474397"/>
    <w:rsid w:val="00476D03"/>
    <w:rsid w:val="0048579B"/>
    <w:rsid w:val="004900DE"/>
    <w:rsid w:val="004A0EB3"/>
    <w:rsid w:val="004A0F9B"/>
    <w:rsid w:val="004A47D0"/>
    <w:rsid w:val="004B029D"/>
    <w:rsid w:val="004B20A6"/>
    <w:rsid w:val="004B2F56"/>
    <w:rsid w:val="004B386C"/>
    <w:rsid w:val="004B4938"/>
    <w:rsid w:val="004B5070"/>
    <w:rsid w:val="004B5FF2"/>
    <w:rsid w:val="004B7F4E"/>
    <w:rsid w:val="004C21C9"/>
    <w:rsid w:val="004C7561"/>
    <w:rsid w:val="004D0A8A"/>
    <w:rsid w:val="004D1CBE"/>
    <w:rsid w:val="004D51B2"/>
    <w:rsid w:val="004D6472"/>
    <w:rsid w:val="004E0DBC"/>
    <w:rsid w:val="004E1784"/>
    <w:rsid w:val="004E4C2E"/>
    <w:rsid w:val="004F132F"/>
    <w:rsid w:val="004F13F7"/>
    <w:rsid w:val="004F46A2"/>
    <w:rsid w:val="004F4F53"/>
    <w:rsid w:val="00500A54"/>
    <w:rsid w:val="00501B2F"/>
    <w:rsid w:val="00510A59"/>
    <w:rsid w:val="00510C45"/>
    <w:rsid w:val="00516673"/>
    <w:rsid w:val="00520FF6"/>
    <w:rsid w:val="00521E72"/>
    <w:rsid w:val="00526EEA"/>
    <w:rsid w:val="005302E1"/>
    <w:rsid w:val="00530972"/>
    <w:rsid w:val="005342A0"/>
    <w:rsid w:val="00542503"/>
    <w:rsid w:val="00542973"/>
    <w:rsid w:val="0054663B"/>
    <w:rsid w:val="00552426"/>
    <w:rsid w:val="005553DA"/>
    <w:rsid w:val="00555D20"/>
    <w:rsid w:val="00556D82"/>
    <w:rsid w:val="00565102"/>
    <w:rsid w:val="00566365"/>
    <w:rsid w:val="00570FFF"/>
    <w:rsid w:val="00581FBE"/>
    <w:rsid w:val="0058229D"/>
    <w:rsid w:val="00582B31"/>
    <w:rsid w:val="005845BB"/>
    <w:rsid w:val="00584619"/>
    <w:rsid w:val="00592A9B"/>
    <w:rsid w:val="00593A18"/>
    <w:rsid w:val="00597B80"/>
    <w:rsid w:val="005A0D7C"/>
    <w:rsid w:val="005A704E"/>
    <w:rsid w:val="005A712B"/>
    <w:rsid w:val="005A7B09"/>
    <w:rsid w:val="005B0EE0"/>
    <w:rsid w:val="005B461E"/>
    <w:rsid w:val="005B5CC4"/>
    <w:rsid w:val="005B77EA"/>
    <w:rsid w:val="005C063D"/>
    <w:rsid w:val="005C72FC"/>
    <w:rsid w:val="005D03FB"/>
    <w:rsid w:val="005D318A"/>
    <w:rsid w:val="005D38B6"/>
    <w:rsid w:val="005D4976"/>
    <w:rsid w:val="005E2B40"/>
    <w:rsid w:val="005E45B4"/>
    <w:rsid w:val="005E78BC"/>
    <w:rsid w:val="005F5901"/>
    <w:rsid w:val="005F6A87"/>
    <w:rsid w:val="0060115F"/>
    <w:rsid w:val="00601442"/>
    <w:rsid w:val="0060330A"/>
    <w:rsid w:val="00604ABC"/>
    <w:rsid w:val="00612BF0"/>
    <w:rsid w:val="00623554"/>
    <w:rsid w:val="00626B3C"/>
    <w:rsid w:val="006273BE"/>
    <w:rsid w:val="00627A58"/>
    <w:rsid w:val="006314C5"/>
    <w:rsid w:val="00634430"/>
    <w:rsid w:val="00640D19"/>
    <w:rsid w:val="00641741"/>
    <w:rsid w:val="00642977"/>
    <w:rsid w:val="00645600"/>
    <w:rsid w:val="00646673"/>
    <w:rsid w:val="00647D50"/>
    <w:rsid w:val="0065282C"/>
    <w:rsid w:val="00656E35"/>
    <w:rsid w:val="006711AD"/>
    <w:rsid w:val="006723AA"/>
    <w:rsid w:val="00675139"/>
    <w:rsid w:val="0067588C"/>
    <w:rsid w:val="0067674B"/>
    <w:rsid w:val="00681F54"/>
    <w:rsid w:val="006830C4"/>
    <w:rsid w:val="00683975"/>
    <w:rsid w:val="00685034"/>
    <w:rsid w:val="00686623"/>
    <w:rsid w:val="00691808"/>
    <w:rsid w:val="00693713"/>
    <w:rsid w:val="00694409"/>
    <w:rsid w:val="006950E9"/>
    <w:rsid w:val="006A1C1D"/>
    <w:rsid w:val="006A1EC5"/>
    <w:rsid w:val="006A7D87"/>
    <w:rsid w:val="006B0665"/>
    <w:rsid w:val="006B1377"/>
    <w:rsid w:val="006B7F83"/>
    <w:rsid w:val="006C19BB"/>
    <w:rsid w:val="006C2499"/>
    <w:rsid w:val="006C7A0C"/>
    <w:rsid w:val="006D1AD9"/>
    <w:rsid w:val="006D1BA9"/>
    <w:rsid w:val="006D2384"/>
    <w:rsid w:val="006D2FB0"/>
    <w:rsid w:val="006D5AC9"/>
    <w:rsid w:val="006D5C59"/>
    <w:rsid w:val="006D662A"/>
    <w:rsid w:val="006E176A"/>
    <w:rsid w:val="006E1B48"/>
    <w:rsid w:val="006E2E74"/>
    <w:rsid w:val="006E5F6C"/>
    <w:rsid w:val="006E7F7B"/>
    <w:rsid w:val="006F6276"/>
    <w:rsid w:val="00701BF6"/>
    <w:rsid w:val="0070279A"/>
    <w:rsid w:val="00704085"/>
    <w:rsid w:val="0070445A"/>
    <w:rsid w:val="007104A2"/>
    <w:rsid w:val="0071134A"/>
    <w:rsid w:val="00715478"/>
    <w:rsid w:val="00715A28"/>
    <w:rsid w:val="00723B6F"/>
    <w:rsid w:val="00723DAA"/>
    <w:rsid w:val="00732A67"/>
    <w:rsid w:val="007331F1"/>
    <w:rsid w:val="00736122"/>
    <w:rsid w:val="0074316F"/>
    <w:rsid w:val="007450F3"/>
    <w:rsid w:val="00746D46"/>
    <w:rsid w:val="00752766"/>
    <w:rsid w:val="00753A05"/>
    <w:rsid w:val="00755549"/>
    <w:rsid w:val="00762DB6"/>
    <w:rsid w:val="0076607B"/>
    <w:rsid w:val="00767314"/>
    <w:rsid w:val="00774773"/>
    <w:rsid w:val="00784305"/>
    <w:rsid w:val="007844FA"/>
    <w:rsid w:val="0078700E"/>
    <w:rsid w:val="00792536"/>
    <w:rsid w:val="00796804"/>
    <w:rsid w:val="00796FE6"/>
    <w:rsid w:val="007A489C"/>
    <w:rsid w:val="007A61DE"/>
    <w:rsid w:val="007A6998"/>
    <w:rsid w:val="007A6F49"/>
    <w:rsid w:val="007B00FC"/>
    <w:rsid w:val="007B0FEA"/>
    <w:rsid w:val="007B2084"/>
    <w:rsid w:val="007B26AF"/>
    <w:rsid w:val="007B28F4"/>
    <w:rsid w:val="007B43B3"/>
    <w:rsid w:val="007C33E7"/>
    <w:rsid w:val="007C4044"/>
    <w:rsid w:val="007D5832"/>
    <w:rsid w:val="007D6A11"/>
    <w:rsid w:val="007D76D9"/>
    <w:rsid w:val="007D7DA7"/>
    <w:rsid w:val="007E25D8"/>
    <w:rsid w:val="007E3F14"/>
    <w:rsid w:val="007E54DB"/>
    <w:rsid w:val="007E59F5"/>
    <w:rsid w:val="007E6D1D"/>
    <w:rsid w:val="007F0F4B"/>
    <w:rsid w:val="007F2AF7"/>
    <w:rsid w:val="007F2E0B"/>
    <w:rsid w:val="007F7D9C"/>
    <w:rsid w:val="00800D6C"/>
    <w:rsid w:val="008029C2"/>
    <w:rsid w:val="0080382E"/>
    <w:rsid w:val="00805A4B"/>
    <w:rsid w:val="00806228"/>
    <w:rsid w:val="00807F20"/>
    <w:rsid w:val="00810A10"/>
    <w:rsid w:val="00810DE0"/>
    <w:rsid w:val="00811885"/>
    <w:rsid w:val="008244C3"/>
    <w:rsid w:val="008279EF"/>
    <w:rsid w:val="00830034"/>
    <w:rsid w:val="008317C2"/>
    <w:rsid w:val="00835E1F"/>
    <w:rsid w:val="008422C9"/>
    <w:rsid w:val="0084421B"/>
    <w:rsid w:val="008451F1"/>
    <w:rsid w:val="00846F0B"/>
    <w:rsid w:val="00861B5E"/>
    <w:rsid w:val="00864DB4"/>
    <w:rsid w:val="00865D99"/>
    <w:rsid w:val="00865FC7"/>
    <w:rsid w:val="0086633C"/>
    <w:rsid w:val="008667E3"/>
    <w:rsid w:val="00875A94"/>
    <w:rsid w:val="00877D1B"/>
    <w:rsid w:val="00880816"/>
    <w:rsid w:val="008871D2"/>
    <w:rsid w:val="00887A79"/>
    <w:rsid w:val="008903EE"/>
    <w:rsid w:val="00890D6D"/>
    <w:rsid w:val="00892747"/>
    <w:rsid w:val="0089780C"/>
    <w:rsid w:val="008A1083"/>
    <w:rsid w:val="008A1F2A"/>
    <w:rsid w:val="008A2576"/>
    <w:rsid w:val="008A494A"/>
    <w:rsid w:val="008A534D"/>
    <w:rsid w:val="008B39C7"/>
    <w:rsid w:val="008C2CF8"/>
    <w:rsid w:val="008C50A3"/>
    <w:rsid w:val="008C5DFA"/>
    <w:rsid w:val="008D000D"/>
    <w:rsid w:val="008D1109"/>
    <w:rsid w:val="008D43F1"/>
    <w:rsid w:val="008D465C"/>
    <w:rsid w:val="008D47A3"/>
    <w:rsid w:val="008E1E8A"/>
    <w:rsid w:val="008E241B"/>
    <w:rsid w:val="008E5DF1"/>
    <w:rsid w:val="008E6A6F"/>
    <w:rsid w:val="008E6D90"/>
    <w:rsid w:val="008F3C11"/>
    <w:rsid w:val="008F4E33"/>
    <w:rsid w:val="008F53A5"/>
    <w:rsid w:val="008F69DE"/>
    <w:rsid w:val="00903184"/>
    <w:rsid w:val="009101E8"/>
    <w:rsid w:val="0091534D"/>
    <w:rsid w:val="009208F1"/>
    <w:rsid w:val="009270F3"/>
    <w:rsid w:val="009341E9"/>
    <w:rsid w:val="009365F8"/>
    <w:rsid w:val="00941314"/>
    <w:rsid w:val="00941434"/>
    <w:rsid w:val="00943670"/>
    <w:rsid w:val="009457E1"/>
    <w:rsid w:val="00952006"/>
    <w:rsid w:val="009533A6"/>
    <w:rsid w:val="00956CEE"/>
    <w:rsid w:val="0095783A"/>
    <w:rsid w:val="0096099A"/>
    <w:rsid w:val="009677B8"/>
    <w:rsid w:val="00970C55"/>
    <w:rsid w:val="00971B51"/>
    <w:rsid w:val="00971E2D"/>
    <w:rsid w:val="009722BE"/>
    <w:rsid w:val="009763FB"/>
    <w:rsid w:val="00982376"/>
    <w:rsid w:val="009900B2"/>
    <w:rsid w:val="00992232"/>
    <w:rsid w:val="009952C7"/>
    <w:rsid w:val="009955FE"/>
    <w:rsid w:val="009959FE"/>
    <w:rsid w:val="009A05C9"/>
    <w:rsid w:val="009A3EB3"/>
    <w:rsid w:val="009A68F7"/>
    <w:rsid w:val="009B1B55"/>
    <w:rsid w:val="009B3AF5"/>
    <w:rsid w:val="009B7128"/>
    <w:rsid w:val="009C0AE4"/>
    <w:rsid w:val="009C17CA"/>
    <w:rsid w:val="009C2665"/>
    <w:rsid w:val="009C2FB5"/>
    <w:rsid w:val="009C4C77"/>
    <w:rsid w:val="009C5B0A"/>
    <w:rsid w:val="009C67B5"/>
    <w:rsid w:val="009C708C"/>
    <w:rsid w:val="009D1126"/>
    <w:rsid w:val="009D5501"/>
    <w:rsid w:val="009E17D4"/>
    <w:rsid w:val="009E19AA"/>
    <w:rsid w:val="009E3ABF"/>
    <w:rsid w:val="009F016F"/>
    <w:rsid w:val="009F2851"/>
    <w:rsid w:val="00A02DAD"/>
    <w:rsid w:val="00A03998"/>
    <w:rsid w:val="00A07595"/>
    <w:rsid w:val="00A168F5"/>
    <w:rsid w:val="00A224A9"/>
    <w:rsid w:val="00A22980"/>
    <w:rsid w:val="00A229F8"/>
    <w:rsid w:val="00A2348C"/>
    <w:rsid w:val="00A240F6"/>
    <w:rsid w:val="00A40BBC"/>
    <w:rsid w:val="00A42BDD"/>
    <w:rsid w:val="00A43927"/>
    <w:rsid w:val="00A50782"/>
    <w:rsid w:val="00A51E10"/>
    <w:rsid w:val="00A5410D"/>
    <w:rsid w:val="00A54A3B"/>
    <w:rsid w:val="00A54AF7"/>
    <w:rsid w:val="00A616CA"/>
    <w:rsid w:val="00A66027"/>
    <w:rsid w:val="00A71CDC"/>
    <w:rsid w:val="00A7398A"/>
    <w:rsid w:val="00A7733E"/>
    <w:rsid w:val="00A80EC7"/>
    <w:rsid w:val="00A85758"/>
    <w:rsid w:val="00A9096C"/>
    <w:rsid w:val="00A93002"/>
    <w:rsid w:val="00A93ACC"/>
    <w:rsid w:val="00A97565"/>
    <w:rsid w:val="00AA2C3D"/>
    <w:rsid w:val="00AA4B6E"/>
    <w:rsid w:val="00AA508B"/>
    <w:rsid w:val="00AA68B8"/>
    <w:rsid w:val="00AA7ED0"/>
    <w:rsid w:val="00AB20FA"/>
    <w:rsid w:val="00AB46EF"/>
    <w:rsid w:val="00AC7426"/>
    <w:rsid w:val="00AE4580"/>
    <w:rsid w:val="00AE6782"/>
    <w:rsid w:val="00AF15CA"/>
    <w:rsid w:val="00AF2211"/>
    <w:rsid w:val="00AF3863"/>
    <w:rsid w:val="00AF6C56"/>
    <w:rsid w:val="00B058B4"/>
    <w:rsid w:val="00B0652A"/>
    <w:rsid w:val="00B100F4"/>
    <w:rsid w:val="00B106C2"/>
    <w:rsid w:val="00B131CB"/>
    <w:rsid w:val="00B136AA"/>
    <w:rsid w:val="00B17B55"/>
    <w:rsid w:val="00B21690"/>
    <w:rsid w:val="00B21E22"/>
    <w:rsid w:val="00B235C0"/>
    <w:rsid w:val="00B23D28"/>
    <w:rsid w:val="00B251D1"/>
    <w:rsid w:val="00B301E6"/>
    <w:rsid w:val="00B30394"/>
    <w:rsid w:val="00B327DD"/>
    <w:rsid w:val="00B33CFC"/>
    <w:rsid w:val="00B37A03"/>
    <w:rsid w:val="00B40978"/>
    <w:rsid w:val="00B43DE5"/>
    <w:rsid w:val="00B452B8"/>
    <w:rsid w:val="00B51947"/>
    <w:rsid w:val="00B5510B"/>
    <w:rsid w:val="00B57FD2"/>
    <w:rsid w:val="00B606E7"/>
    <w:rsid w:val="00B61C71"/>
    <w:rsid w:val="00B650C9"/>
    <w:rsid w:val="00B70079"/>
    <w:rsid w:val="00B92AC9"/>
    <w:rsid w:val="00B93181"/>
    <w:rsid w:val="00B95D85"/>
    <w:rsid w:val="00B96538"/>
    <w:rsid w:val="00BA2266"/>
    <w:rsid w:val="00BA2618"/>
    <w:rsid w:val="00BA5588"/>
    <w:rsid w:val="00BA6980"/>
    <w:rsid w:val="00BB3527"/>
    <w:rsid w:val="00BB3B86"/>
    <w:rsid w:val="00BB5386"/>
    <w:rsid w:val="00BB708A"/>
    <w:rsid w:val="00BC1C14"/>
    <w:rsid w:val="00BC2379"/>
    <w:rsid w:val="00BC6B83"/>
    <w:rsid w:val="00BC7864"/>
    <w:rsid w:val="00BD4C5E"/>
    <w:rsid w:val="00BD7C11"/>
    <w:rsid w:val="00BE01BC"/>
    <w:rsid w:val="00BE36FD"/>
    <w:rsid w:val="00BE60ED"/>
    <w:rsid w:val="00BE6714"/>
    <w:rsid w:val="00BF0170"/>
    <w:rsid w:val="00BF4038"/>
    <w:rsid w:val="00BF75D7"/>
    <w:rsid w:val="00C11E87"/>
    <w:rsid w:val="00C13595"/>
    <w:rsid w:val="00C166F5"/>
    <w:rsid w:val="00C256E9"/>
    <w:rsid w:val="00C256F6"/>
    <w:rsid w:val="00C317FE"/>
    <w:rsid w:val="00C43112"/>
    <w:rsid w:val="00C439A1"/>
    <w:rsid w:val="00C4462B"/>
    <w:rsid w:val="00C46478"/>
    <w:rsid w:val="00C46B44"/>
    <w:rsid w:val="00C4748F"/>
    <w:rsid w:val="00C571A6"/>
    <w:rsid w:val="00C57786"/>
    <w:rsid w:val="00C61954"/>
    <w:rsid w:val="00C6283F"/>
    <w:rsid w:val="00C721B2"/>
    <w:rsid w:val="00C73567"/>
    <w:rsid w:val="00C75797"/>
    <w:rsid w:val="00C8187B"/>
    <w:rsid w:val="00C82CFF"/>
    <w:rsid w:val="00C85C56"/>
    <w:rsid w:val="00C903DB"/>
    <w:rsid w:val="00C93DEF"/>
    <w:rsid w:val="00CA1BBA"/>
    <w:rsid w:val="00CA4720"/>
    <w:rsid w:val="00CB02CE"/>
    <w:rsid w:val="00CB1A8E"/>
    <w:rsid w:val="00CB342A"/>
    <w:rsid w:val="00CB592B"/>
    <w:rsid w:val="00CB5939"/>
    <w:rsid w:val="00CC45A4"/>
    <w:rsid w:val="00CC4D06"/>
    <w:rsid w:val="00CD1B5B"/>
    <w:rsid w:val="00CD2670"/>
    <w:rsid w:val="00CD26CD"/>
    <w:rsid w:val="00CD3D1F"/>
    <w:rsid w:val="00CD6636"/>
    <w:rsid w:val="00CF1AE5"/>
    <w:rsid w:val="00CF4FAF"/>
    <w:rsid w:val="00D057F4"/>
    <w:rsid w:val="00D07242"/>
    <w:rsid w:val="00D10E1A"/>
    <w:rsid w:val="00D17273"/>
    <w:rsid w:val="00D220CD"/>
    <w:rsid w:val="00D2390C"/>
    <w:rsid w:val="00D2473D"/>
    <w:rsid w:val="00D27683"/>
    <w:rsid w:val="00D32DCD"/>
    <w:rsid w:val="00D36B52"/>
    <w:rsid w:val="00D431BC"/>
    <w:rsid w:val="00D47B9A"/>
    <w:rsid w:val="00D5661A"/>
    <w:rsid w:val="00D602BB"/>
    <w:rsid w:val="00D603FA"/>
    <w:rsid w:val="00D62918"/>
    <w:rsid w:val="00D64C2D"/>
    <w:rsid w:val="00D6515A"/>
    <w:rsid w:val="00D712E7"/>
    <w:rsid w:val="00D717A0"/>
    <w:rsid w:val="00D72FB4"/>
    <w:rsid w:val="00D73177"/>
    <w:rsid w:val="00D741AA"/>
    <w:rsid w:val="00D74938"/>
    <w:rsid w:val="00D75DA6"/>
    <w:rsid w:val="00D77A24"/>
    <w:rsid w:val="00D77A87"/>
    <w:rsid w:val="00D8385A"/>
    <w:rsid w:val="00D85BCA"/>
    <w:rsid w:val="00D917A4"/>
    <w:rsid w:val="00D9197A"/>
    <w:rsid w:val="00D92AE8"/>
    <w:rsid w:val="00D969A3"/>
    <w:rsid w:val="00D97971"/>
    <w:rsid w:val="00DA1064"/>
    <w:rsid w:val="00DA325D"/>
    <w:rsid w:val="00DA3792"/>
    <w:rsid w:val="00DB0253"/>
    <w:rsid w:val="00DB18EC"/>
    <w:rsid w:val="00DB618D"/>
    <w:rsid w:val="00DB64E0"/>
    <w:rsid w:val="00DC4402"/>
    <w:rsid w:val="00DC4DBB"/>
    <w:rsid w:val="00DC4DDE"/>
    <w:rsid w:val="00DC5994"/>
    <w:rsid w:val="00DD0BC3"/>
    <w:rsid w:val="00DD6D49"/>
    <w:rsid w:val="00DE664A"/>
    <w:rsid w:val="00DF0C1A"/>
    <w:rsid w:val="00DF4410"/>
    <w:rsid w:val="00DF6878"/>
    <w:rsid w:val="00DF7ADC"/>
    <w:rsid w:val="00E02920"/>
    <w:rsid w:val="00E043F5"/>
    <w:rsid w:val="00E13FBE"/>
    <w:rsid w:val="00E1419E"/>
    <w:rsid w:val="00E16609"/>
    <w:rsid w:val="00E20311"/>
    <w:rsid w:val="00E22BA5"/>
    <w:rsid w:val="00E22BDE"/>
    <w:rsid w:val="00E24C7A"/>
    <w:rsid w:val="00E30171"/>
    <w:rsid w:val="00E3111F"/>
    <w:rsid w:val="00E325C2"/>
    <w:rsid w:val="00E327D7"/>
    <w:rsid w:val="00E41BEE"/>
    <w:rsid w:val="00E43A55"/>
    <w:rsid w:val="00E456E3"/>
    <w:rsid w:val="00E47AE9"/>
    <w:rsid w:val="00E47F13"/>
    <w:rsid w:val="00E60382"/>
    <w:rsid w:val="00E65F50"/>
    <w:rsid w:val="00E669B2"/>
    <w:rsid w:val="00E6758E"/>
    <w:rsid w:val="00E67835"/>
    <w:rsid w:val="00E727A1"/>
    <w:rsid w:val="00E75DD1"/>
    <w:rsid w:val="00E76492"/>
    <w:rsid w:val="00E76A68"/>
    <w:rsid w:val="00E86035"/>
    <w:rsid w:val="00E90452"/>
    <w:rsid w:val="00E90C75"/>
    <w:rsid w:val="00E933DE"/>
    <w:rsid w:val="00E94825"/>
    <w:rsid w:val="00E97646"/>
    <w:rsid w:val="00E97671"/>
    <w:rsid w:val="00E9776B"/>
    <w:rsid w:val="00EA5064"/>
    <w:rsid w:val="00EA58B5"/>
    <w:rsid w:val="00EB2434"/>
    <w:rsid w:val="00EB321C"/>
    <w:rsid w:val="00EB7D7D"/>
    <w:rsid w:val="00EC22D0"/>
    <w:rsid w:val="00EC2550"/>
    <w:rsid w:val="00EC377C"/>
    <w:rsid w:val="00EC597A"/>
    <w:rsid w:val="00ED64B7"/>
    <w:rsid w:val="00EE4C1B"/>
    <w:rsid w:val="00EE5EAD"/>
    <w:rsid w:val="00EF330A"/>
    <w:rsid w:val="00EF6727"/>
    <w:rsid w:val="00F05DAF"/>
    <w:rsid w:val="00F10AD2"/>
    <w:rsid w:val="00F20C88"/>
    <w:rsid w:val="00F20F0F"/>
    <w:rsid w:val="00F24512"/>
    <w:rsid w:val="00F24B7F"/>
    <w:rsid w:val="00F2572F"/>
    <w:rsid w:val="00F259CF"/>
    <w:rsid w:val="00F27B90"/>
    <w:rsid w:val="00F314B0"/>
    <w:rsid w:val="00F3291F"/>
    <w:rsid w:val="00F34E4E"/>
    <w:rsid w:val="00F412E0"/>
    <w:rsid w:val="00F434CB"/>
    <w:rsid w:val="00F447B6"/>
    <w:rsid w:val="00F44988"/>
    <w:rsid w:val="00F47B6E"/>
    <w:rsid w:val="00F501B8"/>
    <w:rsid w:val="00F51E18"/>
    <w:rsid w:val="00F546A3"/>
    <w:rsid w:val="00F628FF"/>
    <w:rsid w:val="00F63D60"/>
    <w:rsid w:val="00F65618"/>
    <w:rsid w:val="00F65942"/>
    <w:rsid w:val="00F71040"/>
    <w:rsid w:val="00F745FD"/>
    <w:rsid w:val="00F77D08"/>
    <w:rsid w:val="00F90CCB"/>
    <w:rsid w:val="00F91FE5"/>
    <w:rsid w:val="00F92564"/>
    <w:rsid w:val="00F92BA1"/>
    <w:rsid w:val="00F97D37"/>
    <w:rsid w:val="00FA1B58"/>
    <w:rsid w:val="00FB1580"/>
    <w:rsid w:val="00FB29EE"/>
    <w:rsid w:val="00FB5339"/>
    <w:rsid w:val="00FB64B3"/>
    <w:rsid w:val="00FC0E21"/>
    <w:rsid w:val="00FC5B95"/>
    <w:rsid w:val="00FC5FF0"/>
    <w:rsid w:val="00FE0783"/>
    <w:rsid w:val="00FE0A5E"/>
    <w:rsid w:val="00FE259F"/>
    <w:rsid w:val="00FE4133"/>
    <w:rsid w:val="00FE7787"/>
    <w:rsid w:val="00FE7A0F"/>
    <w:rsid w:val="00FF0D50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9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97C5A"/>
    <w:pPr>
      <w:keepNext/>
      <w:keepLines/>
      <w:spacing w:before="720"/>
      <w:ind w:left="907" w:right="567" w:hanging="907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397C5A"/>
    <w:pPr>
      <w:keepNext/>
      <w:keepLines/>
      <w:spacing w:before="480"/>
      <w:ind w:left="907" w:right="567" w:hanging="907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397C5A"/>
    <w:pPr>
      <w:keepNext/>
      <w:keepLines/>
      <w:spacing w:before="240"/>
      <w:ind w:left="907" w:right="567" w:hanging="907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397C5A"/>
    <w:pPr>
      <w:keepNext/>
      <w:keepLines/>
      <w:spacing w:before="24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Heading4"/>
    <w:next w:val="Normal"/>
    <w:qFormat/>
    <w:rsid w:val="00397C5A"/>
    <w:pPr>
      <w:outlineLvl w:val="4"/>
    </w:pPr>
    <w:rPr>
      <w:b w:val="0"/>
    </w:rPr>
  </w:style>
  <w:style w:type="paragraph" w:styleId="Heading6">
    <w:name w:val="heading 6"/>
    <w:basedOn w:val="Normal"/>
    <w:next w:val="Normal"/>
    <w:qFormat/>
    <w:rsid w:val="00835E1F"/>
    <w:pPr>
      <w:keepNext/>
      <w:keepLines/>
      <w:spacing w:before="240" w:after="120"/>
      <w:ind w:left="1701" w:hanging="1701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835E1F"/>
    <w:pPr>
      <w:keepNext/>
      <w:keepLines/>
      <w:spacing w:before="240" w:after="120"/>
      <w:ind w:left="1701" w:hanging="1701"/>
      <w:outlineLvl w:val="6"/>
    </w:pPr>
    <w:rPr>
      <w:rFonts w:ascii="Arial" w:hAnsi="Arial"/>
      <w:b/>
    </w:rPr>
  </w:style>
  <w:style w:type="paragraph" w:styleId="Heading8">
    <w:name w:val="heading 8"/>
    <w:basedOn w:val="Normal"/>
    <w:qFormat/>
    <w:rsid w:val="00397C5A"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397C5A"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1FD0"/>
    <w:rPr>
      <w:rFonts w:ascii="Arial" w:hAnsi="Arial"/>
      <w:b/>
      <w:sz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DF4410"/>
    <w:rPr>
      <w:rFonts w:ascii="Arial" w:hAnsi="Arial"/>
      <w:b/>
      <w:sz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397C5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97C5A"/>
    <w:rPr>
      <w:sz w:val="20"/>
    </w:rPr>
  </w:style>
  <w:style w:type="paragraph" w:styleId="TOC8">
    <w:name w:val="toc 8"/>
    <w:basedOn w:val="Normal"/>
    <w:next w:val="Normal"/>
    <w:semiHidden/>
    <w:rsid w:val="00397C5A"/>
    <w:pPr>
      <w:tabs>
        <w:tab w:val="left" w:leader="dot" w:pos="8280"/>
        <w:tab w:val="right" w:pos="8640"/>
      </w:tabs>
      <w:ind w:left="5040" w:right="720"/>
    </w:pPr>
  </w:style>
  <w:style w:type="paragraph" w:styleId="TOC7">
    <w:name w:val="toc 7"/>
    <w:basedOn w:val="Normal"/>
    <w:semiHidden/>
    <w:rsid w:val="00397C5A"/>
    <w:pPr>
      <w:tabs>
        <w:tab w:val="right" w:leader="dot" w:pos="9072"/>
      </w:tabs>
      <w:spacing w:after="72"/>
      <w:ind w:left="1701" w:hanging="1701"/>
    </w:pPr>
  </w:style>
  <w:style w:type="paragraph" w:styleId="TOC6">
    <w:name w:val="toc 6"/>
    <w:basedOn w:val="Normal"/>
    <w:semiHidden/>
    <w:rsid w:val="00397C5A"/>
    <w:pPr>
      <w:tabs>
        <w:tab w:val="right" w:leader="dot" w:pos="9072"/>
      </w:tabs>
      <w:spacing w:after="72"/>
      <w:ind w:left="1701" w:hanging="1701"/>
    </w:pPr>
  </w:style>
  <w:style w:type="paragraph" w:styleId="TOC5">
    <w:name w:val="toc 5"/>
    <w:basedOn w:val="Normal"/>
    <w:next w:val="Normal"/>
    <w:semiHidden/>
    <w:rsid w:val="00397C5A"/>
    <w:pPr>
      <w:tabs>
        <w:tab w:val="left" w:leader="dot" w:pos="8280"/>
        <w:tab w:val="right" w:pos="8640"/>
      </w:tabs>
      <w:ind w:left="2880" w:right="720"/>
    </w:pPr>
  </w:style>
  <w:style w:type="paragraph" w:styleId="TOC4">
    <w:name w:val="toc 4"/>
    <w:basedOn w:val="Normal"/>
    <w:next w:val="Normal"/>
    <w:semiHidden/>
    <w:rsid w:val="00397C5A"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TOC2"/>
    <w:semiHidden/>
    <w:rsid w:val="00397C5A"/>
    <w:pPr>
      <w:ind w:left="2127" w:hanging="993"/>
    </w:pPr>
  </w:style>
  <w:style w:type="paragraph" w:styleId="TOC2">
    <w:name w:val="toc 2"/>
    <w:basedOn w:val="TOC1"/>
    <w:semiHidden/>
    <w:rsid w:val="00397C5A"/>
    <w:pPr>
      <w:ind w:left="1134" w:hanging="709"/>
    </w:pPr>
  </w:style>
  <w:style w:type="paragraph" w:styleId="TOC1">
    <w:name w:val="toc 1"/>
    <w:basedOn w:val="Normal"/>
    <w:semiHidden/>
    <w:rsid w:val="00397C5A"/>
    <w:pPr>
      <w:tabs>
        <w:tab w:val="right" w:leader="dot" w:pos="9073"/>
      </w:tabs>
      <w:spacing w:after="72"/>
      <w:ind w:left="426" w:hanging="426"/>
    </w:pPr>
  </w:style>
  <w:style w:type="paragraph" w:styleId="Index7">
    <w:name w:val="index 7"/>
    <w:basedOn w:val="Normal"/>
    <w:next w:val="Normal"/>
    <w:semiHidden/>
    <w:rsid w:val="00397C5A"/>
    <w:pPr>
      <w:ind w:left="2160"/>
    </w:pPr>
  </w:style>
  <w:style w:type="paragraph" w:styleId="Index6">
    <w:name w:val="index 6"/>
    <w:basedOn w:val="Normal"/>
    <w:next w:val="Normal"/>
    <w:semiHidden/>
    <w:rsid w:val="00397C5A"/>
    <w:pPr>
      <w:ind w:left="1800"/>
    </w:pPr>
  </w:style>
  <w:style w:type="paragraph" w:styleId="Index5">
    <w:name w:val="index 5"/>
    <w:basedOn w:val="Normal"/>
    <w:next w:val="Normal"/>
    <w:semiHidden/>
    <w:rsid w:val="00397C5A"/>
    <w:pPr>
      <w:ind w:left="1440"/>
    </w:pPr>
  </w:style>
  <w:style w:type="paragraph" w:styleId="Index4">
    <w:name w:val="index 4"/>
    <w:basedOn w:val="Normal"/>
    <w:next w:val="Normal"/>
    <w:semiHidden/>
    <w:rsid w:val="00397C5A"/>
    <w:pPr>
      <w:ind w:left="1080"/>
    </w:pPr>
  </w:style>
  <w:style w:type="paragraph" w:styleId="Index3">
    <w:name w:val="index 3"/>
    <w:basedOn w:val="Normal"/>
    <w:next w:val="Normal"/>
    <w:semiHidden/>
    <w:rsid w:val="00397C5A"/>
    <w:pPr>
      <w:ind w:left="720"/>
    </w:pPr>
  </w:style>
  <w:style w:type="paragraph" w:styleId="Index2">
    <w:name w:val="index 2"/>
    <w:basedOn w:val="Normal"/>
    <w:next w:val="Normal"/>
    <w:semiHidden/>
    <w:rsid w:val="00397C5A"/>
    <w:pPr>
      <w:ind w:left="360"/>
    </w:pPr>
  </w:style>
  <w:style w:type="paragraph" w:styleId="Index1">
    <w:name w:val="index 1"/>
    <w:basedOn w:val="Normal"/>
    <w:next w:val="Normal"/>
    <w:semiHidden/>
    <w:rsid w:val="00397C5A"/>
  </w:style>
  <w:style w:type="paragraph" w:styleId="IndexHeading">
    <w:name w:val="index heading"/>
    <w:basedOn w:val="Normal"/>
    <w:next w:val="Index1"/>
    <w:semiHidden/>
    <w:rsid w:val="00397C5A"/>
  </w:style>
  <w:style w:type="character" w:styleId="FootnoteReference">
    <w:name w:val="footnote reference"/>
    <w:basedOn w:val="DefaultParagraphFont"/>
    <w:semiHidden/>
    <w:rsid w:val="00397C5A"/>
    <w:rPr>
      <w:position w:val="6"/>
      <w:sz w:val="16"/>
    </w:rPr>
  </w:style>
  <w:style w:type="paragraph" w:styleId="FootnoteText">
    <w:name w:val="footnote text"/>
    <w:basedOn w:val="Normal"/>
    <w:semiHidden/>
    <w:rsid w:val="00397C5A"/>
    <w:rPr>
      <w:sz w:val="20"/>
    </w:rPr>
  </w:style>
  <w:style w:type="paragraph" w:customStyle="1" w:styleId="ActiveIngredientPI">
    <w:name w:val="Active Ingredient PI"/>
    <w:basedOn w:val="Normal"/>
    <w:rsid w:val="00292D90"/>
    <w:pPr>
      <w:shd w:val="pct10" w:color="auto" w:fill="auto"/>
      <w:spacing w:after="60"/>
      <w:jc w:val="center"/>
    </w:pPr>
    <w:rPr>
      <w:rFonts w:ascii="Arial" w:hAnsi="Arial"/>
      <w:b/>
    </w:rPr>
  </w:style>
  <w:style w:type="paragraph" w:customStyle="1" w:styleId="PIHeading1">
    <w:name w:val="PI Heading 1"/>
    <w:basedOn w:val="Heading1"/>
    <w:rsid w:val="000A1804"/>
    <w:pPr>
      <w:keepLines w:val="0"/>
      <w:tabs>
        <w:tab w:val="left" w:pos="1418"/>
      </w:tabs>
      <w:spacing w:before="240" w:after="240"/>
      <w:ind w:left="1418" w:right="0" w:hanging="1418"/>
      <w:jc w:val="both"/>
    </w:pPr>
    <w:rPr>
      <w:rFonts w:ascii="Arial Bold" w:hAnsi="Arial Bold"/>
      <w:caps/>
      <w:sz w:val="22"/>
      <w:szCs w:val="22"/>
    </w:rPr>
  </w:style>
  <w:style w:type="paragraph" w:customStyle="1" w:styleId="PIheading2">
    <w:name w:val="PI heading 2"/>
    <w:basedOn w:val="Heading2"/>
    <w:rsid w:val="00381F35"/>
    <w:pPr>
      <w:keepLines w:val="0"/>
      <w:tabs>
        <w:tab w:val="left" w:pos="1418"/>
      </w:tabs>
      <w:spacing w:before="240" w:after="240"/>
      <w:ind w:left="0" w:right="0" w:firstLine="0"/>
    </w:pPr>
    <w:rPr>
      <w:sz w:val="22"/>
      <w:szCs w:val="22"/>
      <w:lang w:val="en-AU"/>
    </w:rPr>
  </w:style>
  <w:style w:type="paragraph" w:customStyle="1" w:styleId="PIHeading3">
    <w:name w:val="PI Heading 3"/>
    <w:basedOn w:val="Normal"/>
    <w:rsid w:val="004D6472"/>
    <w:pPr>
      <w:tabs>
        <w:tab w:val="left" w:pos="1418"/>
      </w:tabs>
      <w:spacing w:before="240" w:after="240"/>
      <w:jc w:val="both"/>
    </w:pPr>
    <w:rPr>
      <w:rFonts w:ascii="Arial" w:hAnsi="Arial"/>
      <w:sz w:val="22"/>
      <w:szCs w:val="22"/>
      <w:u w:val="single"/>
    </w:rPr>
  </w:style>
  <w:style w:type="paragraph" w:styleId="EndnoteText">
    <w:name w:val="endnote text"/>
    <w:basedOn w:val="Normal"/>
    <w:semiHidden/>
    <w:rsid w:val="00397C5A"/>
    <w:pPr>
      <w:spacing w:before="80" w:after="60"/>
      <w:ind w:left="907" w:hanging="907"/>
    </w:pPr>
    <w:rPr>
      <w:lang w:val="en-GB"/>
    </w:rPr>
  </w:style>
  <w:style w:type="paragraph" w:styleId="BalloonText">
    <w:name w:val="Balloon Text"/>
    <w:basedOn w:val="Normal"/>
    <w:semiHidden/>
    <w:rsid w:val="000041B9"/>
    <w:rPr>
      <w:rFonts w:ascii="Tahoma" w:hAnsi="Tahoma" w:cs="Tahoma"/>
      <w:sz w:val="16"/>
      <w:szCs w:val="16"/>
    </w:rPr>
  </w:style>
  <w:style w:type="paragraph" w:customStyle="1" w:styleId="BrandNamePI">
    <w:name w:val="Brand Name PI"/>
    <w:basedOn w:val="ActiveIngredientPI"/>
    <w:rsid w:val="00DB18EC"/>
    <w:rPr>
      <w:sz w:val="28"/>
      <w:szCs w:val="28"/>
    </w:rPr>
  </w:style>
  <w:style w:type="paragraph" w:customStyle="1" w:styleId="PItextbolditalic">
    <w:name w:val="PI text bold  italic"/>
    <w:basedOn w:val="Normal"/>
    <w:rsid w:val="00292D90"/>
    <w:pPr>
      <w:tabs>
        <w:tab w:val="left" w:pos="1418"/>
      </w:tabs>
      <w:spacing w:before="120" w:after="120"/>
      <w:jc w:val="both"/>
    </w:pPr>
    <w:rPr>
      <w:rFonts w:ascii="Arial" w:hAnsi="Arial"/>
      <w:b/>
      <w:i/>
      <w:sz w:val="22"/>
      <w:szCs w:val="22"/>
    </w:rPr>
  </w:style>
  <w:style w:type="paragraph" w:customStyle="1" w:styleId="TextPI">
    <w:name w:val="Text PI"/>
    <w:basedOn w:val="Normal"/>
    <w:link w:val="TextPIChar"/>
    <w:rsid w:val="00292D90"/>
    <w:pPr>
      <w:spacing w:before="120" w:after="120" w:line="240" w:lineRule="atLeast"/>
      <w:jc w:val="both"/>
    </w:pPr>
    <w:rPr>
      <w:rFonts w:ascii="Arial" w:hAnsi="Arial"/>
      <w:sz w:val="22"/>
      <w:szCs w:val="22"/>
    </w:rPr>
  </w:style>
  <w:style w:type="character" w:customStyle="1" w:styleId="TextPIChar">
    <w:name w:val="Text PI Char"/>
    <w:basedOn w:val="DefaultParagraphFont"/>
    <w:link w:val="TextPI"/>
    <w:rsid w:val="000A1804"/>
    <w:rPr>
      <w:rFonts w:ascii="Arial" w:hAnsi="Arial"/>
      <w:sz w:val="22"/>
      <w:szCs w:val="22"/>
      <w:lang w:val="en-US" w:eastAsia="en-US" w:bidi="ar-SA"/>
    </w:rPr>
  </w:style>
  <w:style w:type="paragraph" w:customStyle="1" w:styleId="TextPIBullet">
    <w:name w:val="Text PI Bullet"/>
    <w:basedOn w:val="TextPI"/>
    <w:rsid w:val="00292D90"/>
    <w:pPr>
      <w:numPr>
        <w:numId w:val="1"/>
      </w:numPr>
      <w:tabs>
        <w:tab w:val="clear" w:pos="720"/>
        <w:tab w:val="num" w:pos="360"/>
      </w:tabs>
      <w:spacing w:before="0" w:after="0"/>
      <w:ind w:left="0" w:firstLine="0"/>
    </w:pPr>
  </w:style>
  <w:style w:type="paragraph" w:customStyle="1" w:styleId="TextPItable">
    <w:name w:val="Text PI table"/>
    <w:basedOn w:val="Normal"/>
    <w:rsid w:val="00292D90"/>
    <w:pPr>
      <w:tabs>
        <w:tab w:val="left" w:pos="1418"/>
      </w:tabs>
      <w:jc w:val="both"/>
    </w:pPr>
    <w:rPr>
      <w:rFonts w:ascii="Arial" w:hAnsi="Arial"/>
      <w:sz w:val="22"/>
      <w:szCs w:val="22"/>
    </w:rPr>
  </w:style>
  <w:style w:type="paragraph" w:customStyle="1" w:styleId="TextPIunderline">
    <w:name w:val="Text PI underline"/>
    <w:basedOn w:val="Normal"/>
    <w:rsid w:val="00292D90"/>
    <w:pPr>
      <w:tabs>
        <w:tab w:val="left" w:pos="1418"/>
      </w:tabs>
      <w:jc w:val="both"/>
    </w:pPr>
    <w:rPr>
      <w:rFonts w:ascii="Arial" w:hAnsi="Arial"/>
      <w:iCs/>
      <w:sz w:val="22"/>
      <w:szCs w:val="22"/>
      <w:u w:val="single"/>
    </w:rPr>
  </w:style>
  <w:style w:type="paragraph" w:customStyle="1" w:styleId="Default">
    <w:name w:val="Default"/>
    <w:rsid w:val="00B327D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B28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8F4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28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8F4"/>
    <w:rPr>
      <w:sz w:val="24"/>
      <w:lang w:val="en-US" w:eastAsia="en-US"/>
    </w:rPr>
  </w:style>
  <w:style w:type="paragraph" w:customStyle="1" w:styleId="PIheading4">
    <w:name w:val="PI heading 4"/>
    <w:basedOn w:val="TextPI"/>
    <w:qFormat/>
    <w:rsid w:val="004D6472"/>
    <w:pPr>
      <w:spacing w:before="240" w:after="240" w:line="240" w:lineRule="auto"/>
    </w:pPr>
    <w:rPr>
      <w:i/>
    </w:rPr>
  </w:style>
  <w:style w:type="table" w:styleId="TableGrid">
    <w:name w:val="Table Grid"/>
    <w:basedOn w:val="TableNormal"/>
    <w:uiPriority w:val="59"/>
    <w:rsid w:val="003E3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-SynopText">
    <w:name w:val="CS-Synop: Text"/>
    <w:basedOn w:val="Normal"/>
    <w:rsid w:val="00810DE0"/>
    <w:pPr>
      <w:tabs>
        <w:tab w:val="left" w:pos="547"/>
      </w:tabs>
      <w:spacing w:before="60" w:after="60"/>
      <w:ind w:left="142"/>
    </w:pPr>
    <w:rPr>
      <w:sz w:val="20"/>
      <w:lang w:val="en-GB" w:eastAsia="de-DE"/>
    </w:rPr>
  </w:style>
  <w:style w:type="paragraph" w:customStyle="1" w:styleId="CS-Text">
    <w:name w:val="CS-Text"/>
    <w:link w:val="CS-TextChar"/>
    <w:qFormat/>
    <w:rsid w:val="00810DE0"/>
    <w:pPr>
      <w:spacing w:after="240"/>
    </w:pPr>
    <w:rPr>
      <w:sz w:val="24"/>
      <w:lang w:val="en-GB" w:eastAsia="de-DE"/>
    </w:rPr>
  </w:style>
  <w:style w:type="paragraph" w:customStyle="1" w:styleId="CSTextinTable10pt">
    <w:name w:val="CS Text_in_Table:10pt"/>
    <w:basedOn w:val="Normal"/>
    <w:uiPriority w:val="99"/>
    <w:rsid w:val="000D008E"/>
    <w:pPr>
      <w:keepNext/>
      <w:keepLines/>
      <w:tabs>
        <w:tab w:val="left" w:pos="144"/>
      </w:tabs>
    </w:pPr>
    <w:rPr>
      <w:sz w:val="20"/>
      <w:lang w:eastAsia="de-DE"/>
    </w:rPr>
  </w:style>
  <w:style w:type="paragraph" w:customStyle="1" w:styleId="CaptionTable">
    <w:name w:val="Caption_Table"/>
    <w:basedOn w:val="Normal"/>
    <w:next w:val="Normal"/>
    <w:link w:val="CaptionTableChar"/>
    <w:uiPriority w:val="99"/>
    <w:rsid w:val="000D008E"/>
    <w:pPr>
      <w:keepNext/>
      <w:keepLines/>
      <w:spacing w:before="180" w:after="180"/>
      <w:ind w:left="2268" w:hanging="2268"/>
    </w:pPr>
    <w:rPr>
      <w:szCs w:val="24"/>
      <w:lang w:eastAsia="de-DE"/>
    </w:rPr>
  </w:style>
  <w:style w:type="character" w:customStyle="1" w:styleId="CaptionTableChar">
    <w:name w:val="Caption_Table Char"/>
    <w:basedOn w:val="DefaultParagraphFont"/>
    <w:link w:val="CaptionTable"/>
    <w:uiPriority w:val="99"/>
    <w:rsid w:val="000D008E"/>
    <w:rPr>
      <w:sz w:val="24"/>
      <w:szCs w:val="24"/>
      <w:lang w:val="en-US" w:eastAsia="de-DE"/>
    </w:rPr>
  </w:style>
  <w:style w:type="paragraph" w:customStyle="1" w:styleId="PIText">
    <w:name w:val="PI Text"/>
    <w:basedOn w:val="Normal"/>
    <w:link w:val="PITextChar"/>
    <w:rsid w:val="00800D6C"/>
  </w:style>
  <w:style w:type="character" w:customStyle="1" w:styleId="PITextChar">
    <w:name w:val="PI Text Char"/>
    <w:basedOn w:val="DefaultParagraphFont"/>
    <w:link w:val="PIText"/>
    <w:rsid w:val="00800D6C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00D6C"/>
    <w:pPr>
      <w:ind w:left="720"/>
      <w:contextualSpacing/>
    </w:pPr>
  </w:style>
  <w:style w:type="character" w:customStyle="1" w:styleId="PLRTextChar">
    <w:name w:val="PLR Text Char"/>
    <w:basedOn w:val="DefaultParagraphFont"/>
    <w:link w:val="PLRText"/>
    <w:rsid w:val="00B43DE5"/>
    <w:rPr>
      <w:sz w:val="16"/>
      <w:szCs w:val="16"/>
      <w:lang w:val="en-US" w:eastAsia="en-US"/>
    </w:rPr>
  </w:style>
  <w:style w:type="paragraph" w:customStyle="1" w:styleId="PLRText">
    <w:name w:val="PLR Text"/>
    <w:basedOn w:val="Normal"/>
    <w:link w:val="PLRTextChar"/>
    <w:qFormat/>
    <w:rsid w:val="00B43DE5"/>
    <w:pPr>
      <w:spacing w:before="60" w:after="60"/>
    </w:pPr>
    <w:rPr>
      <w:sz w:val="16"/>
      <w:szCs w:val="16"/>
    </w:rPr>
  </w:style>
  <w:style w:type="character" w:styleId="PageNumber">
    <w:name w:val="page number"/>
    <w:basedOn w:val="DefaultParagraphFont"/>
    <w:rsid w:val="00D32DCD"/>
  </w:style>
  <w:style w:type="paragraph" w:customStyle="1" w:styleId="Bullet">
    <w:name w:val="Bullet"/>
    <w:basedOn w:val="Normal"/>
    <w:rsid w:val="00D32DCD"/>
    <w:pPr>
      <w:spacing w:after="240" w:line="276" w:lineRule="auto"/>
    </w:pPr>
    <w:rPr>
      <w:rFonts w:ascii="Calibri" w:eastAsia="Calibri" w:hAnsi="Calibri"/>
      <w:sz w:val="22"/>
      <w:szCs w:val="22"/>
      <w:lang w:val="en-AU"/>
    </w:rPr>
  </w:style>
  <w:style w:type="paragraph" w:styleId="NoSpacing">
    <w:name w:val="No Spacing"/>
    <w:uiPriority w:val="1"/>
    <w:qFormat/>
    <w:rsid w:val="00D32DCD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C21C9"/>
    <w:rPr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BB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A1BBA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CA1BBA"/>
    <w:rPr>
      <w:lang w:val="en-US" w:eastAsia="en-US"/>
    </w:rPr>
  </w:style>
  <w:style w:type="paragraph" w:customStyle="1" w:styleId="Styleguide">
    <w:name w:val="Styleguide"/>
    <w:rsid w:val="00DC4402"/>
    <w:pPr>
      <w:spacing w:line="320" w:lineRule="exact"/>
    </w:pPr>
    <w:rPr>
      <w:sz w:val="24"/>
      <w:lang w:val="en-GB" w:eastAsia="de-DE"/>
    </w:rPr>
  </w:style>
  <w:style w:type="paragraph" w:styleId="PlainText">
    <w:name w:val="Plain Text"/>
    <w:basedOn w:val="Normal"/>
    <w:link w:val="PlainTextChar"/>
    <w:rsid w:val="00DC4402"/>
    <w:rPr>
      <w:rFonts w:ascii="Courier New" w:hAnsi="Courier New" w:cs="Courier New"/>
      <w:sz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DC4402"/>
    <w:rPr>
      <w:rFonts w:ascii="Courier New" w:hAnsi="Courier New" w:cs="Courier New"/>
      <w:lang w:val="en-GB" w:eastAsia="en-GB"/>
    </w:rPr>
  </w:style>
  <w:style w:type="paragraph" w:styleId="NormalWeb">
    <w:name w:val="Normal (Web)"/>
    <w:basedOn w:val="Normal"/>
    <w:uiPriority w:val="99"/>
    <w:rsid w:val="00A93002"/>
    <w:pPr>
      <w:spacing w:before="100" w:beforeAutospacing="1" w:after="75"/>
    </w:pPr>
    <w:rPr>
      <w:color w:val="000000"/>
      <w:szCs w:val="24"/>
      <w:lang w:val="en-GB" w:eastAsia="de-DE"/>
    </w:rPr>
  </w:style>
  <w:style w:type="paragraph" w:customStyle="1" w:styleId="IBText">
    <w:name w:val="IB:Text"/>
    <w:link w:val="IBTextChar"/>
    <w:rsid w:val="00D6515A"/>
    <w:pPr>
      <w:spacing w:before="120" w:after="240"/>
    </w:pPr>
    <w:rPr>
      <w:noProof/>
      <w:sz w:val="24"/>
      <w:lang w:val="de-DE" w:eastAsia="ja-JP"/>
    </w:rPr>
  </w:style>
  <w:style w:type="character" w:customStyle="1" w:styleId="IBTextChar">
    <w:name w:val="IB:Text Char"/>
    <w:basedOn w:val="DefaultParagraphFont"/>
    <w:link w:val="IBText"/>
    <w:rsid w:val="00D6515A"/>
    <w:rPr>
      <w:noProof/>
      <w:sz w:val="24"/>
      <w:lang w:val="de-DE" w:eastAsia="ja-JP"/>
    </w:rPr>
  </w:style>
  <w:style w:type="paragraph" w:styleId="Caption">
    <w:name w:val="caption"/>
    <w:aliases w:val="Caption Char,Char Char"/>
    <w:basedOn w:val="Normal"/>
    <w:next w:val="Normal"/>
    <w:link w:val="CaptionChar1"/>
    <w:uiPriority w:val="99"/>
    <w:qFormat/>
    <w:rsid w:val="004B20A6"/>
    <w:pPr>
      <w:spacing w:before="120" w:after="120"/>
    </w:pPr>
    <w:rPr>
      <w:b/>
      <w:bCs/>
      <w:sz w:val="20"/>
    </w:rPr>
  </w:style>
  <w:style w:type="character" w:customStyle="1" w:styleId="CaptionChar1">
    <w:name w:val="Caption Char1"/>
    <w:aliases w:val="Caption Char Char,Char Char Char"/>
    <w:basedOn w:val="DefaultParagraphFont"/>
    <w:link w:val="Caption"/>
    <w:uiPriority w:val="99"/>
    <w:locked/>
    <w:rsid w:val="004B20A6"/>
    <w:rPr>
      <w:b/>
      <w:bCs/>
      <w:lang w:val="en-US" w:eastAsia="en-US"/>
    </w:rPr>
  </w:style>
  <w:style w:type="character" w:customStyle="1" w:styleId="CS-TextChar">
    <w:name w:val="CS-Text Char"/>
    <w:basedOn w:val="DefaultParagraphFont"/>
    <w:link w:val="CS-Text"/>
    <w:rsid w:val="00195AC4"/>
    <w:rPr>
      <w:sz w:val="24"/>
      <w:lang w:val="en-GB" w:eastAsia="de-DE"/>
    </w:rPr>
  </w:style>
  <w:style w:type="paragraph" w:styleId="BodyText3">
    <w:name w:val="Body Text 3"/>
    <w:basedOn w:val="Normal"/>
    <w:link w:val="BodyText3Char"/>
    <w:uiPriority w:val="99"/>
    <w:rsid w:val="008903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color w:val="0000FF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8903EE"/>
    <w:rPr>
      <w:rFonts w:ascii="Arial" w:hAnsi="Arial"/>
      <w:color w:val="0000FF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71365"/>
    <w:rPr>
      <w:color w:val="808080"/>
    </w:rPr>
  </w:style>
  <w:style w:type="paragraph" w:customStyle="1" w:styleId="BI-LogoBI">
    <w:name w:val="BI-Logo: BI"/>
    <w:semiHidden/>
    <w:rsid w:val="00091B5E"/>
    <w:pPr>
      <w:spacing w:after="120"/>
    </w:pPr>
    <w:rPr>
      <w:rFonts w:ascii="BILogo" w:hAnsi="BILogo"/>
      <w:noProof/>
      <w:sz w:val="72"/>
      <w:lang w:val="en-US" w:eastAsia="en-US"/>
    </w:rPr>
  </w:style>
  <w:style w:type="paragraph" w:customStyle="1" w:styleId="FPI-Para12pt">
    <w:name w:val="FPI-Para 12 pt"/>
    <w:basedOn w:val="Normal"/>
    <w:qFormat/>
    <w:rsid w:val="00723DAA"/>
    <w:rPr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9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97C5A"/>
    <w:pPr>
      <w:keepNext/>
      <w:keepLines/>
      <w:spacing w:before="720"/>
      <w:ind w:left="907" w:right="567" w:hanging="907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397C5A"/>
    <w:pPr>
      <w:keepNext/>
      <w:keepLines/>
      <w:spacing w:before="480"/>
      <w:ind w:left="907" w:right="567" w:hanging="907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397C5A"/>
    <w:pPr>
      <w:keepNext/>
      <w:keepLines/>
      <w:spacing w:before="240"/>
      <w:ind w:left="907" w:right="567" w:hanging="907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397C5A"/>
    <w:pPr>
      <w:keepNext/>
      <w:keepLines/>
      <w:spacing w:before="24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Heading4"/>
    <w:next w:val="Normal"/>
    <w:qFormat/>
    <w:rsid w:val="00397C5A"/>
    <w:pPr>
      <w:outlineLvl w:val="4"/>
    </w:pPr>
    <w:rPr>
      <w:b w:val="0"/>
    </w:rPr>
  </w:style>
  <w:style w:type="paragraph" w:styleId="Heading6">
    <w:name w:val="heading 6"/>
    <w:basedOn w:val="Normal"/>
    <w:next w:val="Normal"/>
    <w:qFormat/>
    <w:rsid w:val="00835E1F"/>
    <w:pPr>
      <w:keepNext/>
      <w:keepLines/>
      <w:spacing w:before="240" w:after="120"/>
      <w:ind w:left="1701" w:hanging="1701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835E1F"/>
    <w:pPr>
      <w:keepNext/>
      <w:keepLines/>
      <w:spacing w:before="240" w:after="120"/>
      <w:ind w:left="1701" w:hanging="1701"/>
      <w:outlineLvl w:val="6"/>
    </w:pPr>
    <w:rPr>
      <w:rFonts w:ascii="Arial" w:hAnsi="Arial"/>
      <w:b/>
    </w:rPr>
  </w:style>
  <w:style w:type="paragraph" w:styleId="Heading8">
    <w:name w:val="heading 8"/>
    <w:basedOn w:val="Normal"/>
    <w:qFormat/>
    <w:rsid w:val="00397C5A"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397C5A"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1FD0"/>
    <w:rPr>
      <w:rFonts w:ascii="Arial" w:hAnsi="Arial"/>
      <w:b/>
      <w:sz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DF4410"/>
    <w:rPr>
      <w:rFonts w:ascii="Arial" w:hAnsi="Arial"/>
      <w:b/>
      <w:sz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397C5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97C5A"/>
    <w:rPr>
      <w:sz w:val="20"/>
    </w:rPr>
  </w:style>
  <w:style w:type="paragraph" w:styleId="TOC8">
    <w:name w:val="toc 8"/>
    <w:basedOn w:val="Normal"/>
    <w:next w:val="Normal"/>
    <w:semiHidden/>
    <w:rsid w:val="00397C5A"/>
    <w:pPr>
      <w:tabs>
        <w:tab w:val="left" w:leader="dot" w:pos="8280"/>
        <w:tab w:val="right" w:pos="8640"/>
      </w:tabs>
      <w:ind w:left="5040" w:right="720"/>
    </w:pPr>
  </w:style>
  <w:style w:type="paragraph" w:styleId="TOC7">
    <w:name w:val="toc 7"/>
    <w:basedOn w:val="Normal"/>
    <w:semiHidden/>
    <w:rsid w:val="00397C5A"/>
    <w:pPr>
      <w:tabs>
        <w:tab w:val="right" w:leader="dot" w:pos="9072"/>
      </w:tabs>
      <w:spacing w:after="72"/>
      <w:ind w:left="1701" w:hanging="1701"/>
    </w:pPr>
  </w:style>
  <w:style w:type="paragraph" w:styleId="TOC6">
    <w:name w:val="toc 6"/>
    <w:basedOn w:val="Normal"/>
    <w:semiHidden/>
    <w:rsid w:val="00397C5A"/>
    <w:pPr>
      <w:tabs>
        <w:tab w:val="right" w:leader="dot" w:pos="9072"/>
      </w:tabs>
      <w:spacing w:after="72"/>
      <w:ind w:left="1701" w:hanging="1701"/>
    </w:pPr>
  </w:style>
  <w:style w:type="paragraph" w:styleId="TOC5">
    <w:name w:val="toc 5"/>
    <w:basedOn w:val="Normal"/>
    <w:next w:val="Normal"/>
    <w:semiHidden/>
    <w:rsid w:val="00397C5A"/>
    <w:pPr>
      <w:tabs>
        <w:tab w:val="left" w:leader="dot" w:pos="8280"/>
        <w:tab w:val="right" w:pos="8640"/>
      </w:tabs>
      <w:ind w:left="2880" w:right="720"/>
    </w:pPr>
  </w:style>
  <w:style w:type="paragraph" w:styleId="TOC4">
    <w:name w:val="toc 4"/>
    <w:basedOn w:val="Normal"/>
    <w:next w:val="Normal"/>
    <w:semiHidden/>
    <w:rsid w:val="00397C5A"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TOC2"/>
    <w:semiHidden/>
    <w:rsid w:val="00397C5A"/>
    <w:pPr>
      <w:ind w:left="2127" w:hanging="993"/>
    </w:pPr>
  </w:style>
  <w:style w:type="paragraph" w:styleId="TOC2">
    <w:name w:val="toc 2"/>
    <w:basedOn w:val="TOC1"/>
    <w:semiHidden/>
    <w:rsid w:val="00397C5A"/>
    <w:pPr>
      <w:ind w:left="1134" w:hanging="709"/>
    </w:pPr>
  </w:style>
  <w:style w:type="paragraph" w:styleId="TOC1">
    <w:name w:val="toc 1"/>
    <w:basedOn w:val="Normal"/>
    <w:semiHidden/>
    <w:rsid w:val="00397C5A"/>
    <w:pPr>
      <w:tabs>
        <w:tab w:val="right" w:leader="dot" w:pos="9073"/>
      </w:tabs>
      <w:spacing w:after="72"/>
      <w:ind w:left="426" w:hanging="426"/>
    </w:pPr>
  </w:style>
  <w:style w:type="paragraph" w:styleId="Index7">
    <w:name w:val="index 7"/>
    <w:basedOn w:val="Normal"/>
    <w:next w:val="Normal"/>
    <w:semiHidden/>
    <w:rsid w:val="00397C5A"/>
    <w:pPr>
      <w:ind w:left="2160"/>
    </w:pPr>
  </w:style>
  <w:style w:type="paragraph" w:styleId="Index6">
    <w:name w:val="index 6"/>
    <w:basedOn w:val="Normal"/>
    <w:next w:val="Normal"/>
    <w:semiHidden/>
    <w:rsid w:val="00397C5A"/>
    <w:pPr>
      <w:ind w:left="1800"/>
    </w:pPr>
  </w:style>
  <w:style w:type="paragraph" w:styleId="Index5">
    <w:name w:val="index 5"/>
    <w:basedOn w:val="Normal"/>
    <w:next w:val="Normal"/>
    <w:semiHidden/>
    <w:rsid w:val="00397C5A"/>
    <w:pPr>
      <w:ind w:left="1440"/>
    </w:pPr>
  </w:style>
  <w:style w:type="paragraph" w:styleId="Index4">
    <w:name w:val="index 4"/>
    <w:basedOn w:val="Normal"/>
    <w:next w:val="Normal"/>
    <w:semiHidden/>
    <w:rsid w:val="00397C5A"/>
    <w:pPr>
      <w:ind w:left="1080"/>
    </w:pPr>
  </w:style>
  <w:style w:type="paragraph" w:styleId="Index3">
    <w:name w:val="index 3"/>
    <w:basedOn w:val="Normal"/>
    <w:next w:val="Normal"/>
    <w:semiHidden/>
    <w:rsid w:val="00397C5A"/>
    <w:pPr>
      <w:ind w:left="720"/>
    </w:pPr>
  </w:style>
  <w:style w:type="paragraph" w:styleId="Index2">
    <w:name w:val="index 2"/>
    <w:basedOn w:val="Normal"/>
    <w:next w:val="Normal"/>
    <w:semiHidden/>
    <w:rsid w:val="00397C5A"/>
    <w:pPr>
      <w:ind w:left="360"/>
    </w:pPr>
  </w:style>
  <w:style w:type="paragraph" w:styleId="Index1">
    <w:name w:val="index 1"/>
    <w:basedOn w:val="Normal"/>
    <w:next w:val="Normal"/>
    <w:semiHidden/>
    <w:rsid w:val="00397C5A"/>
  </w:style>
  <w:style w:type="paragraph" w:styleId="IndexHeading">
    <w:name w:val="index heading"/>
    <w:basedOn w:val="Normal"/>
    <w:next w:val="Index1"/>
    <w:semiHidden/>
    <w:rsid w:val="00397C5A"/>
  </w:style>
  <w:style w:type="character" w:styleId="FootnoteReference">
    <w:name w:val="footnote reference"/>
    <w:basedOn w:val="DefaultParagraphFont"/>
    <w:semiHidden/>
    <w:rsid w:val="00397C5A"/>
    <w:rPr>
      <w:position w:val="6"/>
      <w:sz w:val="16"/>
    </w:rPr>
  </w:style>
  <w:style w:type="paragraph" w:styleId="FootnoteText">
    <w:name w:val="footnote text"/>
    <w:basedOn w:val="Normal"/>
    <w:semiHidden/>
    <w:rsid w:val="00397C5A"/>
    <w:rPr>
      <w:sz w:val="20"/>
    </w:rPr>
  </w:style>
  <w:style w:type="paragraph" w:customStyle="1" w:styleId="ActiveIngredientPI">
    <w:name w:val="Active Ingredient PI"/>
    <w:basedOn w:val="Normal"/>
    <w:rsid w:val="00292D90"/>
    <w:pPr>
      <w:shd w:val="pct10" w:color="auto" w:fill="auto"/>
      <w:spacing w:after="60"/>
      <w:jc w:val="center"/>
    </w:pPr>
    <w:rPr>
      <w:rFonts w:ascii="Arial" w:hAnsi="Arial"/>
      <w:b/>
    </w:rPr>
  </w:style>
  <w:style w:type="paragraph" w:customStyle="1" w:styleId="PIHeading1">
    <w:name w:val="PI Heading 1"/>
    <w:basedOn w:val="Heading1"/>
    <w:rsid w:val="000A1804"/>
    <w:pPr>
      <w:keepLines w:val="0"/>
      <w:tabs>
        <w:tab w:val="left" w:pos="1418"/>
      </w:tabs>
      <w:spacing w:before="240" w:after="240"/>
      <w:ind w:left="1418" w:right="0" w:hanging="1418"/>
      <w:jc w:val="both"/>
    </w:pPr>
    <w:rPr>
      <w:rFonts w:ascii="Arial Bold" w:hAnsi="Arial Bold"/>
      <w:caps/>
      <w:sz w:val="22"/>
      <w:szCs w:val="22"/>
    </w:rPr>
  </w:style>
  <w:style w:type="paragraph" w:customStyle="1" w:styleId="PIheading2">
    <w:name w:val="PI heading 2"/>
    <w:basedOn w:val="Heading2"/>
    <w:rsid w:val="00381F35"/>
    <w:pPr>
      <w:keepLines w:val="0"/>
      <w:tabs>
        <w:tab w:val="left" w:pos="1418"/>
      </w:tabs>
      <w:spacing w:before="240" w:after="240"/>
      <w:ind w:left="0" w:right="0" w:firstLine="0"/>
    </w:pPr>
    <w:rPr>
      <w:sz w:val="22"/>
      <w:szCs w:val="22"/>
      <w:lang w:val="en-AU"/>
    </w:rPr>
  </w:style>
  <w:style w:type="paragraph" w:customStyle="1" w:styleId="PIHeading3">
    <w:name w:val="PI Heading 3"/>
    <w:basedOn w:val="Normal"/>
    <w:rsid w:val="004D6472"/>
    <w:pPr>
      <w:tabs>
        <w:tab w:val="left" w:pos="1418"/>
      </w:tabs>
      <w:spacing w:before="240" w:after="240"/>
      <w:jc w:val="both"/>
    </w:pPr>
    <w:rPr>
      <w:rFonts w:ascii="Arial" w:hAnsi="Arial"/>
      <w:sz w:val="22"/>
      <w:szCs w:val="22"/>
      <w:u w:val="single"/>
    </w:rPr>
  </w:style>
  <w:style w:type="paragraph" w:styleId="EndnoteText">
    <w:name w:val="endnote text"/>
    <w:basedOn w:val="Normal"/>
    <w:semiHidden/>
    <w:rsid w:val="00397C5A"/>
    <w:pPr>
      <w:spacing w:before="80" w:after="60"/>
      <w:ind w:left="907" w:hanging="907"/>
    </w:pPr>
    <w:rPr>
      <w:lang w:val="en-GB"/>
    </w:rPr>
  </w:style>
  <w:style w:type="paragraph" w:styleId="BalloonText">
    <w:name w:val="Balloon Text"/>
    <w:basedOn w:val="Normal"/>
    <w:semiHidden/>
    <w:rsid w:val="000041B9"/>
    <w:rPr>
      <w:rFonts w:ascii="Tahoma" w:hAnsi="Tahoma" w:cs="Tahoma"/>
      <w:sz w:val="16"/>
      <w:szCs w:val="16"/>
    </w:rPr>
  </w:style>
  <w:style w:type="paragraph" w:customStyle="1" w:styleId="BrandNamePI">
    <w:name w:val="Brand Name PI"/>
    <w:basedOn w:val="ActiveIngredientPI"/>
    <w:rsid w:val="00DB18EC"/>
    <w:rPr>
      <w:sz w:val="28"/>
      <w:szCs w:val="28"/>
    </w:rPr>
  </w:style>
  <w:style w:type="paragraph" w:customStyle="1" w:styleId="PItextbolditalic">
    <w:name w:val="PI text bold  italic"/>
    <w:basedOn w:val="Normal"/>
    <w:rsid w:val="00292D90"/>
    <w:pPr>
      <w:tabs>
        <w:tab w:val="left" w:pos="1418"/>
      </w:tabs>
      <w:spacing w:before="120" w:after="120"/>
      <w:jc w:val="both"/>
    </w:pPr>
    <w:rPr>
      <w:rFonts w:ascii="Arial" w:hAnsi="Arial"/>
      <w:b/>
      <w:i/>
      <w:sz w:val="22"/>
      <w:szCs w:val="22"/>
    </w:rPr>
  </w:style>
  <w:style w:type="paragraph" w:customStyle="1" w:styleId="TextPI">
    <w:name w:val="Text PI"/>
    <w:basedOn w:val="Normal"/>
    <w:link w:val="TextPIChar"/>
    <w:rsid w:val="00292D90"/>
    <w:pPr>
      <w:spacing w:before="120" w:after="120" w:line="240" w:lineRule="atLeast"/>
      <w:jc w:val="both"/>
    </w:pPr>
    <w:rPr>
      <w:rFonts w:ascii="Arial" w:hAnsi="Arial"/>
      <w:sz w:val="22"/>
      <w:szCs w:val="22"/>
    </w:rPr>
  </w:style>
  <w:style w:type="character" w:customStyle="1" w:styleId="TextPIChar">
    <w:name w:val="Text PI Char"/>
    <w:basedOn w:val="DefaultParagraphFont"/>
    <w:link w:val="TextPI"/>
    <w:rsid w:val="000A1804"/>
    <w:rPr>
      <w:rFonts w:ascii="Arial" w:hAnsi="Arial"/>
      <w:sz w:val="22"/>
      <w:szCs w:val="22"/>
      <w:lang w:val="en-US" w:eastAsia="en-US" w:bidi="ar-SA"/>
    </w:rPr>
  </w:style>
  <w:style w:type="paragraph" w:customStyle="1" w:styleId="TextPIBullet">
    <w:name w:val="Text PI Bullet"/>
    <w:basedOn w:val="TextPI"/>
    <w:rsid w:val="00292D90"/>
    <w:pPr>
      <w:numPr>
        <w:numId w:val="1"/>
      </w:numPr>
      <w:tabs>
        <w:tab w:val="clear" w:pos="720"/>
        <w:tab w:val="num" w:pos="360"/>
      </w:tabs>
      <w:spacing w:before="0" w:after="0"/>
      <w:ind w:left="0" w:firstLine="0"/>
    </w:pPr>
  </w:style>
  <w:style w:type="paragraph" w:customStyle="1" w:styleId="TextPItable">
    <w:name w:val="Text PI table"/>
    <w:basedOn w:val="Normal"/>
    <w:rsid w:val="00292D90"/>
    <w:pPr>
      <w:tabs>
        <w:tab w:val="left" w:pos="1418"/>
      </w:tabs>
      <w:jc w:val="both"/>
    </w:pPr>
    <w:rPr>
      <w:rFonts w:ascii="Arial" w:hAnsi="Arial"/>
      <w:sz w:val="22"/>
      <w:szCs w:val="22"/>
    </w:rPr>
  </w:style>
  <w:style w:type="paragraph" w:customStyle="1" w:styleId="TextPIunderline">
    <w:name w:val="Text PI underline"/>
    <w:basedOn w:val="Normal"/>
    <w:rsid w:val="00292D90"/>
    <w:pPr>
      <w:tabs>
        <w:tab w:val="left" w:pos="1418"/>
      </w:tabs>
      <w:jc w:val="both"/>
    </w:pPr>
    <w:rPr>
      <w:rFonts w:ascii="Arial" w:hAnsi="Arial"/>
      <w:iCs/>
      <w:sz w:val="22"/>
      <w:szCs w:val="22"/>
      <w:u w:val="single"/>
    </w:rPr>
  </w:style>
  <w:style w:type="paragraph" w:customStyle="1" w:styleId="Default">
    <w:name w:val="Default"/>
    <w:rsid w:val="00B327D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B28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8F4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28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8F4"/>
    <w:rPr>
      <w:sz w:val="24"/>
      <w:lang w:val="en-US" w:eastAsia="en-US"/>
    </w:rPr>
  </w:style>
  <w:style w:type="paragraph" w:customStyle="1" w:styleId="PIheading4">
    <w:name w:val="PI heading 4"/>
    <w:basedOn w:val="TextPI"/>
    <w:qFormat/>
    <w:rsid w:val="004D6472"/>
    <w:pPr>
      <w:spacing w:before="240" w:after="240" w:line="240" w:lineRule="auto"/>
    </w:pPr>
    <w:rPr>
      <w:i/>
    </w:rPr>
  </w:style>
  <w:style w:type="table" w:styleId="TableGrid">
    <w:name w:val="Table Grid"/>
    <w:basedOn w:val="TableNormal"/>
    <w:uiPriority w:val="59"/>
    <w:rsid w:val="003E3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-SynopText">
    <w:name w:val="CS-Synop: Text"/>
    <w:basedOn w:val="Normal"/>
    <w:rsid w:val="00810DE0"/>
    <w:pPr>
      <w:tabs>
        <w:tab w:val="left" w:pos="547"/>
      </w:tabs>
      <w:spacing w:before="60" w:after="60"/>
      <w:ind w:left="142"/>
    </w:pPr>
    <w:rPr>
      <w:sz w:val="20"/>
      <w:lang w:val="en-GB" w:eastAsia="de-DE"/>
    </w:rPr>
  </w:style>
  <w:style w:type="paragraph" w:customStyle="1" w:styleId="CS-Text">
    <w:name w:val="CS-Text"/>
    <w:link w:val="CS-TextChar"/>
    <w:qFormat/>
    <w:rsid w:val="00810DE0"/>
    <w:pPr>
      <w:spacing w:after="240"/>
    </w:pPr>
    <w:rPr>
      <w:sz w:val="24"/>
      <w:lang w:val="en-GB" w:eastAsia="de-DE"/>
    </w:rPr>
  </w:style>
  <w:style w:type="paragraph" w:customStyle="1" w:styleId="CSTextinTable10pt">
    <w:name w:val="CS Text_in_Table:10pt"/>
    <w:basedOn w:val="Normal"/>
    <w:uiPriority w:val="99"/>
    <w:rsid w:val="000D008E"/>
    <w:pPr>
      <w:keepNext/>
      <w:keepLines/>
      <w:tabs>
        <w:tab w:val="left" w:pos="144"/>
      </w:tabs>
    </w:pPr>
    <w:rPr>
      <w:sz w:val="20"/>
      <w:lang w:eastAsia="de-DE"/>
    </w:rPr>
  </w:style>
  <w:style w:type="paragraph" w:customStyle="1" w:styleId="CaptionTable">
    <w:name w:val="Caption_Table"/>
    <w:basedOn w:val="Normal"/>
    <w:next w:val="Normal"/>
    <w:link w:val="CaptionTableChar"/>
    <w:uiPriority w:val="99"/>
    <w:rsid w:val="000D008E"/>
    <w:pPr>
      <w:keepNext/>
      <w:keepLines/>
      <w:spacing w:before="180" w:after="180"/>
      <w:ind w:left="2268" w:hanging="2268"/>
    </w:pPr>
    <w:rPr>
      <w:szCs w:val="24"/>
      <w:lang w:eastAsia="de-DE"/>
    </w:rPr>
  </w:style>
  <w:style w:type="character" w:customStyle="1" w:styleId="CaptionTableChar">
    <w:name w:val="Caption_Table Char"/>
    <w:basedOn w:val="DefaultParagraphFont"/>
    <w:link w:val="CaptionTable"/>
    <w:uiPriority w:val="99"/>
    <w:rsid w:val="000D008E"/>
    <w:rPr>
      <w:sz w:val="24"/>
      <w:szCs w:val="24"/>
      <w:lang w:val="en-US" w:eastAsia="de-DE"/>
    </w:rPr>
  </w:style>
  <w:style w:type="paragraph" w:customStyle="1" w:styleId="PIText">
    <w:name w:val="PI Text"/>
    <w:basedOn w:val="Normal"/>
    <w:link w:val="PITextChar"/>
    <w:rsid w:val="00800D6C"/>
  </w:style>
  <w:style w:type="character" w:customStyle="1" w:styleId="PITextChar">
    <w:name w:val="PI Text Char"/>
    <w:basedOn w:val="DefaultParagraphFont"/>
    <w:link w:val="PIText"/>
    <w:rsid w:val="00800D6C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00D6C"/>
    <w:pPr>
      <w:ind w:left="720"/>
      <w:contextualSpacing/>
    </w:pPr>
  </w:style>
  <w:style w:type="character" w:customStyle="1" w:styleId="PLRTextChar">
    <w:name w:val="PLR Text Char"/>
    <w:basedOn w:val="DefaultParagraphFont"/>
    <w:link w:val="PLRText"/>
    <w:rsid w:val="00B43DE5"/>
    <w:rPr>
      <w:sz w:val="16"/>
      <w:szCs w:val="16"/>
      <w:lang w:val="en-US" w:eastAsia="en-US"/>
    </w:rPr>
  </w:style>
  <w:style w:type="paragraph" w:customStyle="1" w:styleId="PLRText">
    <w:name w:val="PLR Text"/>
    <w:basedOn w:val="Normal"/>
    <w:link w:val="PLRTextChar"/>
    <w:qFormat/>
    <w:rsid w:val="00B43DE5"/>
    <w:pPr>
      <w:spacing w:before="60" w:after="60"/>
    </w:pPr>
    <w:rPr>
      <w:sz w:val="16"/>
      <w:szCs w:val="16"/>
    </w:rPr>
  </w:style>
  <w:style w:type="character" w:styleId="PageNumber">
    <w:name w:val="page number"/>
    <w:basedOn w:val="DefaultParagraphFont"/>
    <w:rsid w:val="00D32DCD"/>
  </w:style>
  <w:style w:type="paragraph" w:customStyle="1" w:styleId="Bullet">
    <w:name w:val="Bullet"/>
    <w:basedOn w:val="Normal"/>
    <w:rsid w:val="00D32DCD"/>
    <w:pPr>
      <w:spacing w:after="240" w:line="276" w:lineRule="auto"/>
    </w:pPr>
    <w:rPr>
      <w:rFonts w:ascii="Calibri" w:eastAsia="Calibri" w:hAnsi="Calibri"/>
      <w:sz w:val="22"/>
      <w:szCs w:val="22"/>
      <w:lang w:val="en-AU"/>
    </w:rPr>
  </w:style>
  <w:style w:type="paragraph" w:styleId="NoSpacing">
    <w:name w:val="No Spacing"/>
    <w:uiPriority w:val="1"/>
    <w:qFormat/>
    <w:rsid w:val="00D32DCD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C21C9"/>
    <w:rPr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BB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A1BBA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CA1BBA"/>
    <w:rPr>
      <w:lang w:val="en-US" w:eastAsia="en-US"/>
    </w:rPr>
  </w:style>
  <w:style w:type="paragraph" w:customStyle="1" w:styleId="Styleguide">
    <w:name w:val="Styleguide"/>
    <w:rsid w:val="00DC4402"/>
    <w:pPr>
      <w:spacing w:line="320" w:lineRule="exact"/>
    </w:pPr>
    <w:rPr>
      <w:sz w:val="24"/>
      <w:lang w:val="en-GB" w:eastAsia="de-DE"/>
    </w:rPr>
  </w:style>
  <w:style w:type="paragraph" w:styleId="PlainText">
    <w:name w:val="Plain Text"/>
    <w:basedOn w:val="Normal"/>
    <w:link w:val="PlainTextChar"/>
    <w:rsid w:val="00DC4402"/>
    <w:rPr>
      <w:rFonts w:ascii="Courier New" w:hAnsi="Courier New" w:cs="Courier New"/>
      <w:sz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DC4402"/>
    <w:rPr>
      <w:rFonts w:ascii="Courier New" w:hAnsi="Courier New" w:cs="Courier New"/>
      <w:lang w:val="en-GB" w:eastAsia="en-GB"/>
    </w:rPr>
  </w:style>
  <w:style w:type="paragraph" w:styleId="NormalWeb">
    <w:name w:val="Normal (Web)"/>
    <w:basedOn w:val="Normal"/>
    <w:uiPriority w:val="99"/>
    <w:rsid w:val="00A93002"/>
    <w:pPr>
      <w:spacing w:before="100" w:beforeAutospacing="1" w:after="75"/>
    </w:pPr>
    <w:rPr>
      <w:color w:val="000000"/>
      <w:szCs w:val="24"/>
      <w:lang w:val="en-GB" w:eastAsia="de-DE"/>
    </w:rPr>
  </w:style>
  <w:style w:type="paragraph" w:customStyle="1" w:styleId="IBText">
    <w:name w:val="IB:Text"/>
    <w:link w:val="IBTextChar"/>
    <w:rsid w:val="00D6515A"/>
    <w:pPr>
      <w:spacing w:before="120" w:after="240"/>
    </w:pPr>
    <w:rPr>
      <w:noProof/>
      <w:sz w:val="24"/>
      <w:lang w:val="de-DE" w:eastAsia="ja-JP"/>
    </w:rPr>
  </w:style>
  <w:style w:type="character" w:customStyle="1" w:styleId="IBTextChar">
    <w:name w:val="IB:Text Char"/>
    <w:basedOn w:val="DefaultParagraphFont"/>
    <w:link w:val="IBText"/>
    <w:rsid w:val="00D6515A"/>
    <w:rPr>
      <w:noProof/>
      <w:sz w:val="24"/>
      <w:lang w:val="de-DE" w:eastAsia="ja-JP"/>
    </w:rPr>
  </w:style>
  <w:style w:type="paragraph" w:styleId="Caption">
    <w:name w:val="caption"/>
    <w:aliases w:val="Caption Char,Char Char"/>
    <w:basedOn w:val="Normal"/>
    <w:next w:val="Normal"/>
    <w:link w:val="CaptionChar1"/>
    <w:uiPriority w:val="99"/>
    <w:qFormat/>
    <w:rsid w:val="004B20A6"/>
    <w:pPr>
      <w:spacing w:before="120" w:after="120"/>
    </w:pPr>
    <w:rPr>
      <w:b/>
      <w:bCs/>
      <w:sz w:val="20"/>
    </w:rPr>
  </w:style>
  <w:style w:type="character" w:customStyle="1" w:styleId="CaptionChar1">
    <w:name w:val="Caption Char1"/>
    <w:aliases w:val="Caption Char Char,Char Char Char"/>
    <w:basedOn w:val="DefaultParagraphFont"/>
    <w:link w:val="Caption"/>
    <w:uiPriority w:val="99"/>
    <w:locked/>
    <w:rsid w:val="004B20A6"/>
    <w:rPr>
      <w:b/>
      <w:bCs/>
      <w:lang w:val="en-US" w:eastAsia="en-US"/>
    </w:rPr>
  </w:style>
  <w:style w:type="character" w:customStyle="1" w:styleId="CS-TextChar">
    <w:name w:val="CS-Text Char"/>
    <w:basedOn w:val="DefaultParagraphFont"/>
    <w:link w:val="CS-Text"/>
    <w:rsid w:val="00195AC4"/>
    <w:rPr>
      <w:sz w:val="24"/>
      <w:lang w:val="en-GB" w:eastAsia="de-DE"/>
    </w:rPr>
  </w:style>
  <w:style w:type="paragraph" w:styleId="BodyText3">
    <w:name w:val="Body Text 3"/>
    <w:basedOn w:val="Normal"/>
    <w:link w:val="BodyText3Char"/>
    <w:uiPriority w:val="99"/>
    <w:rsid w:val="008903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color w:val="0000FF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8903EE"/>
    <w:rPr>
      <w:rFonts w:ascii="Arial" w:hAnsi="Arial"/>
      <w:color w:val="0000FF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71365"/>
    <w:rPr>
      <w:color w:val="808080"/>
    </w:rPr>
  </w:style>
  <w:style w:type="paragraph" w:customStyle="1" w:styleId="BI-LogoBI">
    <w:name w:val="BI-Logo: BI"/>
    <w:semiHidden/>
    <w:rsid w:val="00091B5E"/>
    <w:pPr>
      <w:spacing w:after="120"/>
    </w:pPr>
    <w:rPr>
      <w:rFonts w:ascii="BILogo" w:hAnsi="BILogo"/>
      <w:noProof/>
      <w:sz w:val="72"/>
      <w:lang w:val="en-US" w:eastAsia="en-US"/>
    </w:rPr>
  </w:style>
  <w:style w:type="paragraph" w:customStyle="1" w:styleId="FPI-Para12pt">
    <w:name w:val="FPI-Para 12 pt"/>
    <w:basedOn w:val="Normal"/>
    <w:qFormat/>
    <w:rsid w:val="00723DAA"/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1.png@01CE403C.14D19CE0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F460-8472-4030-8628-1A2B2FCCA23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2F59CBC-D7B4-423E-B472-2BCEDC3F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6900</Words>
  <Characters>38987</Characters>
  <Application>Microsoft Office Word</Application>
  <DocSecurity>0</DocSecurity>
  <Lines>974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PI template</vt:lpstr>
    </vt:vector>
  </TitlesOfParts>
  <Company>Boehringer Ingelheim</Company>
  <LinksUpToDate>false</LinksUpToDate>
  <CharactersWithSpaces>45232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Information: Giotrif (afatinib (as afatinib dimaleate))</dc:title>
  <dc:subject>Product Information</dc:subject>
  <dc:creator>Boehringer Ingelheim</dc:creator>
  <cp:keywords>prescription, medicine, giotrif, afatinib, dimaleate</cp:keywords>
  <cp:lastModifiedBy>Bird, Gail</cp:lastModifiedBy>
  <cp:revision>5</cp:revision>
  <cp:lastPrinted>2013-10-23T01:16:00Z</cp:lastPrinted>
  <dcterms:created xsi:type="dcterms:W3CDTF">2014-05-31T01:24:00Z</dcterms:created>
  <dcterms:modified xsi:type="dcterms:W3CDTF">2014-05-31T01:28:00Z</dcterms:modified>
</cp:coreProperties>
</file>