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4DD1563" w14:textId="77777777" w:rsidTr="00BF1190">
        <w:trPr>
          <w:trHeight w:val="1863"/>
        </w:trPr>
        <w:tc>
          <w:tcPr>
            <w:tcW w:w="3652" w:type="dxa"/>
            <w:tcBorders>
              <w:top w:val="nil"/>
              <w:left w:val="nil"/>
              <w:bottom w:val="nil"/>
              <w:right w:val="nil"/>
            </w:tcBorders>
          </w:tcPr>
          <w:p w14:paraId="2CC4CC44" w14:textId="4A63852E" w:rsidR="008E7846" w:rsidRPr="00096AA7" w:rsidRDefault="0011168C" w:rsidP="00096AA7">
            <w:pPr>
              <w:rPr>
                <w:rFonts w:ascii="Arial" w:hAnsi="Arial" w:cs="Arial"/>
                <w:b/>
                <w:color w:val="002C47"/>
                <w:sz w:val="36"/>
                <w:szCs w:val="36"/>
              </w:rPr>
            </w:pPr>
            <w:r>
              <w:rPr>
                <w:rFonts w:ascii="Arial" w:hAnsi="Arial" w:cs="Arial"/>
                <w:b/>
                <w:color w:val="002C47"/>
                <w:sz w:val="36"/>
                <w:szCs w:val="36"/>
              </w:rPr>
              <w:t>March</w:t>
            </w:r>
            <w:r w:rsidR="00847C96">
              <w:rPr>
                <w:rFonts w:ascii="Arial" w:hAnsi="Arial" w:cs="Arial"/>
                <w:b/>
                <w:color w:val="002C47"/>
                <w:sz w:val="36"/>
                <w:szCs w:val="36"/>
              </w:rPr>
              <w:t xml:space="preserve"> </w:t>
            </w:r>
            <w:r w:rsidR="00E26EDD">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0A4B60C" w14:textId="77777777" w:rsidTr="0032583B">
        <w:trPr>
          <w:trHeight w:val="868"/>
        </w:trPr>
        <w:tc>
          <w:tcPr>
            <w:tcW w:w="9079" w:type="dxa"/>
          </w:tcPr>
          <w:p w14:paraId="008A31CA" w14:textId="77777777" w:rsidR="0032583B" w:rsidRPr="00A964D1" w:rsidRDefault="0032583B" w:rsidP="00460036">
            <w:pPr>
              <w:pStyle w:val="Title"/>
              <w:rPr>
                <w:color w:val="FFFFFF" w:themeColor="background1"/>
              </w:rPr>
            </w:pPr>
            <w:bookmarkStart w:id="0" w:name="_GoBack"/>
            <w:r w:rsidRPr="00A964D1">
              <w:rPr>
                <w:color w:val="FFFFFF" w:themeColor="background1"/>
              </w:rPr>
              <w:t>Australia</w:t>
            </w:r>
            <w:r w:rsidR="00893FEA">
              <w:rPr>
                <w:color w:val="FFFFFF" w:themeColor="background1"/>
              </w:rPr>
              <w:t xml:space="preserve">n Public Assessment Report for </w:t>
            </w:r>
            <w:proofErr w:type="spellStart"/>
            <w:r w:rsidR="00893FEA">
              <w:rPr>
                <w:color w:val="FFFFFF" w:themeColor="background1"/>
              </w:rPr>
              <w:t>Afamelanotide</w:t>
            </w:r>
            <w:bookmarkEnd w:id="0"/>
            <w:proofErr w:type="spellEnd"/>
          </w:p>
        </w:tc>
      </w:tr>
      <w:tr w:rsidR="0032583B" w:rsidRPr="00B64760" w14:paraId="54621724" w14:textId="77777777" w:rsidTr="0032583B">
        <w:tc>
          <w:tcPr>
            <w:tcW w:w="9079" w:type="dxa"/>
          </w:tcPr>
          <w:p w14:paraId="59E8D5E2" w14:textId="13041AF7" w:rsidR="0032583B" w:rsidRPr="008E7846" w:rsidRDefault="00893FEA" w:rsidP="00811504">
            <w:pPr>
              <w:pStyle w:val="Subtitle"/>
              <w:rPr>
                <w:color w:val="FFFFFF" w:themeColor="background1"/>
              </w:rPr>
            </w:pPr>
            <w:r>
              <w:rPr>
                <w:color w:val="FFFFFF" w:themeColor="background1"/>
              </w:rPr>
              <w:t xml:space="preserve">Proprietary Product Name: </w:t>
            </w:r>
            <w:proofErr w:type="spellStart"/>
            <w:r w:rsidR="00811504">
              <w:rPr>
                <w:color w:val="FFFFFF" w:themeColor="background1"/>
              </w:rPr>
              <w:t>Scenesse</w:t>
            </w:r>
            <w:proofErr w:type="spellEnd"/>
          </w:p>
        </w:tc>
      </w:tr>
      <w:tr w:rsidR="0032583B" w:rsidRPr="00B64760" w14:paraId="7D7921B8" w14:textId="77777777" w:rsidTr="0032583B">
        <w:trPr>
          <w:trHeight w:val="486"/>
        </w:trPr>
        <w:tc>
          <w:tcPr>
            <w:tcW w:w="9079" w:type="dxa"/>
          </w:tcPr>
          <w:p w14:paraId="521EAA53" w14:textId="18192563" w:rsidR="0032583B" w:rsidRPr="008E7846" w:rsidRDefault="00893FEA" w:rsidP="0011168C">
            <w:pPr>
              <w:pStyle w:val="Subtitle"/>
              <w:rPr>
                <w:color w:val="FFFFFF" w:themeColor="background1"/>
              </w:rPr>
            </w:pPr>
            <w:r>
              <w:rPr>
                <w:color w:val="FFFFFF" w:themeColor="background1"/>
              </w:rPr>
              <w:t xml:space="preserve">Sponsor: </w:t>
            </w:r>
            <w:proofErr w:type="spellStart"/>
            <w:r w:rsidR="0011168C">
              <w:rPr>
                <w:color w:val="FFFFFF" w:themeColor="background1"/>
              </w:rPr>
              <w:t>Clinuvel</w:t>
            </w:r>
            <w:proofErr w:type="spellEnd"/>
            <w:r w:rsidR="0011168C">
              <w:rPr>
                <w:color w:val="FFFFFF" w:themeColor="background1"/>
              </w:rPr>
              <w:t xml:space="preserve"> Pharmaceuticals Ltd</w:t>
            </w:r>
          </w:p>
        </w:tc>
      </w:tr>
    </w:tbl>
    <w:p w14:paraId="2B0F7B71" w14:textId="77777777" w:rsidR="008E7846" w:rsidRPr="0085156D" w:rsidRDefault="008E7846" w:rsidP="0085156D">
      <w:r w:rsidRPr="0085156D">
        <w:br w:type="page"/>
      </w:r>
    </w:p>
    <w:p w14:paraId="0BFF7199" w14:textId="77777777" w:rsidR="008E7846" w:rsidRPr="001F6CBA" w:rsidRDefault="008E7846" w:rsidP="008E7846">
      <w:pPr>
        <w:pStyle w:val="NonTOCHeading2"/>
      </w:pPr>
      <w:r w:rsidRPr="001F6CBA">
        <w:lastRenderedPageBreak/>
        <w:t>About the Therapeutic Goods Administration (TGA)</w:t>
      </w:r>
    </w:p>
    <w:p w14:paraId="61B5C25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4EE4414"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3B66206"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6DB40D7"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4536EF1" w14:textId="5E644372"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7FD3F089" w14:textId="77777777" w:rsidR="008E7846" w:rsidRDefault="008E7846" w:rsidP="00875A6B">
      <w:pPr>
        <w:pStyle w:val="NonTOCHeading2"/>
      </w:pPr>
      <w:r>
        <w:t xml:space="preserve">About </w:t>
      </w:r>
      <w:proofErr w:type="spellStart"/>
      <w:r>
        <w:t>AusPARs</w:t>
      </w:r>
      <w:proofErr w:type="spellEnd"/>
    </w:p>
    <w:p w14:paraId="00BFA193"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52A623CC"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4AB82712"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14:paraId="15BFBA4E"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775AF0DD"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76D746C4" w14:textId="77777777" w:rsidR="00924482" w:rsidRPr="00DF1D7F" w:rsidRDefault="00924482" w:rsidP="00F54B65">
      <w:pPr>
        <w:pStyle w:val="LegalSubheading"/>
        <w:spacing w:before="3120"/>
      </w:pPr>
      <w:r w:rsidRPr="00DF1D7F">
        <w:t>Copyright</w:t>
      </w:r>
    </w:p>
    <w:p w14:paraId="3BC2D067" w14:textId="477C6473"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3BC1DB5B"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7090708" w14:textId="77777777" w:rsidR="0089635C" w:rsidRPr="0089635C" w:rsidRDefault="0089635C" w:rsidP="0010788A">
          <w:pPr>
            <w:pStyle w:val="Contents"/>
          </w:pPr>
          <w:r w:rsidRPr="0010788A">
            <w:t>Contents</w:t>
          </w:r>
        </w:p>
        <w:p w14:paraId="420FDF2E" w14:textId="7CABDB95" w:rsidR="0049676A"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66436559" w:history="1">
            <w:r w:rsidR="0049676A" w:rsidRPr="00316CE0">
              <w:rPr>
                <w:rStyle w:val="Hyperlink"/>
                <w:noProof/>
              </w:rPr>
              <w:t>List of abbreviations</w:t>
            </w:r>
            <w:r w:rsidR="0049676A">
              <w:rPr>
                <w:noProof/>
                <w:webHidden/>
              </w:rPr>
              <w:tab/>
            </w:r>
            <w:r w:rsidR="0049676A">
              <w:rPr>
                <w:noProof/>
                <w:webHidden/>
              </w:rPr>
              <w:fldChar w:fldCharType="begin"/>
            </w:r>
            <w:r w:rsidR="0049676A">
              <w:rPr>
                <w:noProof/>
                <w:webHidden/>
              </w:rPr>
              <w:instrText xml:space="preserve"> PAGEREF _Toc66436559 \h </w:instrText>
            </w:r>
            <w:r w:rsidR="0049676A">
              <w:rPr>
                <w:noProof/>
                <w:webHidden/>
              </w:rPr>
            </w:r>
            <w:r w:rsidR="0049676A">
              <w:rPr>
                <w:noProof/>
                <w:webHidden/>
              </w:rPr>
              <w:fldChar w:fldCharType="separate"/>
            </w:r>
            <w:r w:rsidR="0049676A">
              <w:rPr>
                <w:noProof/>
                <w:webHidden/>
              </w:rPr>
              <w:t>4</w:t>
            </w:r>
            <w:r w:rsidR="0049676A">
              <w:rPr>
                <w:noProof/>
                <w:webHidden/>
              </w:rPr>
              <w:fldChar w:fldCharType="end"/>
            </w:r>
          </w:hyperlink>
        </w:p>
        <w:p w14:paraId="75F1ADEA" w14:textId="39F48A35" w:rsidR="0049676A" w:rsidRDefault="00F92033">
          <w:pPr>
            <w:pStyle w:val="TOC1"/>
            <w:rPr>
              <w:rFonts w:asciiTheme="minorHAnsi" w:eastAsiaTheme="minorEastAsia" w:hAnsiTheme="minorHAnsi" w:cstheme="minorBidi"/>
              <w:b w:val="0"/>
              <w:noProof/>
              <w:sz w:val="22"/>
              <w:lang w:eastAsia="en-AU"/>
            </w:rPr>
          </w:pPr>
          <w:hyperlink w:anchor="_Toc66436560" w:history="1">
            <w:r w:rsidR="0049676A" w:rsidRPr="00316CE0">
              <w:rPr>
                <w:rStyle w:val="Hyperlink"/>
                <w:noProof/>
              </w:rPr>
              <w:t>I. Introduction to product submission</w:t>
            </w:r>
            <w:r w:rsidR="0049676A">
              <w:rPr>
                <w:noProof/>
                <w:webHidden/>
              </w:rPr>
              <w:tab/>
            </w:r>
            <w:r w:rsidR="0049676A">
              <w:rPr>
                <w:noProof/>
                <w:webHidden/>
              </w:rPr>
              <w:fldChar w:fldCharType="begin"/>
            </w:r>
            <w:r w:rsidR="0049676A">
              <w:rPr>
                <w:noProof/>
                <w:webHidden/>
              </w:rPr>
              <w:instrText xml:space="preserve"> PAGEREF _Toc66436560 \h </w:instrText>
            </w:r>
            <w:r w:rsidR="0049676A">
              <w:rPr>
                <w:noProof/>
                <w:webHidden/>
              </w:rPr>
            </w:r>
            <w:r w:rsidR="0049676A">
              <w:rPr>
                <w:noProof/>
                <w:webHidden/>
              </w:rPr>
              <w:fldChar w:fldCharType="separate"/>
            </w:r>
            <w:r w:rsidR="0049676A">
              <w:rPr>
                <w:noProof/>
                <w:webHidden/>
              </w:rPr>
              <w:t>6</w:t>
            </w:r>
            <w:r w:rsidR="0049676A">
              <w:rPr>
                <w:noProof/>
                <w:webHidden/>
              </w:rPr>
              <w:fldChar w:fldCharType="end"/>
            </w:r>
          </w:hyperlink>
        </w:p>
        <w:p w14:paraId="53A9F1C7" w14:textId="2A9E1E80" w:rsidR="0049676A" w:rsidRDefault="00F92033">
          <w:pPr>
            <w:pStyle w:val="TOC2"/>
            <w:rPr>
              <w:rFonts w:asciiTheme="minorHAnsi" w:eastAsiaTheme="minorEastAsia" w:hAnsiTheme="minorHAnsi" w:cstheme="minorBidi"/>
              <w:b w:val="0"/>
              <w:noProof/>
              <w:sz w:val="22"/>
              <w:lang w:eastAsia="en-AU"/>
            </w:rPr>
          </w:pPr>
          <w:hyperlink w:anchor="_Toc66436561" w:history="1">
            <w:r w:rsidR="0049676A" w:rsidRPr="00316CE0">
              <w:rPr>
                <w:rStyle w:val="Hyperlink"/>
                <w:noProof/>
                <w:lang w:eastAsia="en-AU"/>
              </w:rPr>
              <w:t>Submission details</w:t>
            </w:r>
            <w:r w:rsidR="0049676A">
              <w:rPr>
                <w:noProof/>
                <w:webHidden/>
              </w:rPr>
              <w:tab/>
            </w:r>
            <w:r w:rsidR="0049676A">
              <w:rPr>
                <w:noProof/>
                <w:webHidden/>
              </w:rPr>
              <w:fldChar w:fldCharType="begin"/>
            </w:r>
            <w:r w:rsidR="0049676A">
              <w:rPr>
                <w:noProof/>
                <w:webHidden/>
              </w:rPr>
              <w:instrText xml:space="preserve"> PAGEREF _Toc66436561 \h </w:instrText>
            </w:r>
            <w:r w:rsidR="0049676A">
              <w:rPr>
                <w:noProof/>
                <w:webHidden/>
              </w:rPr>
            </w:r>
            <w:r w:rsidR="0049676A">
              <w:rPr>
                <w:noProof/>
                <w:webHidden/>
              </w:rPr>
              <w:fldChar w:fldCharType="separate"/>
            </w:r>
            <w:r w:rsidR="0049676A">
              <w:rPr>
                <w:noProof/>
                <w:webHidden/>
              </w:rPr>
              <w:t>6</w:t>
            </w:r>
            <w:r w:rsidR="0049676A">
              <w:rPr>
                <w:noProof/>
                <w:webHidden/>
              </w:rPr>
              <w:fldChar w:fldCharType="end"/>
            </w:r>
          </w:hyperlink>
        </w:p>
        <w:p w14:paraId="39AD3E3A" w14:textId="00BA60E2" w:rsidR="0049676A" w:rsidRDefault="00F92033">
          <w:pPr>
            <w:pStyle w:val="TOC2"/>
            <w:rPr>
              <w:rFonts w:asciiTheme="minorHAnsi" w:eastAsiaTheme="minorEastAsia" w:hAnsiTheme="minorHAnsi" w:cstheme="minorBidi"/>
              <w:b w:val="0"/>
              <w:noProof/>
              <w:sz w:val="22"/>
              <w:lang w:eastAsia="en-AU"/>
            </w:rPr>
          </w:pPr>
          <w:hyperlink w:anchor="_Toc66436562" w:history="1">
            <w:r w:rsidR="0049676A" w:rsidRPr="00316CE0">
              <w:rPr>
                <w:rStyle w:val="Hyperlink"/>
                <w:noProof/>
              </w:rPr>
              <w:t>Product background</w:t>
            </w:r>
            <w:r w:rsidR="0049676A">
              <w:rPr>
                <w:noProof/>
                <w:webHidden/>
              </w:rPr>
              <w:tab/>
            </w:r>
            <w:r w:rsidR="0049676A">
              <w:rPr>
                <w:noProof/>
                <w:webHidden/>
              </w:rPr>
              <w:fldChar w:fldCharType="begin"/>
            </w:r>
            <w:r w:rsidR="0049676A">
              <w:rPr>
                <w:noProof/>
                <w:webHidden/>
              </w:rPr>
              <w:instrText xml:space="preserve"> PAGEREF _Toc66436562 \h </w:instrText>
            </w:r>
            <w:r w:rsidR="0049676A">
              <w:rPr>
                <w:noProof/>
                <w:webHidden/>
              </w:rPr>
            </w:r>
            <w:r w:rsidR="0049676A">
              <w:rPr>
                <w:noProof/>
                <w:webHidden/>
              </w:rPr>
              <w:fldChar w:fldCharType="separate"/>
            </w:r>
            <w:r w:rsidR="0049676A">
              <w:rPr>
                <w:noProof/>
                <w:webHidden/>
              </w:rPr>
              <w:t>7</w:t>
            </w:r>
            <w:r w:rsidR="0049676A">
              <w:rPr>
                <w:noProof/>
                <w:webHidden/>
              </w:rPr>
              <w:fldChar w:fldCharType="end"/>
            </w:r>
          </w:hyperlink>
        </w:p>
        <w:p w14:paraId="4639163B" w14:textId="13B90B4C" w:rsidR="0049676A" w:rsidRDefault="00F92033">
          <w:pPr>
            <w:pStyle w:val="TOC2"/>
            <w:rPr>
              <w:rFonts w:asciiTheme="minorHAnsi" w:eastAsiaTheme="minorEastAsia" w:hAnsiTheme="minorHAnsi" w:cstheme="minorBidi"/>
              <w:b w:val="0"/>
              <w:noProof/>
              <w:sz w:val="22"/>
              <w:lang w:eastAsia="en-AU"/>
            </w:rPr>
          </w:pPr>
          <w:hyperlink w:anchor="_Toc66436563" w:history="1">
            <w:r w:rsidR="0049676A" w:rsidRPr="00316CE0">
              <w:rPr>
                <w:rStyle w:val="Hyperlink"/>
                <w:noProof/>
              </w:rPr>
              <w:t>Regulatory status</w:t>
            </w:r>
            <w:r w:rsidR="0049676A">
              <w:rPr>
                <w:noProof/>
                <w:webHidden/>
              </w:rPr>
              <w:tab/>
            </w:r>
            <w:r w:rsidR="0049676A">
              <w:rPr>
                <w:noProof/>
                <w:webHidden/>
              </w:rPr>
              <w:fldChar w:fldCharType="begin"/>
            </w:r>
            <w:r w:rsidR="0049676A">
              <w:rPr>
                <w:noProof/>
                <w:webHidden/>
              </w:rPr>
              <w:instrText xml:space="preserve"> PAGEREF _Toc66436563 \h </w:instrText>
            </w:r>
            <w:r w:rsidR="0049676A">
              <w:rPr>
                <w:noProof/>
                <w:webHidden/>
              </w:rPr>
            </w:r>
            <w:r w:rsidR="0049676A">
              <w:rPr>
                <w:noProof/>
                <w:webHidden/>
              </w:rPr>
              <w:fldChar w:fldCharType="separate"/>
            </w:r>
            <w:r w:rsidR="0049676A">
              <w:rPr>
                <w:noProof/>
                <w:webHidden/>
              </w:rPr>
              <w:t>8</w:t>
            </w:r>
            <w:r w:rsidR="0049676A">
              <w:rPr>
                <w:noProof/>
                <w:webHidden/>
              </w:rPr>
              <w:fldChar w:fldCharType="end"/>
            </w:r>
          </w:hyperlink>
        </w:p>
        <w:p w14:paraId="1716A323" w14:textId="1320F910" w:rsidR="0049676A" w:rsidRDefault="00F92033">
          <w:pPr>
            <w:pStyle w:val="TOC2"/>
            <w:rPr>
              <w:rFonts w:asciiTheme="minorHAnsi" w:eastAsiaTheme="minorEastAsia" w:hAnsiTheme="minorHAnsi" w:cstheme="minorBidi"/>
              <w:b w:val="0"/>
              <w:noProof/>
              <w:sz w:val="22"/>
              <w:lang w:eastAsia="en-AU"/>
            </w:rPr>
          </w:pPr>
          <w:hyperlink w:anchor="_Toc66436564" w:history="1">
            <w:r w:rsidR="0049676A" w:rsidRPr="00316CE0">
              <w:rPr>
                <w:rStyle w:val="Hyperlink"/>
                <w:noProof/>
              </w:rPr>
              <w:t>Product Information</w:t>
            </w:r>
            <w:r w:rsidR="0049676A">
              <w:rPr>
                <w:noProof/>
                <w:webHidden/>
              </w:rPr>
              <w:tab/>
            </w:r>
            <w:r w:rsidR="0049676A">
              <w:rPr>
                <w:noProof/>
                <w:webHidden/>
              </w:rPr>
              <w:fldChar w:fldCharType="begin"/>
            </w:r>
            <w:r w:rsidR="0049676A">
              <w:rPr>
                <w:noProof/>
                <w:webHidden/>
              </w:rPr>
              <w:instrText xml:space="preserve"> PAGEREF _Toc66436564 \h </w:instrText>
            </w:r>
            <w:r w:rsidR="0049676A">
              <w:rPr>
                <w:noProof/>
                <w:webHidden/>
              </w:rPr>
            </w:r>
            <w:r w:rsidR="0049676A">
              <w:rPr>
                <w:noProof/>
                <w:webHidden/>
              </w:rPr>
              <w:fldChar w:fldCharType="separate"/>
            </w:r>
            <w:r w:rsidR="0049676A">
              <w:rPr>
                <w:noProof/>
                <w:webHidden/>
              </w:rPr>
              <w:t>8</w:t>
            </w:r>
            <w:r w:rsidR="0049676A">
              <w:rPr>
                <w:noProof/>
                <w:webHidden/>
              </w:rPr>
              <w:fldChar w:fldCharType="end"/>
            </w:r>
          </w:hyperlink>
        </w:p>
        <w:p w14:paraId="5A7D370D" w14:textId="2165C99D" w:rsidR="0049676A" w:rsidRDefault="00F92033">
          <w:pPr>
            <w:pStyle w:val="TOC1"/>
            <w:rPr>
              <w:rFonts w:asciiTheme="minorHAnsi" w:eastAsiaTheme="minorEastAsia" w:hAnsiTheme="minorHAnsi" w:cstheme="minorBidi"/>
              <w:b w:val="0"/>
              <w:noProof/>
              <w:sz w:val="22"/>
              <w:lang w:eastAsia="en-AU"/>
            </w:rPr>
          </w:pPr>
          <w:hyperlink w:anchor="_Toc66436565" w:history="1">
            <w:r w:rsidR="0049676A" w:rsidRPr="00316CE0">
              <w:rPr>
                <w:rStyle w:val="Hyperlink"/>
                <w:noProof/>
              </w:rPr>
              <w:t>II. Registration timeline</w:t>
            </w:r>
            <w:r w:rsidR="0049676A">
              <w:rPr>
                <w:noProof/>
                <w:webHidden/>
              </w:rPr>
              <w:tab/>
            </w:r>
            <w:r w:rsidR="0049676A">
              <w:rPr>
                <w:noProof/>
                <w:webHidden/>
              </w:rPr>
              <w:fldChar w:fldCharType="begin"/>
            </w:r>
            <w:r w:rsidR="0049676A">
              <w:rPr>
                <w:noProof/>
                <w:webHidden/>
              </w:rPr>
              <w:instrText xml:space="preserve"> PAGEREF _Toc66436565 \h </w:instrText>
            </w:r>
            <w:r w:rsidR="0049676A">
              <w:rPr>
                <w:noProof/>
                <w:webHidden/>
              </w:rPr>
            </w:r>
            <w:r w:rsidR="0049676A">
              <w:rPr>
                <w:noProof/>
                <w:webHidden/>
              </w:rPr>
              <w:fldChar w:fldCharType="separate"/>
            </w:r>
            <w:r w:rsidR="0049676A">
              <w:rPr>
                <w:noProof/>
                <w:webHidden/>
              </w:rPr>
              <w:t>9</w:t>
            </w:r>
            <w:r w:rsidR="0049676A">
              <w:rPr>
                <w:noProof/>
                <w:webHidden/>
              </w:rPr>
              <w:fldChar w:fldCharType="end"/>
            </w:r>
          </w:hyperlink>
        </w:p>
        <w:p w14:paraId="10B5D68D" w14:textId="6B47578A" w:rsidR="0049676A" w:rsidRDefault="00F92033">
          <w:pPr>
            <w:pStyle w:val="TOC1"/>
            <w:rPr>
              <w:rFonts w:asciiTheme="minorHAnsi" w:eastAsiaTheme="minorEastAsia" w:hAnsiTheme="minorHAnsi" w:cstheme="minorBidi"/>
              <w:b w:val="0"/>
              <w:noProof/>
              <w:sz w:val="22"/>
              <w:lang w:eastAsia="en-AU"/>
            </w:rPr>
          </w:pPr>
          <w:hyperlink w:anchor="_Toc66436566" w:history="1">
            <w:r w:rsidR="0049676A" w:rsidRPr="00316CE0">
              <w:rPr>
                <w:rStyle w:val="Hyperlink"/>
                <w:noProof/>
              </w:rPr>
              <w:t>III. Submission overview and risk/benefit assessment</w:t>
            </w:r>
            <w:r w:rsidR="0049676A">
              <w:rPr>
                <w:noProof/>
                <w:webHidden/>
              </w:rPr>
              <w:tab/>
            </w:r>
            <w:r w:rsidR="0049676A">
              <w:rPr>
                <w:noProof/>
                <w:webHidden/>
              </w:rPr>
              <w:fldChar w:fldCharType="begin"/>
            </w:r>
            <w:r w:rsidR="0049676A">
              <w:rPr>
                <w:noProof/>
                <w:webHidden/>
              </w:rPr>
              <w:instrText xml:space="preserve"> PAGEREF _Toc66436566 \h </w:instrText>
            </w:r>
            <w:r w:rsidR="0049676A">
              <w:rPr>
                <w:noProof/>
                <w:webHidden/>
              </w:rPr>
            </w:r>
            <w:r w:rsidR="0049676A">
              <w:rPr>
                <w:noProof/>
                <w:webHidden/>
              </w:rPr>
              <w:fldChar w:fldCharType="separate"/>
            </w:r>
            <w:r w:rsidR="0049676A">
              <w:rPr>
                <w:noProof/>
                <w:webHidden/>
              </w:rPr>
              <w:t>9</w:t>
            </w:r>
            <w:r w:rsidR="0049676A">
              <w:rPr>
                <w:noProof/>
                <w:webHidden/>
              </w:rPr>
              <w:fldChar w:fldCharType="end"/>
            </w:r>
          </w:hyperlink>
        </w:p>
        <w:p w14:paraId="2AF4971F" w14:textId="42B10A6B" w:rsidR="0049676A" w:rsidRDefault="00F92033">
          <w:pPr>
            <w:pStyle w:val="TOC2"/>
            <w:rPr>
              <w:rFonts w:asciiTheme="minorHAnsi" w:eastAsiaTheme="minorEastAsia" w:hAnsiTheme="minorHAnsi" w:cstheme="minorBidi"/>
              <w:b w:val="0"/>
              <w:noProof/>
              <w:sz w:val="22"/>
              <w:lang w:eastAsia="en-AU"/>
            </w:rPr>
          </w:pPr>
          <w:hyperlink w:anchor="_Toc66436567" w:history="1">
            <w:r w:rsidR="0049676A" w:rsidRPr="00316CE0">
              <w:rPr>
                <w:rStyle w:val="Hyperlink"/>
                <w:noProof/>
              </w:rPr>
              <w:t>Quality</w:t>
            </w:r>
            <w:r w:rsidR="0049676A">
              <w:rPr>
                <w:noProof/>
                <w:webHidden/>
              </w:rPr>
              <w:tab/>
            </w:r>
            <w:r w:rsidR="0049676A">
              <w:rPr>
                <w:noProof/>
                <w:webHidden/>
              </w:rPr>
              <w:fldChar w:fldCharType="begin"/>
            </w:r>
            <w:r w:rsidR="0049676A">
              <w:rPr>
                <w:noProof/>
                <w:webHidden/>
              </w:rPr>
              <w:instrText xml:space="preserve"> PAGEREF _Toc66436567 \h </w:instrText>
            </w:r>
            <w:r w:rsidR="0049676A">
              <w:rPr>
                <w:noProof/>
                <w:webHidden/>
              </w:rPr>
            </w:r>
            <w:r w:rsidR="0049676A">
              <w:rPr>
                <w:noProof/>
                <w:webHidden/>
              </w:rPr>
              <w:fldChar w:fldCharType="separate"/>
            </w:r>
            <w:r w:rsidR="0049676A">
              <w:rPr>
                <w:noProof/>
                <w:webHidden/>
              </w:rPr>
              <w:t>9</w:t>
            </w:r>
            <w:r w:rsidR="0049676A">
              <w:rPr>
                <w:noProof/>
                <w:webHidden/>
              </w:rPr>
              <w:fldChar w:fldCharType="end"/>
            </w:r>
          </w:hyperlink>
        </w:p>
        <w:p w14:paraId="04564713" w14:textId="7FC762E8" w:rsidR="0049676A" w:rsidRDefault="00F92033">
          <w:pPr>
            <w:pStyle w:val="TOC2"/>
            <w:rPr>
              <w:rFonts w:asciiTheme="minorHAnsi" w:eastAsiaTheme="minorEastAsia" w:hAnsiTheme="minorHAnsi" w:cstheme="minorBidi"/>
              <w:b w:val="0"/>
              <w:noProof/>
              <w:sz w:val="22"/>
              <w:lang w:eastAsia="en-AU"/>
            </w:rPr>
          </w:pPr>
          <w:hyperlink w:anchor="_Toc66436568" w:history="1">
            <w:r w:rsidR="0049676A" w:rsidRPr="00316CE0">
              <w:rPr>
                <w:rStyle w:val="Hyperlink"/>
                <w:noProof/>
              </w:rPr>
              <w:t>Nonclinical</w:t>
            </w:r>
            <w:r w:rsidR="0049676A">
              <w:rPr>
                <w:noProof/>
                <w:webHidden/>
              </w:rPr>
              <w:tab/>
            </w:r>
            <w:r w:rsidR="0049676A">
              <w:rPr>
                <w:noProof/>
                <w:webHidden/>
              </w:rPr>
              <w:fldChar w:fldCharType="begin"/>
            </w:r>
            <w:r w:rsidR="0049676A">
              <w:rPr>
                <w:noProof/>
                <w:webHidden/>
              </w:rPr>
              <w:instrText xml:space="preserve"> PAGEREF _Toc66436568 \h </w:instrText>
            </w:r>
            <w:r w:rsidR="0049676A">
              <w:rPr>
                <w:noProof/>
                <w:webHidden/>
              </w:rPr>
            </w:r>
            <w:r w:rsidR="0049676A">
              <w:rPr>
                <w:noProof/>
                <w:webHidden/>
              </w:rPr>
              <w:fldChar w:fldCharType="separate"/>
            </w:r>
            <w:r w:rsidR="0049676A">
              <w:rPr>
                <w:noProof/>
                <w:webHidden/>
              </w:rPr>
              <w:t>10</w:t>
            </w:r>
            <w:r w:rsidR="0049676A">
              <w:rPr>
                <w:noProof/>
                <w:webHidden/>
              </w:rPr>
              <w:fldChar w:fldCharType="end"/>
            </w:r>
          </w:hyperlink>
        </w:p>
        <w:p w14:paraId="7CF149F6" w14:textId="2A8FC082" w:rsidR="0049676A" w:rsidRDefault="00F92033">
          <w:pPr>
            <w:pStyle w:val="TOC2"/>
            <w:rPr>
              <w:rFonts w:asciiTheme="minorHAnsi" w:eastAsiaTheme="minorEastAsia" w:hAnsiTheme="minorHAnsi" w:cstheme="minorBidi"/>
              <w:b w:val="0"/>
              <w:noProof/>
              <w:sz w:val="22"/>
              <w:lang w:eastAsia="en-AU"/>
            </w:rPr>
          </w:pPr>
          <w:hyperlink w:anchor="_Toc66436569" w:history="1">
            <w:r w:rsidR="0049676A" w:rsidRPr="00316CE0">
              <w:rPr>
                <w:rStyle w:val="Hyperlink"/>
                <w:noProof/>
              </w:rPr>
              <w:t>Clinical</w:t>
            </w:r>
            <w:r w:rsidR="0049676A">
              <w:rPr>
                <w:noProof/>
                <w:webHidden/>
              </w:rPr>
              <w:tab/>
            </w:r>
            <w:r w:rsidR="0049676A">
              <w:rPr>
                <w:noProof/>
                <w:webHidden/>
              </w:rPr>
              <w:fldChar w:fldCharType="begin"/>
            </w:r>
            <w:r w:rsidR="0049676A">
              <w:rPr>
                <w:noProof/>
                <w:webHidden/>
              </w:rPr>
              <w:instrText xml:space="preserve"> PAGEREF _Toc66436569 \h </w:instrText>
            </w:r>
            <w:r w:rsidR="0049676A">
              <w:rPr>
                <w:noProof/>
                <w:webHidden/>
              </w:rPr>
            </w:r>
            <w:r w:rsidR="0049676A">
              <w:rPr>
                <w:noProof/>
                <w:webHidden/>
              </w:rPr>
              <w:fldChar w:fldCharType="separate"/>
            </w:r>
            <w:r w:rsidR="0049676A">
              <w:rPr>
                <w:noProof/>
                <w:webHidden/>
              </w:rPr>
              <w:t>12</w:t>
            </w:r>
            <w:r w:rsidR="0049676A">
              <w:rPr>
                <w:noProof/>
                <w:webHidden/>
              </w:rPr>
              <w:fldChar w:fldCharType="end"/>
            </w:r>
          </w:hyperlink>
        </w:p>
        <w:p w14:paraId="4FAF6D0F" w14:textId="474D9CA3" w:rsidR="0049676A" w:rsidRDefault="00F92033">
          <w:pPr>
            <w:pStyle w:val="TOC2"/>
            <w:rPr>
              <w:rFonts w:asciiTheme="minorHAnsi" w:eastAsiaTheme="minorEastAsia" w:hAnsiTheme="minorHAnsi" w:cstheme="minorBidi"/>
              <w:b w:val="0"/>
              <w:noProof/>
              <w:sz w:val="22"/>
              <w:lang w:eastAsia="en-AU"/>
            </w:rPr>
          </w:pPr>
          <w:hyperlink w:anchor="_Toc66436570" w:history="1">
            <w:r w:rsidR="0049676A" w:rsidRPr="00316CE0">
              <w:rPr>
                <w:rStyle w:val="Hyperlink"/>
                <w:noProof/>
                <w:lang w:eastAsia="en-AU"/>
              </w:rPr>
              <w:t>Risk management plan</w:t>
            </w:r>
            <w:r w:rsidR="0049676A">
              <w:rPr>
                <w:noProof/>
                <w:webHidden/>
              </w:rPr>
              <w:tab/>
            </w:r>
            <w:r w:rsidR="0049676A">
              <w:rPr>
                <w:noProof/>
                <w:webHidden/>
              </w:rPr>
              <w:fldChar w:fldCharType="begin"/>
            </w:r>
            <w:r w:rsidR="0049676A">
              <w:rPr>
                <w:noProof/>
                <w:webHidden/>
              </w:rPr>
              <w:instrText xml:space="preserve"> PAGEREF _Toc66436570 \h </w:instrText>
            </w:r>
            <w:r w:rsidR="0049676A">
              <w:rPr>
                <w:noProof/>
                <w:webHidden/>
              </w:rPr>
            </w:r>
            <w:r w:rsidR="0049676A">
              <w:rPr>
                <w:noProof/>
                <w:webHidden/>
              </w:rPr>
              <w:fldChar w:fldCharType="separate"/>
            </w:r>
            <w:r w:rsidR="0049676A">
              <w:rPr>
                <w:noProof/>
                <w:webHidden/>
              </w:rPr>
              <w:t>24</w:t>
            </w:r>
            <w:r w:rsidR="0049676A">
              <w:rPr>
                <w:noProof/>
                <w:webHidden/>
              </w:rPr>
              <w:fldChar w:fldCharType="end"/>
            </w:r>
          </w:hyperlink>
        </w:p>
        <w:p w14:paraId="17F7BAAF" w14:textId="59DF0A5E" w:rsidR="0049676A" w:rsidRDefault="00F92033">
          <w:pPr>
            <w:pStyle w:val="TOC2"/>
            <w:rPr>
              <w:rFonts w:asciiTheme="minorHAnsi" w:eastAsiaTheme="minorEastAsia" w:hAnsiTheme="minorHAnsi" w:cstheme="minorBidi"/>
              <w:b w:val="0"/>
              <w:noProof/>
              <w:sz w:val="22"/>
              <w:lang w:eastAsia="en-AU"/>
            </w:rPr>
          </w:pPr>
          <w:hyperlink w:anchor="_Toc66436571" w:history="1">
            <w:r w:rsidR="0049676A" w:rsidRPr="00316CE0">
              <w:rPr>
                <w:rStyle w:val="Hyperlink"/>
                <w:noProof/>
              </w:rPr>
              <w:t>Risk-benefit analysis</w:t>
            </w:r>
            <w:r w:rsidR="0049676A">
              <w:rPr>
                <w:noProof/>
                <w:webHidden/>
              </w:rPr>
              <w:tab/>
            </w:r>
            <w:r w:rsidR="0049676A">
              <w:rPr>
                <w:noProof/>
                <w:webHidden/>
              </w:rPr>
              <w:fldChar w:fldCharType="begin"/>
            </w:r>
            <w:r w:rsidR="0049676A">
              <w:rPr>
                <w:noProof/>
                <w:webHidden/>
              </w:rPr>
              <w:instrText xml:space="preserve"> PAGEREF _Toc66436571 \h </w:instrText>
            </w:r>
            <w:r w:rsidR="0049676A">
              <w:rPr>
                <w:noProof/>
                <w:webHidden/>
              </w:rPr>
            </w:r>
            <w:r w:rsidR="0049676A">
              <w:rPr>
                <w:noProof/>
                <w:webHidden/>
              </w:rPr>
              <w:fldChar w:fldCharType="separate"/>
            </w:r>
            <w:r w:rsidR="0049676A">
              <w:rPr>
                <w:noProof/>
                <w:webHidden/>
              </w:rPr>
              <w:t>26</w:t>
            </w:r>
            <w:r w:rsidR="0049676A">
              <w:rPr>
                <w:noProof/>
                <w:webHidden/>
              </w:rPr>
              <w:fldChar w:fldCharType="end"/>
            </w:r>
          </w:hyperlink>
        </w:p>
        <w:p w14:paraId="15C18413" w14:textId="28BBBC66" w:rsidR="0049676A" w:rsidRDefault="00F92033">
          <w:pPr>
            <w:pStyle w:val="TOC2"/>
            <w:rPr>
              <w:rFonts w:asciiTheme="minorHAnsi" w:eastAsiaTheme="minorEastAsia" w:hAnsiTheme="minorHAnsi" w:cstheme="minorBidi"/>
              <w:b w:val="0"/>
              <w:noProof/>
              <w:sz w:val="22"/>
              <w:lang w:eastAsia="en-AU"/>
            </w:rPr>
          </w:pPr>
          <w:hyperlink w:anchor="_Toc66436572" w:history="1">
            <w:r w:rsidR="0049676A" w:rsidRPr="00316CE0">
              <w:rPr>
                <w:rStyle w:val="Hyperlink"/>
                <w:noProof/>
              </w:rPr>
              <w:t>Outcome</w:t>
            </w:r>
            <w:r w:rsidR="0049676A">
              <w:rPr>
                <w:noProof/>
                <w:webHidden/>
              </w:rPr>
              <w:tab/>
            </w:r>
            <w:r w:rsidR="0049676A">
              <w:rPr>
                <w:noProof/>
                <w:webHidden/>
              </w:rPr>
              <w:fldChar w:fldCharType="begin"/>
            </w:r>
            <w:r w:rsidR="0049676A">
              <w:rPr>
                <w:noProof/>
                <w:webHidden/>
              </w:rPr>
              <w:instrText xml:space="preserve"> PAGEREF _Toc66436572 \h </w:instrText>
            </w:r>
            <w:r w:rsidR="0049676A">
              <w:rPr>
                <w:noProof/>
                <w:webHidden/>
              </w:rPr>
            </w:r>
            <w:r w:rsidR="0049676A">
              <w:rPr>
                <w:noProof/>
                <w:webHidden/>
              </w:rPr>
              <w:fldChar w:fldCharType="separate"/>
            </w:r>
            <w:r w:rsidR="0049676A">
              <w:rPr>
                <w:noProof/>
                <w:webHidden/>
              </w:rPr>
              <w:t>30</w:t>
            </w:r>
            <w:r w:rsidR="0049676A">
              <w:rPr>
                <w:noProof/>
                <w:webHidden/>
              </w:rPr>
              <w:fldChar w:fldCharType="end"/>
            </w:r>
          </w:hyperlink>
        </w:p>
        <w:p w14:paraId="3BF47EBB" w14:textId="1B811AD9" w:rsidR="0049676A" w:rsidRDefault="00F92033">
          <w:pPr>
            <w:pStyle w:val="TOC1"/>
            <w:rPr>
              <w:rFonts w:asciiTheme="minorHAnsi" w:eastAsiaTheme="minorEastAsia" w:hAnsiTheme="minorHAnsi" w:cstheme="minorBidi"/>
              <w:b w:val="0"/>
              <w:noProof/>
              <w:sz w:val="22"/>
              <w:lang w:eastAsia="en-AU"/>
            </w:rPr>
          </w:pPr>
          <w:hyperlink w:anchor="_Toc66436573" w:history="1">
            <w:r w:rsidR="0049676A" w:rsidRPr="00316CE0">
              <w:rPr>
                <w:rStyle w:val="Hyperlink"/>
                <w:noProof/>
              </w:rPr>
              <w:t>Attachment 1. Product Information</w:t>
            </w:r>
            <w:r w:rsidR="0049676A">
              <w:rPr>
                <w:noProof/>
                <w:webHidden/>
              </w:rPr>
              <w:tab/>
            </w:r>
            <w:r w:rsidR="0049676A">
              <w:rPr>
                <w:noProof/>
                <w:webHidden/>
              </w:rPr>
              <w:fldChar w:fldCharType="begin"/>
            </w:r>
            <w:r w:rsidR="0049676A">
              <w:rPr>
                <w:noProof/>
                <w:webHidden/>
              </w:rPr>
              <w:instrText xml:space="preserve"> PAGEREF _Toc66436573 \h </w:instrText>
            </w:r>
            <w:r w:rsidR="0049676A">
              <w:rPr>
                <w:noProof/>
                <w:webHidden/>
              </w:rPr>
            </w:r>
            <w:r w:rsidR="0049676A">
              <w:rPr>
                <w:noProof/>
                <w:webHidden/>
              </w:rPr>
              <w:fldChar w:fldCharType="separate"/>
            </w:r>
            <w:r w:rsidR="0049676A">
              <w:rPr>
                <w:noProof/>
                <w:webHidden/>
              </w:rPr>
              <w:t>31</w:t>
            </w:r>
            <w:r w:rsidR="0049676A">
              <w:rPr>
                <w:noProof/>
                <w:webHidden/>
              </w:rPr>
              <w:fldChar w:fldCharType="end"/>
            </w:r>
          </w:hyperlink>
        </w:p>
        <w:p w14:paraId="06A21C00" w14:textId="53E6386F" w:rsidR="003A7F6C" w:rsidRPr="00B811C6" w:rsidRDefault="00C525A2" w:rsidP="00B811C6">
          <w:pPr>
            <w:pStyle w:val="TOC2"/>
          </w:pPr>
          <w:r>
            <w:fldChar w:fldCharType="end"/>
          </w:r>
        </w:p>
      </w:sdtContent>
    </w:sdt>
    <w:bookmarkStart w:id="3" w:name="_Toc314842482" w:displacedByCustomXml="prev"/>
    <w:p w14:paraId="1AA68CF5" w14:textId="77777777" w:rsidR="00C52E24" w:rsidRPr="00C52E24" w:rsidRDefault="00324E45" w:rsidP="00AB0C3A">
      <w:pPr>
        <w:pStyle w:val="Heading2"/>
        <w:pageBreakBefore/>
      </w:pPr>
      <w:bookmarkStart w:id="4" w:name="_Toc351716269"/>
      <w:bookmarkStart w:id="5" w:name="_Toc351718881"/>
      <w:bookmarkStart w:id="6" w:name="_Toc355338616"/>
      <w:bookmarkStart w:id="7" w:name="_Toc356306144"/>
      <w:bookmarkStart w:id="8" w:name="_Toc66436559"/>
      <w:r>
        <w:lastRenderedPageBreak/>
        <w:t>List of</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2095"/>
        <w:gridCol w:w="6399"/>
      </w:tblGrid>
      <w:tr w:rsidR="00E26EDD" w:rsidRPr="00FD119B" w14:paraId="5CB5290E" w14:textId="77777777" w:rsidTr="00257AE7">
        <w:trPr>
          <w:cnfStyle w:val="100000000000" w:firstRow="1" w:lastRow="0" w:firstColumn="0" w:lastColumn="0" w:oddVBand="0" w:evenVBand="0" w:oddHBand="0" w:evenHBand="0" w:firstRowFirstColumn="0" w:firstRowLastColumn="0" w:lastRowFirstColumn="0" w:lastRowLastColumn="0"/>
        </w:trPr>
        <w:tc>
          <w:tcPr>
            <w:tcW w:w="2095" w:type="dxa"/>
            <w:tcBorders>
              <w:top w:val="single" w:sz="4" w:space="0" w:color="auto"/>
              <w:left w:val="single" w:sz="4" w:space="0" w:color="auto"/>
              <w:bottom w:val="single" w:sz="4" w:space="0" w:color="auto"/>
              <w:right w:val="single" w:sz="4" w:space="0" w:color="auto"/>
            </w:tcBorders>
          </w:tcPr>
          <w:p w14:paraId="027A601C" w14:textId="77777777" w:rsidR="00E26EDD" w:rsidRPr="00512083" w:rsidRDefault="00E26EDD" w:rsidP="00512083">
            <w:r w:rsidRPr="00512083">
              <w:t>Abbreviation</w:t>
            </w:r>
          </w:p>
        </w:tc>
        <w:tc>
          <w:tcPr>
            <w:tcW w:w="6399" w:type="dxa"/>
            <w:tcBorders>
              <w:top w:val="single" w:sz="4" w:space="0" w:color="auto"/>
              <w:left w:val="single" w:sz="4" w:space="0" w:color="auto"/>
              <w:bottom w:val="single" w:sz="4" w:space="0" w:color="auto"/>
              <w:right w:val="single" w:sz="4" w:space="0" w:color="auto"/>
            </w:tcBorders>
          </w:tcPr>
          <w:p w14:paraId="2BC5C221" w14:textId="77777777" w:rsidR="00E26EDD" w:rsidRPr="00512083" w:rsidRDefault="00E26EDD" w:rsidP="00512083">
            <w:r w:rsidRPr="00512083">
              <w:t>Meaning</w:t>
            </w:r>
          </w:p>
        </w:tc>
      </w:tr>
      <w:tr w:rsidR="00E26EDD" w:rsidRPr="00FD119B" w14:paraId="0DF9E751" w14:textId="77777777" w:rsidTr="00257AE7">
        <w:tc>
          <w:tcPr>
            <w:tcW w:w="2095" w:type="dxa"/>
            <w:tcBorders>
              <w:top w:val="single" w:sz="4" w:space="0" w:color="auto"/>
            </w:tcBorders>
          </w:tcPr>
          <w:p w14:paraId="2CF4F05A" w14:textId="77777777" w:rsidR="00E26EDD" w:rsidRPr="00512083" w:rsidRDefault="00E26EDD" w:rsidP="00512083">
            <w:r w:rsidRPr="00512083">
              <w:t>ACM</w:t>
            </w:r>
          </w:p>
        </w:tc>
        <w:tc>
          <w:tcPr>
            <w:tcW w:w="6399" w:type="dxa"/>
            <w:tcBorders>
              <w:top w:val="single" w:sz="4" w:space="0" w:color="auto"/>
            </w:tcBorders>
          </w:tcPr>
          <w:p w14:paraId="4BB5869C" w14:textId="77777777" w:rsidR="00E26EDD" w:rsidRPr="00512083" w:rsidRDefault="00E26EDD" w:rsidP="00512083">
            <w:r w:rsidRPr="00512083">
              <w:t>Advisory Committee on Medicines</w:t>
            </w:r>
          </w:p>
        </w:tc>
      </w:tr>
      <w:tr w:rsidR="00E26EDD" w:rsidRPr="00FD119B" w14:paraId="6CE91AE9" w14:textId="77777777" w:rsidTr="00257AE7">
        <w:tc>
          <w:tcPr>
            <w:tcW w:w="2095" w:type="dxa"/>
          </w:tcPr>
          <w:p w14:paraId="472BBD55" w14:textId="77777777" w:rsidR="00E26EDD" w:rsidRPr="00512083" w:rsidRDefault="00E26EDD" w:rsidP="00512083">
            <w:r w:rsidRPr="00512083">
              <w:t>ARTG</w:t>
            </w:r>
          </w:p>
        </w:tc>
        <w:tc>
          <w:tcPr>
            <w:tcW w:w="6399" w:type="dxa"/>
          </w:tcPr>
          <w:p w14:paraId="740B347A" w14:textId="77777777" w:rsidR="00E26EDD" w:rsidRPr="00512083" w:rsidRDefault="00E26EDD" w:rsidP="00512083">
            <w:r w:rsidRPr="00512083">
              <w:t>Australian Register of Therapeutic Goods</w:t>
            </w:r>
          </w:p>
        </w:tc>
      </w:tr>
      <w:tr w:rsidR="00E26EDD" w:rsidRPr="00FD119B" w14:paraId="14EB0A71" w14:textId="77777777" w:rsidTr="00257AE7">
        <w:tc>
          <w:tcPr>
            <w:tcW w:w="2095" w:type="dxa"/>
          </w:tcPr>
          <w:p w14:paraId="45BA60BE" w14:textId="77777777" w:rsidR="00E26EDD" w:rsidRPr="00FD119B" w:rsidRDefault="00E26EDD" w:rsidP="00CF5DAD">
            <w:r>
              <w:t>ASA</w:t>
            </w:r>
          </w:p>
        </w:tc>
        <w:tc>
          <w:tcPr>
            <w:tcW w:w="6399" w:type="dxa"/>
          </w:tcPr>
          <w:p w14:paraId="1A1E3BDB" w14:textId="77777777" w:rsidR="00E26EDD" w:rsidRPr="00FD119B" w:rsidRDefault="00E26EDD" w:rsidP="00CF5DAD">
            <w:r>
              <w:t>Australian-specific Annex</w:t>
            </w:r>
          </w:p>
        </w:tc>
      </w:tr>
      <w:tr w:rsidR="00E26EDD" w:rsidRPr="00FD119B" w14:paraId="36F7B467" w14:textId="77777777" w:rsidTr="00257AE7">
        <w:tc>
          <w:tcPr>
            <w:tcW w:w="2095" w:type="dxa"/>
          </w:tcPr>
          <w:p w14:paraId="17FC4847" w14:textId="77777777" w:rsidR="00E26EDD" w:rsidRPr="00FD119B" w:rsidRDefault="00E26EDD" w:rsidP="00CF5DAD">
            <w:r>
              <w:t>AUC</w:t>
            </w:r>
          </w:p>
        </w:tc>
        <w:tc>
          <w:tcPr>
            <w:tcW w:w="6399" w:type="dxa"/>
          </w:tcPr>
          <w:p w14:paraId="446D7A40" w14:textId="77777777" w:rsidR="00E26EDD" w:rsidRPr="00FD119B" w:rsidRDefault="00E26EDD" w:rsidP="00CF5DAD">
            <w:r>
              <w:t>Area under the curve</w:t>
            </w:r>
          </w:p>
        </w:tc>
      </w:tr>
      <w:tr w:rsidR="003C5D60" w:rsidRPr="00FD119B" w14:paraId="687D7CCE" w14:textId="77777777" w:rsidTr="00257AE7">
        <w:tc>
          <w:tcPr>
            <w:tcW w:w="2095" w:type="dxa"/>
          </w:tcPr>
          <w:p w14:paraId="467B31A6" w14:textId="53A90DA2" w:rsidR="003C5D60" w:rsidRDefault="003C5D60" w:rsidP="00CF5DAD">
            <w:r>
              <w:t>CHMP</w:t>
            </w:r>
          </w:p>
        </w:tc>
        <w:tc>
          <w:tcPr>
            <w:tcW w:w="6399" w:type="dxa"/>
          </w:tcPr>
          <w:p w14:paraId="7F2C7B27" w14:textId="0DED500A" w:rsidR="003C5D60" w:rsidRDefault="003C5D60" w:rsidP="00CF5DAD">
            <w:r>
              <w:t>Committee for Medicinal Products for Human Use</w:t>
            </w:r>
            <w:r w:rsidR="000D58ED">
              <w:t xml:space="preserve"> (European Union)</w:t>
            </w:r>
          </w:p>
        </w:tc>
      </w:tr>
      <w:tr w:rsidR="00E26EDD" w:rsidRPr="00FD119B" w14:paraId="52F59B4E" w14:textId="77777777" w:rsidTr="00257AE7">
        <w:tc>
          <w:tcPr>
            <w:tcW w:w="2095" w:type="dxa"/>
          </w:tcPr>
          <w:p w14:paraId="57D0B460" w14:textId="77777777" w:rsidR="00E26EDD" w:rsidRDefault="00E26EDD" w:rsidP="00512083">
            <w:r>
              <w:t>CNS</w:t>
            </w:r>
          </w:p>
        </w:tc>
        <w:tc>
          <w:tcPr>
            <w:tcW w:w="6399" w:type="dxa"/>
          </w:tcPr>
          <w:p w14:paraId="7CA4A25C" w14:textId="77777777" w:rsidR="00E26EDD" w:rsidRDefault="00E26EDD" w:rsidP="00512083">
            <w:r>
              <w:t>Central nervous system</w:t>
            </w:r>
          </w:p>
        </w:tc>
      </w:tr>
      <w:tr w:rsidR="00E26EDD" w:rsidRPr="00FD119B" w14:paraId="4B97A738" w14:textId="77777777" w:rsidTr="00257AE7">
        <w:tc>
          <w:tcPr>
            <w:tcW w:w="2095" w:type="dxa"/>
          </w:tcPr>
          <w:p w14:paraId="3353F127" w14:textId="77777777" w:rsidR="00E26EDD" w:rsidRDefault="00E26EDD" w:rsidP="00512083">
            <w:r>
              <w:t>CPD</w:t>
            </w:r>
          </w:p>
        </w:tc>
        <w:tc>
          <w:tcPr>
            <w:tcW w:w="6399" w:type="dxa"/>
          </w:tcPr>
          <w:p w14:paraId="36573BA3" w14:textId="77777777" w:rsidR="00E26EDD" w:rsidRDefault="00E26EDD" w:rsidP="00512083">
            <w:r>
              <w:t>Certified Product Details</w:t>
            </w:r>
          </w:p>
        </w:tc>
      </w:tr>
      <w:tr w:rsidR="00E26EDD" w:rsidRPr="00FD119B" w14:paraId="7EE2B1B9" w14:textId="77777777" w:rsidTr="00257AE7">
        <w:tc>
          <w:tcPr>
            <w:tcW w:w="2095" w:type="dxa"/>
          </w:tcPr>
          <w:p w14:paraId="13F6E25E" w14:textId="77777777" w:rsidR="00E26EDD" w:rsidRPr="00FD119B" w:rsidRDefault="00E26EDD" w:rsidP="00CF5DAD">
            <w:r>
              <w:t>CSR</w:t>
            </w:r>
          </w:p>
        </w:tc>
        <w:tc>
          <w:tcPr>
            <w:tcW w:w="6399" w:type="dxa"/>
          </w:tcPr>
          <w:p w14:paraId="0156ED85" w14:textId="77777777" w:rsidR="00E26EDD" w:rsidRPr="00FD119B" w:rsidRDefault="00E26EDD" w:rsidP="00CF5DAD">
            <w:r>
              <w:t>Clinical study report</w:t>
            </w:r>
          </w:p>
        </w:tc>
      </w:tr>
      <w:tr w:rsidR="00E26EDD" w:rsidRPr="00FD119B" w14:paraId="5E861CFC" w14:textId="77777777" w:rsidTr="00257AE7">
        <w:tc>
          <w:tcPr>
            <w:tcW w:w="2095" w:type="dxa"/>
          </w:tcPr>
          <w:p w14:paraId="59C8FF11" w14:textId="77777777" w:rsidR="00E26EDD" w:rsidRPr="00FD119B" w:rsidRDefault="00E26EDD" w:rsidP="00CF5DAD">
            <w:r>
              <w:t>DLP</w:t>
            </w:r>
          </w:p>
        </w:tc>
        <w:tc>
          <w:tcPr>
            <w:tcW w:w="6399" w:type="dxa"/>
          </w:tcPr>
          <w:p w14:paraId="0EEE141C" w14:textId="77777777" w:rsidR="00E26EDD" w:rsidRPr="00FD119B" w:rsidRDefault="00E26EDD" w:rsidP="00CF5DAD">
            <w:r>
              <w:t>Data lock point</w:t>
            </w:r>
          </w:p>
        </w:tc>
      </w:tr>
      <w:tr w:rsidR="00E26EDD" w:rsidRPr="00FD119B" w14:paraId="6DC6C993" w14:textId="77777777" w:rsidTr="00257AE7">
        <w:tc>
          <w:tcPr>
            <w:tcW w:w="2095" w:type="dxa"/>
          </w:tcPr>
          <w:p w14:paraId="5A12CCD5" w14:textId="77777777" w:rsidR="00E26EDD" w:rsidRPr="00FD119B" w:rsidRDefault="00E26EDD" w:rsidP="00CF5DAD">
            <w:r>
              <w:t>DLQI</w:t>
            </w:r>
          </w:p>
        </w:tc>
        <w:tc>
          <w:tcPr>
            <w:tcW w:w="6399" w:type="dxa"/>
          </w:tcPr>
          <w:p w14:paraId="1E48E6B1" w14:textId="77777777" w:rsidR="00E26EDD" w:rsidRPr="00FD119B" w:rsidRDefault="00E26EDD" w:rsidP="00CF5DAD">
            <w:r>
              <w:t>Dermatology Life Quality Index</w:t>
            </w:r>
          </w:p>
        </w:tc>
      </w:tr>
      <w:tr w:rsidR="0072204A" w:rsidRPr="00FD119B" w14:paraId="5230F7C5" w14:textId="77777777" w:rsidTr="00257AE7">
        <w:tc>
          <w:tcPr>
            <w:tcW w:w="2095" w:type="dxa"/>
          </w:tcPr>
          <w:p w14:paraId="2A88CD33" w14:textId="4110CAAA" w:rsidR="0072204A" w:rsidRDefault="0072204A" w:rsidP="00CF5DAD">
            <w:r>
              <w:t>ECG</w:t>
            </w:r>
          </w:p>
        </w:tc>
        <w:tc>
          <w:tcPr>
            <w:tcW w:w="6399" w:type="dxa"/>
          </w:tcPr>
          <w:p w14:paraId="5D34EB3A" w14:textId="49D19F96" w:rsidR="0072204A" w:rsidRDefault="0072204A" w:rsidP="00CF5DAD">
            <w:r>
              <w:t>Echocardiogram</w:t>
            </w:r>
          </w:p>
        </w:tc>
      </w:tr>
      <w:tr w:rsidR="00E26EDD" w:rsidRPr="00FD119B" w14:paraId="1354DF2C" w14:textId="77777777" w:rsidTr="00257AE7">
        <w:tc>
          <w:tcPr>
            <w:tcW w:w="2095" w:type="dxa"/>
          </w:tcPr>
          <w:p w14:paraId="7E2FEBDC" w14:textId="77777777" w:rsidR="00E26EDD" w:rsidRDefault="00E26EDD" w:rsidP="00512083">
            <w:r>
              <w:t>EMA</w:t>
            </w:r>
          </w:p>
        </w:tc>
        <w:tc>
          <w:tcPr>
            <w:tcW w:w="6399" w:type="dxa"/>
          </w:tcPr>
          <w:p w14:paraId="0F7840A6" w14:textId="77777777" w:rsidR="00E26EDD" w:rsidRDefault="00E26EDD" w:rsidP="00512083">
            <w:r>
              <w:t>European Medicines Agency (European Union)</w:t>
            </w:r>
          </w:p>
        </w:tc>
      </w:tr>
      <w:tr w:rsidR="00E26EDD" w:rsidRPr="00FD119B" w14:paraId="5F713D53" w14:textId="77777777" w:rsidTr="00257AE7">
        <w:tc>
          <w:tcPr>
            <w:tcW w:w="2095" w:type="dxa"/>
          </w:tcPr>
          <w:p w14:paraId="3A025DAC" w14:textId="77777777" w:rsidR="00E26EDD" w:rsidRPr="00FD119B" w:rsidRDefault="00E26EDD" w:rsidP="00CF5DAD">
            <w:r>
              <w:t>EPAR</w:t>
            </w:r>
          </w:p>
        </w:tc>
        <w:tc>
          <w:tcPr>
            <w:tcW w:w="6399" w:type="dxa"/>
          </w:tcPr>
          <w:p w14:paraId="07D05C4A" w14:textId="77777777" w:rsidR="00E26EDD" w:rsidRPr="00FD119B" w:rsidRDefault="00E26EDD" w:rsidP="00CF5DAD">
            <w:r>
              <w:t>European Public Assessment Report</w:t>
            </w:r>
          </w:p>
        </w:tc>
      </w:tr>
      <w:tr w:rsidR="00E26EDD" w:rsidRPr="00FD119B" w14:paraId="76684E40" w14:textId="77777777" w:rsidTr="00257AE7">
        <w:tc>
          <w:tcPr>
            <w:tcW w:w="2095" w:type="dxa"/>
          </w:tcPr>
          <w:p w14:paraId="164A8D12" w14:textId="77777777" w:rsidR="00E26EDD" w:rsidRPr="00512083" w:rsidRDefault="00E26EDD" w:rsidP="00512083">
            <w:r>
              <w:t>EPP</w:t>
            </w:r>
          </w:p>
        </w:tc>
        <w:tc>
          <w:tcPr>
            <w:tcW w:w="6399" w:type="dxa"/>
          </w:tcPr>
          <w:p w14:paraId="45129EF1" w14:textId="77777777" w:rsidR="00E26EDD" w:rsidRPr="00512083" w:rsidRDefault="00E26EDD" w:rsidP="00512083">
            <w:proofErr w:type="spellStart"/>
            <w:r>
              <w:t>E</w:t>
            </w:r>
            <w:r w:rsidRPr="00512083">
              <w:t>rythropoietic</w:t>
            </w:r>
            <w:proofErr w:type="spellEnd"/>
            <w:r w:rsidRPr="00512083">
              <w:t xml:space="preserve"> </w:t>
            </w:r>
            <w:proofErr w:type="spellStart"/>
            <w:r w:rsidRPr="00512083">
              <w:t>protoporphyria</w:t>
            </w:r>
            <w:proofErr w:type="spellEnd"/>
          </w:p>
        </w:tc>
      </w:tr>
      <w:tr w:rsidR="00E26EDD" w:rsidRPr="00FD119B" w14:paraId="3E61E598" w14:textId="77777777" w:rsidTr="00257AE7">
        <w:tc>
          <w:tcPr>
            <w:tcW w:w="2095" w:type="dxa"/>
          </w:tcPr>
          <w:p w14:paraId="1A8EF120" w14:textId="77777777" w:rsidR="00E26EDD" w:rsidRPr="00FD119B" w:rsidRDefault="00E26EDD" w:rsidP="00CF5DAD">
            <w:r>
              <w:t>EPP-</w:t>
            </w:r>
            <w:proofErr w:type="spellStart"/>
            <w:r>
              <w:t>QoL</w:t>
            </w:r>
            <w:proofErr w:type="spellEnd"/>
          </w:p>
        </w:tc>
        <w:tc>
          <w:tcPr>
            <w:tcW w:w="6399" w:type="dxa"/>
          </w:tcPr>
          <w:p w14:paraId="78C52679" w14:textId="755D59D9" w:rsidR="00E26EDD" w:rsidRPr="00FD119B" w:rsidRDefault="00E26EDD" w:rsidP="00CF5DAD">
            <w:proofErr w:type="spellStart"/>
            <w:r w:rsidRPr="00BB4E89">
              <w:t>Erythropoietic</w:t>
            </w:r>
            <w:proofErr w:type="spellEnd"/>
            <w:r w:rsidRPr="00BB4E89">
              <w:t xml:space="preserve"> </w:t>
            </w:r>
            <w:proofErr w:type="spellStart"/>
            <w:r w:rsidRPr="00BB4E89">
              <w:t>Prot</w:t>
            </w:r>
            <w:r>
              <w:t>oporphyria</w:t>
            </w:r>
            <w:proofErr w:type="spellEnd"/>
            <w:r>
              <w:t xml:space="preserve"> Quality of Life </w:t>
            </w:r>
            <w:r w:rsidR="00854A61">
              <w:t>questionnaire</w:t>
            </w:r>
          </w:p>
        </w:tc>
      </w:tr>
      <w:tr w:rsidR="00E26EDD" w:rsidRPr="00FD119B" w14:paraId="7B069B97" w14:textId="77777777" w:rsidTr="00257AE7">
        <w:tc>
          <w:tcPr>
            <w:tcW w:w="2095" w:type="dxa"/>
          </w:tcPr>
          <w:p w14:paraId="4CB1D8F3" w14:textId="77777777" w:rsidR="00E26EDD" w:rsidRDefault="00E26EDD" w:rsidP="00CF5DAD">
            <w:r>
              <w:t>EU</w:t>
            </w:r>
          </w:p>
        </w:tc>
        <w:tc>
          <w:tcPr>
            <w:tcW w:w="6399" w:type="dxa"/>
          </w:tcPr>
          <w:p w14:paraId="5DDCCF39" w14:textId="77777777" w:rsidR="00E26EDD" w:rsidRPr="00BB4E89" w:rsidRDefault="00E26EDD" w:rsidP="00CF5DAD">
            <w:r>
              <w:t>European Union</w:t>
            </w:r>
          </w:p>
        </w:tc>
      </w:tr>
      <w:tr w:rsidR="00E26EDD" w:rsidRPr="00FD119B" w14:paraId="0E307C4A" w14:textId="77777777" w:rsidTr="00257AE7">
        <w:tc>
          <w:tcPr>
            <w:tcW w:w="2095" w:type="dxa"/>
          </w:tcPr>
          <w:p w14:paraId="478BE08C" w14:textId="77777777" w:rsidR="00E26EDD" w:rsidRDefault="00E26EDD" w:rsidP="00512083">
            <w:r>
              <w:t>FDA</w:t>
            </w:r>
          </w:p>
        </w:tc>
        <w:tc>
          <w:tcPr>
            <w:tcW w:w="6399" w:type="dxa"/>
          </w:tcPr>
          <w:p w14:paraId="5C323BE4" w14:textId="77777777" w:rsidR="00E26EDD" w:rsidRDefault="00E26EDD" w:rsidP="00512083">
            <w:r>
              <w:t>Food and Drug Administration (United States)</w:t>
            </w:r>
          </w:p>
        </w:tc>
      </w:tr>
      <w:tr w:rsidR="00E26EDD" w:rsidRPr="00FD119B" w14:paraId="4CB61D42" w14:textId="77777777" w:rsidTr="00257AE7">
        <w:tc>
          <w:tcPr>
            <w:tcW w:w="2095" w:type="dxa"/>
          </w:tcPr>
          <w:p w14:paraId="751CC9EB" w14:textId="77777777" w:rsidR="00E26EDD" w:rsidRDefault="00E26EDD" w:rsidP="00512083">
            <w:r>
              <w:t>FECH</w:t>
            </w:r>
          </w:p>
        </w:tc>
        <w:tc>
          <w:tcPr>
            <w:tcW w:w="6399" w:type="dxa"/>
          </w:tcPr>
          <w:p w14:paraId="6C7B2E8F" w14:textId="77777777" w:rsidR="00E26EDD" w:rsidRDefault="00E26EDD" w:rsidP="00512083">
            <w:proofErr w:type="spellStart"/>
            <w:r>
              <w:t>Ferrochelatase</w:t>
            </w:r>
            <w:proofErr w:type="spellEnd"/>
          </w:p>
        </w:tc>
      </w:tr>
      <w:tr w:rsidR="00E26EDD" w:rsidRPr="00FD119B" w14:paraId="00F8FF9A" w14:textId="77777777" w:rsidTr="00257AE7">
        <w:tc>
          <w:tcPr>
            <w:tcW w:w="2095" w:type="dxa"/>
          </w:tcPr>
          <w:p w14:paraId="018D49D1" w14:textId="77777777" w:rsidR="00E26EDD" w:rsidRDefault="00E26EDD" w:rsidP="00512083">
            <w:r>
              <w:t>GI</w:t>
            </w:r>
          </w:p>
        </w:tc>
        <w:tc>
          <w:tcPr>
            <w:tcW w:w="6399" w:type="dxa"/>
          </w:tcPr>
          <w:p w14:paraId="24558C6D" w14:textId="41E0C499" w:rsidR="00E26EDD" w:rsidRDefault="00E26EDD" w:rsidP="00512083">
            <w:r>
              <w:t>Gastrointestinal</w:t>
            </w:r>
          </w:p>
        </w:tc>
      </w:tr>
      <w:tr w:rsidR="00E26EDD" w:rsidRPr="00FD119B" w14:paraId="2F68FE78" w14:textId="77777777" w:rsidTr="00257AE7">
        <w:tc>
          <w:tcPr>
            <w:tcW w:w="2095" w:type="dxa"/>
          </w:tcPr>
          <w:p w14:paraId="6B72794B" w14:textId="77777777" w:rsidR="00E26EDD" w:rsidRDefault="00E26EDD" w:rsidP="00512083">
            <w:r>
              <w:t>GMP</w:t>
            </w:r>
          </w:p>
        </w:tc>
        <w:tc>
          <w:tcPr>
            <w:tcW w:w="6399" w:type="dxa"/>
          </w:tcPr>
          <w:p w14:paraId="21A4193D" w14:textId="77777777" w:rsidR="00E26EDD" w:rsidRDefault="00E26EDD" w:rsidP="00512083">
            <w:r>
              <w:t>Good Manufacturing Practice</w:t>
            </w:r>
          </w:p>
        </w:tc>
      </w:tr>
      <w:tr w:rsidR="00E26EDD" w:rsidRPr="00FD119B" w14:paraId="7B64C30A" w14:textId="77777777" w:rsidTr="00257AE7">
        <w:tc>
          <w:tcPr>
            <w:tcW w:w="2095" w:type="dxa"/>
          </w:tcPr>
          <w:p w14:paraId="69F71C1B" w14:textId="77777777" w:rsidR="00E26EDD" w:rsidRDefault="00E26EDD" w:rsidP="00512083">
            <w:r>
              <w:t>ICH</w:t>
            </w:r>
          </w:p>
        </w:tc>
        <w:tc>
          <w:tcPr>
            <w:tcW w:w="6399" w:type="dxa"/>
          </w:tcPr>
          <w:p w14:paraId="47FE21D5" w14:textId="77777777" w:rsidR="00E26EDD" w:rsidRDefault="00E26EDD" w:rsidP="00512083">
            <w:r>
              <w:t>International Conference on Harmonisation</w:t>
            </w:r>
          </w:p>
        </w:tc>
      </w:tr>
      <w:tr w:rsidR="00E26EDD" w:rsidRPr="00FD119B" w14:paraId="4F5318CB" w14:textId="77777777" w:rsidTr="00257AE7">
        <w:tc>
          <w:tcPr>
            <w:tcW w:w="2095" w:type="dxa"/>
          </w:tcPr>
          <w:p w14:paraId="639B4E97" w14:textId="77777777" w:rsidR="00E26EDD" w:rsidRPr="00FD119B" w:rsidRDefault="00E26EDD" w:rsidP="00CF5DAD">
            <w:r>
              <w:t>LOQ</w:t>
            </w:r>
          </w:p>
        </w:tc>
        <w:tc>
          <w:tcPr>
            <w:tcW w:w="6399" w:type="dxa"/>
          </w:tcPr>
          <w:p w14:paraId="5822EFB7" w14:textId="77777777" w:rsidR="00E26EDD" w:rsidRPr="00FD119B" w:rsidRDefault="00E26EDD" w:rsidP="00CF5DAD">
            <w:r>
              <w:t>Limit of quantitation</w:t>
            </w:r>
          </w:p>
        </w:tc>
      </w:tr>
      <w:tr w:rsidR="00E26EDD" w:rsidRPr="00FD119B" w14:paraId="6E1498C8" w14:textId="77777777" w:rsidTr="00257AE7">
        <w:tc>
          <w:tcPr>
            <w:tcW w:w="2095" w:type="dxa"/>
          </w:tcPr>
          <w:p w14:paraId="41EB115E" w14:textId="77777777" w:rsidR="00E26EDD" w:rsidRDefault="00E26EDD" w:rsidP="00512083">
            <w:r>
              <w:t>MC1R</w:t>
            </w:r>
          </w:p>
        </w:tc>
        <w:tc>
          <w:tcPr>
            <w:tcW w:w="6399" w:type="dxa"/>
          </w:tcPr>
          <w:p w14:paraId="72061305" w14:textId="77777777" w:rsidR="00E26EDD" w:rsidRDefault="00E26EDD" w:rsidP="00512083">
            <w:proofErr w:type="spellStart"/>
            <w:r>
              <w:t>Melanocortin</w:t>
            </w:r>
            <w:proofErr w:type="spellEnd"/>
            <w:r>
              <w:t xml:space="preserve"> 1 receptor</w:t>
            </w:r>
          </w:p>
        </w:tc>
      </w:tr>
      <w:tr w:rsidR="00E26EDD" w:rsidRPr="00FD119B" w14:paraId="7FD529EE" w14:textId="77777777" w:rsidTr="00257AE7">
        <w:tc>
          <w:tcPr>
            <w:tcW w:w="2095" w:type="dxa"/>
          </w:tcPr>
          <w:p w14:paraId="27361523" w14:textId="77777777" w:rsidR="00E26EDD" w:rsidRDefault="00E26EDD" w:rsidP="00512083">
            <w:r>
              <w:t>MC3R</w:t>
            </w:r>
          </w:p>
        </w:tc>
        <w:tc>
          <w:tcPr>
            <w:tcW w:w="6399" w:type="dxa"/>
          </w:tcPr>
          <w:p w14:paraId="60D5A984" w14:textId="77777777" w:rsidR="00E26EDD" w:rsidRDefault="00E26EDD" w:rsidP="00512083">
            <w:proofErr w:type="spellStart"/>
            <w:r>
              <w:t>Melanocortin</w:t>
            </w:r>
            <w:proofErr w:type="spellEnd"/>
            <w:r>
              <w:t xml:space="preserve"> 3 receptor</w:t>
            </w:r>
          </w:p>
        </w:tc>
      </w:tr>
      <w:tr w:rsidR="00E26EDD" w:rsidRPr="00FD119B" w14:paraId="6AC7C488" w14:textId="77777777" w:rsidTr="00257AE7">
        <w:tc>
          <w:tcPr>
            <w:tcW w:w="2095" w:type="dxa"/>
          </w:tcPr>
          <w:p w14:paraId="2FB68EC4" w14:textId="77777777" w:rsidR="00E26EDD" w:rsidRDefault="00E26EDD" w:rsidP="00512083">
            <w:r>
              <w:lastRenderedPageBreak/>
              <w:t>MC4R</w:t>
            </w:r>
          </w:p>
        </w:tc>
        <w:tc>
          <w:tcPr>
            <w:tcW w:w="6399" w:type="dxa"/>
          </w:tcPr>
          <w:p w14:paraId="098FC00F" w14:textId="77777777" w:rsidR="00E26EDD" w:rsidRDefault="00E26EDD" w:rsidP="00512083">
            <w:proofErr w:type="spellStart"/>
            <w:r>
              <w:t>Melanocortin</w:t>
            </w:r>
            <w:proofErr w:type="spellEnd"/>
            <w:r>
              <w:t xml:space="preserve"> 4 receptor</w:t>
            </w:r>
          </w:p>
        </w:tc>
      </w:tr>
      <w:tr w:rsidR="00E26EDD" w:rsidRPr="00FD119B" w14:paraId="0C4461C1" w14:textId="77777777" w:rsidTr="00257AE7">
        <w:tc>
          <w:tcPr>
            <w:tcW w:w="2095" w:type="dxa"/>
          </w:tcPr>
          <w:p w14:paraId="0CCB8162" w14:textId="77777777" w:rsidR="00E26EDD" w:rsidRDefault="00E26EDD" w:rsidP="00512083">
            <w:r>
              <w:t>MC5R</w:t>
            </w:r>
          </w:p>
        </w:tc>
        <w:tc>
          <w:tcPr>
            <w:tcW w:w="6399" w:type="dxa"/>
          </w:tcPr>
          <w:p w14:paraId="762F3655" w14:textId="77777777" w:rsidR="00E26EDD" w:rsidRDefault="00E26EDD" w:rsidP="00512083">
            <w:proofErr w:type="spellStart"/>
            <w:r>
              <w:t>Melanocortin</w:t>
            </w:r>
            <w:proofErr w:type="spellEnd"/>
            <w:r>
              <w:t xml:space="preserve"> 5 receptor</w:t>
            </w:r>
          </w:p>
        </w:tc>
      </w:tr>
      <w:tr w:rsidR="00E26EDD" w:rsidRPr="00FD119B" w14:paraId="2E824D0F" w14:textId="77777777" w:rsidTr="00257AE7">
        <w:tc>
          <w:tcPr>
            <w:tcW w:w="2095" w:type="dxa"/>
          </w:tcPr>
          <w:p w14:paraId="3666DACB" w14:textId="77777777" w:rsidR="00E26EDD" w:rsidRDefault="00E26EDD" w:rsidP="00512083">
            <w:r>
              <w:t>MSH</w:t>
            </w:r>
          </w:p>
        </w:tc>
        <w:tc>
          <w:tcPr>
            <w:tcW w:w="6399" w:type="dxa"/>
          </w:tcPr>
          <w:p w14:paraId="22E461A2" w14:textId="77777777" w:rsidR="00E26EDD" w:rsidRDefault="00E26EDD" w:rsidP="00512083">
            <w:r>
              <w:rPr>
                <w:rFonts w:asciiTheme="minorHAnsi" w:hAnsiTheme="minorHAnsi"/>
              </w:rPr>
              <w:t>M</w:t>
            </w:r>
            <w:r w:rsidRPr="002E3695">
              <w:rPr>
                <w:rFonts w:asciiTheme="minorHAnsi" w:hAnsiTheme="minorHAnsi"/>
              </w:rPr>
              <w:t>elanocyte-stimulating hormone</w:t>
            </w:r>
          </w:p>
        </w:tc>
      </w:tr>
      <w:tr w:rsidR="00E26EDD" w:rsidRPr="00FD119B" w14:paraId="40A0CB0B" w14:textId="77777777" w:rsidTr="00257AE7">
        <w:tc>
          <w:tcPr>
            <w:tcW w:w="2095" w:type="dxa"/>
          </w:tcPr>
          <w:p w14:paraId="57D2FDAF" w14:textId="77777777" w:rsidR="00E26EDD" w:rsidRDefault="00E26EDD" w:rsidP="00512083">
            <w:r>
              <w:t>PASS</w:t>
            </w:r>
          </w:p>
        </w:tc>
        <w:tc>
          <w:tcPr>
            <w:tcW w:w="6399" w:type="dxa"/>
          </w:tcPr>
          <w:p w14:paraId="545AF61E" w14:textId="77777777" w:rsidR="00E26EDD" w:rsidRDefault="00E26EDD" w:rsidP="00512083">
            <w:r>
              <w:t>Post-authorisation safety study</w:t>
            </w:r>
          </w:p>
        </w:tc>
      </w:tr>
      <w:tr w:rsidR="00E26EDD" w:rsidRPr="00FD119B" w14:paraId="1FA45C3E" w14:textId="77777777" w:rsidTr="00257AE7">
        <w:tc>
          <w:tcPr>
            <w:tcW w:w="2095" w:type="dxa"/>
          </w:tcPr>
          <w:p w14:paraId="739A3F48" w14:textId="77777777" w:rsidR="00E26EDD" w:rsidRPr="00FD119B" w:rsidRDefault="00E26EDD" w:rsidP="00CF5DAD">
            <w:r>
              <w:t>PBRER</w:t>
            </w:r>
          </w:p>
        </w:tc>
        <w:tc>
          <w:tcPr>
            <w:tcW w:w="6399" w:type="dxa"/>
          </w:tcPr>
          <w:p w14:paraId="7F7AA8A2" w14:textId="77777777" w:rsidR="00E26EDD" w:rsidRPr="00FD119B" w:rsidRDefault="00E26EDD" w:rsidP="00CF5DAD">
            <w:r>
              <w:rPr>
                <w:rFonts w:asciiTheme="minorHAnsi" w:eastAsiaTheme="minorHAnsi" w:hAnsiTheme="minorHAnsi"/>
                <w:color w:val="16181B"/>
              </w:rPr>
              <w:t>Periodic benefit</w:t>
            </w:r>
            <w:r>
              <w:rPr>
                <w:rFonts w:asciiTheme="minorHAnsi" w:eastAsiaTheme="minorHAnsi" w:hAnsiTheme="minorHAnsi"/>
                <w:color w:val="16181B"/>
              </w:rPr>
              <w:noBreakHyphen/>
              <w:t>risk evaluation report</w:t>
            </w:r>
          </w:p>
        </w:tc>
      </w:tr>
      <w:tr w:rsidR="00E26EDD" w:rsidRPr="00FD119B" w14:paraId="556D449A" w14:textId="77777777" w:rsidTr="00257AE7">
        <w:tc>
          <w:tcPr>
            <w:tcW w:w="2095" w:type="dxa"/>
          </w:tcPr>
          <w:p w14:paraId="7F738711" w14:textId="77777777" w:rsidR="00E26EDD" w:rsidRDefault="00E26EDD" w:rsidP="00512083">
            <w:r>
              <w:t>PD</w:t>
            </w:r>
          </w:p>
        </w:tc>
        <w:tc>
          <w:tcPr>
            <w:tcW w:w="6399" w:type="dxa"/>
          </w:tcPr>
          <w:p w14:paraId="0E11A17F" w14:textId="77777777" w:rsidR="00E26EDD" w:rsidRDefault="00E26EDD" w:rsidP="00512083">
            <w:r>
              <w:t>Pharmacodynamics</w:t>
            </w:r>
          </w:p>
        </w:tc>
      </w:tr>
      <w:tr w:rsidR="00E26EDD" w:rsidRPr="00FD119B" w14:paraId="6AA31F1B" w14:textId="77777777" w:rsidTr="00257AE7">
        <w:tc>
          <w:tcPr>
            <w:tcW w:w="2095" w:type="dxa"/>
          </w:tcPr>
          <w:p w14:paraId="5BED9C03" w14:textId="77777777" w:rsidR="00E26EDD" w:rsidRPr="00FD119B" w:rsidRDefault="00E26EDD" w:rsidP="00CF5DAD">
            <w:r>
              <w:t>PI</w:t>
            </w:r>
          </w:p>
        </w:tc>
        <w:tc>
          <w:tcPr>
            <w:tcW w:w="6399" w:type="dxa"/>
          </w:tcPr>
          <w:p w14:paraId="458717A6" w14:textId="77777777" w:rsidR="00E26EDD" w:rsidRPr="00FD119B" w:rsidRDefault="00E26EDD" w:rsidP="00CF5DAD">
            <w:r>
              <w:t>Product Information</w:t>
            </w:r>
          </w:p>
        </w:tc>
      </w:tr>
      <w:tr w:rsidR="00E26EDD" w:rsidRPr="00FD119B" w14:paraId="3406384B" w14:textId="77777777" w:rsidTr="00257AE7">
        <w:tc>
          <w:tcPr>
            <w:tcW w:w="2095" w:type="dxa"/>
          </w:tcPr>
          <w:p w14:paraId="0EED4CEB" w14:textId="77777777" w:rsidR="00E26EDD" w:rsidRDefault="00E26EDD" w:rsidP="00512083">
            <w:r>
              <w:t>PK</w:t>
            </w:r>
          </w:p>
        </w:tc>
        <w:tc>
          <w:tcPr>
            <w:tcW w:w="6399" w:type="dxa"/>
          </w:tcPr>
          <w:p w14:paraId="40AC7B62" w14:textId="77777777" w:rsidR="00E26EDD" w:rsidRDefault="00E26EDD" w:rsidP="00512083">
            <w:r>
              <w:t>Pharmacokinetics</w:t>
            </w:r>
          </w:p>
        </w:tc>
      </w:tr>
      <w:tr w:rsidR="00E26EDD" w:rsidRPr="00FD119B" w14:paraId="00EEFD7B" w14:textId="77777777" w:rsidTr="00257AE7">
        <w:tc>
          <w:tcPr>
            <w:tcW w:w="2095" w:type="dxa"/>
          </w:tcPr>
          <w:p w14:paraId="6DAA58FB" w14:textId="77777777" w:rsidR="00E26EDD" w:rsidRDefault="00E26EDD" w:rsidP="00512083">
            <w:r>
              <w:t>PPIX</w:t>
            </w:r>
          </w:p>
        </w:tc>
        <w:tc>
          <w:tcPr>
            <w:tcW w:w="6399" w:type="dxa"/>
          </w:tcPr>
          <w:p w14:paraId="3B2476D1" w14:textId="77777777" w:rsidR="00E26EDD" w:rsidRDefault="00E26EDD" w:rsidP="00512083">
            <w:proofErr w:type="spellStart"/>
            <w:r>
              <w:t>Protoporphyrin</w:t>
            </w:r>
            <w:proofErr w:type="spellEnd"/>
            <w:r>
              <w:t xml:space="preserve"> IX</w:t>
            </w:r>
          </w:p>
        </w:tc>
      </w:tr>
      <w:tr w:rsidR="00E26EDD" w:rsidRPr="00FD119B" w14:paraId="3A2236CA" w14:textId="77777777" w:rsidTr="00257AE7">
        <w:tc>
          <w:tcPr>
            <w:tcW w:w="2095" w:type="dxa"/>
          </w:tcPr>
          <w:p w14:paraId="6B7F0B15" w14:textId="77777777" w:rsidR="00E26EDD" w:rsidRDefault="00E26EDD" w:rsidP="00512083">
            <w:r>
              <w:t>PSUR</w:t>
            </w:r>
          </w:p>
        </w:tc>
        <w:tc>
          <w:tcPr>
            <w:tcW w:w="6399" w:type="dxa"/>
          </w:tcPr>
          <w:p w14:paraId="03D915B3" w14:textId="5DF7E04D" w:rsidR="00E26EDD" w:rsidRDefault="00D50F1B" w:rsidP="00512083">
            <w:r>
              <w:t>Periodic safety</w:t>
            </w:r>
            <w:r w:rsidR="00E26EDD">
              <w:t xml:space="preserve"> update report</w:t>
            </w:r>
          </w:p>
        </w:tc>
      </w:tr>
      <w:tr w:rsidR="00E26EDD" w:rsidRPr="00FD119B" w14:paraId="63D7B27B" w14:textId="77777777" w:rsidTr="00257AE7">
        <w:tc>
          <w:tcPr>
            <w:tcW w:w="2095" w:type="dxa"/>
          </w:tcPr>
          <w:p w14:paraId="4D9CB727" w14:textId="77777777" w:rsidR="00E26EDD" w:rsidRPr="00FD119B" w:rsidRDefault="00E26EDD" w:rsidP="00CF5DAD">
            <w:proofErr w:type="spellStart"/>
            <w:r>
              <w:t>QoL</w:t>
            </w:r>
            <w:proofErr w:type="spellEnd"/>
          </w:p>
        </w:tc>
        <w:tc>
          <w:tcPr>
            <w:tcW w:w="6399" w:type="dxa"/>
          </w:tcPr>
          <w:p w14:paraId="102B2FDC" w14:textId="77777777" w:rsidR="00E26EDD" w:rsidRPr="00FD119B" w:rsidRDefault="00E26EDD" w:rsidP="00CF5DAD">
            <w:r>
              <w:t>Quality of Life</w:t>
            </w:r>
          </w:p>
        </w:tc>
      </w:tr>
      <w:tr w:rsidR="00E26EDD" w:rsidRPr="00FD119B" w14:paraId="7FCFD359" w14:textId="77777777" w:rsidTr="00257AE7">
        <w:tc>
          <w:tcPr>
            <w:tcW w:w="2095" w:type="dxa"/>
          </w:tcPr>
          <w:p w14:paraId="64E7154A" w14:textId="77777777" w:rsidR="00E26EDD" w:rsidRPr="00FD119B" w:rsidRDefault="00E26EDD" w:rsidP="00CF5DAD">
            <w:r>
              <w:t>RMP</w:t>
            </w:r>
          </w:p>
        </w:tc>
        <w:tc>
          <w:tcPr>
            <w:tcW w:w="6399" w:type="dxa"/>
          </w:tcPr>
          <w:p w14:paraId="10289459" w14:textId="77777777" w:rsidR="00E26EDD" w:rsidRPr="00FD119B" w:rsidRDefault="00E26EDD" w:rsidP="00CF5DAD">
            <w:r>
              <w:t>Risk management plan</w:t>
            </w:r>
          </w:p>
        </w:tc>
      </w:tr>
      <w:tr w:rsidR="00E26EDD" w:rsidRPr="00FD119B" w14:paraId="77B227A5" w14:textId="77777777" w:rsidTr="00257AE7">
        <w:tc>
          <w:tcPr>
            <w:tcW w:w="2095" w:type="dxa"/>
          </w:tcPr>
          <w:p w14:paraId="62EC064D" w14:textId="77777777" w:rsidR="00E26EDD" w:rsidRDefault="00E26EDD" w:rsidP="00512083">
            <w:r>
              <w:t>SC</w:t>
            </w:r>
          </w:p>
        </w:tc>
        <w:tc>
          <w:tcPr>
            <w:tcW w:w="6399" w:type="dxa"/>
          </w:tcPr>
          <w:p w14:paraId="13BA9350" w14:textId="77777777" w:rsidR="00E26EDD" w:rsidRDefault="00E26EDD" w:rsidP="00512083">
            <w:r>
              <w:t>Subcutaneous</w:t>
            </w:r>
          </w:p>
        </w:tc>
      </w:tr>
      <w:tr w:rsidR="00E26EDD" w:rsidRPr="00FD119B" w14:paraId="72E3BCC2" w14:textId="77777777" w:rsidTr="00257AE7">
        <w:tc>
          <w:tcPr>
            <w:tcW w:w="2095" w:type="dxa"/>
          </w:tcPr>
          <w:p w14:paraId="08A7DF01" w14:textId="77777777" w:rsidR="00E26EDD" w:rsidRPr="00FD119B" w:rsidRDefault="00E26EDD" w:rsidP="00CF5DAD">
            <w:r>
              <w:t>SUSMP</w:t>
            </w:r>
          </w:p>
        </w:tc>
        <w:tc>
          <w:tcPr>
            <w:tcW w:w="6399" w:type="dxa"/>
          </w:tcPr>
          <w:p w14:paraId="2B22D8CB" w14:textId="77777777" w:rsidR="00E26EDD" w:rsidRPr="00FD119B" w:rsidRDefault="00E26EDD" w:rsidP="00CF5DAD">
            <w:r w:rsidRPr="00724A0F">
              <w:t>Standard for the Uniform Scheduling of Medicines and Poisons</w:t>
            </w:r>
          </w:p>
        </w:tc>
      </w:tr>
      <w:tr w:rsidR="00E26EDD" w:rsidRPr="00FD119B" w14:paraId="271A8D2C" w14:textId="77777777" w:rsidTr="00257AE7">
        <w:tc>
          <w:tcPr>
            <w:tcW w:w="2095" w:type="dxa"/>
          </w:tcPr>
          <w:p w14:paraId="25CD5697" w14:textId="77777777" w:rsidR="00E26EDD" w:rsidRPr="007429D8" w:rsidRDefault="00E26EDD" w:rsidP="00CF5DAD">
            <w:pPr>
              <w:rPr>
                <w:vertAlign w:val="subscript"/>
              </w:rPr>
            </w:pPr>
            <w:proofErr w:type="spellStart"/>
            <w:r>
              <w:t>T</w:t>
            </w:r>
            <w:r>
              <w:rPr>
                <w:vertAlign w:val="subscript"/>
              </w:rPr>
              <w:t>max</w:t>
            </w:r>
            <w:proofErr w:type="spellEnd"/>
          </w:p>
        </w:tc>
        <w:tc>
          <w:tcPr>
            <w:tcW w:w="6399" w:type="dxa"/>
          </w:tcPr>
          <w:p w14:paraId="517F98ED" w14:textId="77777777" w:rsidR="00E26EDD" w:rsidRPr="00FD119B" w:rsidRDefault="00E26EDD" w:rsidP="00CF5DAD">
            <w:r>
              <w:t>Time of maximum concentration</w:t>
            </w:r>
          </w:p>
        </w:tc>
      </w:tr>
      <w:tr w:rsidR="00E26EDD" w:rsidRPr="00FD119B" w14:paraId="31C50191" w14:textId="77777777" w:rsidTr="00257AE7">
        <w:tc>
          <w:tcPr>
            <w:tcW w:w="2095" w:type="dxa"/>
          </w:tcPr>
          <w:p w14:paraId="40A698FE" w14:textId="77777777" w:rsidR="00E26EDD" w:rsidRDefault="00E26EDD" w:rsidP="00512083">
            <w:r>
              <w:t>US(A)</w:t>
            </w:r>
          </w:p>
        </w:tc>
        <w:tc>
          <w:tcPr>
            <w:tcW w:w="6399" w:type="dxa"/>
          </w:tcPr>
          <w:p w14:paraId="5248111A" w14:textId="77777777" w:rsidR="00E26EDD" w:rsidRDefault="00E26EDD" w:rsidP="00512083">
            <w:r>
              <w:t>United States of America</w:t>
            </w:r>
          </w:p>
        </w:tc>
      </w:tr>
    </w:tbl>
    <w:p w14:paraId="0447E772" w14:textId="77777777" w:rsidR="008E7846" w:rsidRDefault="00F53C07" w:rsidP="00AB0C3A">
      <w:pPr>
        <w:pStyle w:val="Heading2"/>
        <w:pageBreakBefore/>
      </w:pPr>
      <w:bookmarkStart w:id="9" w:name="_Toc66436560"/>
      <w:r>
        <w:lastRenderedPageBreak/>
        <w:t>I.</w:t>
      </w:r>
      <w:r w:rsidR="008E7846">
        <w:t xml:space="preserve"> Introduction to product submission</w:t>
      </w:r>
      <w:bookmarkEnd w:id="9"/>
      <w:bookmarkEnd w:id="3"/>
      <w:bookmarkEnd w:id="1"/>
    </w:p>
    <w:p w14:paraId="5586C413" w14:textId="77777777" w:rsidR="008E7846" w:rsidRDefault="008E7846" w:rsidP="008E7846">
      <w:pPr>
        <w:pStyle w:val="Heading3"/>
        <w:rPr>
          <w:lang w:eastAsia="en-AU"/>
        </w:rPr>
      </w:pPr>
      <w:bookmarkStart w:id="10" w:name="_Toc247691502"/>
      <w:bookmarkStart w:id="11" w:name="_Toc314842483"/>
      <w:bookmarkStart w:id="12" w:name="_Toc66436561"/>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7BA88AD9" w14:textId="77777777" w:rsidTr="003735BC">
        <w:tc>
          <w:tcPr>
            <w:tcW w:w="2907" w:type="dxa"/>
          </w:tcPr>
          <w:p w14:paraId="2E1CE791"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5EC7746" w14:textId="77777777" w:rsidR="008E7846" w:rsidRPr="003D1E62" w:rsidRDefault="008E7846" w:rsidP="001B5C90">
            <w:r w:rsidRPr="003D1E62">
              <w:t xml:space="preserve">New </w:t>
            </w:r>
            <w:r w:rsidR="001B5C90">
              <w:t>c</w:t>
            </w:r>
            <w:r w:rsidRPr="003D1E62">
              <w:t xml:space="preserve">hemical </w:t>
            </w:r>
            <w:r w:rsidR="001B5C90">
              <w:t>e</w:t>
            </w:r>
            <w:r w:rsidR="00F723C1">
              <w:t>ntity</w:t>
            </w:r>
          </w:p>
        </w:tc>
      </w:tr>
      <w:tr w:rsidR="00460036" w:rsidRPr="003D1E62" w14:paraId="771CDABE" w14:textId="77777777" w:rsidTr="003735BC">
        <w:tc>
          <w:tcPr>
            <w:tcW w:w="2907" w:type="dxa"/>
          </w:tcPr>
          <w:p w14:paraId="0BE39F8C" w14:textId="77777777" w:rsidR="00460036" w:rsidRPr="003D1E62" w:rsidRDefault="00460036" w:rsidP="003D1E62">
            <w:pPr>
              <w:rPr>
                <w:i/>
              </w:rPr>
            </w:pPr>
            <w:r w:rsidRPr="00460036">
              <w:rPr>
                <w:i/>
              </w:rPr>
              <w:t>P</w:t>
            </w:r>
            <w:r w:rsidR="00F723C1">
              <w:rPr>
                <w:i/>
              </w:rPr>
              <w:t>roduct name</w:t>
            </w:r>
            <w:r w:rsidRPr="00460036">
              <w:rPr>
                <w:i/>
              </w:rPr>
              <w:t>:</w:t>
            </w:r>
          </w:p>
        </w:tc>
        <w:tc>
          <w:tcPr>
            <w:tcW w:w="6307" w:type="dxa"/>
          </w:tcPr>
          <w:p w14:paraId="366C62F3" w14:textId="5A6A9F61" w:rsidR="00460036" w:rsidRPr="003D1E62" w:rsidRDefault="00811504" w:rsidP="0011168C">
            <w:proofErr w:type="spellStart"/>
            <w:r>
              <w:t>Scenesse</w:t>
            </w:r>
            <w:proofErr w:type="spellEnd"/>
          </w:p>
        </w:tc>
      </w:tr>
      <w:tr w:rsidR="00460036" w:rsidRPr="003D1E62" w14:paraId="1D97C8EF" w14:textId="77777777" w:rsidTr="003735BC">
        <w:tc>
          <w:tcPr>
            <w:tcW w:w="2907" w:type="dxa"/>
          </w:tcPr>
          <w:p w14:paraId="29009C64" w14:textId="77777777" w:rsidR="00460036" w:rsidRPr="003D1E62" w:rsidRDefault="00F723C1" w:rsidP="003D1E62">
            <w:pPr>
              <w:rPr>
                <w:i/>
              </w:rPr>
            </w:pPr>
            <w:r>
              <w:rPr>
                <w:i/>
              </w:rPr>
              <w:t>Active ingredient</w:t>
            </w:r>
            <w:r w:rsidR="00460036" w:rsidRPr="00460036">
              <w:rPr>
                <w:i/>
              </w:rPr>
              <w:t>:</w:t>
            </w:r>
          </w:p>
        </w:tc>
        <w:tc>
          <w:tcPr>
            <w:tcW w:w="6307" w:type="dxa"/>
          </w:tcPr>
          <w:p w14:paraId="177C7B6D" w14:textId="77777777" w:rsidR="00460036" w:rsidRPr="003D1E62" w:rsidRDefault="00F723C1" w:rsidP="001B5C90">
            <w:proofErr w:type="spellStart"/>
            <w:r>
              <w:t>Afamelanotide</w:t>
            </w:r>
            <w:proofErr w:type="spellEnd"/>
            <w:r w:rsidR="009322BC">
              <w:t xml:space="preserve"> (as acetate)</w:t>
            </w:r>
          </w:p>
        </w:tc>
      </w:tr>
      <w:tr w:rsidR="008E7846" w:rsidRPr="003D1E62" w14:paraId="73AE2997" w14:textId="77777777" w:rsidTr="003735BC">
        <w:tc>
          <w:tcPr>
            <w:tcW w:w="2907" w:type="dxa"/>
          </w:tcPr>
          <w:p w14:paraId="63044579" w14:textId="77777777" w:rsidR="008E7846" w:rsidRPr="003D1E62" w:rsidRDefault="008E7846" w:rsidP="003D1E62">
            <w:r w:rsidRPr="003D1E62">
              <w:rPr>
                <w:i/>
              </w:rPr>
              <w:t>Decision</w:t>
            </w:r>
            <w:r w:rsidRPr="003D1E62">
              <w:t>:</w:t>
            </w:r>
          </w:p>
        </w:tc>
        <w:tc>
          <w:tcPr>
            <w:tcW w:w="6307" w:type="dxa"/>
          </w:tcPr>
          <w:p w14:paraId="35EA2C31" w14:textId="77777777" w:rsidR="008E7846" w:rsidRPr="003D1E62" w:rsidRDefault="00460036" w:rsidP="001B5C90">
            <w:r w:rsidRPr="00460036">
              <w:t>Approv</w:t>
            </w:r>
            <w:r w:rsidR="00F723C1">
              <w:t>ed</w:t>
            </w:r>
          </w:p>
        </w:tc>
      </w:tr>
      <w:tr w:rsidR="008E7846" w:rsidRPr="003D1E62" w14:paraId="484F54EE" w14:textId="77777777" w:rsidTr="003735BC">
        <w:tc>
          <w:tcPr>
            <w:tcW w:w="2907" w:type="dxa"/>
          </w:tcPr>
          <w:p w14:paraId="7B7E853B"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FCA208B" w14:textId="77777777" w:rsidR="008E7846" w:rsidRPr="003D1E62" w:rsidRDefault="00F723C1" w:rsidP="001B5C90">
            <w:r>
              <w:t>22 October 2020</w:t>
            </w:r>
          </w:p>
        </w:tc>
      </w:tr>
      <w:tr w:rsidR="00ED2922" w:rsidRPr="003D1E62" w14:paraId="700A851F" w14:textId="77777777" w:rsidTr="003735BC">
        <w:tc>
          <w:tcPr>
            <w:tcW w:w="2907" w:type="dxa"/>
          </w:tcPr>
          <w:p w14:paraId="2679FF89" w14:textId="77777777" w:rsidR="00ED2922" w:rsidRPr="00441C3F" w:rsidRDefault="00ED2922" w:rsidP="001B5C90">
            <w:pPr>
              <w:rPr>
                <w:i/>
              </w:rPr>
            </w:pPr>
            <w:r w:rsidRPr="00441C3F">
              <w:rPr>
                <w:i/>
              </w:rPr>
              <w:t>Date of entry onto ARTG</w:t>
            </w:r>
            <w:r w:rsidR="00500337">
              <w:rPr>
                <w:i/>
              </w:rPr>
              <w:t>:</w:t>
            </w:r>
          </w:p>
        </w:tc>
        <w:tc>
          <w:tcPr>
            <w:tcW w:w="6307" w:type="dxa"/>
          </w:tcPr>
          <w:p w14:paraId="314CF2C7" w14:textId="77777777" w:rsidR="00ED2922" w:rsidRPr="00441C3F" w:rsidRDefault="00F723C1" w:rsidP="00D153D8">
            <w:pPr>
              <w:rPr>
                <w:i/>
              </w:rPr>
            </w:pPr>
            <w:r>
              <w:t>18 November 2020</w:t>
            </w:r>
          </w:p>
        </w:tc>
      </w:tr>
      <w:tr w:rsidR="00500337" w:rsidRPr="003D1E62" w14:paraId="350A7C1C" w14:textId="77777777" w:rsidTr="003735BC">
        <w:tc>
          <w:tcPr>
            <w:tcW w:w="2907" w:type="dxa"/>
          </w:tcPr>
          <w:p w14:paraId="5EA1E561" w14:textId="77777777" w:rsidR="00500337" w:rsidRPr="00441C3F" w:rsidRDefault="00F723C1" w:rsidP="001B5C90">
            <w:pPr>
              <w:rPr>
                <w:i/>
              </w:rPr>
            </w:pPr>
            <w:r>
              <w:rPr>
                <w:i/>
              </w:rPr>
              <w:t>ARTG number</w:t>
            </w:r>
            <w:r w:rsidR="00500337">
              <w:rPr>
                <w:i/>
              </w:rPr>
              <w:t>:</w:t>
            </w:r>
          </w:p>
        </w:tc>
        <w:tc>
          <w:tcPr>
            <w:tcW w:w="6307" w:type="dxa"/>
          </w:tcPr>
          <w:p w14:paraId="03E9A278" w14:textId="77777777" w:rsidR="00500337" w:rsidRPr="00441C3F" w:rsidRDefault="00F723C1" w:rsidP="00EC463D">
            <w:r w:rsidRPr="00F723C1">
              <w:t>327947</w:t>
            </w:r>
          </w:p>
        </w:tc>
      </w:tr>
      <w:tr w:rsidR="003735BC" w:rsidRPr="003D1E62" w14:paraId="0BA2E98F" w14:textId="77777777" w:rsidTr="003735BC">
        <w:tc>
          <w:tcPr>
            <w:tcW w:w="2907" w:type="dxa"/>
          </w:tcPr>
          <w:p w14:paraId="6E47FF95"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5B24E6EC" w14:textId="77777777" w:rsidR="003735BC" w:rsidRDefault="00804404" w:rsidP="003735BC">
            <w:r>
              <w:t>Yes</w:t>
            </w:r>
          </w:p>
          <w:p w14:paraId="31BBC5E0" w14:textId="77777777" w:rsidR="003735BC" w:rsidRPr="00487162" w:rsidRDefault="003735BC" w:rsidP="003735BC">
            <w:r>
              <w:t xml:space="preserve">This product will remain in the scheme for 5 years, starting on the date the product is first supplied in </w:t>
            </w:r>
            <w:r w:rsidR="00804404">
              <w:t>Australia.</w:t>
            </w:r>
          </w:p>
        </w:tc>
      </w:tr>
      <w:tr w:rsidR="008E7846" w:rsidRPr="00487162" w14:paraId="610E7328" w14:textId="77777777" w:rsidTr="00BF1190">
        <w:tc>
          <w:tcPr>
            <w:tcW w:w="2907" w:type="dxa"/>
          </w:tcPr>
          <w:p w14:paraId="4A8D3048"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5821E30" w14:textId="697164E2" w:rsidR="008E7846" w:rsidRDefault="0011168C" w:rsidP="00E45619">
            <w:proofErr w:type="spellStart"/>
            <w:r>
              <w:t>Clinuvel</w:t>
            </w:r>
            <w:proofErr w:type="spellEnd"/>
            <w:r>
              <w:t xml:space="preserve"> Pharmaceuticals Ltd</w:t>
            </w:r>
          </w:p>
          <w:p w14:paraId="0BCCDDB9" w14:textId="03BE3853" w:rsidR="00804404" w:rsidRDefault="00804404" w:rsidP="00E45619">
            <w:r>
              <w:t>Level 11</w:t>
            </w:r>
            <w:r w:rsidR="00674D44">
              <w:t>,</w:t>
            </w:r>
            <w:r>
              <w:t xml:space="preserve"> 535 Bourke Street,</w:t>
            </w:r>
          </w:p>
          <w:p w14:paraId="4D62C438" w14:textId="77777777" w:rsidR="00804404" w:rsidRPr="00487162" w:rsidRDefault="00804404" w:rsidP="00E45619">
            <w:r w:rsidRPr="00804404">
              <w:t>Melbourne, VIC, 3000</w:t>
            </w:r>
          </w:p>
        </w:tc>
      </w:tr>
      <w:tr w:rsidR="008E7846" w:rsidRPr="00487162" w14:paraId="00474129" w14:textId="77777777" w:rsidTr="00BF1190">
        <w:tc>
          <w:tcPr>
            <w:tcW w:w="2907" w:type="dxa"/>
          </w:tcPr>
          <w:p w14:paraId="0264A512" w14:textId="77777777" w:rsidR="008E7846" w:rsidRPr="00487162" w:rsidRDefault="00804404" w:rsidP="00E45619">
            <w:pPr>
              <w:rPr>
                <w:i/>
              </w:rPr>
            </w:pPr>
            <w:r>
              <w:rPr>
                <w:i/>
              </w:rPr>
              <w:t>Dose form</w:t>
            </w:r>
            <w:r w:rsidR="001B5C90">
              <w:rPr>
                <w:i/>
              </w:rPr>
              <w:t>:</w:t>
            </w:r>
          </w:p>
        </w:tc>
        <w:tc>
          <w:tcPr>
            <w:tcW w:w="6307" w:type="dxa"/>
          </w:tcPr>
          <w:p w14:paraId="6A1D475A" w14:textId="77777777" w:rsidR="008E7846" w:rsidRPr="00487162" w:rsidRDefault="007673D0" w:rsidP="00E45619">
            <w:r>
              <w:t>Controlled release i</w:t>
            </w:r>
            <w:r w:rsidR="00804404">
              <w:t>mplant</w:t>
            </w:r>
          </w:p>
        </w:tc>
      </w:tr>
      <w:tr w:rsidR="008E7846" w:rsidRPr="00487162" w14:paraId="27EC2BAA" w14:textId="77777777" w:rsidTr="00BF1190">
        <w:tc>
          <w:tcPr>
            <w:tcW w:w="2907" w:type="dxa"/>
          </w:tcPr>
          <w:p w14:paraId="489B76DE" w14:textId="77777777" w:rsidR="008E7846" w:rsidRPr="00487162" w:rsidRDefault="009225A0" w:rsidP="00E45619">
            <w:pPr>
              <w:rPr>
                <w:i/>
              </w:rPr>
            </w:pPr>
            <w:r>
              <w:rPr>
                <w:i/>
              </w:rPr>
              <w:t>Strength</w:t>
            </w:r>
            <w:r w:rsidR="00324E45">
              <w:rPr>
                <w:i/>
              </w:rPr>
              <w:t>:</w:t>
            </w:r>
          </w:p>
        </w:tc>
        <w:tc>
          <w:tcPr>
            <w:tcW w:w="6307" w:type="dxa"/>
          </w:tcPr>
          <w:p w14:paraId="0F2C0C9A" w14:textId="77777777" w:rsidR="008E7846" w:rsidRPr="00487162" w:rsidRDefault="009225A0" w:rsidP="00E45619">
            <w:r>
              <w:t>16 mg</w:t>
            </w:r>
          </w:p>
        </w:tc>
      </w:tr>
      <w:tr w:rsidR="008E7846" w:rsidRPr="00487162" w14:paraId="4644C304" w14:textId="77777777" w:rsidTr="00BF1190">
        <w:tc>
          <w:tcPr>
            <w:tcW w:w="2907" w:type="dxa"/>
          </w:tcPr>
          <w:p w14:paraId="2A53E9AF" w14:textId="77777777" w:rsidR="008E7846" w:rsidRPr="00487162" w:rsidRDefault="009225A0" w:rsidP="00E45619">
            <w:pPr>
              <w:rPr>
                <w:i/>
              </w:rPr>
            </w:pPr>
            <w:r>
              <w:rPr>
                <w:i/>
              </w:rPr>
              <w:t>Container</w:t>
            </w:r>
            <w:r w:rsidR="008E7846" w:rsidRPr="00487162">
              <w:rPr>
                <w:i/>
              </w:rPr>
              <w:t>:</w:t>
            </w:r>
          </w:p>
        </w:tc>
        <w:tc>
          <w:tcPr>
            <w:tcW w:w="6307" w:type="dxa"/>
          </w:tcPr>
          <w:p w14:paraId="703898A4" w14:textId="77777777" w:rsidR="008E7846" w:rsidRPr="00487162" w:rsidRDefault="009225A0" w:rsidP="00E45619">
            <w:r>
              <w:t>Vial</w:t>
            </w:r>
          </w:p>
        </w:tc>
      </w:tr>
      <w:tr w:rsidR="008E7846" w:rsidRPr="00487162" w14:paraId="253DA291" w14:textId="77777777" w:rsidTr="00BF1190">
        <w:tc>
          <w:tcPr>
            <w:tcW w:w="2907" w:type="dxa"/>
          </w:tcPr>
          <w:p w14:paraId="56FA389C" w14:textId="77777777" w:rsidR="008E7846" w:rsidRPr="00487162" w:rsidRDefault="009225A0" w:rsidP="00E45619">
            <w:pPr>
              <w:rPr>
                <w:i/>
              </w:rPr>
            </w:pPr>
            <w:r>
              <w:rPr>
                <w:i/>
              </w:rPr>
              <w:t>Pack size</w:t>
            </w:r>
            <w:r w:rsidR="008E7846" w:rsidRPr="00487162">
              <w:rPr>
                <w:i/>
              </w:rPr>
              <w:t>:</w:t>
            </w:r>
          </w:p>
        </w:tc>
        <w:tc>
          <w:tcPr>
            <w:tcW w:w="6307" w:type="dxa"/>
          </w:tcPr>
          <w:p w14:paraId="585A8F70" w14:textId="77777777" w:rsidR="008E7846" w:rsidRPr="00487162" w:rsidRDefault="009225A0" w:rsidP="00E45619">
            <w:r>
              <w:t>Single vial pack</w:t>
            </w:r>
          </w:p>
        </w:tc>
      </w:tr>
      <w:tr w:rsidR="008E7846" w:rsidRPr="00487162" w14:paraId="7D562284" w14:textId="77777777" w:rsidTr="00BF1190">
        <w:tc>
          <w:tcPr>
            <w:tcW w:w="2907" w:type="dxa"/>
          </w:tcPr>
          <w:p w14:paraId="48925736"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12897D9" w14:textId="79BFEE44" w:rsidR="008E7846" w:rsidRPr="009225A0" w:rsidRDefault="00811504" w:rsidP="0011168C">
            <w:pPr>
              <w:rPr>
                <w:rFonts w:eastAsia="MS Mincho"/>
                <w:i/>
                <w:lang w:eastAsia="ja-JP"/>
              </w:rPr>
            </w:pPr>
            <w:proofErr w:type="spellStart"/>
            <w:r>
              <w:rPr>
                <w:rFonts w:eastAsia="MS Mincho"/>
                <w:i/>
                <w:lang w:eastAsia="ja-JP"/>
              </w:rPr>
              <w:t>Scenesse</w:t>
            </w:r>
            <w:proofErr w:type="spellEnd"/>
            <w:r w:rsidR="0011168C">
              <w:rPr>
                <w:rFonts w:eastAsia="MS Mincho"/>
                <w:i/>
                <w:lang w:eastAsia="ja-JP"/>
              </w:rPr>
              <w:t xml:space="preserve"> </w:t>
            </w:r>
            <w:r w:rsidR="009225A0" w:rsidRPr="009225A0">
              <w:rPr>
                <w:rFonts w:eastAsia="MS Mincho"/>
                <w:i/>
                <w:lang w:eastAsia="ja-JP"/>
              </w:rPr>
              <w:t xml:space="preserve">is indicated for prevention of </w:t>
            </w:r>
            <w:proofErr w:type="spellStart"/>
            <w:r w:rsidR="009225A0" w:rsidRPr="009225A0">
              <w:rPr>
                <w:rFonts w:eastAsia="MS Mincho"/>
                <w:i/>
                <w:lang w:eastAsia="ja-JP"/>
              </w:rPr>
              <w:t>phototoxicity</w:t>
            </w:r>
            <w:proofErr w:type="spellEnd"/>
            <w:r w:rsidR="009225A0" w:rsidRPr="009225A0">
              <w:rPr>
                <w:rFonts w:eastAsia="MS Mincho"/>
                <w:i/>
                <w:lang w:eastAsia="ja-JP"/>
              </w:rPr>
              <w:t xml:space="preserve"> in adult patients with </w:t>
            </w:r>
            <w:proofErr w:type="spellStart"/>
            <w:r w:rsidR="009225A0" w:rsidRPr="009225A0">
              <w:rPr>
                <w:rFonts w:eastAsia="MS Mincho"/>
                <w:i/>
                <w:lang w:eastAsia="ja-JP"/>
              </w:rPr>
              <w:t>erythropoietic</w:t>
            </w:r>
            <w:proofErr w:type="spellEnd"/>
            <w:r w:rsidR="009225A0" w:rsidRPr="009225A0">
              <w:rPr>
                <w:rFonts w:eastAsia="MS Mincho"/>
                <w:i/>
                <w:lang w:eastAsia="ja-JP"/>
              </w:rPr>
              <w:t xml:space="preserve"> </w:t>
            </w:r>
            <w:proofErr w:type="spellStart"/>
            <w:r w:rsidR="009225A0" w:rsidRPr="009225A0">
              <w:rPr>
                <w:rFonts w:eastAsia="MS Mincho"/>
                <w:i/>
                <w:lang w:eastAsia="ja-JP"/>
              </w:rPr>
              <w:t>protoporphyria</w:t>
            </w:r>
            <w:proofErr w:type="spellEnd"/>
            <w:r w:rsidR="009225A0" w:rsidRPr="009225A0">
              <w:rPr>
                <w:rFonts w:eastAsia="MS Mincho"/>
                <w:i/>
                <w:lang w:eastAsia="ja-JP"/>
              </w:rPr>
              <w:t xml:space="preserve"> (EPP)</w:t>
            </w:r>
          </w:p>
        </w:tc>
      </w:tr>
      <w:tr w:rsidR="008E7846" w:rsidRPr="00487162" w14:paraId="4394CD40" w14:textId="77777777" w:rsidTr="00BF1190">
        <w:tc>
          <w:tcPr>
            <w:tcW w:w="2907" w:type="dxa"/>
          </w:tcPr>
          <w:p w14:paraId="6C77151E" w14:textId="77777777" w:rsidR="008E7846" w:rsidRPr="00487162" w:rsidRDefault="009225A0" w:rsidP="00E45619">
            <w:pPr>
              <w:rPr>
                <w:i/>
              </w:rPr>
            </w:pPr>
            <w:r>
              <w:rPr>
                <w:i/>
              </w:rPr>
              <w:t>Route</w:t>
            </w:r>
            <w:r w:rsidR="008E7846" w:rsidRPr="00487162">
              <w:rPr>
                <w:i/>
              </w:rPr>
              <w:t xml:space="preserve"> of administration:</w:t>
            </w:r>
          </w:p>
        </w:tc>
        <w:tc>
          <w:tcPr>
            <w:tcW w:w="6307" w:type="dxa"/>
          </w:tcPr>
          <w:p w14:paraId="2F7200C8" w14:textId="77777777" w:rsidR="008E7846" w:rsidRPr="00487162" w:rsidRDefault="009225A0" w:rsidP="00E45619">
            <w:r>
              <w:t>Subcutaneous</w:t>
            </w:r>
          </w:p>
        </w:tc>
      </w:tr>
      <w:tr w:rsidR="008E7846" w:rsidRPr="00487162" w14:paraId="18B41BB6" w14:textId="77777777" w:rsidTr="00BF1190">
        <w:tc>
          <w:tcPr>
            <w:tcW w:w="2907" w:type="dxa"/>
          </w:tcPr>
          <w:p w14:paraId="3E92ECDD" w14:textId="77777777" w:rsidR="008E7846" w:rsidRPr="00487162" w:rsidRDefault="008E7846" w:rsidP="00E45619">
            <w:pPr>
              <w:rPr>
                <w:i/>
              </w:rPr>
            </w:pPr>
            <w:r w:rsidRPr="00487162">
              <w:rPr>
                <w:i/>
              </w:rPr>
              <w:t>Dosage:</w:t>
            </w:r>
          </w:p>
        </w:tc>
        <w:tc>
          <w:tcPr>
            <w:tcW w:w="6307" w:type="dxa"/>
          </w:tcPr>
          <w:p w14:paraId="2595A13F" w14:textId="59E54021" w:rsidR="00650A5C" w:rsidRDefault="00811504" w:rsidP="00E45619">
            <w:proofErr w:type="spellStart"/>
            <w:r>
              <w:rPr>
                <w:rFonts w:eastAsia="MS Mincho"/>
                <w:iCs/>
                <w:lang w:eastAsia="ja-JP"/>
              </w:rPr>
              <w:t>Scenesse</w:t>
            </w:r>
            <w:proofErr w:type="spellEnd"/>
            <w:r w:rsidR="00650A5C" w:rsidRPr="00650A5C">
              <w:t xml:space="preserve"> must only be initiated by a specialist physician having expertise in the management of </w:t>
            </w:r>
            <w:proofErr w:type="spellStart"/>
            <w:r w:rsidR="00650A5C" w:rsidRPr="00650A5C">
              <w:t>eryth</w:t>
            </w:r>
            <w:r w:rsidR="00650A5C">
              <w:t>ropoietic</w:t>
            </w:r>
            <w:proofErr w:type="spellEnd"/>
            <w:r w:rsidR="00650A5C">
              <w:t xml:space="preserve"> </w:t>
            </w:r>
            <w:proofErr w:type="spellStart"/>
            <w:r w:rsidR="00650A5C">
              <w:t>protoporphyria</w:t>
            </w:r>
            <w:proofErr w:type="spellEnd"/>
            <w:r w:rsidR="00650A5C">
              <w:t xml:space="preserve"> (EPP).</w:t>
            </w:r>
          </w:p>
          <w:p w14:paraId="7857A1E2" w14:textId="2E626491" w:rsidR="00650A5C" w:rsidRDefault="00811504" w:rsidP="00E45619">
            <w:proofErr w:type="spellStart"/>
            <w:r>
              <w:rPr>
                <w:rFonts w:eastAsia="MS Mincho"/>
                <w:iCs/>
                <w:lang w:eastAsia="ja-JP"/>
              </w:rPr>
              <w:t>Scenesse</w:t>
            </w:r>
            <w:proofErr w:type="spellEnd"/>
            <w:r w:rsidR="00650A5C" w:rsidRPr="00650A5C">
              <w:t xml:space="preserve"> should be administered by a healthcare professional. All healthcare professionals should be proficient in the subcutaneous implantation procedure and have completed the </w:t>
            </w:r>
            <w:r w:rsidR="00650A5C" w:rsidRPr="00650A5C">
              <w:lastRenderedPageBreak/>
              <w:t xml:space="preserve">training program provided by </w:t>
            </w:r>
            <w:proofErr w:type="spellStart"/>
            <w:r w:rsidR="0011168C">
              <w:t>Clinuvel</w:t>
            </w:r>
            <w:proofErr w:type="spellEnd"/>
            <w:r w:rsidR="009B4508">
              <w:t xml:space="preserve"> </w:t>
            </w:r>
            <w:r w:rsidR="0011168C">
              <w:t>(</w:t>
            </w:r>
            <w:r w:rsidR="00650A5C" w:rsidRPr="00650A5C">
              <w:t>the sponsor</w:t>
            </w:r>
            <w:r w:rsidR="0011168C">
              <w:t>)</w:t>
            </w:r>
            <w:r w:rsidR="00650A5C" w:rsidRPr="00650A5C">
              <w:t xml:space="preserve"> prior to administ</w:t>
            </w:r>
            <w:r w:rsidR="00650A5C">
              <w:t xml:space="preserve">ration of the </w:t>
            </w:r>
            <w:proofErr w:type="spellStart"/>
            <w:r>
              <w:t>Scenesse</w:t>
            </w:r>
            <w:proofErr w:type="spellEnd"/>
            <w:r w:rsidR="00650A5C">
              <w:t xml:space="preserve"> implant.</w:t>
            </w:r>
          </w:p>
          <w:p w14:paraId="54EA5D8D" w14:textId="47CF1651" w:rsidR="00460036" w:rsidRDefault="00650A5C" w:rsidP="00E45619">
            <w:r w:rsidRPr="00650A5C">
              <w:t xml:space="preserve">A single </w:t>
            </w:r>
            <w:proofErr w:type="spellStart"/>
            <w:r w:rsidR="00811504">
              <w:t>Scenesse</w:t>
            </w:r>
            <w:proofErr w:type="spellEnd"/>
            <w:r w:rsidRPr="00650A5C">
              <w:t xml:space="preserve"> 16 mg implant is inserted subcutaneously above the anterior s</w:t>
            </w:r>
            <w:r>
              <w:t>upra-iliac crest every 2 months.</w:t>
            </w:r>
          </w:p>
          <w:p w14:paraId="3E13CD34" w14:textId="77777777" w:rsidR="00650A5C" w:rsidRPr="00487162" w:rsidRDefault="00650A5C" w:rsidP="00E45619">
            <w:r>
              <w:t>For further information, refer to the Product Information.</w:t>
            </w:r>
          </w:p>
        </w:tc>
      </w:tr>
      <w:tr w:rsidR="00460036" w:rsidRPr="00487162" w14:paraId="68889B56" w14:textId="77777777" w:rsidTr="00BF1190">
        <w:tc>
          <w:tcPr>
            <w:tcW w:w="2907" w:type="dxa"/>
          </w:tcPr>
          <w:p w14:paraId="5097C419" w14:textId="77777777" w:rsidR="00460036" w:rsidRPr="00487162" w:rsidRDefault="00460036" w:rsidP="00E45619">
            <w:pPr>
              <w:rPr>
                <w:i/>
              </w:rPr>
            </w:pPr>
            <w:r w:rsidRPr="00460036">
              <w:rPr>
                <w:i/>
              </w:rPr>
              <w:lastRenderedPageBreak/>
              <w:t>Pregnancy category</w:t>
            </w:r>
            <w:r>
              <w:rPr>
                <w:i/>
              </w:rPr>
              <w:t>:</w:t>
            </w:r>
          </w:p>
        </w:tc>
        <w:tc>
          <w:tcPr>
            <w:tcW w:w="6307" w:type="dxa"/>
          </w:tcPr>
          <w:p w14:paraId="694AC8A6" w14:textId="77777777" w:rsidR="007673D0" w:rsidRPr="007673D0" w:rsidRDefault="007673D0" w:rsidP="007673D0">
            <w:r w:rsidRPr="007673D0">
              <w:t>B1</w:t>
            </w:r>
          </w:p>
          <w:p w14:paraId="750072C6" w14:textId="77777777" w:rsidR="007673D0" w:rsidRPr="007673D0" w:rsidRDefault="007673D0" w:rsidP="007673D0">
            <w:r w:rsidRPr="007673D0">
              <w:t xml:space="preserve">Drugs which have been taken by only a limited number of pregnant women and women of childbearing age, without an increase in the frequency of malformation or other direct or indirect harmful effects on the human </w:t>
            </w:r>
            <w:proofErr w:type="spellStart"/>
            <w:r w:rsidRPr="007673D0">
              <w:t>fetus</w:t>
            </w:r>
            <w:proofErr w:type="spellEnd"/>
            <w:r w:rsidRPr="007673D0">
              <w:t xml:space="preserve"> having been observed.</w:t>
            </w:r>
          </w:p>
          <w:p w14:paraId="2D401A68" w14:textId="77777777" w:rsidR="007673D0" w:rsidRDefault="007673D0" w:rsidP="007673D0">
            <w:r w:rsidRPr="007673D0">
              <w:t xml:space="preserve">Studies in animals have not shown evidence of an increased occurrence of </w:t>
            </w:r>
            <w:proofErr w:type="spellStart"/>
            <w:r w:rsidRPr="007673D0">
              <w:t>fetal</w:t>
            </w:r>
            <w:proofErr w:type="spellEnd"/>
            <w:r w:rsidRPr="007673D0">
              <w:t xml:space="preserve"> damage.</w:t>
            </w:r>
          </w:p>
          <w:p w14:paraId="0F41C0A8" w14:textId="77777777" w:rsidR="00460036" w:rsidRPr="007673D0" w:rsidRDefault="00460036" w:rsidP="007673D0">
            <w:r w:rsidRPr="007673D0">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7673D0">
              <w:t>ces in your State or Territory.</w:t>
            </w:r>
          </w:p>
        </w:tc>
      </w:tr>
    </w:tbl>
    <w:p w14:paraId="5BBC15D2" w14:textId="77777777" w:rsidR="008E7846" w:rsidRDefault="008E7846" w:rsidP="008E7846">
      <w:pPr>
        <w:pStyle w:val="Heading3"/>
      </w:pPr>
      <w:bookmarkStart w:id="13" w:name="_Toc247691503"/>
      <w:bookmarkStart w:id="14" w:name="_Toc314842484"/>
      <w:bookmarkStart w:id="15" w:name="_Toc66436562"/>
      <w:r>
        <w:t>Product background</w:t>
      </w:r>
      <w:bookmarkEnd w:id="13"/>
      <w:bookmarkEnd w:id="14"/>
      <w:bookmarkEnd w:id="15"/>
    </w:p>
    <w:p w14:paraId="599E027D" w14:textId="4496F2F0" w:rsidR="008E7846" w:rsidRDefault="00250271" w:rsidP="00940A89">
      <w:r w:rsidRPr="00250271">
        <w:t xml:space="preserve">This </w:t>
      </w:r>
      <w:proofErr w:type="spellStart"/>
      <w:r w:rsidRPr="00250271">
        <w:t>AusPAR</w:t>
      </w:r>
      <w:proofErr w:type="spellEnd"/>
      <w:r w:rsidRPr="00250271">
        <w:t xml:space="preserve"> describes the application by </w:t>
      </w:r>
      <w:proofErr w:type="spellStart"/>
      <w:r w:rsidR="0011168C" w:rsidRPr="0011168C">
        <w:t>Clinuve</w:t>
      </w:r>
      <w:proofErr w:type="spellEnd"/>
      <w:r w:rsidR="0011168C" w:rsidRPr="0011168C">
        <w:t xml:space="preserve"> Pharmaceuticals Ltd</w:t>
      </w:r>
      <w:r w:rsidR="0011168C">
        <w:t xml:space="preserve"> </w:t>
      </w:r>
      <w:r w:rsidR="007673D0">
        <w:t xml:space="preserve">(the sponsor) to register </w:t>
      </w:r>
      <w:proofErr w:type="spellStart"/>
      <w:r w:rsidR="00811504">
        <w:t>Scenesse</w:t>
      </w:r>
      <w:proofErr w:type="spellEnd"/>
      <w:r w:rsidR="007673D0">
        <w:t xml:space="preserve"> (</w:t>
      </w:r>
      <w:proofErr w:type="spellStart"/>
      <w:r w:rsidR="007673D0">
        <w:t>afamelanotide</w:t>
      </w:r>
      <w:proofErr w:type="spellEnd"/>
      <w:r w:rsidR="007673D0">
        <w:t>) 16 mg</w:t>
      </w:r>
      <w:r w:rsidR="00D55782">
        <w:t>;</w:t>
      </w:r>
      <w:r w:rsidR="00D55782">
        <w:rPr>
          <w:rStyle w:val="FootnoteReference"/>
        </w:rPr>
        <w:footnoteReference w:id="2"/>
      </w:r>
      <w:r w:rsidR="007673D0">
        <w:t xml:space="preserve"> controlled release subcutaneous implant</w:t>
      </w:r>
      <w:r w:rsidRPr="00250271">
        <w:t xml:space="preserve"> for the following proposed ind</w:t>
      </w:r>
      <w:r w:rsidR="00D55782">
        <w:t>ication</w:t>
      </w:r>
      <w:r w:rsidR="00CF5DAD">
        <w:t>:</w:t>
      </w:r>
    </w:p>
    <w:p w14:paraId="1DD25027" w14:textId="20876733" w:rsidR="00A44D54" w:rsidRPr="00A44D54" w:rsidRDefault="00257AE7" w:rsidP="00A44D54">
      <w:pPr>
        <w:ind w:left="720"/>
        <w:rPr>
          <w:i/>
        </w:rPr>
      </w:pPr>
      <w:proofErr w:type="spellStart"/>
      <w:r>
        <w:rPr>
          <w:rFonts w:eastAsia="MS Mincho"/>
          <w:i/>
          <w:lang w:eastAsia="ja-JP"/>
        </w:rPr>
        <w:t>Scenesse</w:t>
      </w:r>
      <w:proofErr w:type="spellEnd"/>
      <w:r>
        <w:rPr>
          <w:rFonts w:eastAsia="MS Mincho"/>
          <w:i/>
          <w:lang w:eastAsia="ja-JP"/>
        </w:rPr>
        <w:t xml:space="preserve"> </w:t>
      </w:r>
      <w:r w:rsidR="00A44D54" w:rsidRPr="00A44D54">
        <w:rPr>
          <w:i/>
        </w:rPr>
        <w:t xml:space="preserve">is indicated for prevention of </w:t>
      </w:r>
      <w:proofErr w:type="spellStart"/>
      <w:r w:rsidR="00A44D54" w:rsidRPr="00A44D54">
        <w:rPr>
          <w:i/>
        </w:rPr>
        <w:t>phototoxicity</w:t>
      </w:r>
      <w:proofErr w:type="spellEnd"/>
      <w:r w:rsidR="00A44D54" w:rsidRPr="00A44D54">
        <w:rPr>
          <w:i/>
        </w:rPr>
        <w:t xml:space="preserve"> in adult patients with </w:t>
      </w:r>
      <w:proofErr w:type="spellStart"/>
      <w:r w:rsidR="00A44D54" w:rsidRPr="00A44D54">
        <w:rPr>
          <w:i/>
        </w:rPr>
        <w:t>erythropoietic</w:t>
      </w:r>
      <w:proofErr w:type="spellEnd"/>
      <w:r w:rsidR="00A44D54" w:rsidRPr="00A44D54">
        <w:rPr>
          <w:i/>
        </w:rPr>
        <w:t xml:space="preserve"> </w:t>
      </w:r>
      <w:proofErr w:type="spellStart"/>
      <w:r w:rsidR="00A44D54" w:rsidRPr="00A44D54">
        <w:rPr>
          <w:i/>
        </w:rPr>
        <w:t>protoporphyria</w:t>
      </w:r>
      <w:proofErr w:type="spellEnd"/>
      <w:r w:rsidR="00A44D54" w:rsidRPr="00A44D54">
        <w:rPr>
          <w:i/>
        </w:rPr>
        <w:t xml:space="preserve"> (EPP).</w:t>
      </w:r>
    </w:p>
    <w:p w14:paraId="28599A5F" w14:textId="6CF56DB3" w:rsidR="002B2BAE" w:rsidRDefault="00512083" w:rsidP="002B2BAE">
      <w:proofErr w:type="spellStart"/>
      <w:r>
        <w:t>E</w:t>
      </w:r>
      <w:r w:rsidRPr="00512083">
        <w:t>rythropoietic</w:t>
      </w:r>
      <w:proofErr w:type="spellEnd"/>
      <w:r w:rsidRPr="00512083">
        <w:t xml:space="preserve"> </w:t>
      </w:r>
      <w:proofErr w:type="spellStart"/>
      <w:r w:rsidRPr="00512083">
        <w:t>protoporphyria</w:t>
      </w:r>
      <w:proofErr w:type="spellEnd"/>
      <w:r w:rsidRPr="00512083">
        <w:t xml:space="preserve"> </w:t>
      </w:r>
      <w:r w:rsidR="00974177">
        <w:t>(</w:t>
      </w:r>
      <w:r w:rsidR="002B2BAE">
        <w:t>EPP</w:t>
      </w:r>
      <w:r w:rsidR="00974177">
        <w:t>)</w:t>
      </w:r>
      <w:r w:rsidR="002B2BAE">
        <w:t xml:space="preserve"> is a rare condition caused by an inherited deficiency in activity of the enzyme </w:t>
      </w:r>
      <w:proofErr w:type="spellStart"/>
      <w:r w:rsidR="002B2BAE">
        <w:t>ferrochelatase</w:t>
      </w:r>
      <w:proofErr w:type="spellEnd"/>
      <w:r w:rsidR="002B2BAE">
        <w:t xml:space="preserve"> (FECH). FECH is involved in the terminal step of haem synthesis and reduced activity causes accumulation of the haem precursor, </w:t>
      </w:r>
      <w:proofErr w:type="spellStart"/>
      <w:r w:rsidR="002B2BAE">
        <w:t>protoporphyrin</w:t>
      </w:r>
      <w:proofErr w:type="spellEnd"/>
      <w:r w:rsidR="002B2BAE">
        <w:t xml:space="preserve"> IX (PPIX), in the blood and tissues of affected patients. PPIX is photoactive to blue and near ultraviolet light and causes the formation of free radicals in the skin of EPP patients when they are exposed to light.</w:t>
      </w:r>
    </w:p>
    <w:p w14:paraId="1083FCD1" w14:textId="6099937B" w:rsidR="002B2BAE" w:rsidRDefault="002B2BAE" w:rsidP="002B2BAE">
      <w:r>
        <w:t xml:space="preserve">The release of free radicals in the skin of EPP patients on exposure to light produces itching and burning pain within a short period, followed by swelling and redness which resembles a sunburn. Multiple phototoxic episodes eventually cause scarring on the areas of the body most prominently exposed to light, such as the nose and arms. In general, </w:t>
      </w:r>
      <w:r w:rsidR="00974177">
        <w:t xml:space="preserve">patients with </w:t>
      </w:r>
      <w:r>
        <w:t>EPP adopt restrictive behaviour to avoid strong light, such as not going into the sun. This can have a significant negative impact on the quality of life of EPP patients, restricting recreational and employment opportunities as well as causing secondary eff</w:t>
      </w:r>
      <w:r w:rsidR="005849F3">
        <w:t>ects such as v</w:t>
      </w:r>
      <w:r>
        <w:t>itamin D deficiency and anxiety. As FECH deficiency is genetic, photosensitivity is lifelong for EPP patients and symptoms usually start in early childhood.</w:t>
      </w:r>
    </w:p>
    <w:p w14:paraId="32868A49" w14:textId="0BA1CF0C" w:rsidR="002B2BAE" w:rsidRDefault="00811504" w:rsidP="002B2BAE">
      <w:proofErr w:type="spellStart"/>
      <w:r>
        <w:t>Scenesse</w:t>
      </w:r>
      <w:proofErr w:type="spellEnd"/>
      <w:r w:rsidR="00A44D54" w:rsidRPr="00A44D54">
        <w:t xml:space="preserve"> contains a new drug substance, </w:t>
      </w:r>
      <w:proofErr w:type="spellStart"/>
      <w:r w:rsidR="00A44D54" w:rsidRPr="00A44D54">
        <w:t>afamelanotide</w:t>
      </w:r>
      <w:proofErr w:type="spellEnd"/>
      <w:r w:rsidR="00A44D54" w:rsidRPr="00A44D54">
        <w:t>, which is a first-in-cl</w:t>
      </w:r>
      <w:r w:rsidR="00A44D54">
        <w:t xml:space="preserve">ass </w:t>
      </w:r>
      <w:proofErr w:type="spellStart"/>
      <w:r w:rsidR="00A44D54">
        <w:t>melanocortin</w:t>
      </w:r>
      <w:proofErr w:type="spellEnd"/>
      <w:r w:rsidR="00A44D54">
        <w:t xml:space="preserve"> 1 receptor (MC1</w:t>
      </w:r>
      <w:r w:rsidR="00A44D54" w:rsidRPr="00A44D54">
        <w:t xml:space="preserve">R) agonist and is a structural analogue of the endogenous </w:t>
      </w:r>
      <w:r w:rsidR="00A44D54" w:rsidRPr="00A44D54">
        <w:lastRenderedPageBreak/>
        <w:t xml:space="preserve">compound melanocyte stimulating hormone (MSH). </w:t>
      </w:r>
      <w:proofErr w:type="spellStart"/>
      <w:r w:rsidR="00A44D54" w:rsidRPr="00A44D54">
        <w:t>Afamelanotide</w:t>
      </w:r>
      <w:proofErr w:type="spellEnd"/>
      <w:r w:rsidR="00A44D54" w:rsidRPr="00A44D54">
        <w:t xml:space="preserve"> mimics t</w:t>
      </w:r>
      <w:r w:rsidR="00A44D54">
        <w:t>he pharmacological activity of MSH by binding to MC1</w:t>
      </w:r>
      <w:r w:rsidR="00A44D54" w:rsidRPr="00A44D54">
        <w:t>R</w:t>
      </w:r>
      <w:r w:rsidR="00A44D54">
        <w:t xml:space="preserve"> on skin melanocytes</w:t>
      </w:r>
      <w:r w:rsidR="00A44D54" w:rsidRPr="00A44D54">
        <w:t xml:space="preserve"> and activating the synthesis of eumelanin.</w:t>
      </w:r>
      <w:r w:rsidR="00A44D54">
        <w:t xml:space="preserve"> </w:t>
      </w:r>
      <w:r w:rsidR="002B2BAE">
        <w:t xml:space="preserve">Activation of this receptor leads to increased skin pigmentation, which is associated with improved light tolerance. </w:t>
      </w:r>
      <w:proofErr w:type="spellStart"/>
      <w:r w:rsidR="002B2BAE">
        <w:t>Afamelanotide</w:t>
      </w:r>
      <w:proofErr w:type="spellEnd"/>
      <w:r w:rsidR="002B2BAE">
        <w:t xml:space="preserve"> is not therapeutic against the potential systemic manifestations of EPP, such as liver disease.</w:t>
      </w:r>
    </w:p>
    <w:p w14:paraId="6E73DA60" w14:textId="77777777" w:rsidR="002B2BAE" w:rsidRDefault="002B2BAE" w:rsidP="002B2BAE">
      <w:proofErr w:type="spellStart"/>
      <w:r>
        <w:t>Afamelanotide</w:t>
      </w:r>
      <w:proofErr w:type="spellEnd"/>
      <w:r>
        <w:t xml:space="preserve"> is the only specifi</w:t>
      </w:r>
      <w:r w:rsidR="007813E2">
        <w:t>c medication indicated for EPP.</w:t>
      </w:r>
    </w:p>
    <w:p w14:paraId="6D8D7621" w14:textId="3EBDD309" w:rsidR="002B2BAE" w:rsidRDefault="002B2BAE" w:rsidP="002B2BAE">
      <w:r>
        <w:t>This ap</w:t>
      </w:r>
      <w:r w:rsidR="009303A1">
        <w:t>plication is based on a single P</w:t>
      </w:r>
      <w:r>
        <w:t xml:space="preserve">hase III trial, Study CUV039, which is supported by several secondary trials (Studies CUV029, CUV030, and CUV017). A post-authorisation safety study (PASS) was </w:t>
      </w:r>
      <w:r w:rsidR="00DF589D">
        <w:t>negotiated with</w:t>
      </w:r>
      <w:r>
        <w:t xml:space="preserve"> the </w:t>
      </w:r>
      <w:r w:rsidR="00A522AE">
        <w:t>European Medicines Agency (</w:t>
      </w:r>
      <w:r>
        <w:t>EMA</w:t>
      </w:r>
      <w:r w:rsidR="00A522AE">
        <w:t>)</w:t>
      </w:r>
      <w:r>
        <w:t xml:space="preserve"> after its approval, and data from clinical usage since that time was also available in this application as well as </w:t>
      </w:r>
      <w:r w:rsidR="00192AD6">
        <w:t>European periodic safety</w:t>
      </w:r>
      <w:r w:rsidR="009303A1">
        <w:t xml:space="preserve"> update reports (PSUR</w:t>
      </w:r>
      <w:r w:rsidR="00192AD6">
        <w:t>s</w:t>
      </w:r>
      <w:r>
        <w:t>).</w:t>
      </w:r>
    </w:p>
    <w:p w14:paraId="66F9C77F" w14:textId="77777777" w:rsidR="008E7846" w:rsidRPr="003F31A2" w:rsidRDefault="00386150" w:rsidP="008E7846">
      <w:pPr>
        <w:pStyle w:val="Heading3"/>
      </w:pPr>
      <w:bookmarkStart w:id="16" w:name="_Toc314842485"/>
      <w:bookmarkStart w:id="17" w:name="_Toc247691504"/>
      <w:bookmarkStart w:id="18" w:name="_Toc66436563"/>
      <w:r>
        <w:t>Regulatory s</w:t>
      </w:r>
      <w:r w:rsidR="008E7846">
        <w:t>tatus</w:t>
      </w:r>
      <w:bookmarkEnd w:id="16"/>
      <w:bookmarkEnd w:id="17"/>
      <w:bookmarkEnd w:id="18"/>
    </w:p>
    <w:p w14:paraId="1767488D" w14:textId="77777777" w:rsidR="00940A89" w:rsidRDefault="00006FAB" w:rsidP="00940A89">
      <w:bookmarkStart w:id="19" w:name="_Toc247691505"/>
      <w:bookmarkStart w:id="20" w:name="_Toc314842486"/>
      <w:r w:rsidRPr="00006FAB">
        <w:t>This produ</w:t>
      </w:r>
      <w:r w:rsidR="009303A1">
        <w:t>ct is considered a new chemical</w:t>
      </w:r>
      <w:r w:rsidRPr="00006FAB">
        <w:t xml:space="preserve"> for Australian regulatory purposes.</w:t>
      </w:r>
    </w:p>
    <w:p w14:paraId="705714E6" w14:textId="5F1722E1" w:rsidR="00A44D54" w:rsidRPr="00A05157" w:rsidRDefault="00A44D54" w:rsidP="00A05157">
      <w:proofErr w:type="spellStart"/>
      <w:r w:rsidRPr="00A05157">
        <w:t>Afamelanotide</w:t>
      </w:r>
      <w:proofErr w:type="spellEnd"/>
      <w:r w:rsidRPr="00A05157">
        <w:t xml:space="preserve"> received positive designation as an Orphan drug</w:t>
      </w:r>
      <w:r w:rsidR="009303A1">
        <w:t>;</w:t>
      </w:r>
      <w:r w:rsidR="009303A1">
        <w:rPr>
          <w:rStyle w:val="FootnoteReference"/>
        </w:rPr>
        <w:footnoteReference w:id="3"/>
      </w:r>
      <w:r w:rsidRPr="00A05157">
        <w:t xml:space="preserve"> on 25 January 2019</w:t>
      </w:r>
      <w:r w:rsidR="00A05157" w:rsidRPr="00A05157">
        <w:t xml:space="preserve"> for the indication </w:t>
      </w:r>
      <w:r w:rsidR="009303A1" w:rsidRPr="009303A1">
        <w:rPr>
          <w:i/>
        </w:rPr>
        <w:t>‘</w:t>
      </w:r>
      <w:r w:rsidR="00A05157" w:rsidRPr="009303A1">
        <w:rPr>
          <w:i/>
        </w:rPr>
        <w:t xml:space="preserve">for the treatment of </w:t>
      </w:r>
      <w:proofErr w:type="spellStart"/>
      <w:r w:rsidR="00A05157" w:rsidRPr="009303A1">
        <w:rPr>
          <w:i/>
        </w:rPr>
        <w:t>erythropoietic</w:t>
      </w:r>
      <w:proofErr w:type="spellEnd"/>
      <w:r w:rsidR="00A05157" w:rsidRPr="009303A1">
        <w:rPr>
          <w:i/>
        </w:rPr>
        <w:t xml:space="preserve"> </w:t>
      </w:r>
      <w:proofErr w:type="spellStart"/>
      <w:r w:rsidR="00A05157" w:rsidRPr="009303A1">
        <w:rPr>
          <w:i/>
        </w:rPr>
        <w:t>porphyrias</w:t>
      </w:r>
      <w:proofErr w:type="spellEnd"/>
      <w:r w:rsidR="009303A1" w:rsidRPr="009303A1">
        <w:rPr>
          <w:i/>
        </w:rPr>
        <w:t>’</w:t>
      </w:r>
      <w:r w:rsidRPr="00A05157">
        <w:t xml:space="preserve">, with an </w:t>
      </w:r>
      <w:r w:rsidR="009303A1">
        <w:t>extension 1 July </w:t>
      </w:r>
      <w:r w:rsidRPr="00A05157">
        <w:t>2019</w:t>
      </w:r>
      <w:r w:rsidR="00A05157" w:rsidRPr="00A05157">
        <w:t>; and p</w:t>
      </w:r>
      <w:r w:rsidRPr="00A05157">
        <w:t xml:space="preserve">riority </w:t>
      </w:r>
      <w:r w:rsidR="00A05157" w:rsidRPr="00A05157">
        <w:t xml:space="preserve">review </w:t>
      </w:r>
      <w:r w:rsidRPr="00A05157">
        <w:t>designation</w:t>
      </w:r>
      <w:r w:rsidR="009303A1">
        <w:t>;</w:t>
      </w:r>
      <w:r w:rsidR="009303A1">
        <w:rPr>
          <w:rStyle w:val="FootnoteReference"/>
        </w:rPr>
        <w:footnoteReference w:id="4"/>
      </w:r>
      <w:r w:rsidRPr="00A05157">
        <w:t xml:space="preserve"> on 23 October 2019</w:t>
      </w:r>
      <w:r w:rsidR="00A05157" w:rsidRPr="00A05157">
        <w:t xml:space="preserve"> for </w:t>
      </w:r>
      <w:r w:rsidR="009303A1" w:rsidRPr="009303A1">
        <w:rPr>
          <w:i/>
        </w:rPr>
        <w:t>‘</w:t>
      </w:r>
      <w:r w:rsidR="00A05157" w:rsidRPr="009303A1">
        <w:rPr>
          <w:i/>
        </w:rPr>
        <w:t>the prevention of</w:t>
      </w:r>
      <w:r w:rsidR="00D5306A">
        <w:rPr>
          <w:i/>
        </w:rPr>
        <w:t xml:space="preserve"> </w:t>
      </w:r>
      <w:proofErr w:type="spellStart"/>
      <w:r w:rsidR="00A05157" w:rsidRPr="009303A1">
        <w:rPr>
          <w:i/>
        </w:rPr>
        <w:t>phototoxicity</w:t>
      </w:r>
      <w:proofErr w:type="spellEnd"/>
      <w:r w:rsidR="00A05157" w:rsidRPr="009303A1">
        <w:rPr>
          <w:i/>
        </w:rPr>
        <w:t xml:space="preserve"> in adult patients with </w:t>
      </w:r>
      <w:proofErr w:type="spellStart"/>
      <w:r w:rsidR="00A05157" w:rsidRPr="009303A1">
        <w:rPr>
          <w:i/>
        </w:rPr>
        <w:t>erythropoietic</w:t>
      </w:r>
      <w:proofErr w:type="spellEnd"/>
      <w:r w:rsidR="00A05157" w:rsidRPr="009303A1">
        <w:rPr>
          <w:i/>
        </w:rPr>
        <w:t xml:space="preserve"> </w:t>
      </w:r>
      <w:proofErr w:type="spellStart"/>
      <w:r w:rsidR="00A05157" w:rsidRPr="009303A1">
        <w:rPr>
          <w:i/>
        </w:rPr>
        <w:t>protoporphyria</w:t>
      </w:r>
      <w:proofErr w:type="spellEnd"/>
      <w:r w:rsidR="009303A1" w:rsidRPr="009303A1">
        <w:rPr>
          <w:i/>
        </w:rPr>
        <w:t>’</w:t>
      </w:r>
      <w:r w:rsidR="00A05157" w:rsidRPr="00A05157">
        <w:t>.</w:t>
      </w:r>
    </w:p>
    <w:p w14:paraId="57C9A6ED" w14:textId="279FBFDA" w:rsidR="007813E2" w:rsidRDefault="00006FAB" w:rsidP="00006FAB">
      <w:r>
        <w:t xml:space="preserve">At the time the TGA considered this application, </w:t>
      </w:r>
      <w:proofErr w:type="spellStart"/>
      <w:r w:rsidR="007813E2">
        <w:t>afamelanotide</w:t>
      </w:r>
      <w:proofErr w:type="spellEnd"/>
      <w:r w:rsidR="007813E2">
        <w:t xml:space="preserve"> had been registered for use in European Union (EU) registered by the </w:t>
      </w:r>
      <w:r w:rsidR="009303A1">
        <w:t>EMA</w:t>
      </w:r>
      <w:r w:rsidR="007813E2">
        <w:t xml:space="preserve"> in </w:t>
      </w:r>
      <w:r w:rsidR="003C1165">
        <w:t xml:space="preserve">December </w:t>
      </w:r>
      <w:r w:rsidR="007813E2">
        <w:t>2014 for the same indication as proposed with this submission:</w:t>
      </w:r>
    </w:p>
    <w:p w14:paraId="6E15B72C" w14:textId="6D8CF5CF" w:rsidR="007813E2" w:rsidRPr="007813E2" w:rsidRDefault="00811504" w:rsidP="007813E2">
      <w:pPr>
        <w:ind w:left="720"/>
        <w:rPr>
          <w:i/>
        </w:rPr>
      </w:pPr>
      <w:proofErr w:type="spellStart"/>
      <w:r>
        <w:rPr>
          <w:i/>
        </w:rPr>
        <w:t>Scenesse</w:t>
      </w:r>
      <w:proofErr w:type="spellEnd"/>
      <w:r w:rsidR="007813E2" w:rsidRPr="00A44D54">
        <w:rPr>
          <w:i/>
        </w:rPr>
        <w:t xml:space="preserve"> is indicated for prevention of </w:t>
      </w:r>
      <w:proofErr w:type="spellStart"/>
      <w:r w:rsidR="007813E2" w:rsidRPr="00A44D54">
        <w:rPr>
          <w:i/>
        </w:rPr>
        <w:t>phototoxicity</w:t>
      </w:r>
      <w:proofErr w:type="spellEnd"/>
      <w:r w:rsidR="007813E2" w:rsidRPr="00A44D54">
        <w:rPr>
          <w:i/>
        </w:rPr>
        <w:t xml:space="preserve"> in adult patients with </w:t>
      </w:r>
      <w:proofErr w:type="spellStart"/>
      <w:r w:rsidR="007813E2" w:rsidRPr="00A44D54">
        <w:rPr>
          <w:i/>
        </w:rPr>
        <w:t>erythropoietic</w:t>
      </w:r>
      <w:proofErr w:type="spellEnd"/>
      <w:r w:rsidR="007813E2" w:rsidRPr="00A44D54">
        <w:rPr>
          <w:i/>
        </w:rPr>
        <w:t xml:space="preserve"> </w:t>
      </w:r>
      <w:proofErr w:type="spellStart"/>
      <w:r w:rsidR="007813E2" w:rsidRPr="00A44D54">
        <w:rPr>
          <w:i/>
        </w:rPr>
        <w:t>protoporphyria</w:t>
      </w:r>
      <w:proofErr w:type="spellEnd"/>
      <w:r w:rsidR="007813E2" w:rsidRPr="00A44D54">
        <w:rPr>
          <w:i/>
        </w:rPr>
        <w:t xml:space="preserve"> (EPP).</w:t>
      </w:r>
    </w:p>
    <w:p w14:paraId="52211476" w14:textId="77777777" w:rsidR="007813E2" w:rsidRDefault="007813E2" w:rsidP="00006FAB">
      <w:proofErr w:type="spellStart"/>
      <w:r>
        <w:t>Afamelanotide</w:t>
      </w:r>
      <w:proofErr w:type="spellEnd"/>
      <w:r>
        <w:t xml:space="preserve"> was registered by the United States (US) Food and Drug Administration (FDA) in October 2019, with the following indication:</w:t>
      </w:r>
    </w:p>
    <w:p w14:paraId="5A1AC7E9" w14:textId="3B4E4835" w:rsidR="007813E2" w:rsidRPr="007813E2" w:rsidRDefault="00811504" w:rsidP="007813E2">
      <w:pPr>
        <w:ind w:left="720"/>
        <w:rPr>
          <w:i/>
        </w:rPr>
      </w:pPr>
      <w:proofErr w:type="spellStart"/>
      <w:r>
        <w:rPr>
          <w:i/>
        </w:rPr>
        <w:t>Scenesse</w:t>
      </w:r>
      <w:proofErr w:type="spellEnd"/>
      <w:r w:rsidR="0011168C">
        <w:rPr>
          <w:i/>
        </w:rPr>
        <w:t xml:space="preserve"> </w:t>
      </w:r>
      <w:r w:rsidR="007813E2" w:rsidRPr="007813E2">
        <w:rPr>
          <w:i/>
        </w:rPr>
        <w:t xml:space="preserve">is indicated to increase pain free light exposure in adult patients with a history of phototoxic reactions from </w:t>
      </w:r>
      <w:proofErr w:type="spellStart"/>
      <w:r w:rsidR="007813E2" w:rsidRPr="007813E2">
        <w:rPr>
          <w:i/>
        </w:rPr>
        <w:t>erythropoietic</w:t>
      </w:r>
      <w:proofErr w:type="spellEnd"/>
      <w:r w:rsidR="007813E2" w:rsidRPr="007813E2">
        <w:rPr>
          <w:i/>
        </w:rPr>
        <w:t xml:space="preserve"> </w:t>
      </w:r>
      <w:proofErr w:type="spellStart"/>
      <w:r w:rsidR="007813E2" w:rsidRPr="007813E2">
        <w:rPr>
          <w:i/>
        </w:rPr>
        <w:t>protoporphyria</w:t>
      </w:r>
      <w:proofErr w:type="spellEnd"/>
      <w:r w:rsidR="007813E2" w:rsidRPr="007813E2">
        <w:rPr>
          <w:i/>
        </w:rPr>
        <w:t xml:space="preserve"> (EPP)</w:t>
      </w:r>
    </w:p>
    <w:p w14:paraId="507415B4" w14:textId="1D615EE5" w:rsidR="008E7846" w:rsidRDefault="008E7846" w:rsidP="00940A89">
      <w:pPr>
        <w:pStyle w:val="Heading3"/>
      </w:pPr>
      <w:bookmarkStart w:id="21" w:name="_Toc66436564"/>
      <w:r>
        <w:t>Product Information</w:t>
      </w:r>
      <w:bookmarkEnd w:id="19"/>
      <w:bookmarkEnd w:id="20"/>
      <w:bookmarkEnd w:id="21"/>
    </w:p>
    <w:p w14:paraId="10716EFD" w14:textId="42EFAF8E"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6ABB9628" w14:textId="77777777" w:rsidR="00500337" w:rsidRDefault="00500337" w:rsidP="00500337">
      <w:pPr>
        <w:pStyle w:val="Heading2"/>
      </w:pPr>
      <w:bookmarkStart w:id="24" w:name="_Toc504480011"/>
      <w:bookmarkStart w:id="25" w:name="_Toc66436565"/>
      <w:r>
        <w:lastRenderedPageBreak/>
        <w:t>II. Registration timeline</w:t>
      </w:r>
      <w:bookmarkEnd w:id="24"/>
      <w:bookmarkEnd w:id="25"/>
    </w:p>
    <w:p w14:paraId="397C69DA" w14:textId="77777777" w:rsidR="00500337" w:rsidRDefault="00500337" w:rsidP="00A522AE">
      <w:r>
        <w:t xml:space="preserve">The following table captures the key steps and dates for this application and which are detailed and discussed in this </w:t>
      </w:r>
      <w:proofErr w:type="spellStart"/>
      <w:r>
        <w:t>AusPAR</w:t>
      </w:r>
      <w:proofErr w:type="spellEnd"/>
      <w:r>
        <w:t>.</w:t>
      </w:r>
    </w:p>
    <w:p w14:paraId="74F5AA8E" w14:textId="72718F56" w:rsidR="00A522AE" w:rsidRDefault="00A522AE" w:rsidP="00A522AE">
      <w:pPr>
        <w:pStyle w:val="TableTitle"/>
      </w:pPr>
      <w:r>
        <w:t xml:space="preserve">Table </w:t>
      </w:r>
      <w:r w:rsidR="00F92033">
        <w:fldChar w:fldCharType="begin"/>
      </w:r>
      <w:r w:rsidR="00F92033">
        <w:instrText xml:space="preserve"> SEQ Table \* ARABIC </w:instrText>
      </w:r>
      <w:r w:rsidR="00F92033">
        <w:fldChar w:fldCharType="separate"/>
      </w:r>
      <w:r w:rsidR="00B668C9">
        <w:rPr>
          <w:noProof/>
        </w:rPr>
        <w:t>1</w:t>
      </w:r>
      <w:r w:rsidR="00F92033">
        <w:rPr>
          <w:noProof/>
        </w:rPr>
        <w:fldChar w:fldCharType="end"/>
      </w:r>
      <w:r>
        <w:t xml:space="preserve">: </w:t>
      </w:r>
      <w:r w:rsidRPr="006A58A8">
        <w:t>Timeline for Submission PM-</w:t>
      </w:r>
      <w:r>
        <w:t>2019-05977-1-6</w:t>
      </w:r>
    </w:p>
    <w:tbl>
      <w:tblPr>
        <w:tblStyle w:val="TableTGAblue"/>
        <w:tblW w:w="0" w:type="auto"/>
        <w:tblLook w:val="04A0" w:firstRow="1" w:lastRow="0" w:firstColumn="1" w:lastColumn="0" w:noHBand="0" w:noVBand="1"/>
      </w:tblPr>
      <w:tblGrid>
        <w:gridCol w:w="4254"/>
        <w:gridCol w:w="4240"/>
      </w:tblGrid>
      <w:tr w:rsidR="00500337" w14:paraId="3454A711"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0F9D0C0A" w14:textId="77777777" w:rsidR="00500337" w:rsidRDefault="00500337" w:rsidP="00500337">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16E39841" w14:textId="77777777" w:rsidR="00500337" w:rsidRDefault="00500337" w:rsidP="00500337">
            <w:pPr>
              <w:ind w:left="0" w:right="0"/>
            </w:pPr>
            <w:r>
              <w:t>Date</w:t>
            </w:r>
          </w:p>
        </w:tc>
      </w:tr>
      <w:tr w:rsidR="00500337" w14:paraId="1DC254D3" w14:textId="77777777" w:rsidTr="00A522AE">
        <w:trPr>
          <w:cantSplit/>
        </w:trPr>
        <w:tc>
          <w:tcPr>
            <w:tcW w:w="4360" w:type="dxa"/>
            <w:tcBorders>
              <w:top w:val="single" w:sz="4" w:space="0" w:color="auto"/>
            </w:tcBorders>
          </w:tcPr>
          <w:p w14:paraId="2E9A0C85" w14:textId="77777777" w:rsidR="00500337" w:rsidRDefault="00500337" w:rsidP="00A522AE">
            <w:pPr>
              <w:ind w:left="0" w:right="0"/>
            </w:pPr>
            <w:r>
              <w:t xml:space="preserve">Positive </w:t>
            </w:r>
            <w:r w:rsidR="00A522AE">
              <w:t>Orphan designation</w:t>
            </w:r>
          </w:p>
          <w:p w14:paraId="66DF1FE2" w14:textId="77777777" w:rsidR="00A522AE" w:rsidRDefault="00A522AE" w:rsidP="00A522AE">
            <w:pPr>
              <w:ind w:left="0" w:right="0"/>
            </w:pPr>
            <w:r>
              <w:t>Positive priority review designation</w:t>
            </w:r>
          </w:p>
        </w:tc>
        <w:tc>
          <w:tcPr>
            <w:tcW w:w="4360" w:type="dxa"/>
            <w:tcBorders>
              <w:top w:val="single" w:sz="4" w:space="0" w:color="auto"/>
            </w:tcBorders>
          </w:tcPr>
          <w:p w14:paraId="18D70B94" w14:textId="77777777" w:rsidR="00500337" w:rsidRDefault="00A522AE" w:rsidP="00500337">
            <w:pPr>
              <w:ind w:left="0" w:right="0"/>
            </w:pPr>
            <w:r>
              <w:t>25 January 2019, extended 1 July 2019</w:t>
            </w:r>
          </w:p>
          <w:p w14:paraId="0CE3E484" w14:textId="77777777" w:rsidR="00A522AE" w:rsidRDefault="00A522AE" w:rsidP="00500337">
            <w:pPr>
              <w:ind w:left="0" w:right="0"/>
            </w:pPr>
            <w:r>
              <w:t>23 October 2019</w:t>
            </w:r>
          </w:p>
        </w:tc>
      </w:tr>
      <w:tr w:rsidR="00500337" w14:paraId="46274759" w14:textId="77777777" w:rsidTr="00500337">
        <w:tc>
          <w:tcPr>
            <w:tcW w:w="4360" w:type="dxa"/>
          </w:tcPr>
          <w:p w14:paraId="433CF752" w14:textId="77777777" w:rsidR="00500337" w:rsidRDefault="00500337" w:rsidP="00500337">
            <w:pPr>
              <w:ind w:left="0" w:right="0"/>
            </w:pPr>
            <w:r>
              <w:t>Submission dossier accepted and first round evaluation commenced</w:t>
            </w:r>
          </w:p>
        </w:tc>
        <w:tc>
          <w:tcPr>
            <w:tcW w:w="4360" w:type="dxa"/>
          </w:tcPr>
          <w:p w14:paraId="14E8E85F" w14:textId="77777777" w:rsidR="00500337" w:rsidRDefault="007813E2" w:rsidP="00500337">
            <w:pPr>
              <w:ind w:left="0" w:right="0"/>
            </w:pPr>
            <w:r>
              <w:t>31 January 2020</w:t>
            </w:r>
          </w:p>
        </w:tc>
      </w:tr>
      <w:tr w:rsidR="00500337" w14:paraId="7E523541" w14:textId="77777777" w:rsidTr="00500337">
        <w:tc>
          <w:tcPr>
            <w:tcW w:w="4360" w:type="dxa"/>
          </w:tcPr>
          <w:p w14:paraId="6BE8FC11" w14:textId="77777777" w:rsidR="00500337" w:rsidRDefault="00500337" w:rsidP="00500337">
            <w:pPr>
              <w:ind w:left="0" w:right="0"/>
            </w:pPr>
            <w:r>
              <w:t>Evaluation completed</w:t>
            </w:r>
          </w:p>
        </w:tc>
        <w:tc>
          <w:tcPr>
            <w:tcW w:w="4360" w:type="dxa"/>
          </w:tcPr>
          <w:p w14:paraId="641B171A" w14:textId="77777777" w:rsidR="00500337" w:rsidRDefault="007813E2" w:rsidP="00500337">
            <w:pPr>
              <w:ind w:left="0" w:right="0"/>
            </w:pPr>
            <w:r>
              <w:t>26 May 2020</w:t>
            </w:r>
          </w:p>
        </w:tc>
      </w:tr>
      <w:tr w:rsidR="00500337" w14:paraId="2BD24FC4" w14:textId="77777777" w:rsidTr="00500337">
        <w:tc>
          <w:tcPr>
            <w:tcW w:w="4360" w:type="dxa"/>
          </w:tcPr>
          <w:p w14:paraId="32D205A3" w14:textId="77777777" w:rsidR="00500337" w:rsidRPr="007813E2" w:rsidRDefault="00324E45" w:rsidP="007813E2">
            <w:pPr>
              <w:ind w:left="0"/>
            </w:pPr>
            <w:r w:rsidRPr="007813E2">
              <w:t>Delegate’s Overall benefit-risk assessment and reques</w:t>
            </w:r>
            <w:r w:rsidR="007813E2" w:rsidRPr="007813E2">
              <w:t>t for Advisory Committee advice</w:t>
            </w:r>
          </w:p>
        </w:tc>
        <w:tc>
          <w:tcPr>
            <w:tcW w:w="4360" w:type="dxa"/>
          </w:tcPr>
          <w:p w14:paraId="3E2EFDFB" w14:textId="77777777" w:rsidR="00500337" w:rsidRDefault="007813E2" w:rsidP="00500337">
            <w:pPr>
              <w:ind w:left="0" w:right="0"/>
            </w:pPr>
            <w:r>
              <w:t>7 July 2020</w:t>
            </w:r>
          </w:p>
        </w:tc>
      </w:tr>
      <w:tr w:rsidR="00500337" w14:paraId="2D8FCFB8" w14:textId="77777777" w:rsidTr="00500337">
        <w:tc>
          <w:tcPr>
            <w:tcW w:w="4360" w:type="dxa"/>
          </w:tcPr>
          <w:p w14:paraId="3E4AD3EA" w14:textId="77777777" w:rsidR="00500337" w:rsidRDefault="00500337" w:rsidP="00500337">
            <w:pPr>
              <w:ind w:left="0" w:right="0"/>
            </w:pPr>
            <w:r>
              <w:t>Sponsor’s pre-Advisory Committee response</w:t>
            </w:r>
          </w:p>
        </w:tc>
        <w:tc>
          <w:tcPr>
            <w:tcW w:w="4360" w:type="dxa"/>
          </w:tcPr>
          <w:p w14:paraId="57B09D4F" w14:textId="77777777" w:rsidR="00500337" w:rsidRDefault="00FF0F84" w:rsidP="00500337">
            <w:pPr>
              <w:ind w:left="0" w:right="0"/>
            </w:pPr>
            <w:r>
              <w:t>20 July 2020</w:t>
            </w:r>
          </w:p>
        </w:tc>
      </w:tr>
      <w:tr w:rsidR="00500337" w14:paraId="37EA6751" w14:textId="77777777" w:rsidTr="00500337">
        <w:tc>
          <w:tcPr>
            <w:tcW w:w="4360" w:type="dxa"/>
          </w:tcPr>
          <w:p w14:paraId="01208E87" w14:textId="77777777" w:rsidR="00500337" w:rsidRDefault="00500337" w:rsidP="00500337">
            <w:pPr>
              <w:ind w:left="0" w:right="0"/>
            </w:pPr>
            <w:r>
              <w:t>Advisory Committee meeting</w:t>
            </w:r>
          </w:p>
        </w:tc>
        <w:tc>
          <w:tcPr>
            <w:tcW w:w="4360" w:type="dxa"/>
          </w:tcPr>
          <w:p w14:paraId="59088BDC" w14:textId="77777777" w:rsidR="00500337" w:rsidRDefault="007813E2" w:rsidP="00500337">
            <w:pPr>
              <w:ind w:left="0" w:right="0"/>
            </w:pPr>
            <w:r>
              <w:t>6/7 August 2020</w:t>
            </w:r>
          </w:p>
        </w:tc>
      </w:tr>
      <w:tr w:rsidR="007813E2" w14:paraId="7A61BDB6" w14:textId="77777777" w:rsidTr="00500337">
        <w:tc>
          <w:tcPr>
            <w:tcW w:w="4360" w:type="dxa"/>
          </w:tcPr>
          <w:p w14:paraId="368A5F0D" w14:textId="77777777" w:rsidR="007813E2" w:rsidRDefault="007813E2" w:rsidP="007813E2">
            <w:pPr>
              <w:ind w:left="0" w:right="0"/>
            </w:pPr>
            <w:r>
              <w:t>Registration decision (Outcome)</w:t>
            </w:r>
          </w:p>
        </w:tc>
        <w:tc>
          <w:tcPr>
            <w:tcW w:w="4360" w:type="dxa"/>
          </w:tcPr>
          <w:p w14:paraId="756D3A47" w14:textId="77777777" w:rsidR="007813E2" w:rsidRDefault="007813E2" w:rsidP="007813E2">
            <w:pPr>
              <w:ind w:left="0" w:right="0"/>
            </w:pPr>
            <w:r>
              <w:t>26 October 2020</w:t>
            </w:r>
          </w:p>
        </w:tc>
      </w:tr>
      <w:tr w:rsidR="007813E2" w14:paraId="35B5FA1E" w14:textId="77777777" w:rsidTr="00500337">
        <w:tc>
          <w:tcPr>
            <w:tcW w:w="4360" w:type="dxa"/>
          </w:tcPr>
          <w:p w14:paraId="12B7DC24" w14:textId="77777777" w:rsidR="007813E2" w:rsidRDefault="007813E2" w:rsidP="007813E2">
            <w:pPr>
              <w:ind w:left="0" w:right="0"/>
            </w:pPr>
            <w:r>
              <w:t>Completion of administrative activities and registration on the ARTG</w:t>
            </w:r>
          </w:p>
        </w:tc>
        <w:tc>
          <w:tcPr>
            <w:tcW w:w="4360" w:type="dxa"/>
          </w:tcPr>
          <w:p w14:paraId="32850FA5" w14:textId="77777777" w:rsidR="007813E2" w:rsidRDefault="007813E2" w:rsidP="007813E2">
            <w:pPr>
              <w:ind w:left="0" w:right="0"/>
            </w:pPr>
            <w:r>
              <w:t>18 November 2020</w:t>
            </w:r>
          </w:p>
        </w:tc>
      </w:tr>
      <w:tr w:rsidR="007813E2" w14:paraId="617EAB3D" w14:textId="77777777" w:rsidTr="00500337">
        <w:tc>
          <w:tcPr>
            <w:tcW w:w="4360" w:type="dxa"/>
          </w:tcPr>
          <w:p w14:paraId="21492E30" w14:textId="77777777" w:rsidR="007813E2" w:rsidRDefault="007813E2" w:rsidP="007813E2">
            <w:pPr>
              <w:ind w:left="0" w:right="0"/>
            </w:pPr>
            <w:r>
              <w:t>Number of working days from submission dossier acceptance to registration decision*</w:t>
            </w:r>
          </w:p>
        </w:tc>
        <w:tc>
          <w:tcPr>
            <w:tcW w:w="4360" w:type="dxa"/>
          </w:tcPr>
          <w:p w14:paraId="0F7DA063" w14:textId="77777777" w:rsidR="007813E2" w:rsidRDefault="007813E2" w:rsidP="007813E2">
            <w:pPr>
              <w:ind w:left="0" w:right="0"/>
            </w:pPr>
            <w:r>
              <w:t>144 Days</w:t>
            </w:r>
          </w:p>
        </w:tc>
      </w:tr>
    </w:tbl>
    <w:p w14:paraId="537C229E" w14:textId="77777777" w:rsidR="00500337" w:rsidRDefault="00500337" w:rsidP="00500337">
      <w:pPr>
        <w:pStyle w:val="TableDescription"/>
      </w:pPr>
      <w:r>
        <w:t>*Target timeframe for priority applications is 150 working days from acceptance for evaluation to the decision.</w:t>
      </w:r>
    </w:p>
    <w:p w14:paraId="5C48F0F9" w14:textId="77777777" w:rsidR="008E7846" w:rsidRPr="00792A32" w:rsidRDefault="00456765" w:rsidP="008E7846">
      <w:pPr>
        <w:pStyle w:val="Heading2"/>
      </w:pPr>
      <w:bookmarkStart w:id="26" w:name="_Toc196046504"/>
      <w:bookmarkStart w:id="27" w:name="_Toc247691527"/>
      <w:bookmarkStart w:id="28" w:name="_Toc314842510"/>
      <w:bookmarkStart w:id="29" w:name="_Toc66436566"/>
      <w:bookmarkStart w:id="30" w:name="_Toc163441390"/>
      <w:bookmarkEnd w:id="22"/>
      <w:bookmarkEnd w:id="23"/>
      <w:bookmarkEnd w:id="2"/>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29"/>
    </w:p>
    <w:p w14:paraId="755157AC" w14:textId="77777777" w:rsidR="00006FAB" w:rsidRDefault="00006FAB" w:rsidP="00006FAB">
      <w:bookmarkStart w:id="31" w:name="_Toc247691528"/>
      <w:r>
        <w:t>The submission was summarised in the following Delegate’s overview and recommendations.</w:t>
      </w:r>
    </w:p>
    <w:p w14:paraId="4C9D4BCF" w14:textId="77777777" w:rsidR="00006FAB" w:rsidRDefault="00006FAB" w:rsidP="00006FAB">
      <w:r>
        <w:t>TGA guidance at pre-submission meetings is nonbinding and without prejudice.</w:t>
      </w:r>
    </w:p>
    <w:p w14:paraId="49721472" w14:textId="77777777" w:rsidR="008E7846" w:rsidRDefault="008E7846" w:rsidP="008E7846">
      <w:pPr>
        <w:pStyle w:val="Heading3"/>
      </w:pPr>
      <w:bookmarkStart w:id="32" w:name="_Toc314842511"/>
      <w:bookmarkStart w:id="33" w:name="_Toc66436567"/>
      <w:r>
        <w:t>Quality</w:t>
      </w:r>
      <w:bookmarkEnd w:id="31"/>
      <w:bookmarkEnd w:id="32"/>
      <w:bookmarkEnd w:id="33"/>
    </w:p>
    <w:p w14:paraId="388747DC" w14:textId="77777777" w:rsidR="000F6287" w:rsidRPr="000F6287" w:rsidRDefault="000F6287" w:rsidP="000F6287">
      <w:bookmarkStart w:id="34" w:name="_Toc314842512"/>
      <w:r>
        <w:t>The quality evaluator has noted that:</w:t>
      </w:r>
    </w:p>
    <w:p w14:paraId="38DC92B9" w14:textId="77777777" w:rsidR="000F6287" w:rsidRPr="00505900" w:rsidRDefault="000F6287" w:rsidP="000F6287">
      <w:pPr>
        <w:pStyle w:val="ListBullet"/>
      </w:pPr>
      <w:r w:rsidRPr="00505900">
        <w:t>The proposed trade name is acce</w:t>
      </w:r>
      <w:r w:rsidR="009303A1">
        <w:t>ptable from a pharmaceutical chemistry perspective.</w:t>
      </w:r>
    </w:p>
    <w:p w14:paraId="00F587D8" w14:textId="77777777" w:rsidR="000F6287" w:rsidRPr="00505900" w:rsidRDefault="000F6287" w:rsidP="000F6287">
      <w:pPr>
        <w:pStyle w:val="ListBullet"/>
      </w:pPr>
      <w:r>
        <w:lastRenderedPageBreak/>
        <w:t>The public access reports</w:t>
      </w:r>
      <w:r w:rsidRPr="00505900">
        <w:t xml:space="preserve"> for the proposed products have been reviewed and require amending once evidence of </w:t>
      </w:r>
      <w:r>
        <w:t>Good Manufacturing Practice (</w:t>
      </w:r>
      <w:r w:rsidRPr="00505900">
        <w:t>GMP</w:t>
      </w:r>
      <w:r>
        <w:t>)</w:t>
      </w:r>
      <w:r w:rsidR="001C62AD">
        <w:t xml:space="preserve"> clearance has been provided.</w:t>
      </w:r>
      <w:bookmarkStart w:id="35" w:name="_Ref61511067"/>
      <w:r w:rsidR="00023C84">
        <w:rPr>
          <w:rStyle w:val="FootnoteReference"/>
        </w:rPr>
        <w:footnoteReference w:id="5"/>
      </w:r>
      <w:bookmarkEnd w:id="35"/>
    </w:p>
    <w:p w14:paraId="6BBBA83D" w14:textId="4891D1A9" w:rsidR="000F6287" w:rsidRPr="00505900" w:rsidRDefault="000F6287" w:rsidP="001C62AD">
      <w:pPr>
        <w:pStyle w:val="ListBullet"/>
      </w:pPr>
      <w:r w:rsidRPr="00505900">
        <w:t>The finished product spec</w:t>
      </w:r>
      <w:r w:rsidR="001C62AD">
        <w:t>ifications for the products</w:t>
      </w:r>
      <w:r w:rsidR="00AB0C3A">
        <w:t xml:space="preserve"> are acceptable.</w:t>
      </w:r>
    </w:p>
    <w:p w14:paraId="19320EEB" w14:textId="77777777" w:rsidR="000F6287" w:rsidRPr="00505900" w:rsidRDefault="001C62AD" w:rsidP="001C62AD">
      <w:pPr>
        <w:pStyle w:val="ListBullet"/>
      </w:pPr>
      <w:r>
        <w:t xml:space="preserve">A </w:t>
      </w:r>
      <w:proofErr w:type="gramStart"/>
      <w:r>
        <w:t>shelf-life</w:t>
      </w:r>
      <w:proofErr w:type="gramEnd"/>
      <w:r>
        <w:t xml:space="preserve"> of 48 months at 2 to</w:t>
      </w:r>
      <w:r w:rsidR="000F6287" w:rsidRPr="00505900">
        <w:t xml:space="preserve"> 8°C with the condition ‘Protect </w:t>
      </w:r>
      <w:r>
        <w:t>from light’ has been assigned.</w:t>
      </w:r>
    </w:p>
    <w:p w14:paraId="3073106F" w14:textId="77777777" w:rsidR="000F6287" w:rsidRPr="00505900" w:rsidRDefault="000F6287" w:rsidP="001C62AD">
      <w:pPr>
        <w:pStyle w:val="ListBullet"/>
      </w:pPr>
      <w:r w:rsidRPr="00505900">
        <w:t xml:space="preserve">GMP clearance for the </w:t>
      </w:r>
      <w:r w:rsidR="001C62AD">
        <w:t>ac</w:t>
      </w:r>
      <w:r w:rsidR="00E23E03">
        <w:t>tive pharmaceutical ingredient</w:t>
      </w:r>
      <w:r w:rsidRPr="00505900">
        <w:t xml:space="preserve"> manufacturer </w:t>
      </w:r>
      <w:r w:rsidR="001C62AD">
        <w:t>[information redacted] expires in August 2020.</w:t>
      </w:r>
    </w:p>
    <w:p w14:paraId="494A3B9B" w14:textId="6AC81BD3" w:rsidR="000F6287" w:rsidRPr="00505900" w:rsidRDefault="000F6287" w:rsidP="001C62AD">
      <w:pPr>
        <w:pStyle w:val="ListBullet"/>
      </w:pPr>
      <w:r w:rsidRPr="00505900">
        <w:t xml:space="preserve">The </w:t>
      </w:r>
      <w:r w:rsidR="001C62AD">
        <w:t>[information redacted]</w:t>
      </w:r>
      <w:r w:rsidRPr="00505900">
        <w:t xml:space="preserve"> site that performs the step .</w:t>
      </w:r>
      <w:r w:rsidR="008D3077">
        <w:t>does not hold GMP clearance. GMP clearance for this site is outstanding.</w:t>
      </w:r>
      <w:r w:rsidR="008D3077">
        <w:rPr>
          <w:rStyle w:val="FootnoteReference"/>
        </w:rPr>
        <w:footnoteReference w:id="6"/>
      </w:r>
    </w:p>
    <w:p w14:paraId="3FDD7583" w14:textId="14E90441" w:rsidR="000F6287" w:rsidRPr="00505900" w:rsidRDefault="000F6287" w:rsidP="001C62AD">
      <w:pPr>
        <w:pStyle w:val="ListBullet"/>
      </w:pPr>
      <w:r w:rsidRPr="00505900">
        <w:t xml:space="preserve">The finished product manufacturing site </w:t>
      </w:r>
      <w:r w:rsidR="001C62AD">
        <w:t>[information redacted]</w:t>
      </w:r>
      <w:r w:rsidRPr="00505900">
        <w:t xml:space="preserve"> that performs the finished product manufacturing steps: manufacture of dosage form, packaging and labelling, testing chemical and physical, testing sterility and testing microbial</w:t>
      </w:r>
      <w:r w:rsidR="007574F3">
        <w:t xml:space="preserve">, </w:t>
      </w:r>
      <w:r w:rsidR="009B4508">
        <w:t>does</w:t>
      </w:r>
      <w:r w:rsidR="008D3077">
        <w:t xml:space="preserve"> not hold GMP clearance. GMP clearance for this site is outstanding.</w:t>
      </w:r>
      <w:r w:rsidR="008D3077">
        <w:rPr>
          <w:rStyle w:val="FootnoteReference"/>
        </w:rPr>
        <w:footnoteReference w:id="7"/>
      </w:r>
    </w:p>
    <w:p w14:paraId="2DF1F204" w14:textId="77777777" w:rsidR="000F6287" w:rsidRPr="00505900" w:rsidRDefault="000F6287" w:rsidP="001C62AD">
      <w:pPr>
        <w:pStyle w:val="ListBullet"/>
      </w:pPr>
      <w:r w:rsidRPr="00505900">
        <w:t xml:space="preserve">The </w:t>
      </w:r>
      <w:r w:rsidR="001C62AD">
        <w:t>proposed PI is acceptable from a quality/pharmaceutical chemistry perspective.</w:t>
      </w:r>
    </w:p>
    <w:p w14:paraId="35DE4B9C" w14:textId="27AF6719" w:rsidR="000F6287" w:rsidRPr="00505900" w:rsidRDefault="000F6287" w:rsidP="001C62AD">
      <w:pPr>
        <w:pStyle w:val="ListBullet"/>
      </w:pPr>
      <w:r w:rsidRPr="00505900">
        <w:t>Final mock-ups labels</w:t>
      </w:r>
      <w:r w:rsidR="001C62AD">
        <w:t xml:space="preserve"> </w:t>
      </w:r>
      <w:proofErr w:type="gramStart"/>
      <w:r w:rsidR="001C62AD">
        <w:t>have been provided</w:t>
      </w:r>
      <w:proofErr w:type="gramEnd"/>
      <w:r w:rsidRPr="00505900">
        <w:t xml:space="preserve"> and are acceptable from a </w:t>
      </w:r>
      <w:r w:rsidR="001C62AD">
        <w:t>quality/pharmaceutical chemistry perspective.</w:t>
      </w:r>
    </w:p>
    <w:p w14:paraId="2C077671" w14:textId="77777777" w:rsidR="000F6287" w:rsidRPr="001C62AD" w:rsidRDefault="000F6287" w:rsidP="001C62AD">
      <w:pPr>
        <w:pStyle w:val="ListBullet"/>
      </w:pPr>
      <w:r w:rsidRPr="00505900">
        <w:t xml:space="preserve">The Certified Product Details (CPD) for the product in accordance with Guidance 7 of the </w:t>
      </w:r>
      <w:r w:rsidRPr="00505900">
        <w:rPr>
          <w:i/>
        </w:rPr>
        <w:t>Australian Regulatory Guidelines for Prescription Medicines</w:t>
      </w:r>
      <w:r w:rsidRPr="00505900">
        <w:t xml:space="preserve"> </w:t>
      </w:r>
      <w:proofErr w:type="gramStart"/>
      <w:r w:rsidRPr="00505900">
        <w:t>should not be sought</w:t>
      </w:r>
      <w:proofErr w:type="gramEnd"/>
      <w:r w:rsidRPr="00505900">
        <w:t xml:space="preserve"> until the outstanding issues are resolved.</w:t>
      </w:r>
      <w:r w:rsidR="00E23E03">
        <w:rPr>
          <w:rStyle w:val="FootnoteReference"/>
        </w:rPr>
        <w:footnoteReference w:id="8"/>
      </w:r>
    </w:p>
    <w:p w14:paraId="35578D91" w14:textId="7B08BE04" w:rsidR="000F6287" w:rsidRPr="001C62AD" w:rsidRDefault="000F6287" w:rsidP="001C62AD">
      <w:r w:rsidRPr="001C62AD">
        <w:t xml:space="preserve">The Delegate notes that all outstanding issues </w:t>
      </w:r>
      <w:r w:rsidR="009667AB">
        <w:t>were</w:t>
      </w:r>
      <w:r w:rsidRPr="001C62AD">
        <w:t xml:space="preserve"> resolved to the satisfaction of the </w:t>
      </w:r>
      <w:r w:rsidR="001C62AD" w:rsidRPr="001C62AD">
        <w:t>quality/pharmaceutical chemistry evaluator</w:t>
      </w:r>
      <w:r w:rsidRPr="001C62AD">
        <w:t>.</w:t>
      </w:r>
    </w:p>
    <w:p w14:paraId="7ADEB635" w14:textId="6571C5AB" w:rsidR="008E7846" w:rsidRDefault="008E7846" w:rsidP="008E7846">
      <w:pPr>
        <w:pStyle w:val="Heading3"/>
      </w:pPr>
      <w:bookmarkStart w:id="36" w:name="_Toc66436568"/>
      <w:r>
        <w:t>Nonclinical</w:t>
      </w:r>
      <w:bookmarkEnd w:id="34"/>
      <w:bookmarkEnd w:id="36"/>
    </w:p>
    <w:p w14:paraId="4D011AD8" w14:textId="49753D12" w:rsidR="001C62AD" w:rsidRPr="001C62AD" w:rsidRDefault="001C62AD" w:rsidP="001C62AD">
      <w:r>
        <w:t>The nonclinical evaluator has not raised any obj</w:t>
      </w:r>
      <w:r w:rsidR="00E23E03">
        <w:t xml:space="preserve">ections to the registration of </w:t>
      </w:r>
      <w:proofErr w:type="spellStart"/>
      <w:r w:rsidR="00E23E03">
        <w:t>a</w:t>
      </w:r>
      <w:r>
        <w:t>famelanotide</w:t>
      </w:r>
      <w:proofErr w:type="spellEnd"/>
      <w:r>
        <w:t xml:space="preserve"> on toxicological grounds. Summary findings include:</w:t>
      </w:r>
    </w:p>
    <w:p w14:paraId="3E6FB998" w14:textId="216D2A6B" w:rsidR="001C62AD" w:rsidRPr="00FA5D5B" w:rsidRDefault="001C62AD" w:rsidP="001C62AD">
      <w:pPr>
        <w:pStyle w:val="ListBullet"/>
        <w:rPr>
          <w:kern w:val="2"/>
        </w:rPr>
      </w:pPr>
      <w:r>
        <w:t xml:space="preserve">The melanogenic activity of </w:t>
      </w:r>
      <w:proofErr w:type="spellStart"/>
      <w:r>
        <w:t>afamelanotide</w:t>
      </w:r>
      <w:proofErr w:type="spellEnd"/>
      <w:r>
        <w:t xml:space="preserve"> was demonstrated </w:t>
      </w:r>
      <w:r w:rsidRPr="00B206AC">
        <w:rPr>
          <w:i/>
        </w:rPr>
        <w:t>in vitro</w:t>
      </w:r>
      <w:r>
        <w:t xml:space="preserve"> in human cell lines and in numerous animal species </w:t>
      </w:r>
      <w:r w:rsidRPr="00FA5D5B">
        <w:rPr>
          <w:i/>
        </w:rPr>
        <w:t>in vivo</w:t>
      </w:r>
      <w:r>
        <w:t>. Supporting utility in the proposed ind</w:t>
      </w:r>
      <w:r w:rsidR="00E23E03">
        <w:t xml:space="preserve">ication, </w:t>
      </w:r>
      <w:proofErr w:type="spellStart"/>
      <w:r w:rsidR="00E23E03">
        <w:t>photoprotection</w:t>
      </w:r>
      <w:proofErr w:type="spellEnd"/>
      <w:r w:rsidR="00E23E03">
        <w:t xml:space="preserve"> with </w:t>
      </w:r>
      <w:proofErr w:type="spellStart"/>
      <w:r w:rsidR="00E23E03">
        <w:t>a</w:t>
      </w:r>
      <w:r>
        <w:t>famelanotide</w:t>
      </w:r>
      <w:proofErr w:type="spellEnd"/>
      <w:r>
        <w:t xml:space="preserve"> treatment was evident in studies in pigmented hairless mice and in </w:t>
      </w:r>
      <w:proofErr w:type="spellStart"/>
      <w:r>
        <w:t>minipigs</w:t>
      </w:r>
      <w:proofErr w:type="spellEnd"/>
      <w:r>
        <w:t>.</w:t>
      </w:r>
    </w:p>
    <w:p w14:paraId="5F2FCFFD" w14:textId="0865C3AB" w:rsidR="001C62AD" w:rsidRPr="00090F69" w:rsidRDefault="001C62AD" w:rsidP="0070674E">
      <w:pPr>
        <w:pStyle w:val="ListBullet"/>
      </w:pPr>
      <w:proofErr w:type="spellStart"/>
      <w:r>
        <w:t>Afamelanotide</w:t>
      </w:r>
      <w:proofErr w:type="spellEnd"/>
      <w:r>
        <w:t xml:space="preserve"> possesses secondary pharmacological activity at the</w:t>
      </w:r>
      <w:r w:rsidR="0070674E">
        <w:t xml:space="preserve"> </w:t>
      </w:r>
      <w:proofErr w:type="spellStart"/>
      <w:r w:rsidR="0070674E">
        <w:t>melanocortin</w:t>
      </w:r>
      <w:proofErr w:type="spellEnd"/>
      <w:r w:rsidR="0070674E">
        <w:t xml:space="preserve"> 3, 4 and 5 receptor su</w:t>
      </w:r>
      <w:r w:rsidR="00E23E03">
        <w:t>btypes (MC3R, MC4R and MC</w:t>
      </w:r>
      <w:r w:rsidR="0070674E">
        <w:t xml:space="preserve">5R) </w:t>
      </w:r>
      <w:r>
        <w:t xml:space="preserve">variously expressed in the </w:t>
      </w:r>
      <w:r w:rsidR="0070674E">
        <w:t>central nervous system (</w:t>
      </w:r>
      <w:r>
        <w:t>CNS</w:t>
      </w:r>
      <w:r w:rsidR="0070674E">
        <w:t>)</w:t>
      </w:r>
      <w:r>
        <w:t>,</w:t>
      </w:r>
      <w:r w:rsidR="0070674E">
        <w:t xml:space="preserve"> gastrointestinal (</w:t>
      </w:r>
      <w:r>
        <w:t>GI</w:t>
      </w:r>
      <w:r w:rsidR="0070674E">
        <w:t>)</w:t>
      </w:r>
      <w:r>
        <w:t xml:space="preserve"> tract, kidney, skeletal muscle</w:t>
      </w:r>
      <w:r w:rsidR="0070674E">
        <w:t>, exocrine glands and elsewhere</w:t>
      </w:r>
      <w:r>
        <w:t xml:space="preserve">. It displays little selectivity for </w:t>
      </w:r>
      <w:r w:rsidR="0070674E">
        <w:t xml:space="preserve">the </w:t>
      </w:r>
      <w:r w:rsidR="00E23E03">
        <w:t>MC1</w:t>
      </w:r>
      <w:r>
        <w:t xml:space="preserve">R over these, acting as an agonist with </w:t>
      </w:r>
      <w:proofErr w:type="spellStart"/>
      <w:r>
        <w:t>nanomolar</w:t>
      </w:r>
      <w:proofErr w:type="spellEnd"/>
      <w:r>
        <w:t xml:space="preserve"> potency. </w:t>
      </w:r>
      <w:r w:rsidRPr="00090F69">
        <w:t xml:space="preserve">With limited penetration across the blood-brain barrier, and </w:t>
      </w:r>
      <w:r>
        <w:t>based on the findings of the</w:t>
      </w:r>
      <w:r w:rsidRPr="00090F69">
        <w:t xml:space="preserve"> toxicity </w:t>
      </w:r>
      <w:r>
        <w:t>program</w:t>
      </w:r>
      <w:r w:rsidRPr="00090F69">
        <w:t xml:space="preserve">, no clinically relevant effects related to </w:t>
      </w:r>
      <w:proofErr w:type="spellStart"/>
      <w:r w:rsidR="0070674E">
        <w:t>a</w:t>
      </w:r>
      <w:r>
        <w:t>famelanotide</w:t>
      </w:r>
      <w:r w:rsidRPr="00090F69">
        <w:t>’s</w:t>
      </w:r>
      <w:proofErr w:type="spellEnd"/>
      <w:r w:rsidRPr="00090F69">
        <w:t xml:space="preserve"> secondary pharmacological activity are predicted.</w:t>
      </w:r>
    </w:p>
    <w:p w14:paraId="484AF999" w14:textId="1F1AD23F" w:rsidR="001C62AD" w:rsidRPr="00354839" w:rsidRDefault="001C62AD" w:rsidP="0070674E">
      <w:pPr>
        <w:pStyle w:val="ListBullet"/>
      </w:pPr>
      <w:r>
        <w:t xml:space="preserve">Safety pharmacology assessment revealed effects on CNS function and respiration with </w:t>
      </w:r>
      <w:proofErr w:type="spellStart"/>
      <w:r w:rsidR="0070674E">
        <w:t>a</w:t>
      </w:r>
      <w:r>
        <w:t>famelanotide</w:t>
      </w:r>
      <w:proofErr w:type="spellEnd"/>
      <w:r>
        <w:t xml:space="preserve"> in mice and/or rats, but only with </w:t>
      </w:r>
      <w:r w:rsidR="0070674E">
        <w:t>subcutaneous (</w:t>
      </w:r>
      <w:r>
        <w:t>SC</w:t>
      </w:r>
      <w:r w:rsidR="0070674E">
        <w:t>)</w:t>
      </w:r>
      <w:r>
        <w:t xml:space="preserve"> injection at </w:t>
      </w:r>
      <w:r>
        <w:lastRenderedPageBreak/>
        <w:t>doses vastly highe</w:t>
      </w:r>
      <w:r w:rsidR="0070674E">
        <w:t xml:space="preserve">r than in patients treated with </w:t>
      </w:r>
      <w:proofErr w:type="spellStart"/>
      <w:r w:rsidR="00811504">
        <w:t>Scenesse</w:t>
      </w:r>
      <w:proofErr w:type="spellEnd"/>
      <w:r>
        <w:t xml:space="preserve">. Cardiovascular function was unaffected in dogs. </w:t>
      </w:r>
      <w:r w:rsidRPr="00354839">
        <w:t>No adverse effects on CNS, cardiovascular or respiratory function are predicted in patients.</w:t>
      </w:r>
    </w:p>
    <w:p w14:paraId="7F563081" w14:textId="77777777" w:rsidR="001C62AD" w:rsidRDefault="00E23E03" w:rsidP="0070674E">
      <w:pPr>
        <w:pStyle w:val="ListBullet"/>
      </w:pPr>
      <w:r>
        <w:t xml:space="preserve">Rapid release of </w:t>
      </w:r>
      <w:proofErr w:type="spellStart"/>
      <w:r>
        <w:t>a</w:t>
      </w:r>
      <w:r w:rsidR="001C62AD">
        <w:t>famelanotide</w:t>
      </w:r>
      <w:proofErr w:type="spellEnd"/>
      <w:r w:rsidR="001C62AD">
        <w:t xml:space="preserve"> from SC implants, along with rapid clearance, was demonstrated in laboratory animal species, as in humans.</w:t>
      </w:r>
    </w:p>
    <w:p w14:paraId="288FC179" w14:textId="77777777" w:rsidR="001C62AD" w:rsidRPr="007145AC" w:rsidRDefault="001C62AD" w:rsidP="0070674E">
      <w:pPr>
        <w:pStyle w:val="ListBullet"/>
      </w:pPr>
      <w:r>
        <w:t xml:space="preserve">A study in pigmented mice revealed highest distribution of </w:t>
      </w:r>
      <w:r w:rsidR="0070674E">
        <w:t xml:space="preserve">radiolabelled </w:t>
      </w:r>
      <w:r w:rsidRPr="001D1CA8">
        <w:rPr>
          <w:vertAlign w:val="superscript"/>
        </w:rPr>
        <w:t>125</w:t>
      </w:r>
      <w:r w:rsidR="0070674E">
        <w:t>I</w:t>
      </w:r>
      <w:r w:rsidR="0070674E">
        <w:noBreakHyphen/>
        <w:t>a</w:t>
      </w:r>
      <w:r>
        <w:t xml:space="preserve">famelanotide-derived radioactivity to the </w:t>
      </w:r>
      <w:proofErr w:type="spellStart"/>
      <w:r>
        <w:t>Harderian</w:t>
      </w:r>
      <w:proofErr w:type="spellEnd"/>
      <w:r>
        <w:t xml:space="preserve"> gland, lacrimal gland and bladder, with brown adipose tissue, </w:t>
      </w:r>
      <w:r w:rsidRPr="00AC4BFA">
        <w:t>preputial gland and duodenum also show</w:t>
      </w:r>
      <w:r>
        <w:t xml:space="preserve">ing </w:t>
      </w:r>
      <w:r w:rsidRPr="00AC4BFA">
        <w:t>tissue concentrations of radioactivity greater than plasma</w:t>
      </w:r>
      <w:r>
        <w:t xml:space="preserve">. Hydrolysis of </w:t>
      </w:r>
      <w:proofErr w:type="spellStart"/>
      <w:r w:rsidR="0070674E">
        <w:t>a</w:t>
      </w:r>
      <w:r>
        <w:t>famelanotide</w:t>
      </w:r>
      <w:proofErr w:type="spellEnd"/>
      <w:r>
        <w:t xml:space="preserve"> to four smaller peptide fragments was observed in human plasma </w:t>
      </w:r>
      <w:r w:rsidR="0070674E">
        <w:rPr>
          <w:i/>
        </w:rPr>
        <w:t>in </w:t>
      </w:r>
      <w:r w:rsidRPr="008B1A9F">
        <w:rPr>
          <w:i/>
        </w:rPr>
        <w:t>vitro</w:t>
      </w:r>
      <w:r>
        <w:t xml:space="preserve">. Urinary elimination (as peptide fragments) was evident as the major route of </w:t>
      </w:r>
      <w:r w:rsidRPr="007145AC">
        <w:t>excretion in mice and rats.</w:t>
      </w:r>
    </w:p>
    <w:p w14:paraId="2DFDF522" w14:textId="77777777" w:rsidR="001C62AD" w:rsidRDefault="001C62AD" w:rsidP="0070674E">
      <w:pPr>
        <w:pStyle w:val="ListBullet"/>
      </w:pPr>
      <w:proofErr w:type="spellStart"/>
      <w:r w:rsidRPr="007145AC">
        <w:t>Afamelanotide</w:t>
      </w:r>
      <w:proofErr w:type="spellEnd"/>
      <w:r w:rsidRPr="007145AC">
        <w:t xml:space="preserve"> showed a low order of acute toxicity</w:t>
      </w:r>
      <w:r w:rsidR="0070674E">
        <w:t xml:space="preserve"> following administration by SC </w:t>
      </w:r>
      <w:r w:rsidRPr="007145AC">
        <w:t>injection in mice and rats.</w:t>
      </w:r>
    </w:p>
    <w:p w14:paraId="02B1D958" w14:textId="1B5FE7B6" w:rsidR="001C62AD" w:rsidRDefault="001C62AD" w:rsidP="0070674E">
      <w:pPr>
        <w:pStyle w:val="ListBullet"/>
      </w:pPr>
      <w:r>
        <w:t>Pivotal repeat-dose toxicity studies involved adm</w:t>
      </w:r>
      <w:r w:rsidR="0070674E">
        <w:t>inistration of SC implants at 1 or 2 </w:t>
      </w:r>
      <w:r>
        <w:t>month intervals in pigmented rats (6 month</w:t>
      </w:r>
      <w:r w:rsidR="0070674E">
        <w:t>s duration) and beagle dogs (10 </w:t>
      </w:r>
      <w:r>
        <w:t xml:space="preserve">months). The </w:t>
      </w:r>
      <w:proofErr w:type="spellStart"/>
      <w:r>
        <w:t>Harderian</w:t>
      </w:r>
      <w:proofErr w:type="spellEnd"/>
      <w:r>
        <w:t xml:space="preserve"> gland was the sole target organ for toxicity identified in the repeat-dose toxicity program, with inflammatory and degenerative changes observed in rats (</w:t>
      </w:r>
      <w:r w:rsidR="00B17239">
        <w:t>but</w:t>
      </w:r>
      <w:r w:rsidR="004D6F28">
        <w:t xml:space="preserve"> </w:t>
      </w:r>
      <w:r w:rsidR="00B17239">
        <w:t>not in</w:t>
      </w:r>
      <w:r>
        <w:t xml:space="preserve"> dogs). A relationship to high levels of distribution of </w:t>
      </w:r>
      <w:proofErr w:type="spellStart"/>
      <w:r w:rsidR="0070674E">
        <w:t>a</w:t>
      </w:r>
      <w:r>
        <w:t>famelanotide</w:t>
      </w:r>
      <w:proofErr w:type="spellEnd"/>
      <w:r>
        <w:t xml:space="preserve"> to th</w:t>
      </w:r>
      <w:r w:rsidR="00976EAD">
        <w:t>is tissue and expression of MC5</w:t>
      </w:r>
      <w:r>
        <w:t xml:space="preserve">R is seen. With the </w:t>
      </w:r>
      <w:proofErr w:type="spellStart"/>
      <w:r>
        <w:t>Harderian</w:t>
      </w:r>
      <w:proofErr w:type="spellEnd"/>
      <w:r>
        <w:t xml:space="preserve"> gland not present in humans, these findings are not considered relevant to patients.</w:t>
      </w:r>
    </w:p>
    <w:p w14:paraId="7BEBBD16" w14:textId="77777777" w:rsidR="001C62AD" w:rsidRPr="00456B78" w:rsidRDefault="001C62AD" w:rsidP="0070674E">
      <w:pPr>
        <w:pStyle w:val="ListBullet"/>
      </w:pPr>
      <w:r w:rsidRPr="00456B78">
        <w:t xml:space="preserve">Reflecting the primary pharmacological activity of </w:t>
      </w:r>
      <w:proofErr w:type="spellStart"/>
      <w:r w:rsidR="0070674E">
        <w:t>a</w:t>
      </w:r>
      <w:r>
        <w:t>famelanotide</w:t>
      </w:r>
      <w:proofErr w:type="spellEnd"/>
      <w:r w:rsidRPr="00456B78">
        <w:t xml:space="preserve">, treated </w:t>
      </w:r>
      <w:r>
        <w:t xml:space="preserve">pigmented </w:t>
      </w:r>
      <w:r w:rsidRPr="00456B78">
        <w:t>rats and dogs</w:t>
      </w:r>
      <w:r>
        <w:t xml:space="preserve"> in the repeat-dose toxicity studies </w:t>
      </w:r>
      <w:r w:rsidRPr="00456B78">
        <w:t>showed increased pigmentation of skin/fur.</w:t>
      </w:r>
    </w:p>
    <w:p w14:paraId="1DC1F713" w14:textId="77777777" w:rsidR="001C62AD" w:rsidRDefault="001C62AD" w:rsidP="0070674E">
      <w:pPr>
        <w:pStyle w:val="ListBullet"/>
        <w:rPr>
          <w:kern w:val="2"/>
        </w:rPr>
      </w:pPr>
      <w:r>
        <w:rPr>
          <w:kern w:val="2"/>
        </w:rPr>
        <w:t xml:space="preserve">SC implants were shown to be well tolerated locally in rats and dogs. </w:t>
      </w:r>
      <w:r>
        <w:t xml:space="preserve">Implantation site findings were mild and </w:t>
      </w:r>
      <w:r w:rsidRPr="0051333C">
        <w:t xml:space="preserve">related to the physical presence of the polymer implant or the injection procedure rather than </w:t>
      </w:r>
      <w:proofErr w:type="spellStart"/>
      <w:r w:rsidR="0070674E">
        <w:t>a</w:t>
      </w:r>
      <w:r>
        <w:t>famelanotide</w:t>
      </w:r>
      <w:proofErr w:type="spellEnd"/>
      <w:r w:rsidRPr="00757F24">
        <w:t xml:space="preserve"> itself.</w:t>
      </w:r>
    </w:p>
    <w:p w14:paraId="353044AF" w14:textId="77777777" w:rsidR="001C62AD" w:rsidRDefault="001C62AD" w:rsidP="0070674E">
      <w:pPr>
        <w:pStyle w:val="ListBullet"/>
      </w:pPr>
      <w:proofErr w:type="spellStart"/>
      <w:r>
        <w:t>Afamelanotide</w:t>
      </w:r>
      <w:proofErr w:type="spellEnd"/>
      <w:r>
        <w:t xml:space="preserve"> was negative in the standard battery of </w:t>
      </w:r>
      <w:proofErr w:type="spellStart"/>
      <w:r>
        <w:t>genotoxicity</w:t>
      </w:r>
      <w:proofErr w:type="spellEnd"/>
      <w:r>
        <w:t xml:space="preserve"> tests.</w:t>
      </w:r>
    </w:p>
    <w:p w14:paraId="17C7AA92" w14:textId="77777777" w:rsidR="001C62AD" w:rsidRPr="002024A5" w:rsidRDefault="001C62AD" w:rsidP="0070674E">
      <w:pPr>
        <w:pStyle w:val="ListBullet"/>
      </w:pPr>
      <w:r>
        <w:t xml:space="preserve">No carcinogenicity studies have been conducted with </w:t>
      </w:r>
      <w:proofErr w:type="spellStart"/>
      <w:r w:rsidR="0070674E">
        <w:t>a</w:t>
      </w:r>
      <w:r>
        <w:t>famelanotide</w:t>
      </w:r>
      <w:proofErr w:type="spellEnd"/>
      <w:r>
        <w:t xml:space="preserve">. This is considered to be acceptable, in line with </w:t>
      </w:r>
      <w:r w:rsidR="0070674E">
        <w:t>International Conference on Harmonisation (</w:t>
      </w:r>
      <w:r>
        <w:t>ICH</w:t>
      </w:r>
      <w:r w:rsidR="0070674E">
        <w:t>)</w:t>
      </w:r>
      <w:r>
        <w:t xml:space="preserve"> guidance. Proliferation of huma</w:t>
      </w:r>
      <w:r w:rsidR="00976EAD">
        <w:t>n melanoma cells expressing MC1</w:t>
      </w:r>
      <w:r>
        <w:t>R was</w:t>
      </w:r>
      <w:r w:rsidR="00976EAD">
        <w:t xml:space="preserve"> shown not to be stimulated by </w:t>
      </w:r>
      <w:proofErr w:type="spellStart"/>
      <w:r w:rsidR="00976EAD">
        <w:t>a</w:t>
      </w:r>
      <w:r>
        <w:t>famelanotide</w:t>
      </w:r>
      <w:proofErr w:type="spellEnd"/>
      <w:r>
        <w:t xml:space="preserve"> </w:t>
      </w:r>
      <w:r w:rsidRPr="00456B78">
        <w:rPr>
          <w:i/>
        </w:rPr>
        <w:t>in vitro</w:t>
      </w:r>
      <w:r>
        <w:t>.</w:t>
      </w:r>
    </w:p>
    <w:p w14:paraId="61E750F8" w14:textId="77777777" w:rsidR="001C62AD" w:rsidRPr="0070674E" w:rsidRDefault="001C62AD" w:rsidP="0070674E">
      <w:pPr>
        <w:pStyle w:val="ListBullet"/>
      </w:pPr>
      <w:proofErr w:type="spellStart"/>
      <w:r w:rsidRPr="0070674E">
        <w:t>Afamelanotide</w:t>
      </w:r>
      <w:proofErr w:type="spellEnd"/>
      <w:r w:rsidRPr="0070674E">
        <w:t xml:space="preserve"> did not affect male and female fertility and had no adverse effect on </w:t>
      </w:r>
      <w:proofErr w:type="spellStart"/>
      <w:r w:rsidRPr="0070674E">
        <w:t>embryofetal</w:t>
      </w:r>
      <w:proofErr w:type="spellEnd"/>
      <w:r w:rsidRPr="0070674E">
        <w:t xml:space="preserve"> development in rats. Inhibition of postnatal body weight gain was observed in the offspring of treated rats, but no other aspect of development was seen to be affected.</w:t>
      </w:r>
    </w:p>
    <w:p w14:paraId="021A2133" w14:textId="77777777" w:rsidR="001C62AD" w:rsidRPr="0070674E" w:rsidRDefault="001C62AD" w:rsidP="0070674E">
      <w:pPr>
        <w:pStyle w:val="ListBullet"/>
      </w:pPr>
      <w:r w:rsidRPr="0070674E">
        <w:t xml:space="preserve">The rabbit has been found to be extremely sensitive to </w:t>
      </w:r>
      <w:proofErr w:type="spellStart"/>
      <w:r w:rsidR="0070674E">
        <w:t>a</w:t>
      </w:r>
      <w:r w:rsidRPr="0070674E">
        <w:t>famelanotide</w:t>
      </w:r>
      <w:proofErr w:type="spellEnd"/>
      <w:r w:rsidRPr="0070674E">
        <w:t xml:space="preserve"> (and </w:t>
      </w:r>
      <w:proofErr w:type="spellStart"/>
      <w:r w:rsidRPr="0070674E">
        <w:t>melanocortins</w:t>
      </w:r>
      <w:proofErr w:type="spellEnd"/>
      <w:r w:rsidRPr="0070674E">
        <w:t xml:space="preserve"> as a class). This precludes its use as the routine second, non-rodent species for examination of effects on </w:t>
      </w:r>
      <w:proofErr w:type="spellStart"/>
      <w:r w:rsidRPr="0070674E">
        <w:t>embryofetal</w:t>
      </w:r>
      <w:proofErr w:type="spellEnd"/>
      <w:r w:rsidRPr="0070674E">
        <w:t xml:space="preserve"> development. Findings in the rabbit were unique among tested laboratory animal species, and the species is not considered to be an appropriate one for human risk assessment for </w:t>
      </w:r>
      <w:proofErr w:type="spellStart"/>
      <w:r w:rsidR="00D95D96">
        <w:t>a</w:t>
      </w:r>
      <w:r w:rsidRPr="0070674E">
        <w:t>famelanotide</w:t>
      </w:r>
      <w:proofErr w:type="spellEnd"/>
      <w:r w:rsidRPr="0070674E">
        <w:t>.</w:t>
      </w:r>
    </w:p>
    <w:p w14:paraId="3F78529B" w14:textId="77777777" w:rsidR="001C62AD" w:rsidRPr="0070674E" w:rsidRDefault="001C62AD" w:rsidP="0070674E">
      <w:pPr>
        <w:pStyle w:val="ListBullet"/>
      </w:pPr>
      <w:r w:rsidRPr="0070674E">
        <w:t>Pregnancy Category B1, as the sponsor proposes, is considered appropriate.</w:t>
      </w:r>
      <w:r w:rsidR="00976EAD">
        <w:rPr>
          <w:rStyle w:val="FootnoteReference"/>
        </w:rPr>
        <w:footnoteReference w:id="9"/>
      </w:r>
    </w:p>
    <w:p w14:paraId="0605DD2E" w14:textId="77777777" w:rsidR="001C62AD" w:rsidRPr="00317EB5" w:rsidRDefault="00D95D96" w:rsidP="001C62AD">
      <w:pPr>
        <w:spacing w:before="0" w:after="0" w:line="240" w:lineRule="auto"/>
        <w:rPr>
          <w:rFonts w:asciiTheme="minorHAnsi" w:hAnsiTheme="minorHAnsi"/>
        </w:rPr>
      </w:pPr>
      <w:r>
        <w:rPr>
          <w:rFonts w:asciiTheme="minorHAnsi" w:hAnsiTheme="minorHAnsi"/>
        </w:rPr>
        <w:lastRenderedPageBreak/>
        <w:t>The Delegate notes that h</w:t>
      </w:r>
      <w:r w:rsidR="001C62AD">
        <w:rPr>
          <w:rFonts w:asciiTheme="minorHAnsi" w:hAnsiTheme="minorHAnsi"/>
        </w:rPr>
        <w:t xml:space="preserve">umans and other primates do not have </w:t>
      </w:r>
      <w:proofErr w:type="spellStart"/>
      <w:r w:rsidR="001C62AD">
        <w:rPr>
          <w:rFonts w:asciiTheme="minorHAnsi" w:hAnsiTheme="minorHAnsi"/>
        </w:rPr>
        <w:t>Haderian</w:t>
      </w:r>
      <w:proofErr w:type="spellEnd"/>
      <w:r w:rsidR="001C62AD">
        <w:rPr>
          <w:rFonts w:asciiTheme="minorHAnsi" w:hAnsiTheme="minorHAnsi"/>
        </w:rPr>
        <w:t xml:space="preserve"> glands, but this organ is known to express </w:t>
      </w:r>
      <w:r w:rsidR="002E3695">
        <w:rPr>
          <w:rFonts w:asciiTheme="minorHAnsi" w:hAnsiTheme="minorHAnsi"/>
        </w:rPr>
        <w:t>m</w:t>
      </w:r>
      <w:r w:rsidR="002E3695" w:rsidRPr="002E3695">
        <w:rPr>
          <w:rFonts w:asciiTheme="minorHAnsi" w:hAnsiTheme="minorHAnsi"/>
        </w:rPr>
        <w:t>elanocyte-stimulating hormone</w:t>
      </w:r>
      <w:r w:rsidR="002E3695">
        <w:rPr>
          <w:rFonts w:asciiTheme="minorHAnsi" w:hAnsiTheme="minorHAnsi"/>
        </w:rPr>
        <w:t xml:space="preserve"> (</w:t>
      </w:r>
      <w:r w:rsidR="001C62AD">
        <w:rPr>
          <w:rFonts w:asciiTheme="minorHAnsi" w:hAnsiTheme="minorHAnsi"/>
        </w:rPr>
        <w:t>MSH</w:t>
      </w:r>
      <w:r w:rsidR="002E3695">
        <w:rPr>
          <w:rFonts w:asciiTheme="minorHAnsi" w:hAnsiTheme="minorHAnsi"/>
        </w:rPr>
        <w:t>)</w:t>
      </w:r>
      <w:r w:rsidR="001C62AD">
        <w:rPr>
          <w:rFonts w:asciiTheme="minorHAnsi" w:hAnsiTheme="minorHAnsi"/>
        </w:rPr>
        <w:t xml:space="preserve"> receptors and so is pre</w:t>
      </w:r>
      <w:r>
        <w:rPr>
          <w:rFonts w:asciiTheme="minorHAnsi" w:hAnsiTheme="minorHAnsi"/>
        </w:rPr>
        <w:t xml:space="preserve">sumably a potential target for </w:t>
      </w:r>
      <w:proofErr w:type="spellStart"/>
      <w:r>
        <w:rPr>
          <w:rFonts w:asciiTheme="minorHAnsi" w:hAnsiTheme="minorHAnsi"/>
        </w:rPr>
        <w:t>a</w:t>
      </w:r>
      <w:r w:rsidR="001C62AD">
        <w:rPr>
          <w:rFonts w:asciiTheme="minorHAnsi" w:hAnsiTheme="minorHAnsi"/>
        </w:rPr>
        <w:t>famelanotide</w:t>
      </w:r>
      <w:proofErr w:type="spellEnd"/>
      <w:r w:rsidR="001C62AD">
        <w:rPr>
          <w:rFonts w:asciiTheme="minorHAnsi" w:hAnsiTheme="minorHAnsi"/>
        </w:rPr>
        <w:t xml:space="preserve"> in other animals.</w:t>
      </w:r>
    </w:p>
    <w:p w14:paraId="2A02E22A" w14:textId="77777777" w:rsidR="008E7846" w:rsidRDefault="008E7846" w:rsidP="008E7846">
      <w:pPr>
        <w:pStyle w:val="Heading3"/>
      </w:pPr>
      <w:bookmarkStart w:id="37" w:name="_Toc247691530"/>
      <w:bookmarkStart w:id="38" w:name="_Toc314842513"/>
      <w:bookmarkStart w:id="39" w:name="_Toc66436569"/>
      <w:r>
        <w:t>Clinical</w:t>
      </w:r>
      <w:bookmarkEnd w:id="37"/>
      <w:bookmarkEnd w:id="38"/>
      <w:bookmarkEnd w:id="39"/>
    </w:p>
    <w:p w14:paraId="4BAB1E6D" w14:textId="77777777" w:rsidR="00A21FD6" w:rsidRPr="00A21FD6" w:rsidRDefault="00A21FD6" w:rsidP="00A21FD6">
      <w:r>
        <w:t>The following studies and reports</w:t>
      </w:r>
      <w:r w:rsidR="00C06CB6">
        <w:t xml:space="preserve"> </w:t>
      </w:r>
      <w:r>
        <w:t>wer</w:t>
      </w:r>
      <w:r w:rsidR="00C06CB6">
        <w:t>e contained in</w:t>
      </w:r>
      <w:r w:rsidR="002E3695">
        <w:t xml:space="preserve"> the support of this submission.</w:t>
      </w:r>
    </w:p>
    <w:p w14:paraId="7EBB2C23" w14:textId="77777777" w:rsidR="00C06CB6" w:rsidRDefault="002E3695" w:rsidP="002E3695">
      <w:r>
        <w:t>Clinical p</w:t>
      </w:r>
      <w:r w:rsidR="00A21FD6" w:rsidRPr="00A21FD6">
        <w:t>harmacology studies</w:t>
      </w:r>
      <w:r w:rsidR="00C06CB6">
        <w:t>:</w:t>
      </w:r>
    </w:p>
    <w:p w14:paraId="6D99342C" w14:textId="715191CC" w:rsidR="00C06CB6" w:rsidRDefault="00A21FD6" w:rsidP="002E3695">
      <w:pPr>
        <w:pStyle w:val="ListBullet"/>
      </w:pPr>
      <w:r w:rsidRPr="00A21FD6">
        <w:t>Ten clinical pharmacology studies were submitted in support of the current application. Of these</w:t>
      </w:r>
      <w:r w:rsidR="006A4EA3">
        <w:t>,</w:t>
      </w:r>
      <w:r w:rsidRPr="00A21FD6">
        <w:t xml:space="preserve"> </w:t>
      </w:r>
      <w:r w:rsidR="00974177">
        <w:t>eight</w:t>
      </w:r>
      <w:r w:rsidRPr="00A21FD6">
        <w:t xml:space="preserve"> contained data relevant to the pharmacokinetics (PK) of </w:t>
      </w:r>
      <w:proofErr w:type="spellStart"/>
      <w:r w:rsidRPr="00A21FD6">
        <w:t>afamelanotide</w:t>
      </w:r>
      <w:proofErr w:type="spellEnd"/>
      <w:r w:rsidRPr="00A21FD6">
        <w:t xml:space="preserve"> and </w:t>
      </w:r>
      <w:r w:rsidR="00974177">
        <w:t>seven</w:t>
      </w:r>
      <w:r w:rsidRPr="00A21FD6">
        <w:t xml:space="preserve"> studies contained </w:t>
      </w:r>
      <w:proofErr w:type="spellStart"/>
      <w:r w:rsidRPr="00A21FD6">
        <w:t>pharmacodynamic</w:t>
      </w:r>
      <w:proofErr w:type="spellEnd"/>
      <w:r w:rsidRPr="00A21FD6">
        <w:t xml:space="preserve"> (PD) results</w:t>
      </w:r>
      <w:r w:rsidR="00C06CB6">
        <w:t>.</w:t>
      </w:r>
    </w:p>
    <w:p w14:paraId="297366C2" w14:textId="77777777" w:rsidR="00A21FD6" w:rsidRPr="00A21FD6" w:rsidRDefault="00A21FD6" w:rsidP="002E3695">
      <w:pPr>
        <w:pStyle w:val="ListBullet"/>
      </w:pPr>
      <w:r w:rsidRPr="00A21FD6">
        <w:t>No population PK studies were submitted for evaluation.</w:t>
      </w:r>
    </w:p>
    <w:p w14:paraId="4B39F42C" w14:textId="77777777" w:rsidR="00C06CB6" w:rsidRDefault="00C06CB6" w:rsidP="002E3695">
      <w:r>
        <w:t>Efficacy and s</w:t>
      </w:r>
      <w:r w:rsidR="00A21FD6" w:rsidRPr="00C06CB6">
        <w:t>afety studies:</w:t>
      </w:r>
    </w:p>
    <w:p w14:paraId="095911B5" w14:textId="77777777" w:rsidR="00C06CB6" w:rsidRDefault="00C06CB6" w:rsidP="002E3695">
      <w:pPr>
        <w:pStyle w:val="ListBullet"/>
      </w:pPr>
      <w:r>
        <w:t>Pivotal studies:</w:t>
      </w:r>
    </w:p>
    <w:p w14:paraId="3908F870" w14:textId="77777777" w:rsidR="00A21FD6" w:rsidRPr="00C06CB6" w:rsidRDefault="00C06CB6" w:rsidP="002E3695">
      <w:pPr>
        <w:pStyle w:val="ListBullet2"/>
      </w:pPr>
      <w:r>
        <w:t>Study CUV039</w:t>
      </w:r>
      <w:r w:rsidR="00A21FD6" w:rsidRPr="00C06CB6">
        <w:t xml:space="preserve"> (n</w:t>
      </w:r>
      <w:r w:rsidRPr="00C06CB6">
        <w:t> </w:t>
      </w:r>
      <w:r w:rsidR="00A21FD6" w:rsidRPr="00C06CB6">
        <w:t>=</w:t>
      </w:r>
      <w:r w:rsidRPr="00C06CB6">
        <w:t> 93</w:t>
      </w:r>
      <w:r>
        <w:t>)</w:t>
      </w:r>
      <w:r w:rsidR="00A21FD6" w:rsidRPr="00C06CB6">
        <w:t xml:space="preserve">: </w:t>
      </w:r>
      <w:r w:rsidR="00694F75">
        <w:t>A</w:t>
      </w:r>
      <w:r w:rsidR="00A21FD6" w:rsidRPr="00C06CB6">
        <w:t xml:space="preserve"> Phase III, </w:t>
      </w:r>
      <w:r w:rsidRPr="00C06CB6">
        <w:t xml:space="preserve">multicentre, double-blind, randomised, placebo-controlled study to confirm the safety and efficacy of subcutaneous </w:t>
      </w:r>
      <w:proofErr w:type="spellStart"/>
      <w:r w:rsidRPr="00C06CB6">
        <w:t>bioresorbable</w:t>
      </w:r>
      <w:proofErr w:type="spellEnd"/>
      <w:r w:rsidRPr="00C06CB6">
        <w:t xml:space="preserve"> </w:t>
      </w:r>
      <w:proofErr w:type="spellStart"/>
      <w:r w:rsidRPr="00C06CB6">
        <w:t>afamelanotide</w:t>
      </w:r>
      <w:proofErr w:type="spellEnd"/>
      <w:r w:rsidRPr="00C06CB6">
        <w:t xml:space="preserve"> implants in patients with </w:t>
      </w:r>
      <w:proofErr w:type="spellStart"/>
      <w:r w:rsidRPr="00C06CB6">
        <w:t>eryth</w:t>
      </w:r>
      <w:r>
        <w:t>ropoietic</w:t>
      </w:r>
      <w:proofErr w:type="spellEnd"/>
      <w:r>
        <w:t xml:space="preserve"> </w:t>
      </w:r>
      <w:proofErr w:type="spellStart"/>
      <w:r>
        <w:t>protoporphyria</w:t>
      </w:r>
      <w:proofErr w:type="spellEnd"/>
      <w:r>
        <w:t xml:space="preserve"> (EPP).</w:t>
      </w:r>
    </w:p>
    <w:p w14:paraId="282FB68F" w14:textId="77777777" w:rsidR="00C06CB6" w:rsidRPr="00C06CB6" w:rsidRDefault="00C06CB6" w:rsidP="002E3695">
      <w:pPr>
        <w:pStyle w:val="ListBullet"/>
        <w:rPr>
          <w:b/>
          <w:bCs/>
        </w:rPr>
      </w:pPr>
      <w:r>
        <w:t>Supportive studies:</w:t>
      </w:r>
    </w:p>
    <w:p w14:paraId="497B4592" w14:textId="1EF2C59F" w:rsidR="00C06CB6" w:rsidRPr="00C06CB6" w:rsidRDefault="00C06CB6" w:rsidP="002E3695">
      <w:pPr>
        <w:pStyle w:val="ListBullet2"/>
        <w:rPr>
          <w:b/>
          <w:bCs/>
        </w:rPr>
      </w:pPr>
      <w:r>
        <w:t xml:space="preserve">Study </w:t>
      </w:r>
      <w:r w:rsidR="00A21FD6" w:rsidRPr="00C06CB6">
        <w:t>CUV029 (n</w:t>
      </w:r>
      <w:r>
        <w:t> </w:t>
      </w:r>
      <w:r w:rsidR="00A21FD6" w:rsidRPr="00C06CB6">
        <w:t>=</w:t>
      </w:r>
      <w:r>
        <w:t> </w:t>
      </w:r>
      <w:r w:rsidR="00A21FD6" w:rsidRPr="00C06CB6">
        <w:t xml:space="preserve">74): A Phase III, </w:t>
      </w:r>
      <w:r w:rsidRPr="00C06CB6">
        <w:t>multicentre</w:t>
      </w:r>
      <w:r w:rsidRPr="00055060">
        <w:t>, double-blind, random</w:t>
      </w:r>
      <w:r>
        <w:t>is</w:t>
      </w:r>
      <w:r w:rsidRPr="00055060">
        <w:t>ed, placebo controlled</w:t>
      </w:r>
      <w:r>
        <w:t xml:space="preserve"> </w:t>
      </w:r>
      <w:r w:rsidRPr="00055060">
        <w:t xml:space="preserve">study to confirm the safety and efficacy of subcutaneous </w:t>
      </w:r>
      <w:proofErr w:type="spellStart"/>
      <w:r w:rsidRPr="00055060">
        <w:t>bioresorbable</w:t>
      </w:r>
      <w:proofErr w:type="spellEnd"/>
      <w:r w:rsidRPr="00055060">
        <w:t xml:space="preserve"> </w:t>
      </w:r>
      <w:proofErr w:type="spellStart"/>
      <w:r w:rsidRPr="00055060">
        <w:t>afamelanotide</w:t>
      </w:r>
      <w:proofErr w:type="spellEnd"/>
      <w:r>
        <w:t xml:space="preserve"> </w:t>
      </w:r>
      <w:r w:rsidRPr="00055060">
        <w:t xml:space="preserve">implants in patients with </w:t>
      </w:r>
      <w:proofErr w:type="spellStart"/>
      <w:r w:rsidRPr="00055060">
        <w:t>erythropoietic</w:t>
      </w:r>
      <w:proofErr w:type="spellEnd"/>
      <w:r w:rsidRPr="00055060">
        <w:t xml:space="preserve"> </w:t>
      </w:r>
      <w:proofErr w:type="spellStart"/>
      <w:r w:rsidRPr="00055060">
        <w:t>protoporphyria</w:t>
      </w:r>
      <w:proofErr w:type="spellEnd"/>
      <w:r w:rsidR="00A21FD6" w:rsidRPr="00055060">
        <w:t xml:space="preserve"> (EPP). This study was carried out in</w:t>
      </w:r>
      <w:r w:rsidR="00A21FD6">
        <w:t xml:space="preserve"> </w:t>
      </w:r>
      <w:r w:rsidR="00A21FD6" w:rsidRPr="00055060">
        <w:t>several European countries and is considered supportive rather than pivotal to the assessment of</w:t>
      </w:r>
      <w:r w:rsidR="00A21FD6">
        <w:t xml:space="preserve"> </w:t>
      </w:r>
      <w:r w:rsidR="00A21FD6" w:rsidRPr="00055060">
        <w:t xml:space="preserve">efficacy in this indication </w:t>
      </w:r>
      <w:r w:rsidR="00A21FD6" w:rsidRPr="00B17239">
        <w:t xml:space="preserve">because of findings in a </w:t>
      </w:r>
      <w:r w:rsidR="00974177">
        <w:t xml:space="preserve">Good Clinical Practice </w:t>
      </w:r>
      <w:r w:rsidR="00A21FD6" w:rsidRPr="00B17239">
        <w:t>inspection conducted by the EMA</w:t>
      </w:r>
      <w:r w:rsidR="00A21FD6" w:rsidRPr="00055060">
        <w:t>.</w:t>
      </w:r>
    </w:p>
    <w:p w14:paraId="1928BFAB" w14:textId="30C5789D" w:rsidR="00A21FD6" w:rsidRPr="00C06CB6" w:rsidRDefault="00C06CB6" w:rsidP="002E3695">
      <w:pPr>
        <w:pStyle w:val="ListBullet2"/>
        <w:rPr>
          <w:b/>
          <w:bCs/>
        </w:rPr>
      </w:pPr>
      <w:r>
        <w:t xml:space="preserve">Study </w:t>
      </w:r>
      <w:r w:rsidR="00A21FD6" w:rsidRPr="00C06CB6">
        <w:t>CUV030 (n</w:t>
      </w:r>
      <w:r>
        <w:t> </w:t>
      </w:r>
      <w:r w:rsidR="00A21FD6" w:rsidRPr="00C06CB6">
        <w:t>=</w:t>
      </w:r>
      <w:r>
        <w:t> </w:t>
      </w:r>
      <w:r w:rsidR="00A21FD6" w:rsidRPr="00C06CB6">
        <w:t xml:space="preserve">77): A Phase II, </w:t>
      </w:r>
      <w:r w:rsidRPr="00C06CB6">
        <w:t xml:space="preserve">multicentre, double-blind, randomised, placebo-controlled study to confirm the safety and efficacy of subcutaneous </w:t>
      </w:r>
      <w:proofErr w:type="spellStart"/>
      <w:r w:rsidRPr="00C06CB6">
        <w:t>bioresorbable</w:t>
      </w:r>
      <w:proofErr w:type="spellEnd"/>
      <w:r w:rsidRPr="00C06CB6">
        <w:t xml:space="preserve"> </w:t>
      </w:r>
      <w:proofErr w:type="spellStart"/>
      <w:r w:rsidRPr="00C06CB6">
        <w:t>afamelanotide</w:t>
      </w:r>
      <w:proofErr w:type="spellEnd"/>
      <w:r w:rsidRPr="00C06CB6">
        <w:t xml:space="preserve"> implants in patients with </w:t>
      </w:r>
      <w:proofErr w:type="spellStart"/>
      <w:r w:rsidRPr="00C06CB6">
        <w:t>erythropoietic</w:t>
      </w:r>
      <w:proofErr w:type="spellEnd"/>
      <w:r w:rsidRPr="00C06CB6">
        <w:t xml:space="preserve"> </w:t>
      </w:r>
      <w:proofErr w:type="spellStart"/>
      <w:r w:rsidRPr="00C06CB6">
        <w:t>protoporphyria</w:t>
      </w:r>
      <w:proofErr w:type="spellEnd"/>
      <w:r w:rsidRPr="00C06CB6">
        <w:t xml:space="preserve"> </w:t>
      </w:r>
      <w:r w:rsidR="00A21FD6" w:rsidRPr="00C06CB6">
        <w:t xml:space="preserve">(EPP). This study was carried out in the </w:t>
      </w:r>
      <w:r>
        <w:t>USA</w:t>
      </w:r>
      <w:r w:rsidR="00A21FD6" w:rsidRPr="00C06CB6">
        <w:t xml:space="preserve"> and is considered supportive rather than pivotal to the assessment of efficacy in this indication because of findings in a </w:t>
      </w:r>
      <w:r w:rsidR="00974177">
        <w:t xml:space="preserve">Good Clinical Practice </w:t>
      </w:r>
      <w:r w:rsidR="00A21FD6" w:rsidRPr="00C06CB6">
        <w:t>inspection conducted by the EMA.</w:t>
      </w:r>
    </w:p>
    <w:p w14:paraId="4B4DBD7D" w14:textId="77777777" w:rsidR="00A21FD6" w:rsidRPr="00055060" w:rsidRDefault="00C06CB6" w:rsidP="002E3695">
      <w:pPr>
        <w:pStyle w:val="ListBullet2"/>
      </w:pPr>
      <w:r>
        <w:t xml:space="preserve">Study </w:t>
      </w:r>
      <w:r w:rsidR="00A21FD6" w:rsidRPr="00C06CB6">
        <w:t>CUV017 (n</w:t>
      </w:r>
      <w:r>
        <w:t xml:space="preserve"> </w:t>
      </w:r>
      <w:r w:rsidR="00A21FD6" w:rsidRPr="00C06CB6">
        <w:t>=</w:t>
      </w:r>
      <w:r>
        <w:t xml:space="preserve"> </w:t>
      </w:r>
      <w:r w:rsidR="00A21FD6" w:rsidRPr="00C06CB6">
        <w:t>100):</w:t>
      </w:r>
      <w:r w:rsidR="00A21FD6" w:rsidRPr="00055060">
        <w:rPr>
          <w:b/>
          <w:bCs/>
        </w:rPr>
        <w:t xml:space="preserve"> </w:t>
      </w:r>
      <w:r w:rsidR="00A21FD6" w:rsidRPr="00055060">
        <w:t xml:space="preserve">A Phase III, </w:t>
      </w:r>
      <w:r w:rsidRPr="00055060">
        <w:t>multicentre, random</w:t>
      </w:r>
      <w:r>
        <w:t>is</w:t>
      </w:r>
      <w:r w:rsidRPr="00055060">
        <w:t>ed, placebo-controlled study to evaluate</w:t>
      </w:r>
      <w:r w:rsidR="00694F75">
        <w:t xml:space="preserve"> </w:t>
      </w:r>
      <w:r w:rsidRPr="00055060">
        <w:t xml:space="preserve">the safety and efficacy of subcutaneous </w:t>
      </w:r>
      <w:proofErr w:type="spellStart"/>
      <w:r w:rsidRPr="00055060">
        <w:t>bioresorbable</w:t>
      </w:r>
      <w:proofErr w:type="spellEnd"/>
      <w:r w:rsidRPr="00055060">
        <w:t xml:space="preserve"> </w:t>
      </w:r>
      <w:proofErr w:type="spellStart"/>
      <w:r w:rsidRPr="00055060">
        <w:t>afamelanotide</w:t>
      </w:r>
      <w:proofErr w:type="spellEnd"/>
      <w:r w:rsidRPr="00055060">
        <w:t xml:space="preserve"> implants in patients with</w:t>
      </w:r>
      <w:r>
        <w:t xml:space="preserve"> </w:t>
      </w:r>
      <w:proofErr w:type="spellStart"/>
      <w:r w:rsidRPr="00055060">
        <w:t>erythropoietic</w:t>
      </w:r>
      <w:proofErr w:type="spellEnd"/>
      <w:r w:rsidRPr="00055060">
        <w:t xml:space="preserve"> </w:t>
      </w:r>
      <w:proofErr w:type="spellStart"/>
      <w:r w:rsidRPr="00055060">
        <w:t>protoporphyria</w:t>
      </w:r>
      <w:proofErr w:type="spellEnd"/>
      <w:r w:rsidR="00A21FD6" w:rsidRPr="00055060">
        <w:t xml:space="preserve"> (EPP). This study was carried out in Australia, and several</w:t>
      </w:r>
      <w:r w:rsidR="00A21FD6">
        <w:t xml:space="preserve"> </w:t>
      </w:r>
      <w:r w:rsidR="00A21FD6" w:rsidRPr="00055060">
        <w:t>European countries. Efficacy was assessed in this multiple crossover study using data on</w:t>
      </w:r>
      <w:r w:rsidR="00A21FD6">
        <w:t xml:space="preserve"> </w:t>
      </w:r>
      <w:proofErr w:type="spellStart"/>
      <w:r w:rsidR="00A21FD6" w:rsidRPr="00055060">
        <w:t>phototoxicity</w:t>
      </w:r>
      <w:proofErr w:type="spellEnd"/>
      <w:r w:rsidR="00A21FD6" w:rsidRPr="00055060">
        <w:t xml:space="preserve"> recorded in patient diaries.</w:t>
      </w:r>
    </w:p>
    <w:p w14:paraId="006B515C" w14:textId="77777777" w:rsidR="00694F75" w:rsidRPr="00694F75" w:rsidRDefault="00694F75" w:rsidP="002E3695">
      <w:pPr>
        <w:pStyle w:val="ListBullet"/>
        <w:rPr>
          <w:b/>
          <w:lang w:eastAsia="ja-JP"/>
        </w:rPr>
      </w:pPr>
      <w:r>
        <w:t>Other studies:</w:t>
      </w:r>
    </w:p>
    <w:p w14:paraId="301CEDF2" w14:textId="77777777" w:rsidR="00A21FD6" w:rsidRPr="002441D1" w:rsidRDefault="00694F75" w:rsidP="002E3695">
      <w:pPr>
        <w:pStyle w:val="ListBullet2"/>
        <w:rPr>
          <w:b/>
          <w:lang w:eastAsia="ja-JP"/>
        </w:rPr>
      </w:pPr>
      <w:r>
        <w:t xml:space="preserve">Study CUV010 (n = 5): </w:t>
      </w:r>
      <w:r w:rsidR="00A21FD6" w:rsidRPr="00055060">
        <w:t xml:space="preserve">A Pilot, Phase II, </w:t>
      </w:r>
      <w:r>
        <w:t xml:space="preserve">open study </w:t>
      </w:r>
      <w:r w:rsidR="00A21FD6" w:rsidRPr="00055060">
        <w:t xml:space="preserve">to </w:t>
      </w:r>
      <w:r w:rsidR="00A21FD6">
        <w:t>e</w:t>
      </w:r>
      <w:r w:rsidR="00A21FD6" w:rsidRPr="00055060">
        <w:t xml:space="preserve">valuate the </w:t>
      </w:r>
      <w:r w:rsidR="00A21FD6">
        <w:t>s</w:t>
      </w:r>
      <w:r w:rsidR="00A21FD6" w:rsidRPr="00055060">
        <w:t xml:space="preserve">afety and </w:t>
      </w:r>
      <w:r w:rsidR="00A21FD6">
        <w:t>e</w:t>
      </w:r>
      <w:r w:rsidR="00A21FD6" w:rsidRPr="00055060">
        <w:t>fficacy of</w:t>
      </w:r>
      <w:r w:rsidR="00A21FD6">
        <w:t xml:space="preserve"> </w:t>
      </w:r>
      <w:r w:rsidRPr="00055060">
        <w:t xml:space="preserve">subcutaneous implants of </w:t>
      </w:r>
      <w:proofErr w:type="spellStart"/>
      <w:r w:rsidRPr="00055060">
        <w:t>afamelanotide</w:t>
      </w:r>
      <w:proofErr w:type="spellEnd"/>
      <w:r w:rsidRPr="00055060">
        <w:t xml:space="preserve"> </w:t>
      </w:r>
      <w:r w:rsidR="00A21FD6" w:rsidRPr="00055060">
        <w:t xml:space="preserve">in </w:t>
      </w:r>
      <w:r w:rsidR="00A21FD6">
        <w:t>5 p</w:t>
      </w:r>
      <w:r w:rsidR="00A21FD6" w:rsidRPr="00055060">
        <w:t>atients with EPP.</w:t>
      </w:r>
    </w:p>
    <w:p w14:paraId="60E1273E" w14:textId="77777777" w:rsidR="00A21FD6" w:rsidRPr="00055060" w:rsidRDefault="00A21FD6" w:rsidP="00A21FD6">
      <w:pPr>
        <w:autoSpaceDE w:val="0"/>
        <w:autoSpaceDN w:val="0"/>
        <w:adjustRightInd w:val="0"/>
        <w:spacing w:before="0" w:line="240" w:lineRule="auto"/>
        <w:rPr>
          <w:rFonts w:asciiTheme="minorHAnsi" w:eastAsiaTheme="minorHAnsi" w:hAnsiTheme="minorHAnsi"/>
          <w:color w:val="16181B"/>
        </w:rPr>
      </w:pPr>
      <w:r>
        <w:rPr>
          <w:rFonts w:asciiTheme="minorHAnsi" w:eastAsiaTheme="minorHAnsi" w:hAnsiTheme="minorHAnsi"/>
          <w:color w:val="16181B"/>
        </w:rPr>
        <w:t xml:space="preserve">Nine other studies were included in the submitted dossier; these studies evaluated use of </w:t>
      </w:r>
      <w:proofErr w:type="spellStart"/>
      <w:r>
        <w:rPr>
          <w:rFonts w:asciiTheme="minorHAnsi" w:eastAsiaTheme="minorHAnsi" w:hAnsiTheme="minorHAnsi"/>
          <w:color w:val="16181B"/>
        </w:rPr>
        <w:t>afamelanotide</w:t>
      </w:r>
      <w:proofErr w:type="spellEnd"/>
      <w:r>
        <w:rPr>
          <w:rFonts w:asciiTheme="minorHAnsi" w:eastAsiaTheme="minorHAnsi" w:hAnsiTheme="minorHAnsi"/>
          <w:color w:val="16181B"/>
        </w:rPr>
        <w:t xml:space="preserve"> in indications other than EPP such as polymorphous light eruption</w:t>
      </w:r>
      <w:r w:rsidR="00C06CB6">
        <w:rPr>
          <w:rFonts w:asciiTheme="minorHAnsi" w:eastAsiaTheme="minorHAnsi" w:hAnsiTheme="minorHAnsi"/>
          <w:color w:val="16181B"/>
        </w:rPr>
        <w:t>, vitiligo, and so on.</w:t>
      </w:r>
    </w:p>
    <w:p w14:paraId="38AB620F" w14:textId="5DE9C40A" w:rsidR="00A21FD6" w:rsidRPr="00055060" w:rsidRDefault="00A21FD6" w:rsidP="00A21FD6">
      <w:pPr>
        <w:autoSpaceDE w:val="0"/>
        <w:autoSpaceDN w:val="0"/>
        <w:adjustRightInd w:val="0"/>
        <w:spacing w:before="0" w:line="240" w:lineRule="auto"/>
        <w:rPr>
          <w:rFonts w:asciiTheme="minorHAnsi" w:eastAsiaTheme="minorHAnsi" w:hAnsiTheme="minorHAnsi"/>
          <w:color w:val="16181B"/>
        </w:rPr>
      </w:pPr>
      <w:r>
        <w:rPr>
          <w:rFonts w:asciiTheme="minorHAnsi" w:eastAsiaTheme="minorHAnsi" w:hAnsiTheme="minorHAnsi"/>
          <w:color w:val="16181B"/>
        </w:rPr>
        <w:t>Real World D</w:t>
      </w:r>
      <w:r w:rsidRPr="00055060">
        <w:rPr>
          <w:rFonts w:asciiTheme="minorHAnsi" w:eastAsiaTheme="minorHAnsi" w:hAnsiTheme="minorHAnsi"/>
          <w:color w:val="16181B"/>
        </w:rPr>
        <w:t xml:space="preserve">ata </w:t>
      </w:r>
      <w:r w:rsidR="00A77856">
        <w:rPr>
          <w:rFonts w:asciiTheme="minorHAnsi" w:eastAsiaTheme="minorHAnsi" w:hAnsiTheme="minorHAnsi"/>
          <w:color w:val="16181B"/>
        </w:rPr>
        <w:t xml:space="preserve">were </w:t>
      </w:r>
      <w:r w:rsidR="00C06CB6">
        <w:rPr>
          <w:rFonts w:asciiTheme="minorHAnsi" w:eastAsiaTheme="minorHAnsi" w:hAnsiTheme="minorHAnsi"/>
          <w:color w:val="16181B"/>
        </w:rPr>
        <w:t xml:space="preserve">included </w:t>
      </w:r>
      <w:r w:rsidRPr="00055060">
        <w:rPr>
          <w:rFonts w:asciiTheme="minorHAnsi" w:eastAsiaTheme="minorHAnsi" w:hAnsiTheme="minorHAnsi"/>
          <w:color w:val="16181B"/>
        </w:rPr>
        <w:t xml:space="preserve">from the </w:t>
      </w:r>
      <w:r w:rsidRPr="00055060">
        <w:rPr>
          <w:rFonts w:asciiTheme="minorHAnsi" w:eastAsiaTheme="minorHAnsi" w:hAnsiTheme="minorHAnsi"/>
          <w:color w:val="282A2D"/>
        </w:rPr>
        <w:t xml:space="preserve">annual </w:t>
      </w:r>
      <w:r w:rsidRPr="00055060">
        <w:rPr>
          <w:rFonts w:asciiTheme="minorHAnsi" w:eastAsiaTheme="minorHAnsi" w:hAnsiTheme="minorHAnsi"/>
          <w:color w:val="16181B"/>
        </w:rPr>
        <w:t xml:space="preserve">report of the post-authorisation </w:t>
      </w:r>
      <w:r w:rsidRPr="00055060">
        <w:rPr>
          <w:rFonts w:asciiTheme="minorHAnsi" w:eastAsiaTheme="minorHAnsi" w:hAnsiTheme="minorHAnsi"/>
          <w:color w:val="282A2D"/>
        </w:rPr>
        <w:t xml:space="preserve">safety study </w:t>
      </w:r>
      <w:r w:rsidRPr="00055060">
        <w:rPr>
          <w:rFonts w:asciiTheme="minorHAnsi" w:eastAsiaTheme="minorHAnsi" w:hAnsiTheme="minorHAnsi"/>
          <w:color w:val="16181B"/>
        </w:rPr>
        <w:t xml:space="preserve">(PASS) currently being undertaken in Europe </w:t>
      </w:r>
      <w:r w:rsidRPr="00055060">
        <w:rPr>
          <w:rFonts w:asciiTheme="minorHAnsi" w:eastAsiaTheme="minorHAnsi" w:hAnsiTheme="minorHAnsi"/>
          <w:color w:val="282A2D"/>
        </w:rPr>
        <w:t xml:space="preserve">and </w:t>
      </w:r>
      <w:r w:rsidRPr="00055060">
        <w:rPr>
          <w:rFonts w:asciiTheme="minorHAnsi" w:eastAsiaTheme="minorHAnsi" w:hAnsiTheme="minorHAnsi"/>
          <w:color w:val="16181B"/>
        </w:rPr>
        <w:t xml:space="preserve">the most recent </w:t>
      </w:r>
      <w:r w:rsidR="00694F75">
        <w:rPr>
          <w:rFonts w:asciiTheme="minorHAnsi" w:eastAsiaTheme="minorHAnsi" w:hAnsiTheme="minorHAnsi"/>
          <w:color w:val="16181B"/>
        </w:rPr>
        <w:t>periodic benefit</w:t>
      </w:r>
      <w:r w:rsidR="00694F75">
        <w:rPr>
          <w:rFonts w:asciiTheme="minorHAnsi" w:eastAsiaTheme="minorHAnsi" w:hAnsiTheme="minorHAnsi"/>
          <w:color w:val="16181B"/>
        </w:rPr>
        <w:noBreakHyphen/>
        <w:t>risk evaluation report (</w:t>
      </w:r>
      <w:r w:rsidRPr="00055060">
        <w:rPr>
          <w:rFonts w:asciiTheme="minorHAnsi" w:eastAsiaTheme="minorHAnsi" w:hAnsiTheme="minorHAnsi"/>
          <w:color w:val="16181B"/>
        </w:rPr>
        <w:t>PBRER</w:t>
      </w:r>
      <w:r w:rsidR="00694F75">
        <w:rPr>
          <w:rFonts w:asciiTheme="minorHAnsi" w:eastAsiaTheme="minorHAnsi" w:hAnsiTheme="minorHAnsi"/>
          <w:color w:val="16181B"/>
        </w:rPr>
        <w:t>)</w:t>
      </w:r>
      <w:r w:rsidRPr="00055060">
        <w:rPr>
          <w:rFonts w:asciiTheme="minorHAnsi" w:eastAsiaTheme="minorHAnsi" w:hAnsiTheme="minorHAnsi"/>
          <w:color w:val="16181B"/>
        </w:rPr>
        <w:t>/PSUR.</w:t>
      </w:r>
    </w:p>
    <w:p w14:paraId="21DDA43B" w14:textId="41F6B056" w:rsidR="00A21FD6" w:rsidRPr="00C06CB6" w:rsidRDefault="00C06CB6" w:rsidP="00C06CB6">
      <w:pPr>
        <w:spacing w:before="0" w:line="240" w:lineRule="auto"/>
        <w:rPr>
          <w:rFonts w:asciiTheme="minorHAnsi" w:eastAsiaTheme="minorHAnsi" w:hAnsiTheme="minorHAnsi"/>
          <w:color w:val="16181B"/>
        </w:rPr>
      </w:pPr>
      <w:r>
        <w:lastRenderedPageBreak/>
        <w:t>In addition, the submission included a quality summary, nonclinical overview, c</w:t>
      </w:r>
      <w:r w:rsidRPr="00A21FD6">
        <w:t>linical overview, clinical summaries (of clinical pharmacology, efficacy and safety),</w:t>
      </w:r>
      <w:r w:rsidR="009B4508">
        <w:t xml:space="preserve"> </w:t>
      </w:r>
      <w:r w:rsidR="00531D95">
        <w:t xml:space="preserve">123 </w:t>
      </w:r>
      <w:r w:rsidRPr="00A21FD6">
        <w:t>literature references</w:t>
      </w:r>
      <w:r>
        <w:t>,</w:t>
      </w:r>
      <w:r w:rsidRPr="00A21FD6">
        <w:t xml:space="preserve"> and </w:t>
      </w:r>
      <w:r>
        <w:t>synopses of individual studies.</w:t>
      </w:r>
    </w:p>
    <w:p w14:paraId="4EF2298C" w14:textId="77777777" w:rsidR="00D95D96" w:rsidRDefault="00D95D96" w:rsidP="00D95D96">
      <w:pPr>
        <w:pStyle w:val="Heading4"/>
      </w:pPr>
      <w:r>
        <w:t>Pharmacology</w:t>
      </w:r>
    </w:p>
    <w:p w14:paraId="3B30CFF4" w14:textId="2598DF35" w:rsidR="00D95D96" w:rsidRDefault="00D95D96" w:rsidP="00D95D96">
      <w:proofErr w:type="spellStart"/>
      <w:r>
        <w:t>Afamelanotide</w:t>
      </w:r>
      <w:proofErr w:type="spellEnd"/>
      <w:r>
        <w:t xml:space="preserve"> is a polypeptide analog</w:t>
      </w:r>
      <w:r w:rsidR="006A4EA3">
        <w:t>ue</w:t>
      </w:r>
      <w:r w:rsidR="004D6F28">
        <w:t xml:space="preserve"> of </w:t>
      </w:r>
      <w:r>
        <w:t>MSH which has t</w:t>
      </w:r>
      <w:r w:rsidR="002E3695">
        <w:t>wo substitutions in positions 4 and 7 of the chain.</w:t>
      </w:r>
    </w:p>
    <w:p w14:paraId="5AA6934A" w14:textId="300FE4A8" w:rsidR="00D95D96" w:rsidRDefault="00D95D96" w:rsidP="00D95D96">
      <w:r>
        <w:t>MSH is a pituitary hormone but in humans it can also be induc</w:t>
      </w:r>
      <w:r w:rsidR="002E3695">
        <w:t>ed in the skin by exposure to ultraviolet</w:t>
      </w:r>
      <w:r>
        <w:t xml:space="preserve"> light independent of its central secretion. </w:t>
      </w:r>
      <w:proofErr w:type="spellStart"/>
      <w:r>
        <w:t>Afamelanotide</w:t>
      </w:r>
      <w:proofErr w:type="spellEnd"/>
      <w:r>
        <w:t xml:space="preserve"> </w:t>
      </w:r>
      <w:r w:rsidR="004D6F28">
        <w:t xml:space="preserve">is more stable than naturally </w:t>
      </w:r>
      <w:r>
        <w:t>MSH and is able to act on melanocytes for longer.</w:t>
      </w:r>
    </w:p>
    <w:p w14:paraId="436D5AF2" w14:textId="77777777" w:rsidR="00D95D96" w:rsidRDefault="00D95D96" w:rsidP="00D95D96">
      <w:r>
        <w:t xml:space="preserve">The sponsor has conducted several studies which include developmental formulations and doses of </w:t>
      </w:r>
      <w:proofErr w:type="spellStart"/>
      <w:r>
        <w:t>afamelanotide</w:t>
      </w:r>
      <w:proofErr w:type="spellEnd"/>
      <w:r>
        <w:t xml:space="preserve"> as well as that proposed for marketing. The most significant of these formulations are the ‘previous pr</w:t>
      </w:r>
      <w:r w:rsidR="002E3695">
        <w:t>ocess’ formulation used in the PK-</w:t>
      </w:r>
      <w:r>
        <w:t xml:space="preserve"> and </w:t>
      </w:r>
      <w:r w:rsidR="002E3695">
        <w:t>PD-based</w:t>
      </w:r>
      <w:r>
        <w:t xml:space="preserve"> studies (Studies CUV006, CUV007 and CUV009), as well as the efficacy trials. The ‘optimised process’ is that which is proposed for marketing. Study CUV028 examined the bioequivalence between these formulations.</w:t>
      </w:r>
    </w:p>
    <w:p w14:paraId="5546C051" w14:textId="77777777" w:rsidR="00D95D96" w:rsidRDefault="00D95D96" w:rsidP="00D95D96">
      <w:pPr>
        <w:pStyle w:val="Heading5"/>
      </w:pPr>
      <w:r>
        <w:t>Pharmacokinetics</w:t>
      </w:r>
    </w:p>
    <w:p w14:paraId="164CCB6E" w14:textId="77777777" w:rsidR="00D95D96" w:rsidRDefault="00D95D96" w:rsidP="00CF7709">
      <w:pPr>
        <w:pStyle w:val="Heading6"/>
      </w:pPr>
      <w:r>
        <w:t>Comparison of developmental and marketing formulations</w:t>
      </w:r>
    </w:p>
    <w:p w14:paraId="1B24F2EF" w14:textId="1494BB63" w:rsidR="00D95D96" w:rsidRDefault="007429D8" w:rsidP="00D95D96">
      <w:r>
        <w:t>Study CUV</w:t>
      </w:r>
      <w:r w:rsidR="002F295D">
        <w:t>0</w:t>
      </w:r>
      <w:r>
        <w:t>28</w:t>
      </w:r>
      <w:r w:rsidR="00D95D96">
        <w:t xml:space="preserve"> included 24 heal</w:t>
      </w:r>
      <w:r w:rsidR="00CF7709">
        <w:t xml:space="preserve">thy Caucasian subjected aged 18 to </w:t>
      </w:r>
      <w:r w:rsidR="00D95D96">
        <w:t>45 years of age. Subjects received either 16</w:t>
      </w:r>
      <w:r w:rsidR="00CF7709">
        <w:t> </w:t>
      </w:r>
      <w:r w:rsidR="00D95D96">
        <w:t>mg of the ‘previous process</w:t>
      </w:r>
      <w:r w:rsidR="00CF7709">
        <w:t xml:space="preserve">’ developmental formulation of </w:t>
      </w:r>
      <w:proofErr w:type="spellStart"/>
      <w:r w:rsidR="00CF7709">
        <w:t>a</w:t>
      </w:r>
      <w:r w:rsidR="00D95D96">
        <w:t>famelanotide</w:t>
      </w:r>
      <w:proofErr w:type="spellEnd"/>
      <w:r w:rsidR="00D95D96">
        <w:t xml:space="preserve"> or the ‘optimised process’ formulatio</w:t>
      </w:r>
      <w:r w:rsidR="00CF7709">
        <w:t>n intended for marketing. Blood </w:t>
      </w:r>
      <w:r w:rsidR="00D95D96">
        <w:t>samples were taken up to 60 days post-implantation.</w:t>
      </w:r>
    </w:p>
    <w:p w14:paraId="73888899" w14:textId="18833F1D" w:rsidR="007429D8" w:rsidRDefault="007429D8" w:rsidP="007429D8">
      <w:pPr>
        <w:pStyle w:val="TableTitle"/>
      </w:pPr>
      <w:r>
        <w:t xml:space="preserve">Table </w:t>
      </w:r>
      <w:r w:rsidR="00F92033">
        <w:fldChar w:fldCharType="begin"/>
      </w:r>
      <w:r w:rsidR="00F92033">
        <w:instrText xml:space="preserve"> SEQ Table \* ARABIC </w:instrText>
      </w:r>
      <w:r w:rsidR="00F92033">
        <w:fldChar w:fldCharType="separate"/>
      </w:r>
      <w:r w:rsidR="00B668C9">
        <w:rPr>
          <w:noProof/>
        </w:rPr>
        <w:t>2</w:t>
      </w:r>
      <w:r w:rsidR="00F92033">
        <w:rPr>
          <w:noProof/>
        </w:rPr>
        <w:fldChar w:fldCharType="end"/>
      </w:r>
      <w:r>
        <w:t>: Study CUV028 Pharmacokinetic results</w:t>
      </w:r>
    </w:p>
    <w:p w14:paraId="57ED4440" w14:textId="77777777" w:rsidR="007429D8" w:rsidRDefault="007429D8" w:rsidP="00D95D96">
      <w:r w:rsidRPr="00BD3C4A">
        <w:rPr>
          <w:rFonts w:ascii="Calibri" w:hAnsi="Calibri"/>
          <w:b/>
          <w:i/>
          <w:noProof/>
          <w:sz w:val="20"/>
          <w:szCs w:val="20"/>
          <w:lang w:eastAsia="en-AU"/>
        </w:rPr>
        <w:drawing>
          <wp:inline distT="0" distB="0" distL="0" distR="0" wp14:anchorId="21948CB7" wp14:editId="5AE70758">
            <wp:extent cx="4985385" cy="2119505"/>
            <wp:effectExtent l="0" t="0" r="5715" b="0"/>
            <wp:docPr id="28" name="Picture 28" descr="Table 2: Study CUV028 Pharmacokinetic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7277"/>
                    <a:stretch/>
                  </pic:blipFill>
                  <pic:spPr bwMode="auto">
                    <a:xfrm>
                      <a:off x="0" y="0"/>
                      <a:ext cx="4989333" cy="2121183"/>
                    </a:xfrm>
                    <a:prstGeom prst="rect">
                      <a:avLst/>
                    </a:prstGeom>
                    <a:noFill/>
                    <a:ln>
                      <a:noFill/>
                    </a:ln>
                    <a:extLst>
                      <a:ext uri="{53640926-AAD7-44D8-BBD7-CCE9431645EC}">
                        <a14:shadowObscured xmlns:a14="http://schemas.microsoft.com/office/drawing/2010/main"/>
                      </a:ext>
                    </a:extLst>
                  </pic:spPr>
                </pic:pic>
              </a:graphicData>
            </a:graphic>
          </wp:inline>
        </w:drawing>
      </w:r>
    </w:p>
    <w:p w14:paraId="44603007" w14:textId="77777777" w:rsidR="007429D8" w:rsidRDefault="007429D8" w:rsidP="007429D8">
      <w:pPr>
        <w:pStyle w:val="TableDescription"/>
      </w:pPr>
      <w:proofErr w:type="spellStart"/>
      <w:r>
        <w:t>C</w:t>
      </w:r>
      <w:r w:rsidRPr="007429D8">
        <w:rPr>
          <w:vertAlign w:val="subscript"/>
        </w:rPr>
        <w:t>max</w:t>
      </w:r>
      <w:proofErr w:type="spellEnd"/>
      <w:r>
        <w:t xml:space="preserve"> = maximum concentration; </w:t>
      </w:r>
      <w:proofErr w:type="spellStart"/>
      <w:r>
        <w:t>T</w:t>
      </w:r>
      <w:r w:rsidRPr="007429D8">
        <w:rPr>
          <w:vertAlign w:val="subscript"/>
        </w:rPr>
        <w:t>max</w:t>
      </w:r>
      <w:proofErr w:type="spellEnd"/>
      <w:r>
        <w:t xml:space="preserve"> = time of maximum concentration; </w:t>
      </w:r>
      <w:proofErr w:type="gramStart"/>
      <w:r>
        <w:t>AUC</w:t>
      </w:r>
      <w:r w:rsidRPr="007429D8">
        <w:rPr>
          <w:vertAlign w:val="subscript"/>
        </w:rPr>
        <w:t>(</w:t>
      </w:r>
      <w:proofErr w:type="gramEnd"/>
      <w:r w:rsidRPr="007429D8">
        <w:rPr>
          <w:vertAlign w:val="subscript"/>
        </w:rPr>
        <w:t>0-last)</w:t>
      </w:r>
      <w:r>
        <w:t xml:space="preserve"> = area under the curve from time zero to last recording measurement; AUC</w:t>
      </w:r>
      <w:r w:rsidRPr="007429D8">
        <w:rPr>
          <w:vertAlign w:val="subscript"/>
        </w:rPr>
        <w:t>(0-∞)</w:t>
      </w:r>
      <w:r>
        <w:t xml:space="preserve"> = area under the curve from time zero extrapolated to infinity.</w:t>
      </w:r>
    </w:p>
    <w:p w14:paraId="391F6225" w14:textId="77777777" w:rsidR="007429D8" w:rsidRDefault="007429D8" w:rsidP="007429D8">
      <w:pPr>
        <w:pStyle w:val="TableDescription"/>
      </w:pPr>
      <w:r>
        <w:t>*Denotes results excluding one subject</w:t>
      </w:r>
    </w:p>
    <w:p w14:paraId="04050AF9" w14:textId="3CB8044B" w:rsidR="00D95D96" w:rsidRDefault="00CF7709" w:rsidP="00D95D96">
      <w:r w:rsidRPr="00CF7709">
        <w:t>Blood levels were higher in the ‘optimised process’ formulation intended for marketing than in the ‘previous process’ formulation used in tri</w:t>
      </w:r>
      <w:r>
        <w:t xml:space="preserve">als. However, plasma levels of </w:t>
      </w:r>
      <w:proofErr w:type="spellStart"/>
      <w:r>
        <w:t>a</w:t>
      </w:r>
      <w:r w:rsidRPr="00CF7709">
        <w:t>famelano</w:t>
      </w:r>
      <w:r>
        <w:t>tide</w:t>
      </w:r>
      <w:proofErr w:type="spellEnd"/>
      <w:r>
        <w:t xml:space="preserve"> were not detectable after</w:t>
      </w:r>
      <w:r w:rsidR="008D3077">
        <w:t xml:space="preserve"> Day 4 in group 1 or Day 7 in group 2</w:t>
      </w:r>
      <w:r w:rsidRPr="00725A9D">
        <w:t>.</w:t>
      </w:r>
      <w:r>
        <w:t xml:space="preserve"> The clinical e</w:t>
      </w:r>
      <w:r w:rsidRPr="00CF7709">
        <w:t xml:space="preserve">valuator has noted that the difference </w:t>
      </w:r>
      <w:r>
        <w:t xml:space="preserve">in the initial blood levels of </w:t>
      </w:r>
      <w:proofErr w:type="spellStart"/>
      <w:r>
        <w:t>a</w:t>
      </w:r>
      <w:r w:rsidRPr="00CF7709">
        <w:t>famelanotide</w:t>
      </w:r>
      <w:proofErr w:type="spellEnd"/>
      <w:r w:rsidRPr="00CF7709">
        <w:t xml:space="preserve"> are unlikely to be clinically significant, and the Delegate agrees with this as levels seem to equalise over the majority of th</w:t>
      </w:r>
      <w:r>
        <w:t>e dosing period (being below the limit of quantitation (LOQ)</w:t>
      </w:r>
      <w:r w:rsidRPr="00CF7709">
        <w:t>).</w:t>
      </w:r>
    </w:p>
    <w:p w14:paraId="5082AAA7" w14:textId="77777777" w:rsidR="00CF7709" w:rsidRDefault="00CF7709" w:rsidP="00CF7709">
      <w:pPr>
        <w:pStyle w:val="Heading6"/>
      </w:pPr>
      <w:r>
        <w:lastRenderedPageBreak/>
        <w:t>General pharmacokinetics</w:t>
      </w:r>
    </w:p>
    <w:p w14:paraId="3FD9AB59" w14:textId="77777777" w:rsidR="00CF7709" w:rsidRDefault="00CF7709" w:rsidP="00CF7709">
      <w:r>
        <w:t>Overall, the time of maximum concentration (</w:t>
      </w:r>
      <w:proofErr w:type="spellStart"/>
      <w:r>
        <w:t>T</w:t>
      </w:r>
      <w:r w:rsidRPr="00CF7709">
        <w:rPr>
          <w:vertAlign w:val="subscript"/>
        </w:rPr>
        <w:t>max</w:t>
      </w:r>
      <w:proofErr w:type="spellEnd"/>
      <w:r>
        <w:t>) occurred at a median of 36 hours (24.1 to 49.6 hours) in healthy volunteers, but drug levels fell to below the LOQ within a few days. This suggests an initial rapid release of drug from the implant followed by a more sustained release over the remaining dosing period. Due of the difficulty of quantification, the terminal elimination half-life has been estimated from the initial area under the curve (AUC) as approximately 15 hours. However detailed studies of the metabolic fate of the product have not been conducted.</w:t>
      </w:r>
    </w:p>
    <w:p w14:paraId="1C8F57A4" w14:textId="73FCAAC2" w:rsidR="00CF7709" w:rsidRDefault="00CF7709" w:rsidP="00CF7709">
      <w:r>
        <w:t>Dose-escalation was examined in 30 healthy subjects administered between 5</w:t>
      </w:r>
      <w:r w:rsidR="004D2A86">
        <w:t> </w:t>
      </w:r>
      <w:r>
        <w:t>mg and 20</w:t>
      </w:r>
      <w:r w:rsidR="004D2A86">
        <w:t xml:space="preserve"> mg </w:t>
      </w:r>
      <w:proofErr w:type="spellStart"/>
      <w:r w:rsidR="004D2A86">
        <w:t>a</w:t>
      </w:r>
      <w:r>
        <w:t>famelanotide</w:t>
      </w:r>
      <w:proofErr w:type="spellEnd"/>
      <w:r>
        <w:t xml:space="preserve"> using non-market-formulation slo</w:t>
      </w:r>
      <w:r w:rsidR="007429D8">
        <w:t>w-release implants (Study EP004</w:t>
      </w:r>
      <w:r>
        <w:t xml:space="preserve">). The majority of blood samples did not allow quantification of </w:t>
      </w:r>
      <w:r w:rsidR="007429D8">
        <w:t>PK</w:t>
      </w:r>
      <w:r>
        <w:t xml:space="preserve"> endpoints. However, increased melanin density was observed with increasing dose</w:t>
      </w:r>
      <w:r w:rsidR="004D2A86">
        <w:t>.</w:t>
      </w:r>
    </w:p>
    <w:p w14:paraId="4221EE0B" w14:textId="77777777" w:rsidR="00CF7709" w:rsidRDefault="00CF7709" w:rsidP="00CF7709">
      <w:pPr>
        <w:pStyle w:val="Heading5"/>
      </w:pPr>
      <w:r>
        <w:t>Pharmacodynamics</w:t>
      </w:r>
    </w:p>
    <w:p w14:paraId="2AB5F011" w14:textId="4F960532" w:rsidR="00CF7709" w:rsidRDefault="00F457CF" w:rsidP="00CF7709">
      <w:r>
        <w:t>Study CUV006</w:t>
      </w:r>
      <w:r w:rsidR="00CF7709">
        <w:t xml:space="preserve"> examined the melanogenic effect of non-for-market </w:t>
      </w:r>
      <w:r w:rsidR="00207851">
        <w:t xml:space="preserve">controlled </w:t>
      </w:r>
      <w:r w:rsidR="00CF7709">
        <w:t>release implants of 16</w:t>
      </w:r>
      <w:r w:rsidR="004D2A86">
        <w:t> </w:t>
      </w:r>
      <w:r w:rsidR="00CF7709">
        <w:t>mg and 20</w:t>
      </w:r>
      <w:r w:rsidR="004D2A86">
        <w:t> </w:t>
      </w:r>
      <w:r w:rsidR="00CF7709">
        <w:t xml:space="preserve">mg in 12 healthy volunteers with </w:t>
      </w:r>
      <w:r w:rsidR="00CF7709" w:rsidRPr="00F457CF">
        <w:t>Fitzpatrick skin types I to III.</w:t>
      </w:r>
      <w:r w:rsidRPr="00F457CF">
        <w:rPr>
          <w:rStyle w:val="FootnoteReference"/>
        </w:rPr>
        <w:footnoteReference w:id="10"/>
      </w:r>
    </w:p>
    <w:p w14:paraId="20C78E60" w14:textId="77777777" w:rsidR="004D2A86" w:rsidRDefault="004D2A86" w:rsidP="00CF7709">
      <w:r w:rsidRPr="004D2A86">
        <w:t>There was a sustained increase in melanin density over time which was comparable between the 16</w:t>
      </w:r>
      <w:r w:rsidR="005C564F">
        <w:t xml:space="preserve"> </w:t>
      </w:r>
      <w:r w:rsidRPr="004D2A86">
        <w:t>m</w:t>
      </w:r>
      <w:r>
        <w:t>g and 20</w:t>
      </w:r>
      <w:r w:rsidR="005C564F">
        <w:t xml:space="preserve"> mg dose forms examined, as shown in Figure 1, below.</w:t>
      </w:r>
    </w:p>
    <w:p w14:paraId="22ADB651" w14:textId="65C7792A" w:rsidR="00CA7D9E" w:rsidRDefault="00CA7D9E" w:rsidP="00CA7D9E">
      <w:pPr>
        <w:pStyle w:val="FigureTitle"/>
      </w:pPr>
      <w:r>
        <w:t xml:space="preserve">Figure </w:t>
      </w:r>
      <w:r w:rsidR="00F92033">
        <w:fldChar w:fldCharType="begin"/>
      </w:r>
      <w:r w:rsidR="00F92033">
        <w:instrText xml:space="preserve"> SEQ Figure \* ARABIC </w:instrText>
      </w:r>
      <w:r w:rsidR="00F92033">
        <w:fldChar w:fldCharType="separate"/>
      </w:r>
      <w:r w:rsidR="0049676A">
        <w:rPr>
          <w:noProof/>
        </w:rPr>
        <w:t>1</w:t>
      </w:r>
      <w:r w:rsidR="00F92033">
        <w:rPr>
          <w:noProof/>
        </w:rPr>
        <w:fldChar w:fldCharType="end"/>
      </w:r>
      <w:r>
        <w:t xml:space="preserve">: Study CUV006 </w:t>
      </w:r>
      <w:proofErr w:type="spellStart"/>
      <w:r>
        <w:t>Pharmacodynamic</w:t>
      </w:r>
      <w:proofErr w:type="spellEnd"/>
      <w:r>
        <w:t xml:space="preserve"> response (change in melanin density on sun exposed areas) following administration of 10 mg, 16 mg and 20 mg strengths of </w:t>
      </w:r>
      <w:proofErr w:type="spellStart"/>
      <w:r>
        <w:t>afam</w:t>
      </w:r>
      <w:r w:rsidR="0034260A">
        <w:t>e</w:t>
      </w:r>
      <w:r>
        <w:t>l</w:t>
      </w:r>
      <w:r w:rsidR="0034260A">
        <w:t>a</w:t>
      </w:r>
      <w:r>
        <w:t>notide</w:t>
      </w:r>
      <w:proofErr w:type="spellEnd"/>
      <w:r>
        <w:t xml:space="preserve"> implants</w:t>
      </w:r>
    </w:p>
    <w:p w14:paraId="7D38192A" w14:textId="19FCB12C" w:rsidR="004D2A86" w:rsidRDefault="001B2721" w:rsidP="00CF7709">
      <w:r>
        <w:rPr>
          <w:noProof/>
          <w:lang w:eastAsia="en-AU"/>
        </w:rPr>
        <w:drawing>
          <wp:inline distT="0" distB="0" distL="0" distR="0" wp14:anchorId="0E259CF6" wp14:editId="5D0A3135">
            <wp:extent cx="5247640" cy="3458845"/>
            <wp:effectExtent l="0" t="0" r="0" b="8255"/>
            <wp:docPr id="4" name="Picture 4" descr="Study CUV006: Graph to show the pharmacodynamic response (change in melanin density on sun exposed areas) following administration of 10 mg, 16 mg and 20 mg strengths of afamalenotide im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C2AC8-D0CE-4CEA-A0AE-3FD63135B430" descr="cid:7C1D486D-6527-423F-B5B1-41AAC7E1F4F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47640" cy="3458845"/>
                    </a:xfrm>
                    <a:prstGeom prst="rect">
                      <a:avLst/>
                    </a:prstGeom>
                    <a:noFill/>
                    <a:ln>
                      <a:noFill/>
                    </a:ln>
                  </pic:spPr>
                </pic:pic>
              </a:graphicData>
            </a:graphic>
          </wp:inline>
        </w:drawing>
      </w:r>
    </w:p>
    <w:p w14:paraId="6C2A54FE" w14:textId="77777777" w:rsidR="004D2A86" w:rsidRDefault="004D2A86" w:rsidP="004D2A86">
      <w:pPr>
        <w:pStyle w:val="FigureDescription"/>
      </w:pPr>
      <w:r>
        <w:t xml:space="preserve">Note: A change in melanin density of 1.0 corresponds to an increase by 30%. The </w:t>
      </w:r>
      <w:r w:rsidRPr="004D2A86">
        <w:t>10</w:t>
      </w:r>
      <w:r>
        <w:t> </w:t>
      </w:r>
      <w:r w:rsidRPr="004D2A86">
        <w:t xml:space="preserve">mg dose results </w:t>
      </w:r>
      <w:r>
        <w:t>are from S</w:t>
      </w:r>
      <w:r w:rsidRPr="004D2A86">
        <w:t>tudy CUV007, not described in this document.</w:t>
      </w:r>
    </w:p>
    <w:p w14:paraId="2F0B947A" w14:textId="77777777" w:rsidR="004D2A86" w:rsidRDefault="004D2A86" w:rsidP="004D2A86">
      <w:pPr>
        <w:pStyle w:val="FigureDescription"/>
      </w:pPr>
      <w:r>
        <w:t>Figure source: Figure 2, p108 of the EPAR.</w:t>
      </w:r>
      <w:bookmarkStart w:id="40" w:name="_Ref61511112"/>
      <w:r w:rsidR="00BF75C0">
        <w:rPr>
          <w:rStyle w:val="FootnoteReference"/>
        </w:rPr>
        <w:footnoteReference w:id="11"/>
      </w:r>
      <w:bookmarkEnd w:id="40"/>
    </w:p>
    <w:p w14:paraId="6A4BDE11" w14:textId="77777777" w:rsidR="00BD05B1" w:rsidRDefault="00BD05B1" w:rsidP="00BD05B1">
      <w:pPr>
        <w:pStyle w:val="Heading4"/>
      </w:pPr>
      <w:r>
        <w:lastRenderedPageBreak/>
        <w:t>Efficacy</w:t>
      </w:r>
    </w:p>
    <w:p w14:paraId="7B931288" w14:textId="77777777" w:rsidR="008D1ED2" w:rsidRPr="008D1ED2" w:rsidRDefault="008D1ED2" w:rsidP="008D1ED2">
      <w:pPr>
        <w:pStyle w:val="Heading5"/>
      </w:pPr>
      <w:r>
        <w:t>Study CUV039</w:t>
      </w:r>
    </w:p>
    <w:p w14:paraId="543ADBDF" w14:textId="77777777" w:rsidR="00BD05B1" w:rsidRDefault="00BD05B1" w:rsidP="00BD05B1">
      <w:r>
        <w:t xml:space="preserve">Pivotal efficacy data is provided by Study CUV039. This was a double-blinded randomised control trial that examined six months of treatment (3 x 2 monthly doses) in 93 subjects allocated 1:1 between active (n = 48) and placebo (n = 45) treatment. Patients in the active arm received </w:t>
      </w:r>
      <w:proofErr w:type="spellStart"/>
      <w:r>
        <w:t>afamelanotide</w:t>
      </w:r>
      <w:proofErr w:type="spellEnd"/>
      <w:r>
        <w:t xml:space="preserve"> 16 mg implants, and those in the placebo arm received dummy implants of the same size. Included patients had a confirmed diagnosis of EPP and had previously experienced phototoxic reactions. This study was conducted at 6 sites in the USA over the summer months.</w:t>
      </w:r>
    </w:p>
    <w:p w14:paraId="7111EC93" w14:textId="18B24E3D" w:rsidR="00BD05B1" w:rsidRDefault="00BD05B1" w:rsidP="00CA7D9E">
      <w:pPr>
        <w:pStyle w:val="FigureTitle"/>
      </w:pPr>
      <w:r>
        <w:t xml:space="preserve">Figure </w:t>
      </w:r>
      <w:r w:rsidR="00F92033">
        <w:fldChar w:fldCharType="begin"/>
      </w:r>
      <w:r w:rsidR="00F92033">
        <w:instrText xml:space="preserve"> SEQ Figure \* ARABIC </w:instrText>
      </w:r>
      <w:r w:rsidR="00F92033">
        <w:fldChar w:fldCharType="separate"/>
      </w:r>
      <w:r w:rsidR="0049676A">
        <w:rPr>
          <w:noProof/>
        </w:rPr>
        <w:t>2</w:t>
      </w:r>
      <w:r w:rsidR="00F92033">
        <w:rPr>
          <w:noProof/>
        </w:rPr>
        <w:fldChar w:fldCharType="end"/>
      </w:r>
      <w:r>
        <w:t xml:space="preserve">: Study CUV309 </w:t>
      </w:r>
      <w:r w:rsidRPr="00BD05B1">
        <w:t>Participant flow</w:t>
      </w:r>
    </w:p>
    <w:p w14:paraId="57ADB930" w14:textId="7D61FC97" w:rsidR="00BD05B1" w:rsidRDefault="001B2721" w:rsidP="00BD05B1">
      <w:r>
        <w:rPr>
          <w:noProof/>
          <w:lang w:eastAsia="en-AU"/>
        </w:rPr>
        <w:drawing>
          <wp:inline distT="0" distB="0" distL="0" distR="0" wp14:anchorId="33242125" wp14:editId="6B0EB4B7">
            <wp:extent cx="5400040" cy="4396740"/>
            <wp:effectExtent l="0" t="0" r="0" b="3810"/>
            <wp:docPr id="1" name="Picture 1" descr="Study CUV309: Participant flow throughtout the pivotal study. 97 subjects were assessed for elegibility, of which 93 were randomised. 48 were allocated to scenesse, 45 to placebo.&#10;Of 48 allocated to scenesse, 43 completed ( 3 discontinuted/incomplete intervention; 1 subject withdrew via physician decision; 2 via subject decision.&#10;Of 45 subjects randomised to placebo, 39 completed. 3 didnt complete placebo intervention, 2 lost to follow up 1 was due to physician deci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FCDC64-FD00-4D2E-A9EF-A15D00FAC92A" descr="cid:C5041C40-FC6D-43B2-AB18-B4D1E19D7EE5"/>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400040" cy="4396740"/>
                    </a:xfrm>
                    <a:prstGeom prst="rect">
                      <a:avLst/>
                    </a:prstGeom>
                    <a:noFill/>
                    <a:ln>
                      <a:noFill/>
                    </a:ln>
                  </pic:spPr>
                </pic:pic>
              </a:graphicData>
            </a:graphic>
          </wp:inline>
        </w:drawing>
      </w:r>
    </w:p>
    <w:p w14:paraId="3EA654F5" w14:textId="77777777" w:rsidR="00FD3A69" w:rsidRDefault="00FD3A69" w:rsidP="001D0E8E">
      <w:pPr>
        <w:pStyle w:val="FigureDescription"/>
      </w:pPr>
      <w:r>
        <w:t xml:space="preserve">ITT = Intent to treat; SC = subcutaneous; </w:t>
      </w:r>
      <w:proofErr w:type="spellStart"/>
      <w:r>
        <w:t>QoL</w:t>
      </w:r>
      <w:proofErr w:type="spellEnd"/>
      <w:r>
        <w:t xml:space="preserve"> = quality of life</w:t>
      </w:r>
      <w:proofErr w:type="gramStart"/>
      <w:r>
        <w:t>; ?</w:t>
      </w:r>
      <w:proofErr w:type="gramEnd"/>
      <w:r>
        <w:t xml:space="preserve"> = unknown/unspecified</w:t>
      </w:r>
    </w:p>
    <w:p w14:paraId="0E1611C6" w14:textId="77777777" w:rsidR="00BD05B1" w:rsidRDefault="00BD05B1" w:rsidP="001D0E8E">
      <w:pPr>
        <w:pStyle w:val="FigureDescription"/>
      </w:pPr>
      <w:r>
        <w:t>One patient was withdrawn prior to drug administration due to choroidal nevus in the left eye. The indicated clinical follow-up by an ophthalmologist was not provided for in the protocol.</w:t>
      </w:r>
    </w:p>
    <w:p w14:paraId="7FB49970" w14:textId="77777777" w:rsidR="00BD05B1" w:rsidRDefault="00BD05B1" w:rsidP="001D0E8E">
      <w:pPr>
        <w:pStyle w:val="FigureDescription"/>
      </w:pPr>
      <w:r>
        <w:t>+ Patient [ID redacted], Physician’s decision, clinical reasons not related to IMP, subject non</w:t>
      </w:r>
      <w:r>
        <w:noBreakHyphen/>
        <w:t>compliant with visit schedule, site unable to contact subject.</w:t>
      </w:r>
    </w:p>
    <w:p w14:paraId="4E6F6CF3" w14:textId="5C7FB676" w:rsidR="00BD05B1" w:rsidRDefault="001D0E8E" w:rsidP="001D0E8E">
      <w:pPr>
        <w:pStyle w:val="FigureDescription"/>
      </w:pPr>
      <w:r>
        <w:t xml:space="preserve">#Two </w:t>
      </w:r>
      <w:proofErr w:type="spellStart"/>
      <w:r w:rsidR="00811504">
        <w:t>Scenesse</w:t>
      </w:r>
      <w:proofErr w:type="spellEnd"/>
      <w:r w:rsidR="00706803">
        <w:t xml:space="preserve"> </w:t>
      </w:r>
      <w:r>
        <w:t>patients in the active group did not receive complete treatment: Patient [ID redacted], withdrawal of consent, reason not given, lost to follow-up, no early termination visit; patient [ID redacted] withdrawal of consent, reason not given.</w:t>
      </w:r>
    </w:p>
    <w:p w14:paraId="23B38B82" w14:textId="77777777" w:rsidR="001D0E8E" w:rsidRDefault="001D0E8E" w:rsidP="001D0E8E">
      <w:pPr>
        <w:pStyle w:val="FigureDescription"/>
      </w:pPr>
      <w:r>
        <w:t>°Three placebo patients did not receive complete allocated treatment: Patient [ID redacted], lost to follow-up; no early termination visit; Patient [ID redacted], Physician‘s decision Serious adverse event, clinical reasons not related to IMP; Patient [ID redacted], Patient lost to follow-up.</w:t>
      </w:r>
    </w:p>
    <w:p w14:paraId="39FBBCEA" w14:textId="6C34399F" w:rsidR="00BD05B1" w:rsidRDefault="00BD05B1" w:rsidP="001D0E8E">
      <w:pPr>
        <w:pStyle w:val="FigureDescription"/>
      </w:pPr>
      <w:r>
        <w:t xml:space="preserve">Figure source: Reproduced </w:t>
      </w:r>
      <w:r w:rsidRPr="00BD05B1">
        <w:t xml:space="preserve">from </w:t>
      </w:r>
      <w:r>
        <w:t xml:space="preserve">the </w:t>
      </w:r>
      <w:r w:rsidRPr="00BD05B1">
        <w:t>EPAR</w:t>
      </w:r>
      <w:r>
        <w:t xml:space="preserve"> for </w:t>
      </w:r>
      <w:proofErr w:type="spellStart"/>
      <w:r w:rsidR="00811504">
        <w:t>Scenesse</w:t>
      </w:r>
      <w:proofErr w:type="spellEnd"/>
      <w:r>
        <w:t>, p54.</w:t>
      </w:r>
      <w:r w:rsidR="00BF75C0" w:rsidRPr="00BF75C0">
        <w:rPr>
          <w:vertAlign w:val="superscript"/>
        </w:rPr>
        <w:fldChar w:fldCharType="begin"/>
      </w:r>
      <w:r w:rsidR="00BF75C0" w:rsidRPr="00BF75C0">
        <w:rPr>
          <w:vertAlign w:val="superscript"/>
        </w:rPr>
        <w:instrText xml:space="preserve"> NOTEREF _Ref61511112 \h  \* MERGEFORMAT </w:instrText>
      </w:r>
      <w:r w:rsidR="00BF75C0" w:rsidRPr="00BF75C0">
        <w:rPr>
          <w:vertAlign w:val="superscript"/>
        </w:rPr>
      </w:r>
      <w:r w:rsidR="00BF75C0" w:rsidRPr="00BF75C0">
        <w:rPr>
          <w:vertAlign w:val="superscript"/>
        </w:rPr>
        <w:fldChar w:fldCharType="separate"/>
      </w:r>
      <w:r w:rsidR="0049676A">
        <w:rPr>
          <w:vertAlign w:val="superscript"/>
        </w:rPr>
        <w:t>11</w:t>
      </w:r>
      <w:r w:rsidR="00BF75C0" w:rsidRPr="00BF75C0">
        <w:rPr>
          <w:vertAlign w:val="superscript"/>
        </w:rPr>
        <w:fldChar w:fldCharType="end"/>
      </w:r>
    </w:p>
    <w:p w14:paraId="098B29D0" w14:textId="15E84551" w:rsidR="004833B5" w:rsidRDefault="004833B5" w:rsidP="004833B5">
      <w:r>
        <w:lastRenderedPageBreak/>
        <w:t xml:space="preserve">The primary endpoint of Study CUV039 was the mean duration of direct sunlight exposure between 10:00 and 18:00 hours that patients did not report </w:t>
      </w:r>
      <w:proofErr w:type="spellStart"/>
      <w:r>
        <w:t>phototoxicity</w:t>
      </w:r>
      <w:proofErr w:type="spellEnd"/>
      <w:r>
        <w:t xml:space="preserve"> </w:t>
      </w:r>
      <w:r w:rsidR="009A6581">
        <w:t xml:space="preserve">related </w:t>
      </w:r>
      <w:r>
        <w:t>pain (Likert score of 0). Patients reported their pain for each 15 minute block of time spent outside, specifying whether it was in ‘</w:t>
      </w:r>
      <w:r w:rsidR="009A6581">
        <w:t xml:space="preserve">direct </w:t>
      </w:r>
      <w:r>
        <w:t>sunlight’ or ‘shade’ in a diary.</w:t>
      </w:r>
    </w:p>
    <w:p w14:paraId="3ACFCB02" w14:textId="59437B0E" w:rsidR="00AC1F8D" w:rsidRDefault="00AC1F8D" w:rsidP="00216D8B">
      <w:pPr>
        <w:pStyle w:val="FigureTitle"/>
      </w:pPr>
      <w:r>
        <w:t xml:space="preserve">Figure </w:t>
      </w:r>
      <w:r w:rsidR="00F92033">
        <w:fldChar w:fldCharType="begin"/>
      </w:r>
      <w:r w:rsidR="00F92033">
        <w:instrText xml:space="preserve"> SEQ Figure \* ARABIC </w:instrText>
      </w:r>
      <w:r w:rsidR="00F92033">
        <w:fldChar w:fldCharType="separate"/>
      </w:r>
      <w:r w:rsidR="0049676A">
        <w:rPr>
          <w:noProof/>
        </w:rPr>
        <w:t>3</w:t>
      </w:r>
      <w:r w:rsidR="00F92033">
        <w:rPr>
          <w:noProof/>
        </w:rPr>
        <w:fldChar w:fldCharType="end"/>
      </w:r>
      <w:r>
        <w:t xml:space="preserve">: </w:t>
      </w:r>
      <w:r w:rsidR="00216D8B">
        <w:t xml:space="preserve">Study CUV039 </w:t>
      </w:r>
      <w:r w:rsidRPr="00D27905">
        <w:t>Patient pain diary scoring between 0 and 10 and recording duration of daylight exposure</w:t>
      </w:r>
    </w:p>
    <w:p w14:paraId="50ABD947" w14:textId="46EEE88F" w:rsidR="00AC1F8D" w:rsidRDefault="001B2721" w:rsidP="004833B5">
      <w:r>
        <w:rPr>
          <w:noProof/>
          <w:lang w:eastAsia="en-AU"/>
        </w:rPr>
        <w:drawing>
          <wp:inline distT="0" distB="0" distL="0" distR="0" wp14:anchorId="36081B89" wp14:editId="2E37B0FD">
            <wp:extent cx="5400040" cy="3302000"/>
            <wp:effectExtent l="0" t="0" r="0" b="0"/>
            <wp:docPr id="2" name="Picture 2" descr="Figure 3: Study CUV039 Patient pain diary scoring between 0 and 10 and recording duration of daylight exposure.&#10;Q1. EPP monitoring;&#10;1.1 have you experienced any reactions to light today? Y/N&#10;1.2 If yes, please indicate on the scale bleow how bad your pain was from this reaction (0=no pain; 10= worst imaginable)&#10;&#10;2.TIme spent outdoors&#10;2.1 Did you spend any times outdoors today? Y/N&#10;2.2 If Yes, please eneter the time period you were in direct sunlight (each box represents 15 minutes). Time queried extends from 10:00 to 18:00.&#10;2.3 If yes, please enter the time period that you were in the s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7AB2F0-0D83-4711-99CD-674D031A9FF7" descr="cid:0293457E-DDCE-4E74-B9FE-80DA3B7095F6"/>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400040" cy="3302000"/>
                    </a:xfrm>
                    <a:prstGeom prst="rect">
                      <a:avLst/>
                    </a:prstGeom>
                    <a:noFill/>
                    <a:ln>
                      <a:noFill/>
                    </a:ln>
                  </pic:spPr>
                </pic:pic>
              </a:graphicData>
            </a:graphic>
          </wp:inline>
        </w:drawing>
      </w:r>
    </w:p>
    <w:p w14:paraId="6BBB528E" w14:textId="77777777" w:rsidR="004833B5" w:rsidRPr="004833B5" w:rsidRDefault="004833B5" w:rsidP="004833B5">
      <w:r>
        <w:t>The mean score was determined by the total duration of pain-free exposure divided by the number of days on the study.</w:t>
      </w:r>
    </w:p>
    <w:p w14:paraId="0C5B02A8" w14:textId="77777777" w:rsidR="004833B5" w:rsidRPr="004833B5" w:rsidRDefault="004833B5" w:rsidP="004833B5">
      <w:r>
        <w:t>Secondary endpoints in the study included:</w:t>
      </w:r>
    </w:p>
    <w:p w14:paraId="1A819E42" w14:textId="77777777" w:rsidR="008D1ED2" w:rsidRDefault="004833B5" w:rsidP="004833B5">
      <w:pPr>
        <w:pStyle w:val="ListBullet"/>
      </w:pPr>
      <w:r>
        <w:t>Duration of sun exposure (hours in direct sunlight) between 10:00 and 18:00 hours on days when no</w:t>
      </w:r>
      <w:r w:rsidR="008D1ED2">
        <w:t xml:space="preserve"> </w:t>
      </w:r>
      <w:r>
        <w:t>pain or mild pain wa</w:t>
      </w:r>
      <w:r w:rsidR="008D1ED2">
        <w:t xml:space="preserve">s experienced (pain scores of 0 to </w:t>
      </w:r>
      <w:r>
        <w:t>3)</w:t>
      </w:r>
    </w:p>
    <w:p w14:paraId="79A0F86E" w14:textId="77777777" w:rsidR="004E12D4" w:rsidRDefault="004833B5" w:rsidP="004833B5">
      <w:pPr>
        <w:pStyle w:val="ListBullet"/>
      </w:pPr>
      <w:r>
        <w:t>Duration of sun exposure (hours in direct sunlight) between 10:00 and 18:00 during the study</w:t>
      </w:r>
    </w:p>
    <w:p w14:paraId="2F67857B" w14:textId="77777777" w:rsidR="004833B5" w:rsidRDefault="004833B5" w:rsidP="004833B5">
      <w:pPr>
        <w:pStyle w:val="ListBullet"/>
      </w:pPr>
      <w:r>
        <w:t xml:space="preserve">Quality of life assessment score according to the </w:t>
      </w:r>
      <w:r w:rsidR="001A1B61">
        <w:t>Dermatology Life Quality Index (</w:t>
      </w:r>
      <w:r>
        <w:t>DLQI</w:t>
      </w:r>
      <w:r w:rsidR="001A1B61">
        <w:t>);</w:t>
      </w:r>
      <w:r w:rsidR="001A1B61">
        <w:rPr>
          <w:rStyle w:val="FootnoteReference"/>
        </w:rPr>
        <w:footnoteReference w:id="12"/>
      </w:r>
      <w:r>
        <w:t xml:space="preserve"> and EPP-</w:t>
      </w:r>
      <w:proofErr w:type="spellStart"/>
      <w:r>
        <w:t>QoL</w:t>
      </w:r>
      <w:proofErr w:type="spellEnd"/>
      <w:r>
        <w:t xml:space="preserve"> (original and revised version)</w:t>
      </w:r>
      <w:r w:rsidR="004E12D4">
        <w:t xml:space="preserve"> </w:t>
      </w:r>
      <w:r>
        <w:t>questionnaires</w:t>
      </w:r>
      <w:r w:rsidR="00BB4E89">
        <w:t>.</w:t>
      </w:r>
      <w:r w:rsidR="00BB4E89">
        <w:rPr>
          <w:rStyle w:val="FootnoteReference"/>
        </w:rPr>
        <w:footnoteReference w:id="13"/>
      </w:r>
    </w:p>
    <w:p w14:paraId="31787A5B" w14:textId="77777777" w:rsidR="004833B5" w:rsidRDefault="004833B5" w:rsidP="004833B5">
      <w:pPr>
        <w:pStyle w:val="ListBullet"/>
      </w:pPr>
      <w:proofErr w:type="spellStart"/>
      <w:r>
        <w:t>Photoprovocation</w:t>
      </w:r>
      <w:proofErr w:type="spellEnd"/>
      <w:r>
        <w:t xml:space="preserve"> (in a subset of patients): The minimum symptom dose following </w:t>
      </w:r>
      <w:proofErr w:type="spellStart"/>
      <w:r>
        <w:t>photoprovocation</w:t>
      </w:r>
      <w:proofErr w:type="spellEnd"/>
      <w:r w:rsidR="004E12D4">
        <w:t xml:space="preserve"> </w:t>
      </w:r>
      <w:r>
        <w:t xml:space="preserve">on the lower back and dorsal surface of the hand, determined using </w:t>
      </w:r>
      <w:r>
        <w:lastRenderedPageBreak/>
        <w:t>the irradiation dose of the light</w:t>
      </w:r>
      <w:r w:rsidR="004E12D4">
        <w:t xml:space="preserve"> </w:t>
      </w:r>
      <w:r>
        <w:t xml:space="preserve">source and the time to first development of symptoms at the site of </w:t>
      </w:r>
      <w:proofErr w:type="spellStart"/>
      <w:r>
        <w:t>photoprovocation</w:t>
      </w:r>
      <w:proofErr w:type="spellEnd"/>
    </w:p>
    <w:p w14:paraId="75FAB126" w14:textId="77777777" w:rsidR="004833B5" w:rsidRDefault="004833B5" w:rsidP="004E12D4">
      <w:pPr>
        <w:pStyle w:val="ListBullet"/>
      </w:pPr>
      <w:r>
        <w:t>Maximum and total pain severity scores (Likert scale) for phototoxic episodes.</w:t>
      </w:r>
    </w:p>
    <w:p w14:paraId="2D6AF292" w14:textId="77777777" w:rsidR="004833B5" w:rsidRDefault="004833B5" w:rsidP="004E12D4">
      <w:pPr>
        <w:pStyle w:val="ListBullet"/>
      </w:pPr>
      <w:r>
        <w:t>Number of phototoxic episodes during the study</w:t>
      </w:r>
    </w:p>
    <w:p w14:paraId="7AE896F0" w14:textId="77777777" w:rsidR="004833B5" w:rsidRDefault="004833B5" w:rsidP="004833B5">
      <w:r>
        <w:t>With protocol version 4.0 (17 June 2013), an additional, eighth secondary efficacy endpoint was introduced:</w:t>
      </w:r>
    </w:p>
    <w:p w14:paraId="47F37577" w14:textId="77777777" w:rsidR="004833B5" w:rsidRDefault="004E12D4" w:rsidP="004833B5">
      <w:pPr>
        <w:pStyle w:val="ListBullet"/>
      </w:pPr>
      <w:r>
        <w:t>‘</w:t>
      </w:r>
      <w:r w:rsidR="004833B5">
        <w:t>Duration of direct sunlight exposure between 10:00 and 15:00 hours on days when no pain was</w:t>
      </w:r>
      <w:r>
        <w:t xml:space="preserve"> experienced (Likert score of 0)’</w:t>
      </w:r>
      <w:r w:rsidR="004833B5">
        <w:t>.</w:t>
      </w:r>
    </w:p>
    <w:p w14:paraId="61EE2EDE" w14:textId="098627E7" w:rsidR="004833B5" w:rsidRDefault="004833B5" w:rsidP="004833B5">
      <w:r>
        <w:t xml:space="preserve">This endpoint was also used in </w:t>
      </w:r>
      <w:proofErr w:type="spellStart"/>
      <w:r w:rsidR="00811504">
        <w:t>Scenesse</w:t>
      </w:r>
      <w:proofErr w:type="spellEnd"/>
      <w:r w:rsidR="00CB3AE7">
        <w:t xml:space="preserve"> </w:t>
      </w:r>
      <w:r>
        <w:t>clinical</w:t>
      </w:r>
      <w:r w:rsidR="00706803">
        <w:t xml:space="preserve"> </w:t>
      </w:r>
      <w:r w:rsidR="004E12D4">
        <w:t>trials Study</w:t>
      </w:r>
      <w:r>
        <w:t xml:space="preserve"> CUV029 (as the primary efficacy endpoint in the protocol’s revised version) and in </w:t>
      </w:r>
      <w:r w:rsidR="004E12D4">
        <w:t xml:space="preserve">Study </w:t>
      </w:r>
      <w:r>
        <w:t>CUV030 (co-primary efficacy endpoint).</w:t>
      </w:r>
    </w:p>
    <w:p w14:paraId="0988F649" w14:textId="04493678" w:rsidR="004833B5" w:rsidRDefault="004833B5" w:rsidP="004833B5">
      <w:r w:rsidRPr="004833B5">
        <w:t xml:space="preserve">Of note, a subset of patients were selected to undergo a </w:t>
      </w:r>
      <w:proofErr w:type="spellStart"/>
      <w:r w:rsidRPr="004833B5">
        <w:t>photoprovocation</w:t>
      </w:r>
      <w:proofErr w:type="spellEnd"/>
      <w:r w:rsidRPr="004833B5">
        <w:t xml:space="preserve"> test in which their tolerance to metered doses of light on test areas of skin was assessed.</w:t>
      </w:r>
    </w:p>
    <w:p w14:paraId="665CF6C1" w14:textId="0DBBE849" w:rsidR="00216D8B" w:rsidRDefault="00216D8B" w:rsidP="00216D8B">
      <w:pPr>
        <w:pStyle w:val="TableTitle"/>
      </w:pPr>
      <w:r>
        <w:t xml:space="preserve">Table </w:t>
      </w:r>
      <w:r w:rsidR="00F92033">
        <w:fldChar w:fldCharType="begin"/>
      </w:r>
      <w:r w:rsidR="00F92033">
        <w:instrText xml:space="preserve"> SEQ Table \* ARABIC </w:instrText>
      </w:r>
      <w:r w:rsidR="00F92033">
        <w:fldChar w:fldCharType="separate"/>
      </w:r>
      <w:r w:rsidR="00B668C9">
        <w:rPr>
          <w:noProof/>
        </w:rPr>
        <w:t>3</w:t>
      </w:r>
      <w:r w:rsidR="00F92033">
        <w:rPr>
          <w:noProof/>
        </w:rPr>
        <w:fldChar w:fldCharType="end"/>
      </w:r>
      <w:r>
        <w:t xml:space="preserve">: Study CUV039 </w:t>
      </w:r>
      <w:r w:rsidRPr="00216D8B">
        <w:t xml:space="preserve">Results of </w:t>
      </w:r>
      <w:r>
        <w:t>primary endpoint</w:t>
      </w:r>
    </w:p>
    <w:p w14:paraId="177338B6" w14:textId="4EBADBE9" w:rsidR="00216D8B" w:rsidRDefault="001B2721" w:rsidP="004833B5">
      <w:r>
        <w:rPr>
          <w:noProof/>
          <w:lang w:eastAsia="en-AU"/>
        </w:rPr>
        <w:drawing>
          <wp:inline distT="0" distB="0" distL="0" distR="0" wp14:anchorId="71935ECC" wp14:editId="298DB1F4">
            <wp:extent cx="5400040" cy="2600960"/>
            <wp:effectExtent l="0" t="0" r="0" b="8890"/>
            <wp:docPr id="19" name="Picture 19" descr="Table 3: Study CUV039 Results of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64ADB-3690-4ED8-AAE1-C94DAED45147" descr="cid:6E1338A7-BDC5-4EC2-A287-17DAAB39463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400040" cy="2600960"/>
                    </a:xfrm>
                    <a:prstGeom prst="rect">
                      <a:avLst/>
                    </a:prstGeom>
                    <a:noFill/>
                    <a:ln>
                      <a:noFill/>
                    </a:ln>
                  </pic:spPr>
                </pic:pic>
              </a:graphicData>
            </a:graphic>
          </wp:inline>
        </w:drawing>
      </w:r>
    </w:p>
    <w:p w14:paraId="3A53557D" w14:textId="77777777" w:rsidR="00BB4E89" w:rsidRDefault="00BB4E89" w:rsidP="00BB4E89">
      <w:pPr>
        <w:pStyle w:val="TableDescription"/>
      </w:pPr>
      <w:r>
        <w:t>SD = standard deviation.</w:t>
      </w:r>
    </w:p>
    <w:p w14:paraId="2A037F2B" w14:textId="77777777" w:rsidR="007F4F66" w:rsidRDefault="007F4F66" w:rsidP="007F4F66">
      <w:r>
        <w:t>The difference in the median time spent pain-free in direct sunlight was 28.63 hours in favour of active treatment. This difference was statistically significant at a p</w:t>
      </w:r>
      <w:r w:rsidR="004E12D4">
        <w:t> </w:t>
      </w:r>
      <w:r>
        <w:t>=</w:t>
      </w:r>
      <w:r w:rsidR="004E12D4">
        <w:t> </w:t>
      </w:r>
      <w:r>
        <w:t>0.05 level. However, there was no statistically significant difference between active and placebo arms in the mean amount of time spent pain-free in direct sunlight at a p</w:t>
      </w:r>
      <w:r w:rsidR="004E12D4">
        <w:t> </w:t>
      </w:r>
      <w:r>
        <w:t>=</w:t>
      </w:r>
      <w:r w:rsidR="004E12D4">
        <w:t> </w:t>
      </w:r>
      <w:r>
        <w:t>0.05 level.</w:t>
      </w:r>
    </w:p>
    <w:p w14:paraId="63325788" w14:textId="77777777" w:rsidR="007F4F66" w:rsidRDefault="007F4F66" w:rsidP="007F4F66">
      <w:r>
        <w:t>The effect observed by patients was asymmetrically distributed, with a few patients experiencing large gains in sun tolerance. There was a subset of 15 patients, 12 of whom were on active treatment, who reported more than 60 minutes in direct sunlight each day. Six of these patients, all on active treatment, reported more than 90 minutes of sun exposure each day.</w:t>
      </w:r>
    </w:p>
    <w:p w14:paraId="1D54DE1D" w14:textId="185C3177" w:rsidR="007F4F66" w:rsidRDefault="007F4F66" w:rsidP="007F4F66">
      <w:pPr>
        <w:pStyle w:val="FigureTitle"/>
      </w:pPr>
      <w:r>
        <w:lastRenderedPageBreak/>
        <w:t xml:space="preserve">Figure </w:t>
      </w:r>
      <w:r w:rsidR="00F92033">
        <w:fldChar w:fldCharType="begin"/>
      </w:r>
      <w:r w:rsidR="00F92033">
        <w:instrText xml:space="preserve"> SEQ Figure \* ARABIC </w:instrText>
      </w:r>
      <w:r w:rsidR="00F92033">
        <w:fldChar w:fldCharType="separate"/>
      </w:r>
      <w:r w:rsidR="0049676A">
        <w:rPr>
          <w:noProof/>
        </w:rPr>
        <w:t>4</w:t>
      </w:r>
      <w:r w:rsidR="00F92033">
        <w:rPr>
          <w:noProof/>
        </w:rPr>
        <w:fldChar w:fldCharType="end"/>
      </w:r>
      <w:r>
        <w:t xml:space="preserve">: Study CUV039 </w:t>
      </w:r>
      <w:r w:rsidRPr="007F4F66">
        <w:t>Distribution of averag</w:t>
      </w:r>
      <w:r>
        <w:t>e time in sunlight among active</w:t>
      </w:r>
      <w:r>
        <w:noBreakHyphen/>
      </w:r>
      <w:r w:rsidRPr="007F4F66">
        <w:t>treat</w:t>
      </w:r>
      <w:r>
        <w:t>ed and placebo</w:t>
      </w:r>
      <w:r>
        <w:noBreakHyphen/>
        <w:t>treated subjects</w:t>
      </w:r>
    </w:p>
    <w:p w14:paraId="5BD9D2FA" w14:textId="77777777" w:rsidR="007F4F66" w:rsidRDefault="007F4F66" w:rsidP="004833B5">
      <w:r w:rsidRPr="0006696A">
        <w:rPr>
          <w:rFonts w:asciiTheme="minorHAnsi" w:hAnsiTheme="minorHAnsi"/>
          <w:noProof/>
          <w:sz w:val="18"/>
          <w:szCs w:val="18"/>
          <w:lang w:eastAsia="en-AU"/>
        </w:rPr>
        <w:drawing>
          <wp:inline distT="0" distB="0" distL="0" distR="0" wp14:anchorId="1CC43EA1" wp14:editId="2FA37756">
            <wp:extent cx="5389510" cy="3308985"/>
            <wp:effectExtent l="19050" t="19050" r="20955" b="24765"/>
            <wp:docPr id="12" name="Picture 12" descr="Figure 4: Study CUV039 Distribution of average time in sunlight among active treated and placebo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2045" cy="3310541"/>
                    </a:xfrm>
                    <a:prstGeom prst="rect">
                      <a:avLst/>
                    </a:prstGeom>
                    <a:noFill/>
                    <a:ln>
                      <a:solidFill>
                        <a:schemeClr val="accent1"/>
                      </a:solidFill>
                    </a:ln>
                  </pic:spPr>
                </pic:pic>
              </a:graphicData>
            </a:graphic>
          </wp:inline>
        </w:drawing>
      </w:r>
    </w:p>
    <w:p w14:paraId="4E7FB5DC" w14:textId="77777777" w:rsidR="007F4F66" w:rsidRDefault="007F4F66" w:rsidP="007F4F66">
      <w:pPr>
        <w:pStyle w:val="FigureDescription"/>
      </w:pPr>
      <w:r>
        <w:t>Note: Actively-treated subjects represented by darker shaded bars, placebo treated subjects represented by lighter shaded bars.</w:t>
      </w:r>
      <w:r w:rsidR="00BB4E89">
        <w:t xml:space="preserve"> ITT = intent-to-treat.</w:t>
      </w:r>
    </w:p>
    <w:p w14:paraId="14708820" w14:textId="77777777" w:rsidR="007F4F66" w:rsidRDefault="00AC2DDE" w:rsidP="00AC2DDE">
      <w:pPr>
        <w:pStyle w:val="Heading6"/>
      </w:pPr>
      <w:r>
        <w:t>Quality of Life i</w:t>
      </w:r>
      <w:r w:rsidR="007F4F66">
        <w:t>ndexes</w:t>
      </w:r>
    </w:p>
    <w:p w14:paraId="3C22E6E0" w14:textId="3C031F8F" w:rsidR="007F4F66" w:rsidRDefault="007F4F66" w:rsidP="007F4F66">
      <w:r>
        <w:t xml:space="preserve">The investigators used </w:t>
      </w:r>
      <w:r w:rsidR="00AC2DDE">
        <w:t>EPP-</w:t>
      </w:r>
      <w:proofErr w:type="spellStart"/>
      <w:r w:rsidR="00AC2DDE">
        <w:t>QoL</w:t>
      </w:r>
      <w:proofErr w:type="spellEnd"/>
      <w:r w:rsidR="00AC2DDE">
        <w:t>, an EPP-</w:t>
      </w:r>
      <w:r>
        <w:t>specifi</w:t>
      </w:r>
      <w:r w:rsidR="00AC2DDE">
        <w:t>c quality of life (</w:t>
      </w:r>
      <w:proofErr w:type="spellStart"/>
      <w:r w:rsidR="00AC2DDE">
        <w:t>QoL</w:t>
      </w:r>
      <w:proofErr w:type="spellEnd"/>
      <w:r w:rsidR="00AC2DDE">
        <w:t>) tool</w:t>
      </w:r>
      <w:r>
        <w:t xml:space="preserve"> designed for this study to m</w:t>
      </w:r>
      <w:r w:rsidR="004E12D4">
        <w:t xml:space="preserve">easure qualitative efficacy of </w:t>
      </w:r>
      <w:proofErr w:type="spellStart"/>
      <w:r w:rsidR="004E12D4">
        <w:t>a</w:t>
      </w:r>
      <w:r>
        <w:t>famelano</w:t>
      </w:r>
      <w:r w:rsidR="0034260A">
        <w:t>t</w:t>
      </w:r>
      <w:r>
        <w:t>ide</w:t>
      </w:r>
      <w:proofErr w:type="spellEnd"/>
      <w:r>
        <w:t>. This was considered necessary because standard dermatological instruments, such as the DLQI, did not include questions about light tolerance. This questionnaire was used in two versions during Study CUV039 and these results were analysed separately. There was a statistically significant</w:t>
      </w:r>
      <w:r w:rsidR="00AC2DDE">
        <w:t xml:space="preserve"> improvement in </w:t>
      </w:r>
      <w:proofErr w:type="spellStart"/>
      <w:r w:rsidR="00AC2DDE">
        <w:t>Qo</w:t>
      </w:r>
      <w:r>
        <w:t>L</w:t>
      </w:r>
      <w:proofErr w:type="spellEnd"/>
      <w:r>
        <w:t xml:space="preserve"> scores in patients receiving active treatment compared to those on placebo.</w:t>
      </w:r>
    </w:p>
    <w:p w14:paraId="22000282" w14:textId="65708188" w:rsidR="00A162B7" w:rsidRDefault="00A162B7" w:rsidP="00A162B7">
      <w:pPr>
        <w:pStyle w:val="TableTitle"/>
      </w:pPr>
      <w:r>
        <w:t xml:space="preserve">Table </w:t>
      </w:r>
      <w:r w:rsidR="00F92033">
        <w:fldChar w:fldCharType="begin"/>
      </w:r>
      <w:r w:rsidR="00F92033">
        <w:instrText xml:space="preserve"> SEQ Table \* ARABIC </w:instrText>
      </w:r>
      <w:r w:rsidR="00F92033">
        <w:fldChar w:fldCharType="separate"/>
      </w:r>
      <w:r w:rsidR="00B668C9">
        <w:rPr>
          <w:noProof/>
        </w:rPr>
        <w:t>4</w:t>
      </w:r>
      <w:r w:rsidR="00F92033">
        <w:rPr>
          <w:noProof/>
        </w:rPr>
        <w:fldChar w:fldCharType="end"/>
      </w:r>
      <w:r>
        <w:t>: Study CUV039 Results of the Derma</w:t>
      </w:r>
      <w:r w:rsidRPr="00A162B7">
        <w:t>tology Life Quality Index</w:t>
      </w:r>
    </w:p>
    <w:p w14:paraId="756CF49D" w14:textId="5E4FC8F6" w:rsidR="00987EA5" w:rsidRDefault="001B2721" w:rsidP="007F4F66">
      <w:r>
        <w:rPr>
          <w:noProof/>
          <w:lang w:eastAsia="en-AU"/>
        </w:rPr>
        <w:drawing>
          <wp:inline distT="0" distB="0" distL="0" distR="0" wp14:anchorId="35DD6FD7" wp14:editId="3BF0A187">
            <wp:extent cx="4820716" cy="2617157"/>
            <wp:effectExtent l="0" t="0" r="0" b="0"/>
            <wp:docPr id="20" name="Picture 20" descr="Table 4: Study CUV039 Results of the Dermatology Life Quality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3CDFE6-9AF4-4992-8E05-17893A6D3382" descr="cid:AD1ECA58-E98A-4CCD-B20B-32C65E5E7262"/>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4851335" cy="2633780"/>
                    </a:xfrm>
                    <a:prstGeom prst="rect">
                      <a:avLst/>
                    </a:prstGeom>
                    <a:noFill/>
                    <a:ln>
                      <a:noFill/>
                    </a:ln>
                  </pic:spPr>
                </pic:pic>
              </a:graphicData>
            </a:graphic>
          </wp:inline>
        </w:drawing>
      </w:r>
    </w:p>
    <w:p w14:paraId="6FF11E7F" w14:textId="77777777" w:rsidR="00AC2DDE" w:rsidRDefault="00AC2DDE" w:rsidP="00AC2DDE">
      <w:pPr>
        <w:pStyle w:val="TableDescription"/>
      </w:pPr>
      <w:r>
        <w:t>SD = Standard deviation</w:t>
      </w:r>
    </w:p>
    <w:p w14:paraId="29A89C24" w14:textId="09256272" w:rsidR="0034260A" w:rsidRDefault="00987EA5" w:rsidP="00987EA5">
      <w:r>
        <w:lastRenderedPageBreak/>
        <w:t>There was no significant difference in the DLQI results between active a</w:t>
      </w:r>
      <w:r w:rsidR="004E12D4">
        <w:t>nd placebo treated patients in S</w:t>
      </w:r>
      <w:r>
        <w:t>tudy CUV039.</w:t>
      </w:r>
    </w:p>
    <w:p w14:paraId="7FDF174C" w14:textId="77777777" w:rsidR="00987EA5" w:rsidRDefault="00987EA5" w:rsidP="004E12D4">
      <w:pPr>
        <w:pStyle w:val="Heading6"/>
      </w:pPr>
      <w:proofErr w:type="spellStart"/>
      <w:r>
        <w:t>Photoprovocation</w:t>
      </w:r>
      <w:proofErr w:type="spellEnd"/>
      <w:r>
        <w:t xml:space="preserve"> testing</w:t>
      </w:r>
    </w:p>
    <w:p w14:paraId="2C8DC316" w14:textId="6D801709" w:rsidR="00987EA5" w:rsidRDefault="00987EA5" w:rsidP="00987EA5">
      <w:proofErr w:type="spellStart"/>
      <w:r>
        <w:t>Photoprovocation</w:t>
      </w:r>
      <w:proofErr w:type="spellEnd"/>
      <w:r>
        <w:t xml:space="preserve"> testing was performed in 21 patients at a s</w:t>
      </w:r>
      <w:r w:rsidR="004E12D4">
        <w:t>ingle trial-site (11 active, 10 </w:t>
      </w:r>
      <w:r>
        <w:t>placebo)</w:t>
      </w:r>
      <w:r w:rsidR="004E12D4">
        <w:t xml:space="preserve"> on D</w:t>
      </w:r>
      <w:r>
        <w:t>ays 0, 30, 60 and 90</w:t>
      </w:r>
      <w:r w:rsidR="008E6AE2">
        <w:t>. On Days 0 and 60 this was done</w:t>
      </w:r>
      <w:r>
        <w:t xml:space="preserve"> prior to injection of the implant. Test areas on the back of the patient’s hand and lower back were exposed to light of a standardised intensity until the patient experienced symptoms.</w:t>
      </w:r>
    </w:p>
    <w:p w14:paraId="5581DBDD" w14:textId="0DE39988" w:rsidR="00987EA5" w:rsidRDefault="00987EA5" w:rsidP="00987EA5">
      <w:r>
        <w:t>The results generally indicated a higher light-dose t</w:t>
      </w:r>
      <w:r w:rsidR="004E12D4">
        <w:t xml:space="preserve">olerance in patients receiving </w:t>
      </w:r>
      <w:proofErr w:type="spellStart"/>
      <w:r w:rsidR="004E12D4">
        <w:t>a</w:t>
      </w:r>
      <w:r>
        <w:t>famelanotide</w:t>
      </w:r>
      <w:proofErr w:type="spellEnd"/>
      <w:r>
        <w:t xml:space="preserve"> than in those </w:t>
      </w:r>
      <w:r w:rsidR="00DA7FE5">
        <w:t xml:space="preserve">receiving </w:t>
      </w:r>
      <w:r>
        <w:t>placebo, although the statistical significance of these differences was not clear at all time-points. Patients were censored from some time-points</w:t>
      </w:r>
      <w:r w:rsidR="00706803">
        <w:t xml:space="preserve"> </w:t>
      </w:r>
      <w:r w:rsidR="00791979">
        <w:t>as they</w:t>
      </w:r>
      <w:r w:rsidR="00791979" w:rsidRPr="005520BD">
        <w:t xml:space="preserve"> reached the maximum applied irradiation dose</w:t>
      </w:r>
      <w:r w:rsidR="005632AD">
        <w:t xml:space="preserve"> permitted at that time point.</w:t>
      </w:r>
      <w:r>
        <w:t xml:space="preserve"> </w:t>
      </w:r>
      <w:r w:rsidR="005632AD">
        <w:t>T</w:t>
      </w:r>
      <w:r>
        <w:t>he Delegate notes that the total num</w:t>
      </w:r>
      <w:r w:rsidR="00172E8F">
        <w:t>ber of subjects tested is small</w:t>
      </w:r>
      <w:r w:rsidR="00791979">
        <w:t xml:space="preserve">. </w:t>
      </w:r>
      <w:r w:rsidR="00791979" w:rsidRPr="00791979">
        <w:t>For tests in which the maximum irradiation dose was reached but no symptoms occurred, the maximum irradiation dose was used to determine the minimum symptom dose in statistical analyses</w:t>
      </w:r>
      <w:r w:rsidR="008A577B">
        <w:t>.</w:t>
      </w:r>
    </w:p>
    <w:p w14:paraId="71DC81F4" w14:textId="77777777" w:rsidR="00987EA5" w:rsidRDefault="00987EA5" w:rsidP="004E12D4">
      <w:pPr>
        <w:pStyle w:val="Heading6"/>
      </w:pPr>
      <w:proofErr w:type="spellStart"/>
      <w:r>
        <w:t>Phototoxicity</w:t>
      </w:r>
      <w:proofErr w:type="spellEnd"/>
    </w:p>
    <w:p w14:paraId="54DE211B" w14:textId="764CEE5C" w:rsidR="003214F7" w:rsidRDefault="00987EA5" w:rsidP="00830D3A">
      <w:r>
        <w:t xml:space="preserve">Little </w:t>
      </w:r>
      <w:proofErr w:type="spellStart"/>
      <w:r>
        <w:t>phototoxicity</w:t>
      </w:r>
      <w:proofErr w:type="spellEnd"/>
      <w:r>
        <w:t xml:space="preserve"> was reported during the study and there were no treatment related differences in the number of phototoxic episodes, or the sev</w:t>
      </w:r>
      <w:r w:rsidR="00AC2DDE">
        <w:t>erity of phototoxic episodes. A </w:t>
      </w:r>
      <w:r w:rsidRPr="00AC2DDE">
        <w:rPr>
          <w:i/>
        </w:rPr>
        <w:t>post-hoc</w:t>
      </w:r>
      <w:r>
        <w:t xml:space="preserve"> assessment of the number of days on which subjects reported pain for each of the possible severity scores (using an </w:t>
      </w:r>
      <w:r w:rsidR="008A577B">
        <w:t>11-</w:t>
      </w:r>
      <w:r>
        <w:t>point Likert scale) showed that phototoxic pain (defined as a pain score of 4 or more on the 11-point Likert scale) was reported on 1.</w:t>
      </w:r>
      <w:r w:rsidR="004E12D4">
        <w:t xml:space="preserve">8% of days for subjects in the </w:t>
      </w:r>
      <w:proofErr w:type="spellStart"/>
      <w:r w:rsidR="004E12D4">
        <w:t>a</w:t>
      </w:r>
      <w:r>
        <w:t>famelanotide</w:t>
      </w:r>
      <w:proofErr w:type="spellEnd"/>
      <w:r>
        <w:t xml:space="preserve"> group, and on 3.8% of days in the placebo group. The proportion of subjects who experienced phototoxic reactions with Likert severity scores ≥ 4 was comparable</w:t>
      </w:r>
      <w:r w:rsidR="004E12D4">
        <w:t xml:space="preserve"> between treatment groups (61% (28/46) </w:t>
      </w:r>
      <w:proofErr w:type="spellStart"/>
      <w:r w:rsidR="004E12D4">
        <w:t>afamelanotide</w:t>
      </w:r>
      <w:proofErr w:type="spellEnd"/>
      <w:r w:rsidR="004E12D4">
        <w:t xml:space="preserve"> group, 63% (27/43)</w:t>
      </w:r>
      <w:r>
        <w:t xml:space="preserve"> placebo group).</w:t>
      </w:r>
    </w:p>
    <w:p w14:paraId="68A8DD40" w14:textId="2C8BD15E" w:rsidR="003214F7" w:rsidRDefault="00B668C9" w:rsidP="00B668C9">
      <w:pPr>
        <w:pStyle w:val="TableTitle"/>
      </w:pPr>
      <w:r>
        <w:lastRenderedPageBreak/>
        <w:t xml:space="preserve">Table </w:t>
      </w:r>
      <w:r w:rsidR="00F92033">
        <w:fldChar w:fldCharType="begin"/>
      </w:r>
      <w:r w:rsidR="00F92033">
        <w:instrText xml:space="preserve"> SEQ Table \* ARABIC </w:instrText>
      </w:r>
      <w:r w:rsidR="00F92033">
        <w:fldChar w:fldCharType="separate"/>
      </w:r>
      <w:r>
        <w:rPr>
          <w:noProof/>
        </w:rPr>
        <w:t>5</w:t>
      </w:r>
      <w:r w:rsidR="00F92033">
        <w:rPr>
          <w:noProof/>
        </w:rPr>
        <w:fldChar w:fldCharType="end"/>
      </w:r>
      <w:r w:rsidR="003214F7">
        <w:t>: Study CUV039</w:t>
      </w:r>
      <w:r w:rsidR="003214F7" w:rsidRPr="003214F7">
        <w:t xml:space="preserve"> Changes in minimum symptomatic dose (J/cm</w:t>
      </w:r>
      <w:r w:rsidR="003214F7" w:rsidRPr="004E12D4">
        <w:rPr>
          <w:vertAlign w:val="superscript"/>
        </w:rPr>
        <w:t>2</w:t>
      </w:r>
      <w:r w:rsidR="003214F7" w:rsidRPr="003214F7">
        <w:t>) on the hand and back of patients receiving active or placebo treatment</w:t>
      </w:r>
    </w:p>
    <w:p w14:paraId="313CD54A" w14:textId="40B48EE4" w:rsidR="00987EA5" w:rsidRDefault="00735D5B" w:rsidP="00830D3A">
      <w:r w:rsidRPr="00735D5B">
        <w:rPr>
          <w:noProof/>
          <w:lang w:eastAsia="en-AU"/>
        </w:rPr>
        <w:drawing>
          <wp:inline distT="0" distB="0" distL="0" distR="0" wp14:anchorId="69DA9A71" wp14:editId="393B47EA">
            <wp:extent cx="4350007" cy="5898187"/>
            <wp:effectExtent l="0" t="0" r="0" b="7620"/>
            <wp:docPr id="3" name="Picture 3" descr="Study CUV039 Changes in minimum symptomatic dose (J/cm2) on the hand and back of patients receiving active or placebo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4617" cy="5904438"/>
                    </a:xfrm>
                    <a:prstGeom prst="rect">
                      <a:avLst/>
                    </a:prstGeom>
                  </pic:spPr>
                </pic:pic>
              </a:graphicData>
            </a:graphic>
          </wp:inline>
        </w:drawing>
      </w:r>
    </w:p>
    <w:p w14:paraId="1ACC9C19" w14:textId="454976EB" w:rsidR="00A5158A" w:rsidRDefault="00AC2DDE" w:rsidP="00AC2DDE">
      <w:pPr>
        <w:pStyle w:val="TableDescription"/>
      </w:pPr>
      <w:r>
        <w:t>SD = standard deviation; CI = confidence interval</w:t>
      </w:r>
    </w:p>
    <w:p w14:paraId="2E63DD27" w14:textId="37BDEB95" w:rsidR="00A5158A" w:rsidRDefault="00B668C9" w:rsidP="00B668C9">
      <w:pPr>
        <w:pStyle w:val="TableTitle"/>
      </w:pPr>
      <w:r w:rsidRPr="00B668C9">
        <w:lastRenderedPageBreak/>
        <w:t xml:space="preserve">Table </w:t>
      </w:r>
      <w:r w:rsidR="00F92033">
        <w:fldChar w:fldCharType="begin"/>
      </w:r>
      <w:r w:rsidR="00F92033">
        <w:instrText xml:space="preserve"> SEQ Table \* ARABIC </w:instrText>
      </w:r>
      <w:r w:rsidR="00F92033">
        <w:fldChar w:fldCharType="separate"/>
      </w:r>
      <w:r w:rsidRPr="00B668C9">
        <w:t>6</w:t>
      </w:r>
      <w:r w:rsidR="00F92033">
        <w:fldChar w:fldCharType="end"/>
      </w:r>
      <w:r w:rsidR="00A5158A">
        <w:t>: Study CUV039 Distribution of maximum pain scores</w:t>
      </w:r>
    </w:p>
    <w:p w14:paraId="2FBBAA93" w14:textId="702BA679" w:rsidR="00172E8F" w:rsidRDefault="00A5158A" w:rsidP="00830D3A">
      <w:pPr>
        <w:rPr>
          <w:noProof/>
          <w:lang w:eastAsia="en-AU"/>
        </w:rPr>
      </w:pPr>
      <w:r w:rsidRPr="00A5158A" w:rsidDel="00A5158A">
        <w:rPr>
          <w:noProof/>
          <w:lang w:eastAsia="en-AU"/>
        </w:rPr>
        <w:t xml:space="preserve"> </w:t>
      </w:r>
      <w:bookmarkStart w:id="41" w:name="_Toc314842514"/>
      <w:r w:rsidR="001B2721">
        <w:rPr>
          <w:noProof/>
          <w:lang w:eastAsia="en-AU"/>
        </w:rPr>
        <w:drawing>
          <wp:inline distT="0" distB="0" distL="0" distR="0" wp14:anchorId="559E715B" wp14:editId="19718140">
            <wp:extent cx="4142630" cy="2176628"/>
            <wp:effectExtent l="0" t="0" r="0" b="0"/>
            <wp:docPr id="21" name="Picture 21" descr="Table 5: Study CUV039 Distribution of maximum pain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B02E89-9231-4605-B968-D8F87EA5DE41" descr="cid:FE794DC2-B84D-4866-9E94-F4665A6D21A7"/>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4186401" cy="2199626"/>
                    </a:xfrm>
                    <a:prstGeom prst="rect">
                      <a:avLst/>
                    </a:prstGeom>
                    <a:noFill/>
                    <a:ln>
                      <a:noFill/>
                    </a:ln>
                  </pic:spPr>
                </pic:pic>
              </a:graphicData>
            </a:graphic>
          </wp:inline>
        </w:drawing>
      </w:r>
    </w:p>
    <w:p w14:paraId="7BE6CA3D" w14:textId="4FD16926" w:rsidR="00830D3A" w:rsidRPr="00830D3A" w:rsidRDefault="00830D3A" w:rsidP="00830D3A">
      <w:r w:rsidRPr="00830D3A">
        <w:t>The Delegate notes that this is like</w:t>
      </w:r>
      <w:r w:rsidR="00F07AAE">
        <w:t>ly</w:t>
      </w:r>
      <w:r w:rsidRPr="00830D3A">
        <w:t xml:space="preserve"> to partially reflect the high level of behavioural adaptation to photosensitivity that people with EPP have developed, which limits their tendency to expose themselves to potential </w:t>
      </w:r>
      <w:proofErr w:type="spellStart"/>
      <w:r w:rsidRPr="00830D3A">
        <w:t>phototoxicity</w:t>
      </w:r>
      <w:proofErr w:type="spellEnd"/>
      <w:r w:rsidRPr="00830D3A">
        <w:t>. Hence the full po</w:t>
      </w:r>
      <w:r w:rsidR="004E12D4">
        <w:t xml:space="preserve">tential comparative effects of </w:t>
      </w:r>
      <w:proofErr w:type="spellStart"/>
      <w:r w:rsidR="004E12D4">
        <w:t>a</w:t>
      </w:r>
      <w:r w:rsidRPr="00830D3A">
        <w:t>famelanotide</w:t>
      </w:r>
      <w:proofErr w:type="spellEnd"/>
      <w:r w:rsidRPr="00830D3A">
        <w:t xml:space="preserve"> are difficult to assess from ‘spontaneous’ exposure that is not</w:t>
      </w:r>
      <w:r w:rsidR="005F429A">
        <w:t xml:space="preserve"> </w:t>
      </w:r>
      <w:r w:rsidR="00A5158A">
        <w:t>’</w:t>
      </w:r>
      <w:r w:rsidRPr="00830D3A">
        <w:t>dosed</w:t>
      </w:r>
      <w:r w:rsidR="00A5158A">
        <w:t>’</w:t>
      </w:r>
      <w:r w:rsidR="005F429A">
        <w:t xml:space="preserve"> </w:t>
      </w:r>
      <w:r w:rsidRPr="00830D3A">
        <w:t xml:space="preserve">to a pre-defined limit, as was the case in the </w:t>
      </w:r>
      <w:proofErr w:type="spellStart"/>
      <w:r w:rsidRPr="00830D3A">
        <w:t>photoprovocation</w:t>
      </w:r>
      <w:proofErr w:type="spellEnd"/>
      <w:r w:rsidRPr="00830D3A">
        <w:t xml:space="preserve"> tests.</w:t>
      </w:r>
    </w:p>
    <w:p w14:paraId="5FE98FA7" w14:textId="77777777" w:rsidR="00830D3A" w:rsidRPr="00830D3A" w:rsidRDefault="00830D3A" w:rsidP="004E12D4">
      <w:pPr>
        <w:pStyle w:val="Heading5"/>
      </w:pPr>
      <w:r w:rsidRPr="00830D3A">
        <w:t xml:space="preserve">Post </w:t>
      </w:r>
      <w:r w:rsidR="00AC2DDE" w:rsidRPr="00830D3A">
        <w:t xml:space="preserve">authorisation safety study </w:t>
      </w:r>
      <w:r w:rsidRPr="00830D3A">
        <w:t>(PASS)</w:t>
      </w:r>
    </w:p>
    <w:p w14:paraId="1E38DF7F" w14:textId="114CFEE2" w:rsidR="00830D3A" w:rsidRDefault="004E12D4" w:rsidP="00830D3A">
      <w:r>
        <w:t xml:space="preserve">The EMA authorisation for </w:t>
      </w:r>
      <w:proofErr w:type="spellStart"/>
      <w:r>
        <w:t>a</w:t>
      </w:r>
      <w:r w:rsidR="00830D3A" w:rsidRPr="00830D3A">
        <w:t>famelanotide</w:t>
      </w:r>
      <w:proofErr w:type="spellEnd"/>
      <w:r w:rsidR="00830D3A" w:rsidRPr="00830D3A">
        <w:t xml:space="preserve"> in 2014 required the establishment of a disease registry to gather ‘real world’ experience with the medication. </w:t>
      </w:r>
      <w:r w:rsidR="00371859" w:rsidRPr="00371859">
        <w:t xml:space="preserve">CLINUVEL is required to report safety and effectiveness outcomes from the registry annually to the EMA. To date, over 94% of patients enrolled in the registry have continued on </w:t>
      </w:r>
      <w:proofErr w:type="spellStart"/>
      <w:r w:rsidR="00371859" w:rsidRPr="00371859">
        <w:t>afamelanotide</w:t>
      </w:r>
      <w:proofErr w:type="spellEnd"/>
      <w:r w:rsidR="00371859" w:rsidRPr="00371859">
        <w:t xml:space="preserve"> treatment (July 2019).</w:t>
      </w:r>
    </w:p>
    <w:p w14:paraId="2F98E4DF" w14:textId="77777777" w:rsidR="00B51428" w:rsidRDefault="00B51428" w:rsidP="00B51428">
      <w:pPr>
        <w:pStyle w:val="Heading4"/>
      </w:pPr>
      <w:r>
        <w:t>Safety</w:t>
      </w:r>
    </w:p>
    <w:p w14:paraId="17910D64" w14:textId="57FD3AB7" w:rsidR="00673640" w:rsidRDefault="00673640" w:rsidP="00673640">
      <w:r>
        <w:t xml:space="preserve">In the clinical trials examined, a total of 137 patients received single or multiple doses of </w:t>
      </w:r>
      <w:proofErr w:type="spellStart"/>
      <w:r>
        <w:t>afamelanotide</w:t>
      </w:r>
      <w:proofErr w:type="spellEnd"/>
      <w:r w:rsidR="00F07AAE">
        <w:t xml:space="preserve"> in an aqueous solution presentation</w:t>
      </w:r>
      <w:r>
        <w:t>. The total human exposure in all trials for EPP and other indications is approximately 7140 to 10,200 days for the proposed implant, with no patients treated for more than 2 years continuously in trials.</w:t>
      </w:r>
      <w:r w:rsidR="00542086">
        <w:t xml:space="preserve"> </w:t>
      </w:r>
      <w:r w:rsidR="00A5158A">
        <w:rPr>
          <w:rStyle w:val="FootnoteReference"/>
        </w:rPr>
        <w:footnoteReference w:id="14"/>
      </w:r>
    </w:p>
    <w:p w14:paraId="32BB68A8" w14:textId="77777777" w:rsidR="00B51428" w:rsidRDefault="00673640" w:rsidP="00673640">
      <w:r>
        <w:t>The pivotal Study CUV039 provides the largest body of controlled data in EPP patients.</w:t>
      </w:r>
    </w:p>
    <w:p w14:paraId="5AAAB8C4" w14:textId="519CEEB2" w:rsidR="00B944A2" w:rsidRDefault="00B944A2" w:rsidP="00B944A2">
      <w:pPr>
        <w:pStyle w:val="TableTitle"/>
      </w:pPr>
      <w:r>
        <w:lastRenderedPageBreak/>
        <w:t xml:space="preserve">Table </w:t>
      </w:r>
      <w:r w:rsidR="00F92033">
        <w:fldChar w:fldCharType="begin"/>
      </w:r>
      <w:r w:rsidR="00F92033">
        <w:instrText xml:space="preserve"> SEQ Table \* ARABIC </w:instrText>
      </w:r>
      <w:r w:rsidR="00F92033">
        <w:fldChar w:fldCharType="separate"/>
      </w:r>
      <w:r w:rsidR="00B668C9">
        <w:rPr>
          <w:noProof/>
        </w:rPr>
        <w:t>7</w:t>
      </w:r>
      <w:r w:rsidR="00F92033">
        <w:rPr>
          <w:noProof/>
        </w:rPr>
        <w:fldChar w:fldCharType="end"/>
      </w:r>
      <w:r>
        <w:t xml:space="preserve">: Study CUV039 </w:t>
      </w:r>
      <w:r w:rsidRPr="00B944A2">
        <w:t>Summary incidence of adverse events</w:t>
      </w:r>
    </w:p>
    <w:p w14:paraId="627F18D5" w14:textId="77777777" w:rsidR="00B944A2" w:rsidRDefault="00B944A2" w:rsidP="00673640">
      <w:r w:rsidRPr="00630B0D">
        <w:rPr>
          <w:rFonts w:asciiTheme="minorHAnsi" w:hAnsiTheme="minorHAnsi"/>
          <w:noProof/>
          <w:lang w:eastAsia="en-AU"/>
        </w:rPr>
        <w:drawing>
          <wp:inline distT="0" distB="0" distL="0" distR="0" wp14:anchorId="2CBA04A5" wp14:editId="38DC023A">
            <wp:extent cx="4826611" cy="3514890"/>
            <wp:effectExtent l="0" t="0" r="0" b="0"/>
            <wp:docPr id="15" name="Picture 15" descr="Table 8: Study CUV039 Summary incidence of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grayscl/>
                      <a:lum contrast="12000"/>
                      <a:extLst>
                        <a:ext uri="{28A0092B-C50C-407E-A947-70E740481C1C}">
                          <a14:useLocalDpi xmlns:a14="http://schemas.microsoft.com/office/drawing/2010/main" val="0"/>
                        </a:ext>
                      </a:extLst>
                    </a:blip>
                    <a:srcRect b="1121"/>
                    <a:stretch/>
                  </pic:blipFill>
                  <pic:spPr bwMode="auto">
                    <a:xfrm>
                      <a:off x="0" y="0"/>
                      <a:ext cx="4854804" cy="3535421"/>
                    </a:xfrm>
                    <a:prstGeom prst="rect">
                      <a:avLst/>
                    </a:prstGeom>
                    <a:ln>
                      <a:noFill/>
                    </a:ln>
                    <a:extLst>
                      <a:ext uri="{53640926-AAD7-44D8-BBD7-CCE9431645EC}">
                        <a14:shadowObscured xmlns:a14="http://schemas.microsoft.com/office/drawing/2010/main"/>
                      </a:ext>
                    </a:extLst>
                  </pic:spPr>
                </pic:pic>
              </a:graphicData>
            </a:graphic>
          </wp:inline>
        </w:drawing>
      </w:r>
    </w:p>
    <w:p w14:paraId="40E89738" w14:textId="03F7B616" w:rsidR="00AC2DDE" w:rsidRDefault="00AC2DDE" w:rsidP="00AC2DDE">
      <w:pPr>
        <w:pStyle w:val="TableDescription"/>
      </w:pPr>
      <w:r>
        <w:t>TEAE = treatment emergent adverse event; SAE = serious adverse event</w:t>
      </w:r>
    </w:p>
    <w:p w14:paraId="35FE1224" w14:textId="7F7A37C2" w:rsidR="004046D0" w:rsidRDefault="004046D0" w:rsidP="004046D0">
      <w:pPr>
        <w:pStyle w:val="TableTitle"/>
      </w:pPr>
      <w:r>
        <w:lastRenderedPageBreak/>
        <w:t xml:space="preserve">Table </w:t>
      </w:r>
      <w:r w:rsidR="00F92033">
        <w:fldChar w:fldCharType="begin"/>
      </w:r>
      <w:r w:rsidR="00F92033">
        <w:instrText xml:space="preserve"> SEQ Table \* ARABIC </w:instrText>
      </w:r>
      <w:r w:rsidR="00F92033">
        <w:fldChar w:fldCharType="separate"/>
      </w:r>
      <w:r w:rsidR="00B668C9">
        <w:rPr>
          <w:noProof/>
        </w:rPr>
        <w:t>8</w:t>
      </w:r>
      <w:r w:rsidR="00F92033">
        <w:rPr>
          <w:noProof/>
        </w:rPr>
        <w:fldChar w:fldCharType="end"/>
      </w:r>
      <w:r>
        <w:t xml:space="preserve">: Study CUV039 </w:t>
      </w:r>
      <w:r w:rsidRPr="004046D0">
        <w:t>Specific adverse events reported by &gt;</w:t>
      </w:r>
      <w:r>
        <w:t> 3 patients</w:t>
      </w:r>
    </w:p>
    <w:p w14:paraId="6F0ABDE6" w14:textId="77777777" w:rsidR="00B944A2" w:rsidRDefault="00B944A2" w:rsidP="00673640">
      <w:r w:rsidRPr="00630B0D">
        <w:rPr>
          <w:rFonts w:asciiTheme="minorHAnsi" w:hAnsiTheme="minorHAnsi"/>
          <w:noProof/>
          <w:lang w:eastAsia="en-AU"/>
        </w:rPr>
        <w:drawing>
          <wp:inline distT="0" distB="0" distL="0" distR="0" wp14:anchorId="77293D6B" wp14:editId="042616CE">
            <wp:extent cx="5231959" cy="5514706"/>
            <wp:effectExtent l="0" t="0" r="6985" b="0"/>
            <wp:docPr id="16" name="Picture 16" descr="Table 9: Study CUV039 Specific adverse events reported by &gt; 3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lum contrast="10000"/>
                      <a:extLst>
                        <a:ext uri="{28A0092B-C50C-407E-A947-70E740481C1C}">
                          <a14:useLocalDpi xmlns:a14="http://schemas.microsoft.com/office/drawing/2010/main" val="0"/>
                        </a:ext>
                      </a:extLst>
                    </a:blip>
                    <a:stretch>
                      <a:fillRect/>
                    </a:stretch>
                  </pic:blipFill>
                  <pic:spPr bwMode="auto">
                    <a:xfrm>
                      <a:off x="0" y="0"/>
                      <a:ext cx="5287743" cy="5573505"/>
                    </a:xfrm>
                    <a:prstGeom prst="rect">
                      <a:avLst/>
                    </a:prstGeom>
                  </pic:spPr>
                </pic:pic>
              </a:graphicData>
            </a:graphic>
          </wp:inline>
        </w:drawing>
      </w:r>
    </w:p>
    <w:p w14:paraId="0A24240F" w14:textId="752F86DE" w:rsidR="00AC2DDE" w:rsidRDefault="00AC2DDE" w:rsidP="00AC2DDE">
      <w:pPr>
        <w:pStyle w:val="TableDescription"/>
      </w:pPr>
      <w:r>
        <w:t>TEAE = treatment emergent adverse event</w:t>
      </w:r>
    </w:p>
    <w:p w14:paraId="2787FE89" w14:textId="0B47A515" w:rsidR="004046D0" w:rsidRDefault="004046D0" w:rsidP="004046D0">
      <w:r>
        <w:t xml:space="preserve">Headache was more prevalent in </w:t>
      </w:r>
      <w:proofErr w:type="spellStart"/>
      <w:r>
        <w:t>afamelanotide</w:t>
      </w:r>
      <w:proofErr w:type="spellEnd"/>
      <w:r>
        <w:t xml:space="preserve"> treated patients that those on placebo. Pigmentation of injection sites was common and expected on the basis of the mechanism of action of </w:t>
      </w:r>
      <w:proofErr w:type="spellStart"/>
      <w:r>
        <w:t>afamelanotide</w:t>
      </w:r>
      <w:proofErr w:type="spellEnd"/>
      <w:r>
        <w:t>.</w:t>
      </w:r>
    </w:p>
    <w:p w14:paraId="273C9241" w14:textId="77777777" w:rsidR="004046D0" w:rsidRDefault="004046D0" w:rsidP="004046D0">
      <w:r>
        <w:t xml:space="preserve">There were nine deaths in all </w:t>
      </w:r>
      <w:proofErr w:type="spellStart"/>
      <w:r>
        <w:t>afamelanotide</w:t>
      </w:r>
      <w:proofErr w:type="spellEnd"/>
      <w:r>
        <w:t xml:space="preserve"> studies and compas</w:t>
      </w:r>
      <w:r w:rsidR="00AC2DDE">
        <w:t>sionate use programs, of which one</w:t>
      </w:r>
      <w:r>
        <w:t xml:space="preserve"> occurred in the EPP clinical studies. These were considered not related to study treatment.</w:t>
      </w:r>
    </w:p>
    <w:p w14:paraId="59C3A233" w14:textId="77777777" w:rsidR="004046D0" w:rsidRDefault="004046D0" w:rsidP="004046D0">
      <w:r>
        <w:t xml:space="preserve">In the pivotal study there were no withdrawals from study treatment. In the supportive Study CUV017 there was one withdrawal due to thrombocytopenia, which was </w:t>
      </w:r>
      <w:proofErr w:type="gramStart"/>
      <w:r>
        <w:t>considered</w:t>
      </w:r>
      <w:proofErr w:type="gramEnd"/>
      <w:r>
        <w:t xml:space="preserve"> unrelated to study treatment.</w:t>
      </w:r>
    </w:p>
    <w:p w14:paraId="41326F85" w14:textId="77777777" w:rsidR="004046D0" w:rsidRDefault="004046D0" w:rsidP="004046D0">
      <w:r>
        <w:t>No studies were pe</w:t>
      </w:r>
      <w:r w:rsidR="00AC2DDE">
        <w:t>rformed in special populations.</w:t>
      </w:r>
    </w:p>
    <w:p w14:paraId="46ED17DC" w14:textId="77777777" w:rsidR="004046D0" w:rsidRDefault="004046D0" w:rsidP="004046D0">
      <w:r>
        <w:t>Laboratory chemistry and haematology assessments were made in most studies but no clinically significant trends were reported.</w:t>
      </w:r>
    </w:p>
    <w:p w14:paraId="10B924E6" w14:textId="77777777" w:rsidR="004046D0" w:rsidRPr="00B51428" w:rsidRDefault="004046D0" w:rsidP="004046D0">
      <w:r>
        <w:t>The clinical evaluator has noted that</w:t>
      </w:r>
      <w:r w:rsidR="00AC2DDE">
        <w:t xml:space="preserve"> echocardiogram</w:t>
      </w:r>
      <w:r>
        <w:t xml:space="preserve"> </w:t>
      </w:r>
      <w:r w:rsidR="00AC2DDE">
        <w:t>(</w:t>
      </w:r>
      <w:r>
        <w:t>ECG</w:t>
      </w:r>
      <w:r w:rsidR="00AC2DDE">
        <w:t>)</w:t>
      </w:r>
      <w:r>
        <w:t xml:space="preserve"> measurements were made in Study CUV039 but not presented in summary findings.</w:t>
      </w:r>
    </w:p>
    <w:p w14:paraId="29C93418" w14:textId="77777777" w:rsidR="008E7846" w:rsidRDefault="00386150" w:rsidP="007B6132">
      <w:pPr>
        <w:pStyle w:val="Heading3"/>
        <w:rPr>
          <w:lang w:eastAsia="en-AU"/>
        </w:rPr>
      </w:pPr>
      <w:bookmarkStart w:id="42" w:name="_Toc66436570"/>
      <w:r>
        <w:rPr>
          <w:lang w:eastAsia="en-AU"/>
        </w:rPr>
        <w:lastRenderedPageBreak/>
        <w:t>Risk m</w:t>
      </w:r>
      <w:r w:rsidR="008E7846">
        <w:rPr>
          <w:lang w:eastAsia="en-AU"/>
        </w:rPr>
        <w:t xml:space="preserve">anagement </w:t>
      </w:r>
      <w:r>
        <w:rPr>
          <w:lang w:eastAsia="en-AU"/>
        </w:rPr>
        <w:t>p</w:t>
      </w:r>
      <w:r w:rsidR="008E7846">
        <w:rPr>
          <w:lang w:eastAsia="en-AU"/>
        </w:rPr>
        <w:t>lan</w:t>
      </w:r>
      <w:bookmarkEnd w:id="41"/>
      <w:bookmarkEnd w:id="42"/>
    </w:p>
    <w:p w14:paraId="26E03A76" w14:textId="77777777" w:rsidR="003175A2" w:rsidRDefault="003E294C" w:rsidP="003E294C">
      <w:r>
        <w:t>The sponsor</w:t>
      </w:r>
      <w:r w:rsidRPr="00EE3D7F">
        <w:t xml:space="preserve"> has applied to register a new chemical entity, </w:t>
      </w:r>
      <w:r w:rsidR="00AC2DDE">
        <w:t>w</w:t>
      </w:r>
      <w:r>
        <w:t>ith this, the sponsor</w:t>
      </w:r>
      <w:r w:rsidRPr="005F2D6B">
        <w:t xml:space="preserve"> has submitted EU-</w:t>
      </w:r>
      <w:r>
        <w:t>risk management plant (</w:t>
      </w:r>
      <w:r w:rsidRPr="005F2D6B">
        <w:t>RMP</w:t>
      </w:r>
      <w:r>
        <w:t>) version 8.1</w:t>
      </w:r>
      <w:r w:rsidRPr="005F2D6B">
        <w:t xml:space="preserve"> (</w:t>
      </w:r>
      <w:r>
        <w:t xml:space="preserve">dated </w:t>
      </w:r>
      <w:r w:rsidRPr="005F2D6B">
        <w:t xml:space="preserve">1 February 2018; </w:t>
      </w:r>
      <w:r>
        <w:t>data lock point (</w:t>
      </w:r>
      <w:r w:rsidRPr="005F2D6B">
        <w:t>DLP</w:t>
      </w:r>
      <w:r>
        <w:t>) 22 </w:t>
      </w:r>
      <w:r w:rsidRPr="005F2D6B">
        <w:t xml:space="preserve">June 2017) and </w:t>
      </w:r>
      <w:r>
        <w:t>Australian-specific Annex (</w:t>
      </w:r>
      <w:r w:rsidRPr="005F2D6B">
        <w:t>ASA</w:t>
      </w:r>
      <w:r>
        <w:t>)</w:t>
      </w:r>
      <w:r w:rsidRPr="005F2D6B">
        <w:t xml:space="preserve"> </w:t>
      </w:r>
      <w:r>
        <w:t xml:space="preserve">version 1.0 </w:t>
      </w:r>
      <w:r w:rsidRPr="005F2D6B">
        <w:t>(</w:t>
      </w:r>
      <w:r>
        <w:t xml:space="preserve">dated </w:t>
      </w:r>
      <w:r w:rsidRPr="005F2D6B">
        <w:t xml:space="preserve">December 2019) in support of this application. </w:t>
      </w:r>
      <w:r>
        <w:t>In response to rolling questions, the sponsor updated the ASA. The latest ASA submitted is version 1.4 (dated April 20).</w:t>
      </w:r>
    </w:p>
    <w:p w14:paraId="032F8E1F" w14:textId="77777777" w:rsidR="003175A2" w:rsidRDefault="003175A2" w:rsidP="003E294C">
      <w:r>
        <w:t>The summary of safety concerns and their associated risk monitoring and mitigation strategies are summarised in Table 9, shown below.</w:t>
      </w:r>
      <w:r>
        <w:rPr>
          <w:rStyle w:val="FootnoteReference"/>
        </w:rPr>
        <w:footnoteReference w:id="15"/>
      </w:r>
    </w:p>
    <w:p w14:paraId="526BF927" w14:textId="7B024CDF" w:rsidR="003175A2" w:rsidRDefault="003175A2" w:rsidP="003175A2">
      <w:pPr>
        <w:pStyle w:val="TableTitle"/>
      </w:pPr>
      <w:r>
        <w:t xml:space="preserve">Table </w:t>
      </w:r>
      <w:r w:rsidR="00F92033">
        <w:fldChar w:fldCharType="begin"/>
      </w:r>
      <w:r w:rsidR="00F92033">
        <w:instrText xml:space="preserve"> SEQ Table \* ARABIC </w:instrText>
      </w:r>
      <w:r w:rsidR="00F92033">
        <w:fldChar w:fldCharType="separate"/>
      </w:r>
      <w:r w:rsidR="00B668C9">
        <w:rPr>
          <w:noProof/>
        </w:rPr>
        <w:t>9</w:t>
      </w:r>
      <w:r w:rsidR="00F92033">
        <w:rPr>
          <w:noProof/>
        </w:rPr>
        <w:fldChar w:fldCharType="end"/>
      </w:r>
      <w:r>
        <w:t>: Summary of safety concerns</w:t>
      </w:r>
    </w:p>
    <w:tbl>
      <w:tblPr>
        <w:tblStyle w:val="TableTGAblue"/>
        <w:tblW w:w="8784" w:type="dxa"/>
        <w:tblLayout w:type="fixed"/>
        <w:tblLook w:val="04A0" w:firstRow="1" w:lastRow="0" w:firstColumn="1" w:lastColumn="0" w:noHBand="0" w:noVBand="1"/>
      </w:tblPr>
      <w:tblGrid>
        <w:gridCol w:w="1696"/>
        <w:gridCol w:w="2240"/>
        <w:gridCol w:w="1134"/>
        <w:gridCol w:w="1275"/>
        <w:gridCol w:w="1134"/>
        <w:gridCol w:w="1305"/>
      </w:tblGrid>
      <w:tr w:rsidR="003E294C" w:rsidRPr="004F1C07" w14:paraId="1D662EE0" w14:textId="77777777" w:rsidTr="00542086">
        <w:trPr>
          <w:cnfStyle w:val="100000000000" w:firstRow="1" w:lastRow="0" w:firstColumn="0" w:lastColumn="0" w:oddVBand="0" w:evenVBand="0" w:oddHBand="0" w:evenHBand="0" w:firstRowFirstColumn="0" w:firstRowLastColumn="0" w:lastRowFirstColumn="0" w:lastRowLastColumn="0"/>
          <w:trHeight w:val="131"/>
        </w:trPr>
        <w:tc>
          <w:tcPr>
            <w:tcW w:w="3936" w:type="dxa"/>
            <w:gridSpan w:val="2"/>
            <w:vMerge w:val="restart"/>
            <w:tcBorders>
              <w:top w:val="single" w:sz="4" w:space="0" w:color="auto"/>
              <w:left w:val="single" w:sz="4" w:space="0" w:color="auto"/>
              <w:bottom w:val="single" w:sz="4" w:space="0" w:color="auto"/>
              <w:right w:val="single" w:sz="4" w:space="0" w:color="auto"/>
            </w:tcBorders>
          </w:tcPr>
          <w:p w14:paraId="1342285C" w14:textId="77777777" w:rsidR="003E294C" w:rsidRPr="003175A2" w:rsidRDefault="003E294C" w:rsidP="003E294C">
            <w:pPr>
              <w:pStyle w:val="Tabletext"/>
              <w:rPr>
                <w:b w:val="0"/>
                <w:sz w:val="20"/>
                <w:szCs w:val="20"/>
              </w:rPr>
            </w:pPr>
            <w:r w:rsidRPr="003175A2">
              <w:rPr>
                <w:sz w:val="22"/>
                <w:szCs w:val="20"/>
              </w:rPr>
              <w:t>Summary of safety concerns</w:t>
            </w:r>
          </w:p>
        </w:tc>
        <w:tc>
          <w:tcPr>
            <w:tcW w:w="2409" w:type="dxa"/>
            <w:gridSpan w:val="2"/>
            <w:tcBorders>
              <w:top w:val="single" w:sz="4" w:space="0" w:color="auto"/>
              <w:left w:val="single" w:sz="4" w:space="0" w:color="auto"/>
              <w:bottom w:val="single" w:sz="4" w:space="0" w:color="auto"/>
              <w:right w:val="single" w:sz="4" w:space="0" w:color="auto"/>
            </w:tcBorders>
          </w:tcPr>
          <w:p w14:paraId="6C131E12" w14:textId="77777777" w:rsidR="003E294C" w:rsidRPr="003175A2" w:rsidRDefault="003E294C" w:rsidP="003E294C">
            <w:pPr>
              <w:pStyle w:val="Tabletext"/>
              <w:rPr>
                <w:b w:val="0"/>
                <w:sz w:val="20"/>
                <w:szCs w:val="20"/>
              </w:rPr>
            </w:pPr>
            <w:r w:rsidRPr="003175A2">
              <w:rPr>
                <w:sz w:val="20"/>
                <w:szCs w:val="20"/>
              </w:rPr>
              <w:t>Pharmacovigilance</w:t>
            </w:r>
          </w:p>
        </w:tc>
        <w:tc>
          <w:tcPr>
            <w:tcW w:w="2439" w:type="dxa"/>
            <w:gridSpan w:val="2"/>
            <w:tcBorders>
              <w:top w:val="single" w:sz="4" w:space="0" w:color="auto"/>
              <w:left w:val="single" w:sz="4" w:space="0" w:color="auto"/>
              <w:bottom w:val="single" w:sz="4" w:space="0" w:color="auto"/>
              <w:right w:val="single" w:sz="4" w:space="0" w:color="auto"/>
            </w:tcBorders>
          </w:tcPr>
          <w:p w14:paraId="347591C6" w14:textId="77777777" w:rsidR="003E294C" w:rsidRPr="003175A2" w:rsidRDefault="003E294C" w:rsidP="003E294C">
            <w:pPr>
              <w:pStyle w:val="Tabletext"/>
              <w:rPr>
                <w:b w:val="0"/>
                <w:sz w:val="20"/>
                <w:szCs w:val="20"/>
              </w:rPr>
            </w:pPr>
            <w:r w:rsidRPr="003175A2">
              <w:rPr>
                <w:sz w:val="20"/>
                <w:szCs w:val="20"/>
              </w:rPr>
              <w:t>Risk Minimisation</w:t>
            </w:r>
          </w:p>
        </w:tc>
      </w:tr>
      <w:tr w:rsidR="003C6A8C" w:rsidRPr="004F1C07" w14:paraId="737C55A7" w14:textId="77777777" w:rsidTr="00542086">
        <w:trPr>
          <w:trHeight w:val="150"/>
        </w:trPr>
        <w:tc>
          <w:tcPr>
            <w:tcW w:w="3936" w:type="dxa"/>
            <w:gridSpan w:val="2"/>
            <w:vMerge/>
            <w:tcBorders>
              <w:top w:val="single" w:sz="4" w:space="0" w:color="auto"/>
              <w:left w:val="single" w:sz="4" w:space="0" w:color="auto"/>
              <w:bottom w:val="single" w:sz="4" w:space="0" w:color="auto"/>
              <w:right w:val="single" w:sz="4" w:space="0" w:color="auto"/>
            </w:tcBorders>
          </w:tcPr>
          <w:p w14:paraId="742107F6" w14:textId="77777777" w:rsidR="003E294C" w:rsidRPr="004F1C07" w:rsidRDefault="003E294C" w:rsidP="003E294C">
            <w:pPr>
              <w:pStyle w:val="Tabletext"/>
              <w:rPr>
                <w:b/>
              </w:rPr>
            </w:pP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323B583C" w14:textId="77777777" w:rsidR="003E294C" w:rsidRPr="003C6A8C" w:rsidRDefault="003E294C" w:rsidP="00542086">
            <w:pPr>
              <w:ind w:left="60" w:right="4"/>
              <w:rPr>
                <w:b/>
                <w:color w:val="FFFFFF" w:themeColor="background1"/>
                <w:sz w:val="18"/>
              </w:rPr>
            </w:pPr>
            <w:r w:rsidRPr="003C6A8C">
              <w:rPr>
                <w:b/>
                <w:color w:val="FFFFFF" w:themeColor="background1"/>
                <w:sz w:val="18"/>
              </w:rPr>
              <w:t>Routine</w:t>
            </w:r>
          </w:p>
        </w:tc>
        <w:tc>
          <w:tcPr>
            <w:tcW w:w="1275" w:type="dxa"/>
            <w:tcBorders>
              <w:top w:val="single" w:sz="4" w:space="0" w:color="auto"/>
              <w:left w:val="single" w:sz="4" w:space="0" w:color="auto"/>
              <w:bottom w:val="single" w:sz="4" w:space="0" w:color="auto"/>
              <w:right w:val="single" w:sz="4" w:space="0" w:color="auto"/>
            </w:tcBorders>
            <w:shd w:val="clear" w:color="auto" w:fill="006DA7"/>
          </w:tcPr>
          <w:p w14:paraId="29B4D6FB" w14:textId="77777777" w:rsidR="003E294C" w:rsidRPr="003C6A8C" w:rsidRDefault="003E294C" w:rsidP="00542086">
            <w:pPr>
              <w:ind w:left="67" w:right="3"/>
              <w:rPr>
                <w:b/>
                <w:color w:val="FFFFFF" w:themeColor="background1"/>
                <w:sz w:val="18"/>
              </w:rPr>
            </w:pPr>
            <w:r w:rsidRPr="003C6A8C">
              <w:rPr>
                <w:b/>
                <w:color w:val="FFFFFF" w:themeColor="background1"/>
                <w:sz w:val="18"/>
              </w:rPr>
              <w:t>Additional</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19A82537" w14:textId="77777777" w:rsidR="003E294C" w:rsidRPr="003C6A8C" w:rsidRDefault="003E294C" w:rsidP="00542086">
            <w:pPr>
              <w:ind w:left="60" w:right="0"/>
              <w:rPr>
                <w:b/>
                <w:color w:val="FFFFFF" w:themeColor="background1"/>
                <w:sz w:val="18"/>
              </w:rPr>
            </w:pPr>
            <w:r w:rsidRPr="003C6A8C">
              <w:rPr>
                <w:b/>
                <w:color w:val="FFFFFF" w:themeColor="background1"/>
                <w:sz w:val="18"/>
              </w:rPr>
              <w:t>Routine</w:t>
            </w:r>
          </w:p>
        </w:tc>
        <w:tc>
          <w:tcPr>
            <w:tcW w:w="1305" w:type="dxa"/>
            <w:tcBorders>
              <w:top w:val="single" w:sz="4" w:space="0" w:color="auto"/>
              <w:left w:val="single" w:sz="4" w:space="0" w:color="auto"/>
              <w:bottom w:val="single" w:sz="4" w:space="0" w:color="auto"/>
              <w:right w:val="single" w:sz="4" w:space="0" w:color="auto"/>
            </w:tcBorders>
            <w:shd w:val="clear" w:color="auto" w:fill="006DA7"/>
          </w:tcPr>
          <w:p w14:paraId="62A87423" w14:textId="77777777" w:rsidR="003E294C" w:rsidRPr="003C6A8C" w:rsidRDefault="003E294C" w:rsidP="00542086">
            <w:pPr>
              <w:ind w:left="68" w:right="53"/>
              <w:rPr>
                <w:b/>
                <w:color w:val="FFFFFF" w:themeColor="background1"/>
                <w:sz w:val="18"/>
              </w:rPr>
            </w:pPr>
            <w:r w:rsidRPr="003C6A8C">
              <w:rPr>
                <w:b/>
                <w:color w:val="FFFFFF" w:themeColor="background1"/>
                <w:sz w:val="18"/>
              </w:rPr>
              <w:t>Additional</w:t>
            </w:r>
          </w:p>
        </w:tc>
      </w:tr>
      <w:tr w:rsidR="003E294C" w:rsidRPr="004F1C07" w14:paraId="30BA8347" w14:textId="77777777" w:rsidTr="00542086">
        <w:trPr>
          <w:trHeight w:val="137"/>
        </w:trPr>
        <w:tc>
          <w:tcPr>
            <w:tcW w:w="1696" w:type="dxa"/>
            <w:vMerge w:val="restart"/>
            <w:tcBorders>
              <w:top w:val="single" w:sz="4" w:space="0" w:color="auto"/>
            </w:tcBorders>
          </w:tcPr>
          <w:p w14:paraId="03EED9F0" w14:textId="77777777" w:rsidR="003E294C" w:rsidRPr="00680101" w:rsidRDefault="003E294C" w:rsidP="003E294C">
            <w:pPr>
              <w:pStyle w:val="Tabletext"/>
              <w:rPr>
                <w:b/>
              </w:rPr>
            </w:pPr>
            <w:r w:rsidRPr="00680101">
              <w:rPr>
                <w:b/>
              </w:rPr>
              <w:t>Important identified risks</w:t>
            </w:r>
          </w:p>
        </w:tc>
        <w:tc>
          <w:tcPr>
            <w:tcW w:w="2240" w:type="dxa"/>
            <w:tcBorders>
              <w:top w:val="single" w:sz="4" w:space="0" w:color="auto"/>
            </w:tcBorders>
          </w:tcPr>
          <w:p w14:paraId="7D2B7FCF" w14:textId="428DA6DC" w:rsidR="003E294C" w:rsidRPr="003B2C16" w:rsidRDefault="003E294C" w:rsidP="003E178B">
            <w:pPr>
              <w:rPr>
                <w:sz w:val="20"/>
              </w:rPr>
            </w:pPr>
            <w:r w:rsidRPr="003B2C16">
              <w:rPr>
                <w:sz w:val="20"/>
              </w:rPr>
              <w:t xml:space="preserve">Change of </w:t>
            </w:r>
            <w:proofErr w:type="spellStart"/>
            <w:r w:rsidRPr="003B2C16">
              <w:rPr>
                <w:sz w:val="20"/>
              </w:rPr>
              <w:t>pigmentary</w:t>
            </w:r>
            <w:proofErr w:type="spellEnd"/>
            <w:r w:rsidRPr="003B2C16">
              <w:rPr>
                <w:sz w:val="20"/>
              </w:rPr>
              <w:t xml:space="preserve"> </w:t>
            </w:r>
            <w:r w:rsidR="003E178B">
              <w:rPr>
                <w:sz w:val="20"/>
              </w:rPr>
              <w:t>lesions</w:t>
            </w:r>
          </w:p>
        </w:tc>
        <w:tc>
          <w:tcPr>
            <w:tcW w:w="1134" w:type="dxa"/>
            <w:tcBorders>
              <w:top w:val="single" w:sz="4" w:space="0" w:color="auto"/>
            </w:tcBorders>
          </w:tcPr>
          <w:p w14:paraId="08D32E2D" w14:textId="77777777" w:rsidR="003E294C" w:rsidRPr="003B2C16" w:rsidRDefault="003E294C" w:rsidP="003B2C16">
            <w:pPr>
              <w:rPr>
                <w:sz w:val="20"/>
              </w:rPr>
            </w:pPr>
            <w:r w:rsidRPr="003B2C16">
              <w:rPr>
                <w:sz w:val="20"/>
              </w:rPr>
              <w:sym w:font="Wingdings" w:char="F0FC"/>
            </w:r>
          </w:p>
        </w:tc>
        <w:tc>
          <w:tcPr>
            <w:tcW w:w="1275" w:type="dxa"/>
            <w:tcBorders>
              <w:top w:val="single" w:sz="4" w:space="0" w:color="auto"/>
            </w:tcBorders>
          </w:tcPr>
          <w:p w14:paraId="289F1F22" w14:textId="77777777" w:rsidR="003E294C" w:rsidRPr="003B2C16" w:rsidRDefault="003E294C" w:rsidP="003B2C16">
            <w:pPr>
              <w:rPr>
                <w:sz w:val="20"/>
              </w:rPr>
            </w:pPr>
            <w:r w:rsidRPr="003B2C16">
              <w:rPr>
                <w:sz w:val="20"/>
              </w:rPr>
              <w:sym w:font="Wingdings" w:char="F0FC"/>
            </w:r>
            <w:r w:rsidRPr="003B2C16">
              <w:rPr>
                <w:sz w:val="20"/>
              </w:rPr>
              <w:t>*†</w:t>
            </w:r>
          </w:p>
        </w:tc>
        <w:tc>
          <w:tcPr>
            <w:tcW w:w="1134" w:type="dxa"/>
            <w:tcBorders>
              <w:top w:val="single" w:sz="4" w:space="0" w:color="auto"/>
            </w:tcBorders>
          </w:tcPr>
          <w:p w14:paraId="7B7A2A53" w14:textId="77777777" w:rsidR="003E294C" w:rsidRPr="003B2C16" w:rsidRDefault="003E294C" w:rsidP="003B2C16">
            <w:pPr>
              <w:rPr>
                <w:sz w:val="20"/>
              </w:rPr>
            </w:pPr>
            <w:r w:rsidRPr="003B2C16">
              <w:rPr>
                <w:sz w:val="20"/>
              </w:rPr>
              <w:sym w:font="Wingdings" w:char="F0FC"/>
            </w:r>
          </w:p>
        </w:tc>
        <w:tc>
          <w:tcPr>
            <w:tcW w:w="1305" w:type="dxa"/>
            <w:tcBorders>
              <w:top w:val="single" w:sz="4" w:space="0" w:color="auto"/>
            </w:tcBorders>
          </w:tcPr>
          <w:p w14:paraId="18B69D3A" w14:textId="77777777" w:rsidR="003E294C" w:rsidRPr="003B2C16" w:rsidRDefault="003E294C" w:rsidP="003B2C16">
            <w:pPr>
              <w:rPr>
                <w:sz w:val="20"/>
              </w:rPr>
            </w:pPr>
            <w:r w:rsidRPr="003B2C16">
              <w:rPr>
                <w:sz w:val="20"/>
              </w:rPr>
              <w:sym w:font="Wingdings" w:char="F0FC"/>
            </w:r>
            <w:r w:rsidRPr="003B2C16">
              <w:rPr>
                <w:sz w:val="20"/>
              </w:rPr>
              <w:t>§</w:t>
            </w:r>
          </w:p>
        </w:tc>
      </w:tr>
      <w:tr w:rsidR="003E294C" w:rsidRPr="004F1C07" w14:paraId="216C18F6" w14:textId="77777777" w:rsidTr="00542086">
        <w:trPr>
          <w:trHeight w:val="319"/>
        </w:trPr>
        <w:tc>
          <w:tcPr>
            <w:tcW w:w="1696" w:type="dxa"/>
            <w:vMerge/>
          </w:tcPr>
          <w:p w14:paraId="7E4B0006" w14:textId="77777777" w:rsidR="003E294C" w:rsidRPr="00680101" w:rsidRDefault="003E294C" w:rsidP="003E294C">
            <w:pPr>
              <w:pStyle w:val="Tabletext"/>
              <w:rPr>
                <w:b/>
              </w:rPr>
            </w:pPr>
          </w:p>
        </w:tc>
        <w:tc>
          <w:tcPr>
            <w:tcW w:w="2240" w:type="dxa"/>
          </w:tcPr>
          <w:p w14:paraId="1E4CE017" w14:textId="77777777" w:rsidR="003E294C" w:rsidRPr="003B2C16" w:rsidRDefault="003E294C" w:rsidP="003B2C16">
            <w:pPr>
              <w:rPr>
                <w:sz w:val="20"/>
              </w:rPr>
            </w:pPr>
            <w:r w:rsidRPr="003B2C16">
              <w:rPr>
                <w:sz w:val="20"/>
              </w:rPr>
              <w:t xml:space="preserve">Administration site reactions </w:t>
            </w:r>
          </w:p>
        </w:tc>
        <w:tc>
          <w:tcPr>
            <w:tcW w:w="1134" w:type="dxa"/>
          </w:tcPr>
          <w:p w14:paraId="063D9A37" w14:textId="77777777" w:rsidR="003E294C" w:rsidRPr="003B2C16" w:rsidRDefault="003E294C" w:rsidP="003B2C16">
            <w:pPr>
              <w:rPr>
                <w:sz w:val="20"/>
              </w:rPr>
            </w:pPr>
            <w:r w:rsidRPr="003B2C16">
              <w:rPr>
                <w:sz w:val="20"/>
              </w:rPr>
              <w:sym w:font="Wingdings" w:char="F0FC"/>
            </w:r>
          </w:p>
        </w:tc>
        <w:tc>
          <w:tcPr>
            <w:tcW w:w="1275" w:type="dxa"/>
          </w:tcPr>
          <w:p w14:paraId="0451EAE1" w14:textId="77777777" w:rsidR="003E294C" w:rsidRPr="003B2C16" w:rsidRDefault="003E294C" w:rsidP="003B2C16">
            <w:pPr>
              <w:rPr>
                <w:sz w:val="20"/>
              </w:rPr>
            </w:pPr>
            <w:r w:rsidRPr="003B2C16">
              <w:rPr>
                <w:sz w:val="20"/>
              </w:rPr>
              <w:sym w:font="Wingdings" w:char="F0FC"/>
            </w:r>
            <w:r w:rsidRPr="003B2C16">
              <w:rPr>
                <w:sz w:val="20"/>
              </w:rPr>
              <w:t>*†</w:t>
            </w:r>
          </w:p>
        </w:tc>
        <w:tc>
          <w:tcPr>
            <w:tcW w:w="1134" w:type="dxa"/>
          </w:tcPr>
          <w:p w14:paraId="55AC645F" w14:textId="77777777" w:rsidR="003E294C" w:rsidRPr="003B2C16" w:rsidRDefault="003E294C" w:rsidP="003B2C16">
            <w:pPr>
              <w:rPr>
                <w:sz w:val="20"/>
              </w:rPr>
            </w:pPr>
            <w:r w:rsidRPr="003B2C16">
              <w:rPr>
                <w:sz w:val="20"/>
              </w:rPr>
              <w:sym w:font="Wingdings" w:char="F0FC"/>
            </w:r>
          </w:p>
        </w:tc>
        <w:tc>
          <w:tcPr>
            <w:tcW w:w="1305" w:type="dxa"/>
          </w:tcPr>
          <w:p w14:paraId="519377E9" w14:textId="77777777" w:rsidR="003E294C" w:rsidRPr="003B2C16" w:rsidRDefault="003E294C" w:rsidP="003B2C16">
            <w:pPr>
              <w:rPr>
                <w:sz w:val="20"/>
              </w:rPr>
            </w:pPr>
            <w:r w:rsidRPr="003B2C16">
              <w:rPr>
                <w:sz w:val="20"/>
              </w:rPr>
              <w:sym w:font="Wingdings" w:char="F0FC"/>
            </w:r>
            <w:r w:rsidRPr="003B2C16">
              <w:rPr>
                <w:sz w:val="20"/>
              </w:rPr>
              <w:t>ǁ</w:t>
            </w:r>
          </w:p>
        </w:tc>
      </w:tr>
      <w:tr w:rsidR="003E294C" w:rsidRPr="004F1C07" w14:paraId="367AD02D" w14:textId="77777777" w:rsidTr="00542086">
        <w:trPr>
          <w:trHeight w:val="159"/>
        </w:trPr>
        <w:tc>
          <w:tcPr>
            <w:tcW w:w="1696" w:type="dxa"/>
            <w:vMerge w:val="restart"/>
          </w:tcPr>
          <w:p w14:paraId="4B065DBF" w14:textId="77777777" w:rsidR="003E294C" w:rsidRPr="00680101" w:rsidRDefault="003E294C" w:rsidP="003E294C">
            <w:pPr>
              <w:pStyle w:val="Tabletext"/>
              <w:rPr>
                <w:b/>
              </w:rPr>
            </w:pPr>
            <w:r w:rsidRPr="00680101">
              <w:rPr>
                <w:b/>
              </w:rPr>
              <w:t>Important potential risks</w:t>
            </w:r>
          </w:p>
        </w:tc>
        <w:tc>
          <w:tcPr>
            <w:tcW w:w="2240" w:type="dxa"/>
          </w:tcPr>
          <w:p w14:paraId="4E47540F" w14:textId="77777777" w:rsidR="003E294C" w:rsidRPr="003B2C16" w:rsidRDefault="003E294C" w:rsidP="003B2C16">
            <w:pPr>
              <w:rPr>
                <w:sz w:val="20"/>
              </w:rPr>
            </w:pPr>
            <w:r w:rsidRPr="003B2C16">
              <w:rPr>
                <w:sz w:val="20"/>
              </w:rPr>
              <w:t xml:space="preserve">Allergy and hypersensitivity </w:t>
            </w:r>
          </w:p>
        </w:tc>
        <w:tc>
          <w:tcPr>
            <w:tcW w:w="1134" w:type="dxa"/>
          </w:tcPr>
          <w:p w14:paraId="21709DF7" w14:textId="77777777" w:rsidR="003E294C" w:rsidRPr="003B2C16" w:rsidRDefault="003E294C" w:rsidP="003B2C16">
            <w:pPr>
              <w:rPr>
                <w:sz w:val="20"/>
              </w:rPr>
            </w:pPr>
            <w:r w:rsidRPr="003B2C16">
              <w:rPr>
                <w:sz w:val="20"/>
              </w:rPr>
              <w:sym w:font="Wingdings" w:char="F0FC"/>
            </w:r>
          </w:p>
        </w:tc>
        <w:tc>
          <w:tcPr>
            <w:tcW w:w="1275" w:type="dxa"/>
          </w:tcPr>
          <w:p w14:paraId="7868D063" w14:textId="77777777" w:rsidR="003E294C" w:rsidRPr="003B2C16" w:rsidRDefault="003E294C" w:rsidP="003B2C16">
            <w:pPr>
              <w:rPr>
                <w:sz w:val="20"/>
              </w:rPr>
            </w:pPr>
            <w:r w:rsidRPr="003B2C16">
              <w:rPr>
                <w:sz w:val="20"/>
              </w:rPr>
              <w:sym w:font="Wingdings" w:char="F0FC"/>
            </w:r>
            <w:r w:rsidRPr="003B2C16">
              <w:rPr>
                <w:sz w:val="20"/>
              </w:rPr>
              <w:t>*†</w:t>
            </w:r>
          </w:p>
        </w:tc>
        <w:tc>
          <w:tcPr>
            <w:tcW w:w="1134" w:type="dxa"/>
          </w:tcPr>
          <w:p w14:paraId="680F66FD" w14:textId="77777777" w:rsidR="003E294C" w:rsidRPr="003B2C16" w:rsidRDefault="003E294C" w:rsidP="003B2C16">
            <w:pPr>
              <w:rPr>
                <w:sz w:val="20"/>
              </w:rPr>
            </w:pPr>
            <w:r w:rsidRPr="003B2C16">
              <w:rPr>
                <w:sz w:val="20"/>
              </w:rPr>
              <w:sym w:font="Wingdings" w:char="F0FC"/>
            </w:r>
          </w:p>
        </w:tc>
        <w:tc>
          <w:tcPr>
            <w:tcW w:w="1305" w:type="dxa"/>
          </w:tcPr>
          <w:p w14:paraId="31EEF005" w14:textId="77777777" w:rsidR="003E294C" w:rsidRPr="003B2C16" w:rsidRDefault="003E294C" w:rsidP="003B2C16">
            <w:pPr>
              <w:rPr>
                <w:sz w:val="20"/>
              </w:rPr>
            </w:pPr>
            <w:r w:rsidRPr="003B2C16">
              <w:rPr>
                <w:sz w:val="20"/>
              </w:rPr>
              <w:sym w:font="Wingdings" w:char="F0FC"/>
            </w:r>
          </w:p>
        </w:tc>
      </w:tr>
      <w:tr w:rsidR="003E294C" w:rsidRPr="004F1C07" w14:paraId="77DDA4B2" w14:textId="77777777" w:rsidTr="00542086">
        <w:trPr>
          <w:trHeight w:val="122"/>
        </w:trPr>
        <w:tc>
          <w:tcPr>
            <w:tcW w:w="1696" w:type="dxa"/>
            <w:vMerge/>
          </w:tcPr>
          <w:p w14:paraId="20911874" w14:textId="77777777" w:rsidR="003E294C" w:rsidRPr="00680101" w:rsidRDefault="003E294C" w:rsidP="003E294C">
            <w:pPr>
              <w:pStyle w:val="Tabletext"/>
              <w:rPr>
                <w:b/>
              </w:rPr>
            </w:pPr>
          </w:p>
        </w:tc>
        <w:tc>
          <w:tcPr>
            <w:tcW w:w="2240" w:type="dxa"/>
          </w:tcPr>
          <w:p w14:paraId="7963E644" w14:textId="77777777" w:rsidR="003E294C" w:rsidRPr="003B2C16" w:rsidRDefault="003E294C" w:rsidP="003B2C16">
            <w:pPr>
              <w:rPr>
                <w:sz w:val="20"/>
              </w:rPr>
            </w:pPr>
            <w:r w:rsidRPr="003B2C16">
              <w:rPr>
                <w:sz w:val="20"/>
              </w:rPr>
              <w:t xml:space="preserve">Off-label use in paediatric patients </w:t>
            </w:r>
          </w:p>
        </w:tc>
        <w:tc>
          <w:tcPr>
            <w:tcW w:w="1134" w:type="dxa"/>
          </w:tcPr>
          <w:p w14:paraId="0885AD87" w14:textId="77777777" w:rsidR="003E294C" w:rsidRPr="003B2C16" w:rsidRDefault="003E294C" w:rsidP="003B2C16">
            <w:pPr>
              <w:rPr>
                <w:sz w:val="20"/>
              </w:rPr>
            </w:pPr>
            <w:r w:rsidRPr="003B2C16">
              <w:rPr>
                <w:sz w:val="20"/>
              </w:rPr>
              <w:sym w:font="Wingdings" w:char="F0FC"/>
            </w:r>
          </w:p>
        </w:tc>
        <w:tc>
          <w:tcPr>
            <w:tcW w:w="1275" w:type="dxa"/>
          </w:tcPr>
          <w:p w14:paraId="0B5EBA09" w14:textId="77777777" w:rsidR="003E294C" w:rsidRPr="003B2C16" w:rsidRDefault="003E294C" w:rsidP="003B2C16">
            <w:pPr>
              <w:rPr>
                <w:sz w:val="20"/>
              </w:rPr>
            </w:pPr>
            <w:r w:rsidRPr="003B2C16">
              <w:rPr>
                <w:sz w:val="20"/>
              </w:rPr>
              <w:sym w:font="Wingdings" w:char="F0FC"/>
            </w:r>
            <w:r w:rsidRPr="003B2C16">
              <w:rPr>
                <w:sz w:val="20"/>
              </w:rPr>
              <w:t>*†</w:t>
            </w:r>
          </w:p>
        </w:tc>
        <w:tc>
          <w:tcPr>
            <w:tcW w:w="1134" w:type="dxa"/>
          </w:tcPr>
          <w:p w14:paraId="4C13A244" w14:textId="77777777" w:rsidR="003E294C" w:rsidRPr="003B2C16" w:rsidRDefault="003E294C" w:rsidP="003B2C16">
            <w:pPr>
              <w:rPr>
                <w:sz w:val="20"/>
              </w:rPr>
            </w:pPr>
            <w:r w:rsidRPr="003B2C16">
              <w:rPr>
                <w:sz w:val="20"/>
              </w:rPr>
              <w:sym w:font="Wingdings" w:char="F0FC"/>
            </w:r>
          </w:p>
        </w:tc>
        <w:tc>
          <w:tcPr>
            <w:tcW w:w="1305" w:type="dxa"/>
          </w:tcPr>
          <w:p w14:paraId="2844F0FB" w14:textId="77777777" w:rsidR="003E294C" w:rsidRPr="003B2C16" w:rsidRDefault="003E294C" w:rsidP="003B2C16">
            <w:pPr>
              <w:rPr>
                <w:sz w:val="20"/>
              </w:rPr>
            </w:pPr>
            <w:r w:rsidRPr="003B2C16">
              <w:rPr>
                <w:sz w:val="20"/>
              </w:rPr>
              <w:sym w:font="Wingdings" w:char="F0FC"/>
            </w:r>
            <w:r w:rsidR="003B2C16">
              <w:rPr>
                <w:sz w:val="20"/>
              </w:rPr>
              <w:t>β</w:t>
            </w:r>
          </w:p>
        </w:tc>
      </w:tr>
      <w:tr w:rsidR="003E294C" w:rsidRPr="004F1C07" w14:paraId="46C2AD98" w14:textId="77777777" w:rsidTr="00542086">
        <w:trPr>
          <w:trHeight w:val="112"/>
        </w:trPr>
        <w:tc>
          <w:tcPr>
            <w:tcW w:w="1696" w:type="dxa"/>
            <w:vMerge/>
          </w:tcPr>
          <w:p w14:paraId="0D0446DD" w14:textId="77777777" w:rsidR="003E294C" w:rsidRPr="00680101" w:rsidRDefault="003E294C" w:rsidP="003E294C">
            <w:pPr>
              <w:pStyle w:val="Tabletext"/>
              <w:rPr>
                <w:b/>
              </w:rPr>
            </w:pPr>
          </w:p>
        </w:tc>
        <w:tc>
          <w:tcPr>
            <w:tcW w:w="2240" w:type="dxa"/>
          </w:tcPr>
          <w:p w14:paraId="781F4C0C" w14:textId="77777777" w:rsidR="003E294C" w:rsidRPr="003B2C16" w:rsidRDefault="003E294C" w:rsidP="003B2C16">
            <w:pPr>
              <w:rPr>
                <w:sz w:val="20"/>
              </w:rPr>
            </w:pPr>
            <w:r w:rsidRPr="003B2C16">
              <w:rPr>
                <w:sz w:val="20"/>
              </w:rPr>
              <w:t xml:space="preserve">Off-label use in adults </w:t>
            </w:r>
          </w:p>
        </w:tc>
        <w:tc>
          <w:tcPr>
            <w:tcW w:w="1134" w:type="dxa"/>
          </w:tcPr>
          <w:p w14:paraId="63B5584D" w14:textId="77777777" w:rsidR="003E294C" w:rsidRPr="003B2C16" w:rsidRDefault="003E294C" w:rsidP="003B2C16">
            <w:pPr>
              <w:rPr>
                <w:sz w:val="20"/>
              </w:rPr>
            </w:pPr>
            <w:r w:rsidRPr="003B2C16">
              <w:rPr>
                <w:sz w:val="20"/>
              </w:rPr>
              <w:sym w:font="Wingdings" w:char="F0FC"/>
            </w:r>
          </w:p>
        </w:tc>
        <w:tc>
          <w:tcPr>
            <w:tcW w:w="1275" w:type="dxa"/>
          </w:tcPr>
          <w:p w14:paraId="3F096A33" w14:textId="77777777" w:rsidR="003E294C" w:rsidRPr="003B2C16" w:rsidRDefault="003E294C" w:rsidP="003B2C16">
            <w:pPr>
              <w:rPr>
                <w:sz w:val="20"/>
              </w:rPr>
            </w:pPr>
            <w:r w:rsidRPr="003B2C16">
              <w:rPr>
                <w:sz w:val="20"/>
              </w:rPr>
              <w:sym w:font="Wingdings" w:char="F0FC"/>
            </w:r>
            <w:r w:rsidRPr="003B2C16">
              <w:rPr>
                <w:sz w:val="20"/>
              </w:rPr>
              <w:t>*†</w:t>
            </w:r>
          </w:p>
        </w:tc>
        <w:tc>
          <w:tcPr>
            <w:tcW w:w="1134" w:type="dxa"/>
          </w:tcPr>
          <w:p w14:paraId="673BF367" w14:textId="77777777" w:rsidR="003E294C" w:rsidRPr="003B2C16" w:rsidRDefault="003E294C" w:rsidP="003B2C16">
            <w:pPr>
              <w:rPr>
                <w:sz w:val="20"/>
              </w:rPr>
            </w:pPr>
            <w:r w:rsidRPr="003B2C16">
              <w:rPr>
                <w:sz w:val="20"/>
              </w:rPr>
              <w:sym w:font="Wingdings" w:char="F0FC"/>
            </w:r>
          </w:p>
        </w:tc>
        <w:tc>
          <w:tcPr>
            <w:tcW w:w="1305" w:type="dxa"/>
          </w:tcPr>
          <w:p w14:paraId="01F59E33" w14:textId="77777777" w:rsidR="003E294C" w:rsidRPr="003B2C16" w:rsidRDefault="003E294C" w:rsidP="003B2C16">
            <w:pPr>
              <w:rPr>
                <w:sz w:val="20"/>
              </w:rPr>
            </w:pPr>
            <w:r w:rsidRPr="003B2C16">
              <w:rPr>
                <w:sz w:val="20"/>
              </w:rPr>
              <w:sym w:font="Wingdings" w:char="F0FC"/>
            </w:r>
            <w:r w:rsidR="003B2C16">
              <w:rPr>
                <w:sz w:val="20"/>
              </w:rPr>
              <w:t>β</w:t>
            </w:r>
          </w:p>
        </w:tc>
      </w:tr>
      <w:tr w:rsidR="003E294C" w:rsidRPr="004F1C07" w14:paraId="0645609C" w14:textId="77777777" w:rsidTr="00542086">
        <w:trPr>
          <w:trHeight w:val="112"/>
        </w:trPr>
        <w:tc>
          <w:tcPr>
            <w:tcW w:w="1696" w:type="dxa"/>
            <w:vMerge/>
          </w:tcPr>
          <w:p w14:paraId="358A7A5C" w14:textId="77777777" w:rsidR="003E294C" w:rsidRPr="00680101" w:rsidRDefault="003E294C" w:rsidP="003E294C">
            <w:pPr>
              <w:pStyle w:val="Tabletext"/>
              <w:rPr>
                <w:b/>
              </w:rPr>
            </w:pPr>
          </w:p>
        </w:tc>
        <w:tc>
          <w:tcPr>
            <w:tcW w:w="2240" w:type="dxa"/>
          </w:tcPr>
          <w:p w14:paraId="1C84F99C" w14:textId="77777777" w:rsidR="003E294C" w:rsidRPr="003B2C16" w:rsidRDefault="003E294C" w:rsidP="003B2C16">
            <w:pPr>
              <w:rPr>
                <w:sz w:val="20"/>
              </w:rPr>
            </w:pPr>
            <w:r w:rsidRPr="003B2C16">
              <w:rPr>
                <w:sz w:val="20"/>
              </w:rPr>
              <w:t xml:space="preserve">Use in pregnancy and lactation </w:t>
            </w:r>
          </w:p>
        </w:tc>
        <w:tc>
          <w:tcPr>
            <w:tcW w:w="1134" w:type="dxa"/>
          </w:tcPr>
          <w:p w14:paraId="34689583" w14:textId="77777777" w:rsidR="003E294C" w:rsidRPr="003B2C16" w:rsidRDefault="003E294C" w:rsidP="003B2C16">
            <w:pPr>
              <w:rPr>
                <w:sz w:val="20"/>
              </w:rPr>
            </w:pPr>
            <w:r w:rsidRPr="003B2C16">
              <w:rPr>
                <w:sz w:val="20"/>
              </w:rPr>
              <w:sym w:font="Wingdings" w:char="F0FC"/>
            </w:r>
          </w:p>
        </w:tc>
        <w:tc>
          <w:tcPr>
            <w:tcW w:w="1275" w:type="dxa"/>
          </w:tcPr>
          <w:p w14:paraId="2B3C9324" w14:textId="77777777" w:rsidR="003E294C" w:rsidRPr="003B2C16" w:rsidRDefault="003E294C" w:rsidP="003B2C16">
            <w:pPr>
              <w:rPr>
                <w:sz w:val="20"/>
              </w:rPr>
            </w:pPr>
            <w:r w:rsidRPr="003B2C16">
              <w:rPr>
                <w:sz w:val="20"/>
              </w:rPr>
              <w:sym w:font="Wingdings" w:char="F0FC"/>
            </w:r>
            <w:r w:rsidRPr="003B2C16">
              <w:rPr>
                <w:sz w:val="20"/>
              </w:rPr>
              <w:t>*†</w:t>
            </w:r>
          </w:p>
        </w:tc>
        <w:tc>
          <w:tcPr>
            <w:tcW w:w="1134" w:type="dxa"/>
          </w:tcPr>
          <w:p w14:paraId="4DE589AB" w14:textId="77777777" w:rsidR="003E294C" w:rsidRPr="003B2C16" w:rsidRDefault="003E294C" w:rsidP="003B2C16">
            <w:pPr>
              <w:rPr>
                <w:sz w:val="20"/>
              </w:rPr>
            </w:pPr>
            <w:r w:rsidRPr="003B2C16">
              <w:rPr>
                <w:sz w:val="20"/>
              </w:rPr>
              <w:sym w:font="Wingdings" w:char="F0FC"/>
            </w:r>
          </w:p>
        </w:tc>
        <w:tc>
          <w:tcPr>
            <w:tcW w:w="1305" w:type="dxa"/>
          </w:tcPr>
          <w:p w14:paraId="79DF4ACC" w14:textId="77777777" w:rsidR="003E294C" w:rsidRPr="003B2C16" w:rsidRDefault="003E294C" w:rsidP="003B2C16">
            <w:pPr>
              <w:rPr>
                <w:sz w:val="20"/>
              </w:rPr>
            </w:pPr>
            <w:r w:rsidRPr="003B2C16">
              <w:rPr>
                <w:sz w:val="20"/>
              </w:rPr>
              <w:sym w:font="Wingdings" w:char="F0FC"/>
            </w:r>
          </w:p>
        </w:tc>
      </w:tr>
      <w:tr w:rsidR="003E294C" w:rsidRPr="004F1C07" w14:paraId="276CC132" w14:textId="77777777" w:rsidTr="00542086">
        <w:trPr>
          <w:trHeight w:val="112"/>
        </w:trPr>
        <w:tc>
          <w:tcPr>
            <w:tcW w:w="1696" w:type="dxa"/>
            <w:vMerge/>
          </w:tcPr>
          <w:p w14:paraId="2E97F4C0" w14:textId="77777777" w:rsidR="003E294C" w:rsidRPr="00680101" w:rsidRDefault="003E294C" w:rsidP="003E294C">
            <w:pPr>
              <w:pStyle w:val="Tabletext"/>
              <w:rPr>
                <w:b/>
              </w:rPr>
            </w:pPr>
          </w:p>
        </w:tc>
        <w:tc>
          <w:tcPr>
            <w:tcW w:w="2240" w:type="dxa"/>
          </w:tcPr>
          <w:p w14:paraId="16952672" w14:textId="77777777" w:rsidR="003E294C" w:rsidRPr="003B2C16" w:rsidRDefault="003E294C" w:rsidP="003B2C16">
            <w:pPr>
              <w:rPr>
                <w:sz w:val="20"/>
              </w:rPr>
            </w:pPr>
            <w:r w:rsidRPr="003B2C16">
              <w:rPr>
                <w:sz w:val="20"/>
              </w:rPr>
              <w:t>Administration error</w:t>
            </w:r>
          </w:p>
        </w:tc>
        <w:tc>
          <w:tcPr>
            <w:tcW w:w="1134" w:type="dxa"/>
          </w:tcPr>
          <w:p w14:paraId="72F09BD5" w14:textId="77777777" w:rsidR="003E294C" w:rsidRPr="003B2C16" w:rsidRDefault="003E294C" w:rsidP="003B2C16">
            <w:pPr>
              <w:rPr>
                <w:sz w:val="20"/>
              </w:rPr>
            </w:pPr>
            <w:r w:rsidRPr="003B2C16">
              <w:rPr>
                <w:sz w:val="20"/>
              </w:rPr>
              <w:sym w:font="Wingdings" w:char="F0FC"/>
            </w:r>
          </w:p>
        </w:tc>
        <w:tc>
          <w:tcPr>
            <w:tcW w:w="1275" w:type="dxa"/>
          </w:tcPr>
          <w:p w14:paraId="139731F8" w14:textId="77777777" w:rsidR="003E294C" w:rsidRPr="003B2C16" w:rsidRDefault="003E294C" w:rsidP="003B2C16">
            <w:pPr>
              <w:rPr>
                <w:sz w:val="20"/>
              </w:rPr>
            </w:pPr>
            <w:r w:rsidRPr="003B2C16">
              <w:rPr>
                <w:sz w:val="20"/>
              </w:rPr>
              <w:sym w:font="Wingdings" w:char="F0FC"/>
            </w:r>
            <w:r w:rsidRPr="003B2C16">
              <w:rPr>
                <w:sz w:val="20"/>
              </w:rPr>
              <w:t>*†</w:t>
            </w:r>
          </w:p>
        </w:tc>
        <w:tc>
          <w:tcPr>
            <w:tcW w:w="1134" w:type="dxa"/>
          </w:tcPr>
          <w:p w14:paraId="2A64A6AD" w14:textId="77777777" w:rsidR="003E294C" w:rsidRPr="003B2C16" w:rsidRDefault="003E294C" w:rsidP="003B2C16">
            <w:pPr>
              <w:rPr>
                <w:sz w:val="20"/>
              </w:rPr>
            </w:pPr>
            <w:r w:rsidRPr="003B2C16">
              <w:rPr>
                <w:sz w:val="20"/>
              </w:rPr>
              <w:sym w:font="Wingdings" w:char="F0FC"/>
            </w:r>
          </w:p>
        </w:tc>
        <w:tc>
          <w:tcPr>
            <w:tcW w:w="1305" w:type="dxa"/>
          </w:tcPr>
          <w:p w14:paraId="725AFB6F" w14:textId="77777777" w:rsidR="003E294C" w:rsidRPr="003B2C16" w:rsidRDefault="003E294C" w:rsidP="003B2C16">
            <w:pPr>
              <w:rPr>
                <w:sz w:val="20"/>
              </w:rPr>
            </w:pPr>
            <w:r w:rsidRPr="003B2C16">
              <w:rPr>
                <w:sz w:val="20"/>
              </w:rPr>
              <w:sym w:font="Wingdings" w:char="F0FC"/>
            </w:r>
            <w:r w:rsidRPr="003B2C16">
              <w:rPr>
                <w:sz w:val="20"/>
              </w:rPr>
              <w:t>ǁ</w:t>
            </w:r>
            <w:r w:rsidR="003B2C16">
              <w:rPr>
                <w:sz w:val="20"/>
              </w:rPr>
              <w:t>β</w:t>
            </w:r>
          </w:p>
        </w:tc>
      </w:tr>
      <w:tr w:rsidR="003E294C" w:rsidRPr="004F1C07" w14:paraId="1CC18567" w14:textId="77777777" w:rsidTr="00542086">
        <w:trPr>
          <w:trHeight w:val="178"/>
        </w:trPr>
        <w:tc>
          <w:tcPr>
            <w:tcW w:w="1696" w:type="dxa"/>
            <w:vMerge w:val="restart"/>
          </w:tcPr>
          <w:p w14:paraId="123C55FC" w14:textId="77777777" w:rsidR="003E294C" w:rsidRPr="00680101" w:rsidRDefault="003E294C" w:rsidP="003E294C">
            <w:pPr>
              <w:pStyle w:val="Tabletext"/>
              <w:rPr>
                <w:b/>
              </w:rPr>
            </w:pPr>
            <w:r w:rsidRPr="00680101">
              <w:rPr>
                <w:b/>
              </w:rPr>
              <w:t>Missing information</w:t>
            </w:r>
          </w:p>
        </w:tc>
        <w:tc>
          <w:tcPr>
            <w:tcW w:w="2240" w:type="dxa"/>
          </w:tcPr>
          <w:p w14:paraId="2FBB6E94" w14:textId="77777777" w:rsidR="003E294C" w:rsidRPr="003B2C16" w:rsidRDefault="003E294C" w:rsidP="003B2C16">
            <w:pPr>
              <w:rPr>
                <w:sz w:val="20"/>
              </w:rPr>
            </w:pPr>
            <w:r w:rsidRPr="003B2C16">
              <w:rPr>
                <w:sz w:val="20"/>
              </w:rPr>
              <w:t>Use in the elderly (greater than 70 years of age)</w:t>
            </w:r>
          </w:p>
        </w:tc>
        <w:tc>
          <w:tcPr>
            <w:tcW w:w="1134" w:type="dxa"/>
          </w:tcPr>
          <w:p w14:paraId="448DE8ED" w14:textId="77777777" w:rsidR="003E294C" w:rsidRPr="003B2C16" w:rsidRDefault="003E294C" w:rsidP="003B2C16">
            <w:pPr>
              <w:rPr>
                <w:sz w:val="20"/>
              </w:rPr>
            </w:pPr>
            <w:r w:rsidRPr="003B2C16">
              <w:rPr>
                <w:sz w:val="20"/>
              </w:rPr>
              <w:sym w:font="Wingdings" w:char="F0FC"/>
            </w:r>
          </w:p>
        </w:tc>
        <w:tc>
          <w:tcPr>
            <w:tcW w:w="1275" w:type="dxa"/>
          </w:tcPr>
          <w:p w14:paraId="132D98AD" w14:textId="77777777" w:rsidR="003E294C" w:rsidRPr="003B2C16" w:rsidRDefault="003E294C" w:rsidP="003B2C16">
            <w:pPr>
              <w:rPr>
                <w:sz w:val="20"/>
              </w:rPr>
            </w:pPr>
            <w:r w:rsidRPr="003B2C16">
              <w:rPr>
                <w:sz w:val="20"/>
              </w:rPr>
              <w:sym w:font="Wingdings" w:char="F0FC"/>
            </w:r>
            <w:r w:rsidRPr="003B2C16">
              <w:rPr>
                <w:sz w:val="20"/>
              </w:rPr>
              <w:t>*†</w:t>
            </w:r>
          </w:p>
        </w:tc>
        <w:tc>
          <w:tcPr>
            <w:tcW w:w="1134" w:type="dxa"/>
          </w:tcPr>
          <w:p w14:paraId="5746F0C0" w14:textId="77777777" w:rsidR="003E294C" w:rsidRPr="003B2C16" w:rsidRDefault="003E294C" w:rsidP="003B2C16">
            <w:pPr>
              <w:rPr>
                <w:sz w:val="20"/>
              </w:rPr>
            </w:pPr>
            <w:r w:rsidRPr="003B2C16">
              <w:rPr>
                <w:sz w:val="20"/>
              </w:rPr>
              <w:sym w:font="Wingdings" w:char="F0FC"/>
            </w:r>
          </w:p>
        </w:tc>
        <w:tc>
          <w:tcPr>
            <w:tcW w:w="1305" w:type="dxa"/>
          </w:tcPr>
          <w:p w14:paraId="578ECFAA" w14:textId="77777777" w:rsidR="003E294C" w:rsidRPr="003B2C16" w:rsidRDefault="003E294C" w:rsidP="003B2C16">
            <w:pPr>
              <w:rPr>
                <w:sz w:val="20"/>
              </w:rPr>
            </w:pPr>
            <w:r w:rsidRPr="003B2C16">
              <w:rPr>
                <w:sz w:val="20"/>
              </w:rPr>
              <w:t>–</w:t>
            </w:r>
          </w:p>
        </w:tc>
      </w:tr>
      <w:tr w:rsidR="003E294C" w:rsidRPr="004F1C07" w14:paraId="79250A13" w14:textId="77777777" w:rsidTr="00542086">
        <w:trPr>
          <w:trHeight w:val="103"/>
        </w:trPr>
        <w:tc>
          <w:tcPr>
            <w:tcW w:w="1696" w:type="dxa"/>
            <w:vMerge/>
          </w:tcPr>
          <w:p w14:paraId="47276F53" w14:textId="77777777" w:rsidR="003E294C" w:rsidRPr="004F1C07" w:rsidRDefault="003E294C" w:rsidP="003E294C">
            <w:pPr>
              <w:pStyle w:val="Tabletext"/>
            </w:pPr>
          </w:p>
        </w:tc>
        <w:tc>
          <w:tcPr>
            <w:tcW w:w="2240" w:type="dxa"/>
          </w:tcPr>
          <w:p w14:paraId="4EE691C0" w14:textId="77777777" w:rsidR="003E294C" w:rsidRPr="003B2C16" w:rsidRDefault="003E294C" w:rsidP="003B2C16">
            <w:pPr>
              <w:rPr>
                <w:sz w:val="20"/>
              </w:rPr>
            </w:pPr>
            <w:r w:rsidRPr="003B2C16">
              <w:rPr>
                <w:sz w:val="20"/>
              </w:rPr>
              <w:t xml:space="preserve">Use in patients with co-morbidities such as clinically significant renal, </w:t>
            </w:r>
            <w:r w:rsidRPr="003B2C16">
              <w:rPr>
                <w:sz w:val="20"/>
              </w:rPr>
              <w:lastRenderedPageBreak/>
              <w:t xml:space="preserve">hepatic or cardiac impairment </w:t>
            </w:r>
          </w:p>
        </w:tc>
        <w:tc>
          <w:tcPr>
            <w:tcW w:w="1134" w:type="dxa"/>
          </w:tcPr>
          <w:p w14:paraId="7E726157" w14:textId="77777777" w:rsidR="003E294C" w:rsidRPr="003B2C16" w:rsidRDefault="003E294C" w:rsidP="003B2C16">
            <w:pPr>
              <w:rPr>
                <w:sz w:val="20"/>
              </w:rPr>
            </w:pPr>
            <w:r w:rsidRPr="003B2C16">
              <w:rPr>
                <w:sz w:val="20"/>
              </w:rPr>
              <w:lastRenderedPageBreak/>
              <w:sym w:font="Wingdings" w:char="F0FC"/>
            </w:r>
          </w:p>
        </w:tc>
        <w:tc>
          <w:tcPr>
            <w:tcW w:w="1275" w:type="dxa"/>
          </w:tcPr>
          <w:p w14:paraId="050D4AB5" w14:textId="77777777" w:rsidR="003E294C" w:rsidRPr="003B2C16" w:rsidRDefault="003E294C" w:rsidP="003B2C16">
            <w:pPr>
              <w:rPr>
                <w:sz w:val="20"/>
              </w:rPr>
            </w:pPr>
            <w:r w:rsidRPr="003B2C16">
              <w:rPr>
                <w:sz w:val="20"/>
              </w:rPr>
              <w:sym w:font="Wingdings" w:char="F0FC"/>
            </w:r>
            <w:r w:rsidRPr="003B2C16">
              <w:rPr>
                <w:sz w:val="20"/>
              </w:rPr>
              <w:t>*†</w:t>
            </w:r>
          </w:p>
        </w:tc>
        <w:tc>
          <w:tcPr>
            <w:tcW w:w="1134" w:type="dxa"/>
          </w:tcPr>
          <w:p w14:paraId="69F7BE38" w14:textId="77777777" w:rsidR="003E294C" w:rsidRPr="003B2C16" w:rsidRDefault="003E294C" w:rsidP="003B2C16">
            <w:pPr>
              <w:rPr>
                <w:sz w:val="20"/>
              </w:rPr>
            </w:pPr>
            <w:r w:rsidRPr="003B2C16">
              <w:rPr>
                <w:sz w:val="20"/>
              </w:rPr>
              <w:sym w:font="Wingdings" w:char="F0FC"/>
            </w:r>
          </w:p>
        </w:tc>
        <w:tc>
          <w:tcPr>
            <w:tcW w:w="1305" w:type="dxa"/>
          </w:tcPr>
          <w:p w14:paraId="60495A96" w14:textId="77777777" w:rsidR="003E294C" w:rsidRPr="003B2C16" w:rsidRDefault="003E294C" w:rsidP="003B2C16">
            <w:pPr>
              <w:rPr>
                <w:sz w:val="20"/>
              </w:rPr>
            </w:pPr>
            <w:r w:rsidRPr="003B2C16">
              <w:rPr>
                <w:sz w:val="20"/>
              </w:rPr>
              <w:t>–</w:t>
            </w:r>
          </w:p>
        </w:tc>
      </w:tr>
      <w:tr w:rsidR="003E294C" w:rsidRPr="004F1C07" w14:paraId="15C41D6D" w14:textId="77777777" w:rsidTr="00542086">
        <w:trPr>
          <w:trHeight w:val="140"/>
        </w:trPr>
        <w:tc>
          <w:tcPr>
            <w:tcW w:w="1696" w:type="dxa"/>
            <w:vMerge/>
          </w:tcPr>
          <w:p w14:paraId="1D007616" w14:textId="77777777" w:rsidR="003E294C" w:rsidRPr="004F1C07" w:rsidRDefault="003E294C" w:rsidP="003E294C">
            <w:pPr>
              <w:pStyle w:val="Tabletext"/>
            </w:pPr>
          </w:p>
        </w:tc>
        <w:tc>
          <w:tcPr>
            <w:tcW w:w="2240" w:type="dxa"/>
          </w:tcPr>
          <w:p w14:paraId="35BEF525" w14:textId="77777777" w:rsidR="003E294C" w:rsidRPr="003B2C16" w:rsidRDefault="003E294C" w:rsidP="003B2C16">
            <w:pPr>
              <w:rPr>
                <w:sz w:val="20"/>
              </w:rPr>
            </w:pPr>
            <w:r w:rsidRPr="003B2C16">
              <w:rPr>
                <w:sz w:val="20"/>
              </w:rPr>
              <w:t xml:space="preserve">Long term safety data </w:t>
            </w:r>
          </w:p>
        </w:tc>
        <w:tc>
          <w:tcPr>
            <w:tcW w:w="1134" w:type="dxa"/>
          </w:tcPr>
          <w:p w14:paraId="79CF6D65" w14:textId="77777777" w:rsidR="003E294C" w:rsidRPr="003B2C16" w:rsidRDefault="003E294C" w:rsidP="003B2C16">
            <w:pPr>
              <w:rPr>
                <w:sz w:val="20"/>
              </w:rPr>
            </w:pPr>
            <w:r w:rsidRPr="003B2C16">
              <w:rPr>
                <w:sz w:val="20"/>
              </w:rPr>
              <w:sym w:font="Wingdings" w:char="F0FC"/>
            </w:r>
          </w:p>
        </w:tc>
        <w:tc>
          <w:tcPr>
            <w:tcW w:w="1275" w:type="dxa"/>
          </w:tcPr>
          <w:p w14:paraId="25A4BD8B" w14:textId="77777777" w:rsidR="003E294C" w:rsidRPr="003B2C16" w:rsidRDefault="003E294C" w:rsidP="003B2C16">
            <w:pPr>
              <w:rPr>
                <w:sz w:val="20"/>
              </w:rPr>
            </w:pPr>
            <w:r w:rsidRPr="003B2C16">
              <w:rPr>
                <w:sz w:val="20"/>
              </w:rPr>
              <w:sym w:font="Wingdings" w:char="F0FC"/>
            </w:r>
            <w:r w:rsidRPr="003B2C16">
              <w:rPr>
                <w:sz w:val="20"/>
              </w:rPr>
              <w:t>*†</w:t>
            </w:r>
          </w:p>
        </w:tc>
        <w:tc>
          <w:tcPr>
            <w:tcW w:w="1134" w:type="dxa"/>
          </w:tcPr>
          <w:p w14:paraId="3C084F18" w14:textId="77777777" w:rsidR="003E294C" w:rsidRPr="003B2C16" w:rsidRDefault="003E294C" w:rsidP="003B2C16">
            <w:pPr>
              <w:rPr>
                <w:sz w:val="20"/>
              </w:rPr>
            </w:pPr>
            <w:r w:rsidRPr="003B2C16">
              <w:rPr>
                <w:sz w:val="20"/>
              </w:rPr>
              <w:sym w:font="Wingdings" w:char="F0FC"/>
            </w:r>
          </w:p>
        </w:tc>
        <w:tc>
          <w:tcPr>
            <w:tcW w:w="1305" w:type="dxa"/>
          </w:tcPr>
          <w:p w14:paraId="25CF1E24" w14:textId="77777777" w:rsidR="003E294C" w:rsidRPr="003B2C16" w:rsidRDefault="003E294C" w:rsidP="003B2C16">
            <w:pPr>
              <w:rPr>
                <w:sz w:val="20"/>
              </w:rPr>
            </w:pPr>
            <w:r w:rsidRPr="003B2C16">
              <w:rPr>
                <w:sz w:val="20"/>
              </w:rPr>
              <w:t>–</w:t>
            </w:r>
          </w:p>
        </w:tc>
      </w:tr>
      <w:tr w:rsidR="003E294C" w:rsidRPr="004F1C07" w14:paraId="70CC2D5F" w14:textId="77777777" w:rsidTr="00542086">
        <w:trPr>
          <w:trHeight w:val="140"/>
        </w:trPr>
        <w:tc>
          <w:tcPr>
            <w:tcW w:w="1696" w:type="dxa"/>
            <w:vMerge/>
          </w:tcPr>
          <w:p w14:paraId="1FA9A9FA" w14:textId="77777777" w:rsidR="003E294C" w:rsidRPr="004F1C07" w:rsidRDefault="003E294C" w:rsidP="003E294C">
            <w:pPr>
              <w:pStyle w:val="Tabletext"/>
            </w:pPr>
          </w:p>
        </w:tc>
        <w:tc>
          <w:tcPr>
            <w:tcW w:w="2240" w:type="dxa"/>
          </w:tcPr>
          <w:p w14:paraId="4AEAAB52" w14:textId="77777777" w:rsidR="003E294C" w:rsidRPr="003B2C16" w:rsidRDefault="003E294C" w:rsidP="003B2C16">
            <w:pPr>
              <w:rPr>
                <w:sz w:val="20"/>
              </w:rPr>
            </w:pPr>
            <w:r w:rsidRPr="003B2C16">
              <w:rPr>
                <w:sz w:val="20"/>
              </w:rPr>
              <w:t xml:space="preserve">Pharmacokinetic data </w:t>
            </w:r>
          </w:p>
        </w:tc>
        <w:tc>
          <w:tcPr>
            <w:tcW w:w="1134" w:type="dxa"/>
          </w:tcPr>
          <w:p w14:paraId="27BB37EA" w14:textId="77777777" w:rsidR="003E294C" w:rsidRPr="003B2C16" w:rsidRDefault="003E294C" w:rsidP="003B2C16">
            <w:pPr>
              <w:rPr>
                <w:sz w:val="20"/>
              </w:rPr>
            </w:pPr>
            <w:r w:rsidRPr="003B2C16">
              <w:rPr>
                <w:sz w:val="20"/>
              </w:rPr>
              <w:sym w:font="Wingdings" w:char="F0FC"/>
            </w:r>
          </w:p>
        </w:tc>
        <w:tc>
          <w:tcPr>
            <w:tcW w:w="1275" w:type="dxa"/>
          </w:tcPr>
          <w:p w14:paraId="545CDEA7" w14:textId="77777777" w:rsidR="003E294C" w:rsidRPr="003B2C16" w:rsidRDefault="003E294C" w:rsidP="003B2C16">
            <w:pPr>
              <w:rPr>
                <w:sz w:val="20"/>
              </w:rPr>
            </w:pPr>
            <w:r w:rsidRPr="003B2C16">
              <w:rPr>
                <w:sz w:val="20"/>
              </w:rPr>
              <w:sym w:font="Wingdings" w:char="F0FC"/>
            </w:r>
            <w:r w:rsidRPr="003B2C16">
              <w:rPr>
                <w:sz w:val="20"/>
              </w:rPr>
              <w:t>‡</w:t>
            </w:r>
          </w:p>
        </w:tc>
        <w:tc>
          <w:tcPr>
            <w:tcW w:w="1134" w:type="dxa"/>
          </w:tcPr>
          <w:p w14:paraId="09D693EC" w14:textId="77777777" w:rsidR="003E294C" w:rsidRPr="003B2C16" w:rsidRDefault="003E294C" w:rsidP="003B2C16">
            <w:pPr>
              <w:rPr>
                <w:sz w:val="20"/>
              </w:rPr>
            </w:pPr>
            <w:r w:rsidRPr="003B2C16">
              <w:rPr>
                <w:sz w:val="20"/>
              </w:rPr>
              <w:sym w:font="Wingdings" w:char="F0FC"/>
            </w:r>
          </w:p>
        </w:tc>
        <w:tc>
          <w:tcPr>
            <w:tcW w:w="1305" w:type="dxa"/>
          </w:tcPr>
          <w:p w14:paraId="07F583C1" w14:textId="77777777" w:rsidR="003E294C" w:rsidRPr="003B2C16" w:rsidRDefault="003E294C" w:rsidP="003B2C16">
            <w:pPr>
              <w:rPr>
                <w:sz w:val="20"/>
              </w:rPr>
            </w:pPr>
            <w:r w:rsidRPr="003B2C16">
              <w:rPr>
                <w:sz w:val="20"/>
              </w:rPr>
              <w:t>–</w:t>
            </w:r>
          </w:p>
        </w:tc>
      </w:tr>
    </w:tbl>
    <w:p w14:paraId="63F5806F" w14:textId="77777777" w:rsidR="003E294C" w:rsidRDefault="003175A2" w:rsidP="003B2C16">
      <w:pPr>
        <w:pStyle w:val="TableDescription"/>
      </w:pPr>
      <w:r>
        <w:t xml:space="preserve">* </w:t>
      </w:r>
      <w:proofErr w:type="gramStart"/>
      <w:r>
        <w:t>retrospective</w:t>
      </w:r>
      <w:proofErr w:type="gramEnd"/>
      <w:r>
        <w:t xml:space="preserve"> chart review</w:t>
      </w:r>
      <w:r w:rsidR="00AC2DDE">
        <w:t xml:space="preserve">; † disease registry; ‡ pharmacokinetic study; </w:t>
      </w:r>
      <w:r>
        <w:t>§ educ</w:t>
      </w:r>
      <w:r w:rsidR="00AC2DDE">
        <w:t xml:space="preserve">ational materials for patients ; </w:t>
      </w:r>
      <w:r>
        <w:t>ǁ Educational materials, training and accreditation of health care professionals and treatment centres</w:t>
      </w:r>
      <w:r w:rsidR="003B2C16">
        <w:t xml:space="preserve">; β </w:t>
      </w:r>
      <w:r>
        <w:t>Controlled distribution.</w:t>
      </w:r>
    </w:p>
    <w:p w14:paraId="5C4D03F4" w14:textId="77777777" w:rsidR="003175A2" w:rsidRDefault="003175A2" w:rsidP="003175A2">
      <w:pPr>
        <w:pStyle w:val="Heading4"/>
      </w:pPr>
      <w:r>
        <w:t>Conditions of registration</w:t>
      </w:r>
    </w:p>
    <w:p w14:paraId="119D9B7C" w14:textId="77777777" w:rsidR="003175A2" w:rsidRPr="003175A2" w:rsidRDefault="003175A2" w:rsidP="003175A2">
      <w:r>
        <w:t>The RMP evaluator suggested the following:</w:t>
      </w:r>
    </w:p>
    <w:p w14:paraId="6662907A" w14:textId="6855C8D3" w:rsidR="003175A2" w:rsidRDefault="003175A2" w:rsidP="003175A2">
      <w:r>
        <w:t>Any changes to which the sponsor has agreed should be included in a revised RMP and ASA. However, irrespective of whether or not they are included in the currently available version of the RMP document, the agreed changes become part</w:t>
      </w:r>
      <w:r w:rsidR="00100BB1">
        <w:t xml:space="preserve"> of the risk management system.</w:t>
      </w:r>
    </w:p>
    <w:p w14:paraId="6E4D8D81" w14:textId="77777777" w:rsidR="003175A2" w:rsidRDefault="003175A2" w:rsidP="003175A2">
      <w:r>
        <w:t xml:space="preserve">The suggested wording is: </w:t>
      </w:r>
    </w:p>
    <w:p w14:paraId="303A915D" w14:textId="1B01562B" w:rsidR="003175A2" w:rsidRDefault="003175A2" w:rsidP="003175A2">
      <w:pPr>
        <w:ind w:left="720"/>
      </w:pPr>
      <w:r>
        <w:t xml:space="preserve">The </w:t>
      </w:r>
      <w:proofErr w:type="spellStart"/>
      <w:r>
        <w:t>Afamelanotide</w:t>
      </w:r>
      <w:proofErr w:type="spellEnd"/>
      <w:r>
        <w:t xml:space="preserve"> (</w:t>
      </w:r>
      <w:proofErr w:type="spellStart"/>
      <w:r w:rsidR="00811504">
        <w:t>Scenesse</w:t>
      </w:r>
      <w:proofErr w:type="spellEnd"/>
      <w:r>
        <w:t>) EU-Risk Management Plan (RMP) (version 8.1, dated 1 February 2018, data lock point 22 June 2017), with Australian Specific Annex (version 1.4, dated April 2020), included with submission PM-2019-05977-1, and any subsequent revisions, as agreed with the TGA will be implemented in Australia.</w:t>
      </w:r>
    </w:p>
    <w:p w14:paraId="51E76E3B" w14:textId="77777777" w:rsidR="003175A2" w:rsidRDefault="003175A2" w:rsidP="003175A2">
      <w:r>
        <w:t>The following wording is recommended for the PSUR requirement:</w:t>
      </w:r>
    </w:p>
    <w:p w14:paraId="367CB848" w14:textId="77777777" w:rsidR="003175A2" w:rsidRDefault="003175A2" w:rsidP="003175A2">
      <w:pPr>
        <w:ind w:left="720"/>
      </w:pPr>
      <w:r>
        <w:t>An obligatory component of risk management plans is routine pharmacovigilance. Routine pharmacovigilance includes the submission of periodic safety</w:t>
      </w:r>
      <w:r w:rsidR="00CD6538">
        <w:t xml:space="preserve"> update reports (PSURs).</w:t>
      </w:r>
    </w:p>
    <w:p w14:paraId="69B67CBE" w14:textId="77777777" w:rsidR="003175A2" w:rsidRDefault="003175A2" w:rsidP="003175A2">
      <w:pPr>
        <w:ind w:left="720"/>
      </w:pPr>
      <w:r>
        <w:t xml:space="preserve">Reports are to be provided in line with the current published list of EU reference dates and frequency of submission of PSURs until the period covered by such reports is not less than three years from the date of this approval letter. </w:t>
      </w:r>
    </w:p>
    <w:p w14:paraId="18DC7605" w14:textId="6EE21449" w:rsidR="003175A2" w:rsidRDefault="003175A2" w:rsidP="003175A2">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w:t>
      </w:r>
      <w:r w:rsidR="00100BB1">
        <w:t>ation to vary the registration.</w:t>
      </w:r>
    </w:p>
    <w:p w14:paraId="5CA84DFE" w14:textId="66A2F4E1" w:rsidR="003175A2" w:rsidRDefault="003175A2" w:rsidP="003175A2">
      <w:r>
        <w:t xml:space="preserve">As </w:t>
      </w:r>
      <w:proofErr w:type="spellStart"/>
      <w:r w:rsidR="00811504">
        <w:t>Scenesse</w:t>
      </w:r>
      <w:proofErr w:type="spellEnd"/>
      <w:r>
        <w:t xml:space="preserve"> is a new chemical entity it should be included in the Black Triangle Scheme as a condition of registration. The following wording is recommended for</w:t>
      </w:r>
      <w:r w:rsidR="00257AE7">
        <w:t xml:space="preserve"> the condition of registration:</w:t>
      </w:r>
    </w:p>
    <w:p w14:paraId="3FC5019C" w14:textId="52851470" w:rsidR="003175A2" w:rsidRDefault="00811504" w:rsidP="003175A2">
      <w:pPr>
        <w:ind w:left="720"/>
      </w:pPr>
      <w:proofErr w:type="spellStart"/>
      <w:r>
        <w:t>Scenesse</w:t>
      </w:r>
      <w:proofErr w:type="spellEnd"/>
      <w:r w:rsidR="003175A2">
        <w:t xml:space="preserve"> (</w:t>
      </w:r>
      <w:proofErr w:type="spellStart"/>
      <w:r w:rsidR="003175A2">
        <w:t>afamelanotide</w:t>
      </w:r>
      <w:proofErr w:type="spellEnd"/>
      <w:r w:rsidR="003175A2">
        <w:t xml:space="preserve">) is to be included in the Black Triangle Scheme. The PI and CMI for </w:t>
      </w:r>
      <w:proofErr w:type="spellStart"/>
      <w:r>
        <w:t>Scenesse</w:t>
      </w:r>
      <w:proofErr w:type="spellEnd"/>
      <w:r w:rsidR="003175A2">
        <w:t xml:space="preserve"> must include the black triangle symbol and mandatory accompanying text for five years, which starts from the date that the sponsor notifies the TGA of supply of the product.</w:t>
      </w:r>
    </w:p>
    <w:p w14:paraId="03DB8C93" w14:textId="77777777" w:rsidR="004046D0" w:rsidRPr="004046D0" w:rsidRDefault="004046D0" w:rsidP="004046D0">
      <w:pPr>
        <w:spacing w:before="0" w:after="0" w:line="240" w:lineRule="auto"/>
        <w:rPr>
          <w:rFonts w:asciiTheme="minorHAnsi" w:hAnsiTheme="minorHAnsi"/>
        </w:rPr>
      </w:pPr>
      <w:r>
        <w:rPr>
          <w:rFonts w:asciiTheme="minorHAnsi" w:hAnsiTheme="minorHAnsi"/>
        </w:rPr>
        <w:t xml:space="preserve">The Delegate commented that the RMP evaluator has not raised objections to the registration of </w:t>
      </w:r>
      <w:proofErr w:type="spellStart"/>
      <w:r>
        <w:rPr>
          <w:rFonts w:asciiTheme="minorHAnsi" w:hAnsiTheme="minorHAnsi"/>
        </w:rPr>
        <w:t>afamelanotide</w:t>
      </w:r>
      <w:proofErr w:type="spellEnd"/>
      <w:r>
        <w:rPr>
          <w:rFonts w:asciiTheme="minorHAnsi" w:hAnsiTheme="minorHAnsi"/>
        </w:rPr>
        <w:t xml:space="preserve">. The RMP evaluator has noted that the proposed Australian </w:t>
      </w:r>
      <w:r>
        <w:rPr>
          <w:rFonts w:asciiTheme="minorHAnsi" w:hAnsiTheme="minorHAnsi"/>
        </w:rPr>
        <w:lastRenderedPageBreak/>
        <w:t>product information has not specified a maximum number of implants per year, which is consistent with the FDA labelling, while the EU has recommended no more than 4 implants per year during the summer months.</w:t>
      </w:r>
    </w:p>
    <w:p w14:paraId="18ACA125" w14:textId="77777777" w:rsidR="008E7846" w:rsidRDefault="00AA0ED0" w:rsidP="008E7846">
      <w:pPr>
        <w:pStyle w:val="Heading3"/>
      </w:pPr>
      <w:bookmarkStart w:id="43" w:name="_Toc247691531"/>
      <w:bookmarkStart w:id="44" w:name="_Toc314842515"/>
      <w:bookmarkStart w:id="45" w:name="_Toc66436571"/>
      <w:bookmarkStart w:id="46" w:name="_Toc196046505"/>
      <w:bookmarkStart w:id="47" w:name="_Toc196046949"/>
      <w:r>
        <w:t>Risk-benefit a</w:t>
      </w:r>
      <w:r w:rsidR="008E7846">
        <w:t>nalysis</w:t>
      </w:r>
      <w:bookmarkEnd w:id="43"/>
      <w:bookmarkEnd w:id="44"/>
      <w:bookmarkEnd w:id="45"/>
    </w:p>
    <w:p w14:paraId="31AED5B2" w14:textId="77777777" w:rsidR="00D23139" w:rsidRDefault="007D53B6" w:rsidP="00D23139">
      <w:pPr>
        <w:pStyle w:val="Heading4"/>
      </w:pPr>
      <w:r>
        <w:t>Delegate’s considerations</w:t>
      </w:r>
    </w:p>
    <w:p w14:paraId="1B48CB8F" w14:textId="77777777" w:rsidR="001061DF" w:rsidRDefault="001061DF" w:rsidP="001061DF">
      <w:proofErr w:type="spellStart"/>
      <w:r>
        <w:t>Afamelanotide</w:t>
      </w:r>
      <w:proofErr w:type="spellEnd"/>
      <w:r>
        <w:t xml:space="preserve"> is an interesting product which has a clear physiological mode of action based on moderating the normal capacity for skin to increase pigment levels in response to light exposure. This is potentially useful for patients with EPP as melanin absorbs ultraviolet and visible light.</w:t>
      </w:r>
    </w:p>
    <w:p w14:paraId="52B5E1C6" w14:textId="77777777" w:rsidR="001061DF" w:rsidRDefault="001061DF" w:rsidP="001061DF">
      <w:pPr>
        <w:pStyle w:val="Heading5"/>
      </w:pPr>
      <w:r>
        <w:t>Efficacy</w:t>
      </w:r>
    </w:p>
    <w:p w14:paraId="26A344F2" w14:textId="2A7A402A" w:rsidR="001061DF" w:rsidRDefault="001061DF" w:rsidP="001061DF">
      <w:r>
        <w:t xml:space="preserve">The Delegate considers the efficacy data to be problematic in that it is based on qualitative endpoints which are open to multiple interpretations. As the EMA noted with regard to the sunlight-exposure endpoint in the pivotal trial (reproduced here from the EPAR for </w:t>
      </w:r>
      <w:proofErr w:type="spellStart"/>
      <w:r w:rsidR="00811504">
        <w:t>Scenesse</w:t>
      </w:r>
      <w:proofErr w:type="spellEnd"/>
      <w:r>
        <w:t>, p84):</w:t>
      </w:r>
      <w:r w:rsidR="00BF75C0" w:rsidRPr="00BF75C0">
        <w:rPr>
          <w:vertAlign w:val="superscript"/>
        </w:rPr>
        <w:fldChar w:fldCharType="begin"/>
      </w:r>
      <w:r w:rsidR="00BF75C0" w:rsidRPr="00BF75C0">
        <w:rPr>
          <w:vertAlign w:val="superscript"/>
        </w:rPr>
        <w:instrText xml:space="preserve"> NOTEREF _Ref61511112 \h </w:instrText>
      </w:r>
      <w:r w:rsidR="00BF75C0">
        <w:rPr>
          <w:vertAlign w:val="superscript"/>
        </w:rPr>
        <w:instrText xml:space="preserve"> \* MERGEFORMAT </w:instrText>
      </w:r>
      <w:r w:rsidR="00BF75C0" w:rsidRPr="00BF75C0">
        <w:rPr>
          <w:vertAlign w:val="superscript"/>
        </w:rPr>
      </w:r>
      <w:r w:rsidR="00BF75C0" w:rsidRPr="00BF75C0">
        <w:rPr>
          <w:vertAlign w:val="superscript"/>
        </w:rPr>
        <w:fldChar w:fldCharType="separate"/>
      </w:r>
      <w:r w:rsidR="0049676A">
        <w:rPr>
          <w:vertAlign w:val="superscript"/>
        </w:rPr>
        <w:t>11</w:t>
      </w:r>
      <w:r w:rsidR="00BF75C0" w:rsidRPr="00BF75C0">
        <w:rPr>
          <w:vertAlign w:val="superscript"/>
        </w:rPr>
        <w:fldChar w:fldCharType="end"/>
      </w:r>
    </w:p>
    <w:p w14:paraId="6098AD7C" w14:textId="77777777" w:rsidR="001061DF" w:rsidRPr="001061DF" w:rsidRDefault="001061DF" w:rsidP="001061DF">
      <w:pPr>
        <w:ind w:left="720"/>
      </w:pPr>
      <w:r>
        <w:t>‘</w:t>
      </w:r>
      <w:r w:rsidRPr="001061DF">
        <w:t>The Applicant argued that the definition of the primary endpoint was not fully clear, permitting different interpretations. In total, the Applicant mentioned three different possibilities of primary endpoints that could be derived from the wording.</w:t>
      </w:r>
    </w:p>
    <w:p w14:paraId="5C446961" w14:textId="77777777" w:rsidR="001061DF" w:rsidRPr="001061DF" w:rsidRDefault="001061DF" w:rsidP="001061DF">
      <w:pPr>
        <w:ind w:left="720"/>
      </w:pPr>
      <w:r w:rsidRPr="001061DF">
        <w:t>1. Total duration of time (hours) spent in direct s</w:t>
      </w:r>
      <w:r w:rsidR="00023C84">
        <w:t>unlight between 10:00 and 18:00 </w:t>
      </w:r>
      <w:r w:rsidRPr="001061DF">
        <w:t>hours on days when no pain was experienced (Likert score of 0) (primary endpoint in original and revised CSR)</w:t>
      </w:r>
      <w:r>
        <w:t>.</w:t>
      </w:r>
    </w:p>
    <w:p w14:paraId="478B8754" w14:textId="77777777" w:rsidR="001061DF" w:rsidRPr="001061DF" w:rsidRDefault="001061DF" w:rsidP="00BC59A0">
      <w:pPr>
        <w:ind w:left="720"/>
      </w:pPr>
      <w:r w:rsidRPr="001061DF">
        <w:t>2. Mean daily duration in direct sunlight exposure between 10:00 and 18:00 hours on days when no pain was experienced was calculated for each subject by dividing the total duration of time spend in direct sunlight (for the study) by the number of days that each subject was on the study (revised CSR).</w:t>
      </w:r>
    </w:p>
    <w:p w14:paraId="4ED37A3B" w14:textId="77777777" w:rsidR="001061DF" w:rsidRPr="001061DF" w:rsidRDefault="001061DF" w:rsidP="001061DF">
      <w:pPr>
        <w:ind w:left="720"/>
      </w:pPr>
      <w:r w:rsidRPr="001061DF">
        <w:t>3. Mean daily duration in direct sunlight exposure calculated as time spent in direct sunlight between 10:00 and 18:00 hours on days when no pain was experienced divided by the number of pain-free days (primary endpoint according to protocol, objected to in the original CSR; no results presented).</w:t>
      </w:r>
    </w:p>
    <w:p w14:paraId="220505AC" w14:textId="36532D3A" w:rsidR="001061DF" w:rsidRPr="001061DF" w:rsidRDefault="001061DF" w:rsidP="001061DF">
      <w:pPr>
        <w:ind w:left="720"/>
      </w:pPr>
      <w:r w:rsidRPr="001061DF">
        <w:t>The CHMP was of the view</w:t>
      </w:r>
      <w:r w:rsidR="00847C96">
        <w:t xml:space="preserve"> </w:t>
      </w:r>
      <w:r w:rsidRPr="001061DF">
        <w:t xml:space="preserve">the primary endpoint in a confirmatory (pivotal) clinical trial should be defined unambiguously in the study protocol to avoid the post-hoc choice of the ‘most favourable’ primary endpoint. Retaining one of the possible endpoints as the only primary endpoint </w:t>
      </w:r>
      <w:r w:rsidRPr="001061DF">
        <w:rPr>
          <w:i/>
        </w:rPr>
        <w:t>post-hoc</w:t>
      </w:r>
      <w:r w:rsidRPr="001061DF">
        <w:t xml:space="preserve"> is not considered best practice. However, if the primary endpoints interpreted in different fashions show consistent results in direction of positive efficacy, the concern over </w:t>
      </w:r>
      <w:r w:rsidRPr="001061DF">
        <w:rPr>
          <w:i/>
        </w:rPr>
        <w:t>post-hoc</w:t>
      </w:r>
      <w:r w:rsidRPr="001061DF">
        <w:t xml:space="preserve"> selection is reduced. The assum</w:t>
      </w:r>
      <w:r>
        <w:t>ptions made for missing values (</w:t>
      </w:r>
      <w:r w:rsidRPr="001061DF">
        <w:t>here: diary entries) have their own effect on the primary endpoints, on all diary based endpoints, and lead themselves to an uncertainty of the effect size.</w:t>
      </w:r>
    </w:p>
    <w:p w14:paraId="35B761F7" w14:textId="77777777" w:rsidR="001061DF" w:rsidRDefault="001061DF" w:rsidP="001061DF">
      <w:pPr>
        <w:ind w:left="720"/>
      </w:pPr>
      <w:r w:rsidRPr="001061DF">
        <w:t xml:space="preserve">The magnitude of the effect size is considered small and is in line with the trend for positive efficacy of primary endpoint results in </w:t>
      </w:r>
      <w:r>
        <w:t xml:space="preserve">[Studies] </w:t>
      </w:r>
      <w:r w:rsidRPr="001061DF">
        <w:t>CUV029 and CUV030.</w:t>
      </w:r>
      <w:r>
        <w:t>’</w:t>
      </w:r>
    </w:p>
    <w:p w14:paraId="57360956" w14:textId="763957F1" w:rsidR="001061DF" w:rsidRPr="001061DF" w:rsidRDefault="001061DF" w:rsidP="001061DF">
      <w:r>
        <w:t xml:space="preserve">The ambiguity is inherent in the definition of the primary endpoint because </w:t>
      </w:r>
      <w:r>
        <w:rPr>
          <w:rFonts w:asciiTheme="minorHAnsi" w:hAnsiTheme="minorHAnsi"/>
        </w:rPr>
        <w:t>mean-pain-free-exposure-time obscures the potential effect of the number of pain-free days in the denominator. The median effect of 28 hours increased pain free tolerance in 6 months of treatment</w:t>
      </w:r>
      <w:r w:rsidR="00100BB1">
        <w:rPr>
          <w:rFonts w:asciiTheme="minorHAnsi" w:hAnsiTheme="minorHAnsi"/>
        </w:rPr>
        <w:t xml:space="preserve"> is, in any case, quite modest.</w:t>
      </w:r>
    </w:p>
    <w:p w14:paraId="4F110275" w14:textId="31E0A84E" w:rsidR="001061DF" w:rsidRDefault="001061DF" w:rsidP="00BC59A0">
      <w:r>
        <w:t xml:space="preserve">The </w:t>
      </w:r>
      <w:proofErr w:type="spellStart"/>
      <w:r w:rsidR="003B2C16">
        <w:t>QoL</w:t>
      </w:r>
      <w:proofErr w:type="spellEnd"/>
      <w:r>
        <w:t xml:space="preserve"> index used in </w:t>
      </w:r>
      <w:r w:rsidR="003B2C16">
        <w:t xml:space="preserve">Study </w:t>
      </w:r>
      <w:r>
        <w:t xml:space="preserve">CUV039 indicates statistically significant improvements from baseline but is not validated. The DLQI did not show any significant difference between </w:t>
      </w:r>
      <w:r>
        <w:lastRenderedPageBreak/>
        <w:t xml:space="preserve">active and placebo treatment arms. While it can be argued that the DLQI does not adequately measure </w:t>
      </w:r>
      <w:proofErr w:type="spellStart"/>
      <w:r>
        <w:t>phototoxicity</w:t>
      </w:r>
      <w:proofErr w:type="spellEnd"/>
      <w:r>
        <w:t xml:space="preserve">, it is notable that the average </w:t>
      </w:r>
      <w:proofErr w:type="spellStart"/>
      <w:r w:rsidR="003B2C16">
        <w:t>QoL</w:t>
      </w:r>
      <w:proofErr w:type="spellEnd"/>
      <w:r>
        <w:t xml:space="preserve"> impairment measured at baseline is relatively modest. The Delegate concludes that, acknowledging the rarity of EPP, </w:t>
      </w:r>
      <w:r w:rsidR="00051933">
        <w:t xml:space="preserve">these </w:t>
      </w:r>
      <w:r>
        <w:t xml:space="preserve">data suggest that </w:t>
      </w:r>
      <w:proofErr w:type="spellStart"/>
      <w:r w:rsidR="003B2C16">
        <w:t>a</w:t>
      </w:r>
      <w:r>
        <w:t>famelanotide</w:t>
      </w:r>
      <w:proofErr w:type="spellEnd"/>
      <w:r>
        <w:t xml:space="preserve"> may be of benefit to a sub-population of patients who have significant quality-of-life impairment without therapy rather than all EPP patients. This would support selected empirical treatment. </w:t>
      </w:r>
    </w:p>
    <w:p w14:paraId="5A9810A7" w14:textId="531EC6AF" w:rsidR="00BC59A0" w:rsidRDefault="001061DF" w:rsidP="00BC59A0">
      <w:r>
        <w:t xml:space="preserve">The Delegate is concerned that the clinical trial data may have less validity in the Australian environment due to high solar irradiance. </w:t>
      </w:r>
      <w:r w:rsidR="003B2C16">
        <w:t xml:space="preserve">Study </w:t>
      </w:r>
      <w:r>
        <w:t xml:space="preserve">CUV039 was conducted in the US Summer at </w:t>
      </w:r>
      <w:r w:rsidR="00051933">
        <w:t xml:space="preserve">seven </w:t>
      </w:r>
      <w:r>
        <w:t xml:space="preserve">sites located in </w:t>
      </w:r>
      <w:r w:rsidR="00051933">
        <w:t xml:space="preserve">New York, </w:t>
      </w:r>
      <w:r>
        <w:t>Texas, California, Alabama, North Carolina, Michigan and Utah respectively. While the Delegate is not an expert on environment science, annual solar irradiance in mainland Australian ca</w:t>
      </w:r>
      <w:r w:rsidR="00BC59A0">
        <w:t xml:space="preserve">pitals is about 1800 to </w:t>
      </w:r>
      <w:r>
        <w:t>2100 Kw/hr/m</w:t>
      </w:r>
      <w:r w:rsidR="00BC59A0">
        <w:rPr>
          <w:vertAlign w:val="superscript"/>
        </w:rPr>
        <w:t>2</w:t>
      </w:r>
      <w:r w:rsidR="00BC59A0">
        <w:t>.</w:t>
      </w:r>
      <w:r w:rsidR="00F1133E">
        <w:rPr>
          <w:rStyle w:val="FootnoteReference"/>
        </w:rPr>
        <w:footnoteReference w:id="16"/>
      </w:r>
      <w:r w:rsidR="00BC59A0">
        <w:t xml:space="preserve"> While it approaches this in the south-western USA, the Delegate understands that annual solar irradiance for most of the USA is in the 1000 to 1500 Kw/hr/m</w:t>
      </w:r>
      <w:r w:rsidR="00BC59A0" w:rsidRPr="00BC59A0">
        <w:rPr>
          <w:vertAlign w:val="superscript"/>
        </w:rPr>
        <w:t>2</w:t>
      </w:r>
      <w:r w:rsidR="00BC59A0">
        <w:t xml:space="preserve"> range and Utah and Michigan certainly fall into this area. The Delegate concludes that the degree of benefit obtained by patients in Australia, particularly in summer, may be less than the trial data from the Northern Hemisphere suggests due to the higher solar intensity in Australia. The Delegate notes that a search of the SAS database;</w:t>
      </w:r>
      <w:r w:rsidR="00BC59A0">
        <w:rPr>
          <w:rStyle w:val="FootnoteReference"/>
        </w:rPr>
        <w:footnoteReference w:id="17"/>
      </w:r>
      <w:r w:rsidR="00BC59A0">
        <w:t xml:space="preserve"> indicates no previous requests to prescribe </w:t>
      </w:r>
      <w:proofErr w:type="spellStart"/>
      <w:r w:rsidR="00BC59A0">
        <w:t>afamelanotide</w:t>
      </w:r>
      <w:proofErr w:type="spellEnd"/>
      <w:r w:rsidR="00BC59A0">
        <w:t xml:space="preserve"> in Australia.</w:t>
      </w:r>
    </w:p>
    <w:p w14:paraId="3B39E198" w14:textId="0AC2C536" w:rsidR="00911396" w:rsidRDefault="00911396" w:rsidP="00911396">
      <w:pPr>
        <w:pStyle w:val="Heading5"/>
      </w:pPr>
      <w:r>
        <w:t>Maximum number of implants per year</w:t>
      </w:r>
    </w:p>
    <w:p w14:paraId="3690604E" w14:textId="3532435D" w:rsidR="00911396" w:rsidRDefault="00911396" w:rsidP="00911396">
      <w:r>
        <w:t xml:space="preserve">The EU has recommended limiting the use of </w:t>
      </w:r>
      <w:proofErr w:type="spellStart"/>
      <w:r>
        <w:t>afamelanotide</w:t>
      </w:r>
      <w:proofErr w:type="spellEnd"/>
      <w:r>
        <w:t xml:space="preserve"> to 4 implants per year over summer, while 2 monthly dosing would suggest 6 implants per year. The Delegate feels that this may represent a realistic risk management process in Europe, but may limit the therapeutic options of patients who achieve a good therapeutic effect and wish to be outside in the Australian winter, for example, in northern Australia. The FDA has no limit and the Delegate is minded not to include this in the Australian registration. The Delegate notes, however, that patients have been treated with </w:t>
      </w:r>
      <w:proofErr w:type="spellStart"/>
      <w:r>
        <w:t>afamelanotide</w:t>
      </w:r>
      <w:proofErr w:type="spellEnd"/>
      <w:r>
        <w:t xml:space="preserve"> for relatively short periods of time and has concerns that maintaining a life-long regimen of two-monthly subcutaneous implants may cause</w:t>
      </w:r>
      <w:r w:rsidR="007113F4">
        <w:t xml:space="preserve"> scarring or</w:t>
      </w:r>
      <w:r>
        <w:t xml:space="preserve"> injection-site-pain in the longer term.</w:t>
      </w:r>
    </w:p>
    <w:p w14:paraId="5BCB733D" w14:textId="77777777" w:rsidR="00911396" w:rsidRDefault="00911396" w:rsidP="00911396">
      <w:pPr>
        <w:pStyle w:val="Heading5"/>
      </w:pPr>
      <w:r>
        <w:t>Indication</w:t>
      </w:r>
    </w:p>
    <w:p w14:paraId="2710E25F" w14:textId="77777777" w:rsidR="00911396" w:rsidRDefault="00911396" w:rsidP="00911396">
      <w:r>
        <w:t xml:space="preserve">The Delegate notes that the clinical evaluator has recommended approving </w:t>
      </w:r>
      <w:proofErr w:type="spellStart"/>
      <w:r>
        <w:t>afamelanotide</w:t>
      </w:r>
      <w:proofErr w:type="spellEnd"/>
      <w:r>
        <w:t xml:space="preserve"> with a different indication to that proposed by the sponsor, specifically:</w:t>
      </w:r>
    </w:p>
    <w:p w14:paraId="4DC92FFA" w14:textId="60ED0C89" w:rsidR="00911396" w:rsidRPr="00911396" w:rsidRDefault="00811504" w:rsidP="00911396">
      <w:pPr>
        <w:ind w:left="720"/>
        <w:rPr>
          <w:i/>
        </w:rPr>
      </w:pPr>
      <w:proofErr w:type="spellStart"/>
      <w:r>
        <w:rPr>
          <w:i/>
        </w:rPr>
        <w:t>Scenesse</w:t>
      </w:r>
      <w:proofErr w:type="spellEnd"/>
      <w:r w:rsidR="00911396" w:rsidRPr="00911396">
        <w:rPr>
          <w:i/>
        </w:rPr>
        <w:t xml:space="preserve"> is indicated to increase pain free light exposure in adult patients with a history of phototoxic reactions from </w:t>
      </w:r>
      <w:proofErr w:type="spellStart"/>
      <w:r w:rsidR="00911396" w:rsidRPr="00911396">
        <w:rPr>
          <w:i/>
        </w:rPr>
        <w:t>erythropo</w:t>
      </w:r>
      <w:r w:rsidR="003C5D60">
        <w:rPr>
          <w:i/>
        </w:rPr>
        <w:t>i</w:t>
      </w:r>
      <w:r w:rsidR="00911396" w:rsidRPr="00911396">
        <w:rPr>
          <w:i/>
        </w:rPr>
        <w:t>etic</w:t>
      </w:r>
      <w:proofErr w:type="spellEnd"/>
      <w:r w:rsidR="00911396" w:rsidRPr="00911396">
        <w:rPr>
          <w:i/>
        </w:rPr>
        <w:t xml:space="preserve"> </w:t>
      </w:r>
      <w:proofErr w:type="spellStart"/>
      <w:r w:rsidR="00911396" w:rsidRPr="00911396">
        <w:rPr>
          <w:i/>
        </w:rPr>
        <w:t>protoporph</w:t>
      </w:r>
      <w:r w:rsidR="003C5D60">
        <w:rPr>
          <w:i/>
        </w:rPr>
        <w:t>y</w:t>
      </w:r>
      <w:r w:rsidR="00911396" w:rsidRPr="00911396">
        <w:rPr>
          <w:i/>
        </w:rPr>
        <w:t>ria</w:t>
      </w:r>
      <w:proofErr w:type="spellEnd"/>
      <w:r w:rsidR="00911396" w:rsidRPr="00911396">
        <w:rPr>
          <w:i/>
        </w:rPr>
        <w:t xml:space="preserve"> (EPP).</w:t>
      </w:r>
    </w:p>
    <w:p w14:paraId="3A425F04" w14:textId="1A484923" w:rsidR="00911396" w:rsidRDefault="00911396" w:rsidP="00911396">
      <w:r>
        <w:t xml:space="preserve">The Delegate agrees with the clinical evaluator that a specific effect on </w:t>
      </w:r>
      <w:proofErr w:type="spellStart"/>
      <w:r>
        <w:t>phototoxicity</w:t>
      </w:r>
      <w:proofErr w:type="spellEnd"/>
      <w:r>
        <w:t xml:space="preserve"> has not been clearly demonstrated and that it is the subjective endpoint of pain which has been examined. The evaluator’s recommended indication is in line with the FDA approved indication.</w:t>
      </w:r>
    </w:p>
    <w:p w14:paraId="1F43E416" w14:textId="77777777" w:rsidR="00911396" w:rsidRDefault="00911396" w:rsidP="00911396">
      <w:r>
        <w:t xml:space="preserve">However, the Delegate is also aware that the effect of </w:t>
      </w:r>
      <w:proofErr w:type="spellStart"/>
      <w:r>
        <w:t>afamelanotide</w:t>
      </w:r>
      <w:proofErr w:type="spellEnd"/>
      <w:r>
        <w:t xml:space="preserve"> is variable with some patients achieving a good effect despite the mean population effect being marginal. This suggests that treatment is likely to be empirically directed to patients for whom avoiding the sun is itself a problem, and it will only be continued in those patients who have sufficiently good response to warrant the discomfort of therapy. In these patients</w:t>
      </w:r>
      <w:r w:rsidR="00F1133E">
        <w:t>,</w:t>
      </w:r>
      <w:r>
        <w:t xml:space="preserve"> pain is </w:t>
      </w:r>
      <w:r>
        <w:lastRenderedPageBreak/>
        <w:t xml:space="preserve">likely to be the best indicator of </w:t>
      </w:r>
      <w:proofErr w:type="spellStart"/>
      <w:r>
        <w:t>phototoxicity</w:t>
      </w:r>
      <w:proofErr w:type="spellEnd"/>
      <w:r>
        <w:t>, although protection from long term effects of light such as scarring and skin thickening can’t be assured.</w:t>
      </w:r>
    </w:p>
    <w:p w14:paraId="0A91EC59" w14:textId="77777777" w:rsidR="00911396" w:rsidRDefault="00911396" w:rsidP="00911396">
      <w:r>
        <w:t xml:space="preserve">The Delegate is minded to approve the indication as recommended by the sponsor. However, a statement will be inserted in to the </w:t>
      </w:r>
      <w:r w:rsidRPr="00911396">
        <w:rPr>
          <w:i/>
        </w:rPr>
        <w:t>Clinical Trial</w:t>
      </w:r>
      <w:r>
        <w:t xml:space="preserve"> section of the PI to read:</w:t>
      </w:r>
    </w:p>
    <w:p w14:paraId="1B24C955" w14:textId="74C38EC4" w:rsidR="00911396" w:rsidRDefault="00911396" w:rsidP="00911396">
      <w:pPr>
        <w:ind w:left="720"/>
      </w:pPr>
      <w:r>
        <w:t xml:space="preserve">‘There is no clinical evidence to determine whether </w:t>
      </w:r>
      <w:proofErr w:type="spellStart"/>
      <w:r w:rsidR="00811504">
        <w:t>Scenesse</w:t>
      </w:r>
      <w:proofErr w:type="spellEnd"/>
      <w:r>
        <w:t xml:space="preserve"> is protective against long term effects of </w:t>
      </w:r>
      <w:proofErr w:type="spellStart"/>
      <w:r>
        <w:t>phototoxicity</w:t>
      </w:r>
      <w:proofErr w:type="spellEnd"/>
      <w:r>
        <w:t xml:space="preserve"> such as scarring or skin changes resulting from exposure to light’.</w:t>
      </w:r>
    </w:p>
    <w:p w14:paraId="6D4C81CA" w14:textId="15DFE339" w:rsidR="00911396" w:rsidRDefault="00911396" w:rsidP="00911396">
      <w:pPr>
        <w:pStyle w:val="Heading5"/>
      </w:pPr>
      <w:r>
        <w:t>GMP clearance</w:t>
      </w:r>
      <w:r w:rsidR="00A47457">
        <w:t>s</w:t>
      </w:r>
    </w:p>
    <w:p w14:paraId="2B1C2044" w14:textId="34D95D63" w:rsidR="00911396" w:rsidRPr="00BC59A0" w:rsidRDefault="003E178B" w:rsidP="003E178B">
      <w:r>
        <w:t>The Delegate notes that the sponsor has not obtained GMP clearance of all sites of manufacture and that the Therapeutic Goods Act does not allow a positive decision under Section 25 of the Act if the Delegate does not have adequate evidence of the quality of the goods being registered. The Delegate is unaware of any provision for making an ‘initial decision’ under this part of the Act.</w:t>
      </w:r>
      <w:r>
        <w:rPr>
          <w:rStyle w:val="FootnoteReference"/>
        </w:rPr>
        <w:footnoteReference w:id="18"/>
      </w:r>
    </w:p>
    <w:p w14:paraId="710E8A2C" w14:textId="77777777" w:rsidR="00D23139" w:rsidRDefault="00D23139" w:rsidP="003E178B">
      <w:pPr>
        <w:pStyle w:val="Heading4"/>
      </w:pPr>
      <w:r w:rsidRPr="00D23139">
        <w:t>Proposed action</w:t>
      </w:r>
    </w:p>
    <w:p w14:paraId="55D7A009" w14:textId="77777777" w:rsidR="00B80F76" w:rsidRDefault="00B80F76" w:rsidP="003E178B">
      <w:r>
        <w:t xml:space="preserve">Pending the advice of Advisory Committee on Medicines (ACM), the Delegate currently intends to approve the registration of </w:t>
      </w:r>
      <w:proofErr w:type="spellStart"/>
      <w:r>
        <w:t>afamelanotide</w:t>
      </w:r>
      <w:proofErr w:type="spellEnd"/>
      <w:r>
        <w:t xml:space="preserve"> for the following indication:</w:t>
      </w:r>
    </w:p>
    <w:p w14:paraId="4C236265" w14:textId="761A8F8E" w:rsidR="00B80F76" w:rsidRPr="00B80F76" w:rsidRDefault="00811504" w:rsidP="003E178B">
      <w:pPr>
        <w:ind w:left="720"/>
        <w:rPr>
          <w:i/>
        </w:rPr>
      </w:pPr>
      <w:proofErr w:type="spellStart"/>
      <w:r>
        <w:rPr>
          <w:i/>
        </w:rPr>
        <w:t>Scenesse</w:t>
      </w:r>
      <w:proofErr w:type="spellEnd"/>
      <w:r w:rsidR="003E178B">
        <w:rPr>
          <w:i/>
        </w:rPr>
        <w:t xml:space="preserve"> </w:t>
      </w:r>
      <w:r w:rsidR="00B80F76" w:rsidRPr="00B80F76">
        <w:rPr>
          <w:i/>
        </w:rPr>
        <w:t xml:space="preserve">is indicated for prevention of </w:t>
      </w:r>
      <w:proofErr w:type="spellStart"/>
      <w:r w:rsidR="00B80F76" w:rsidRPr="00B80F76">
        <w:rPr>
          <w:i/>
        </w:rPr>
        <w:t>phototoxicity</w:t>
      </w:r>
      <w:proofErr w:type="spellEnd"/>
      <w:r w:rsidR="00B80F76" w:rsidRPr="00B80F76">
        <w:rPr>
          <w:i/>
        </w:rPr>
        <w:t xml:space="preserve"> in adult patients with </w:t>
      </w:r>
      <w:proofErr w:type="spellStart"/>
      <w:r w:rsidR="00B80F76" w:rsidRPr="00B80F76">
        <w:rPr>
          <w:i/>
        </w:rPr>
        <w:t>erythropoietic</w:t>
      </w:r>
      <w:proofErr w:type="spellEnd"/>
      <w:r w:rsidR="00B80F76" w:rsidRPr="00B80F76">
        <w:rPr>
          <w:i/>
        </w:rPr>
        <w:t xml:space="preserve"> </w:t>
      </w:r>
      <w:proofErr w:type="spellStart"/>
      <w:r w:rsidR="00B80F76" w:rsidRPr="00B80F76">
        <w:rPr>
          <w:i/>
        </w:rPr>
        <w:t>protoporphyria</w:t>
      </w:r>
      <w:proofErr w:type="spellEnd"/>
      <w:r w:rsidR="00B80F76" w:rsidRPr="00B80F76">
        <w:rPr>
          <w:i/>
        </w:rPr>
        <w:t xml:space="preserve"> (EPP)</w:t>
      </w:r>
    </w:p>
    <w:p w14:paraId="04829077" w14:textId="77777777" w:rsidR="00B80F76" w:rsidRDefault="00B80F76" w:rsidP="003E178B">
      <w:pPr>
        <w:pStyle w:val="Heading5"/>
      </w:pPr>
      <w:r>
        <w:t>Conditions</w:t>
      </w:r>
    </w:p>
    <w:p w14:paraId="1FECDB8E" w14:textId="77777777" w:rsidR="00B80F76" w:rsidRDefault="00B80F76" w:rsidP="003E178B">
      <w:r>
        <w:t>This intention [approval of the indication</w:t>
      </w:r>
      <w:r w:rsidR="00ED4EC7">
        <w:t xml:space="preserve"> shown above</w:t>
      </w:r>
      <w:r>
        <w:t xml:space="preserve"> above] being conditional on:</w:t>
      </w:r>
    </w:p>
    <w:p w14:paraId="5CAFA483" w14:textId="77777777" w:rsidR="00B80F76" w:rsidRDefault="00B80F76" w:rsidP="00B80F76">
      <w:pPr>
        <w:pStyle w:val="Numberbullet0"/>
      </w:pPr>
      <w:r>
        <w:t>The PI as provided in response to the second round report being amended as follows:</w:t>
      </w:r>
    </w:p>
    <w:p w14:paraId="59470BD5" w14:textId="5E0CB153" w:rsidR="00B80F76" w:rsidRDefault="00B80F76" w:rsidP="00B80F76">
      <w:pPr>
        <w:pStyle w:val="Numberbullet2"/>
      </w:pPr>
      <w:proofErr w:type="gramStart"/>
      <w:r>
        <w:t>a</w:t>
      </w:r>
      <w:proofErr w:type="gramEnd"/>
      <w:r>
        <w:t xml:space="preserve"> statement inserted as the first sentence of the </w:t>
      </w:r>
      <w:r w:rsidRPr="00B80F76">
        <w:rPr>
          <w:i/>
        </w:rPr>
        <w:t>Dosage</w:t>
      </w:r>
      <w:r>
        <w:t xml:space="preserve"> instructions to read </w:t>
      </w:r>
      <w:proofErr w:type="spellStart"/>
      <w:r w:rsidR="00811504">
        <w:t>Scenesse</w:t>
      </w:r>
      <w:proofErr w:type="spellEnd"/>
      <w:r>
        <w:t xml:space="preserve"> must only be initiated by a specialist physician having expertise in the management of </w:t>
      </w:r>
      <w:proofErr w:type="spellStart"/>
      <w:r>
        <w:t>erythropo</w:t>
      </w:r>
      <w:r w:rsidR="00B07B68">
        <w:t>i</w:t>
      </w:r>
      <w:r>
        <w:t>etic</w:t>
      </w:r>
      <w:proofErr w:type="spellEnd"/>
      <w:r>
        <w:t xml:space="preserve"> </w:t>
      </w:r>
      <w:proofErr w:type="spellStart"/>
      <w:r>
        <w:t>protoporphyria</w:t>
      </w:r>
      <w:proofErr w:type="spellEnd"/>
      <w:r>
        <w:t xml:space="preserve"> (EPP).’</w:t>
      </w:r>
    </w:p>
    <w:p w14:paraId="159DC6D8" w14:textId="6DA77961" w:rsidR="00ED4EC7" w:rsidRDefault="00B80F76" w:rsidP="00B80F76">
      <w:pPr>
        <w:pStyle w:val="Numberbullet2"/>
      </w:pPr>
      <w:r>
        <w:t xml:space="preserve">a statement inserted into the </w:t>
      </w:r>
      <w:r w:rsidRPr="00B80F76">
        <w:rPr>
          <w:i/>
        </w:rPr>
        <w:t>Clinical Trial</w:t>
      </w:r>
      <w:r>
        <w:t xml:space="preserve"> section of the PI</w:t>
      </w:r>
      <w:r w:rsidR="00ED4EC7">
        <w:t xml:space="preserve"> to read as the last sentence, ‘</w:t>
      </w:r>
      <w:r>
        <w:t>There is no clinical eviden</w:t>
      </w:r>
      <w:r w:rsidR="00ED4EC7">
        <w:t xml:space="preserve">ce to determine whether </w:t>
      </w:r>
      <w:proofErr w:type="spellStart"/>
      <w:r w:rsidR="00811504">
        <w:t>Scenesse</w:t>
      </w:r>
      <w:proofErr w:type="spellEnd"/>
      <w:r w:rsidR="003E178B">
        <w:t xml:space="preserve"> </w:t>
      </w:r>
      <w:r>
        <w:t xml:space="preserve">is protective against long term effects of </w:t>
      </w:r>
      <w:proofErr w:type="spellStart"/>
      <w:r>
        <w:t>phototoxicity</w:t>
      </w:r>
      <w:proofErr w:type="spellEnd"/>
      <w:r>
        <w:t xml:space="preserve"> such as scarring or skin changes re</w:t>
      </w:r>
      <w:r w:rsidR="00ED4EC7">
        <w:t>sulting from exposure to light.’</w:t>
      </w:r>
    </w:p>
    <w:p w14:paraId="60E2057D" w14:textId="77777777" w:rsidR="00B80F76" w:rsidRDefault="00B80F76" w:rsidP="00ED4EC7">
      <w:pPr>
        <w:pStyle w:val="Numberbullet0"/>
      </w:pPr>
      <w:r>
        <w:t>All outstanding quality issues being resolved to t</w:t>
      </w:r>
      <w:r w:rsidR="00ED4EC7">
        <w:t xml:space="preserve">he satisfaction of the Module 3 </w:t>
      </w:r>
      <w:r>
        <w:t>Evaluator, specifically including GMP clearance.</w:t>
      </w:r>
    </w:p>
    <w:p w14:paraId="59F96F04" w14:textId="77777777" w:rsidR="00B80F76" w:rsidRDefault="00AB33D9" w:rsidP="00B80F76">
      <w:r>
        <w:t>Additionally, t</w:t>
      </w:r>
      <w:r w:rsidR="00B80F76">
        <w:t>he Delegate current</w:t>
      </w:r>
      <w:r w:rsidR="00ED4EC7">
        <w:t>ly intends to recommend to the s</w:t>
      </w:r>
      <w:r w:rsidR="00B80F76">
        <w:t xml:space="preserve">cheduling Delegate that </w:t>
      </w:r>
      <w:proofErr w:type="spellStart"/>
      <w:r w:rsidR="00ED4EC7">
        <w:t>a</w:t>
      </w:r>
      <w:r w:rsidR="00B80F76">
        <w:t>famelanotide</w:t>
      </w:r>
      <w:proofErr w:type="spellEnd"/>
      <w:r w:rsidR="00B80F76">
        <w:t xml:space="preserve"> be m</w:t>
      </w:r>
      <w:r w:rsidR="00724A0F">
        <w:t>oved from Schedule 4 of the SUSMP to Schedule 8 of the SUSM</w:t>
      </w:r>
      <w:r w:rsidR="00B80F76">
        <w:t>P.</w:t>
      </w:r>
      <w:r w:rsidR="00724A0F">
        <w:rPr>
          <w:rStyle w:val="FootnoteReference"/>
        </w:rPr>
        <w:footnoteReference w:id="19"/>
      </w:r>
    </w:p>
    <w:p w14:paraId="5124C7CA" w14:textId="77777777" w:rsidR="00AB33D9" w:rsidRDefault="00AB33D9" w:rsidP="00AB33D9">
      <w:pPr>
        <w:pStyle w:val="Heading5"/>
      </w:pPr>
      <w:r>
        <w:t>Request for Advisory Committee advice</w:t>
      </w:r>
    </w:p>
    <w:p w14:paraId="0B117A56" w14:textId="77777777" w:rsidR="00AB33D9" w:rsidRPr="007F38DB" w:rsidRDefault="00AB33D9" w:rsidP="00AB33D9">
      <w:r w:rsidRPr="007F38DB">
        <w:t>The committee is requested to provide advice on the following specific issues:</w:t>
      </w:r>
    </w:p>
    <w:p w14:paraId="388EE293" w14:textId="0CAB7440" w:rsidR="00AB33D9" w:rsidRDefault="00AB33D9" w:rsidP="00AB33D9">
      <w:pPr>
        <w:pStyle w:val="Numberbullet0"/>
        <w:numPr>
          <w:ilvl w:val="0"/>
          <w:numId w:val="35"/>
        </w:numPr>
      </w:pPr>
      <w:r>
        <w:t>Are measures required to control the potential dive</w:t>
      </w:r>
      <w:r w:rsidR="00724A0F">
        <w:t xml:space="preserve">rsion of </w:t>
      </w:r>
      <w:proofErr w:type="spellStart"/>
      <w:r w:rsidR="00724A0F">
        <w:t>afamelanotide</w:t>
      </w:r>
      <w:proofErr w:type="spellEnd"/>
      <w:r w:rsidR="00724A0F">
        <w:t xml:space="preserve"> into off</w:t>
      </w:r>
      <w:r w:rsidR="00B07B68">
        <w:t>-</w:t>
      </w:r>
      <w:r>
        <w:t>label use? If so, what are ACM</w:t>
      </w:r>
      <w:r w:rsidR="00724A0F">
        <w:t>’</w:t>
      </w:r>
      <w:r>
        <w:t>s recommended actions?</w:t>
      </w:r>
    </w:p>
    <w:p w14:paraId="5C96F71E" w14:textId="77777777" w:rsidR="00AB33D9" w:rsidRDefault="00AB33D9" w:rsidP="00AB33D9">
      <w:pPr>
        <w:pStyle w:val="Numberbullet0"/>
        <w:numPr>
          <w:ilvl w:val="0"/>
          <w:numId w:val="35"/>
        </w:numPr>
      </w:pPr>
      <w:r>
        <w:t xml:space="preserve">Is the efficacy of </w:t>
      </w:r>
      <w:proofErr w:type="spellStart"/>
      <w:r>
        <w:t>afamelanotide</w:t>
      </w:r>
      <w:proofErr w:type="spellEnd"/>
      <w:r>
        <w:t xml:space="preserve"> sufficient to warrant inclusion of this product in the ARTG?</w:t>
      </w:r>
    </w:p>
    <w:p w14:paraId="2693324F" w14:textId="77777777" w:rsidR="00AB33D9" w:rsidRDefault="00724A0F" w:rsidP="00AB33D9">
      <w:pPr>
        <w:pStyle w:val="Numberbullet0"/>
        <w:numPr>
          <w:ilvl w:val="0"/>
          <w:numId w:val="35"/>
        </w:numPr>
      </w:pPr>
      <w:r>
        <w:lastRenderedPageBreak/>
        <w:t xml:space="preserve">Should the number of </w:t>
      </w:r>
      <w:proofErr w:type="spellStart"/>
      <w:r>
        <w:t>a</w:t>
      </w:r>
      <w:r w:rsidR="00AB33D9">
        <w:t>famelanotide</w:t>
      </w:r>
      <w:proofErr w:type="spellEnd"/>
      <w:r w:rsidR="00AB33D9">
        <w:t xml:space="preserve"> implants be limited over a year?</w:t>
      </w:r>
    </w:p>
    <w:p w14:paraId="77FDD690" w14:textId="77777777" w:rsidR="00AB33D9" w:rsidRPr="00B80F76" w:rsidRDefault="00AB33D9" w:rsidP="00B80F76">
      <w:pPr>
        <w:pStyle w:val="Numberbullet0"/>
        <w:numPr>
          <w:ilvl w:val="0"/>
          <w:numId w:val="35"/>
        </w:numPr>
      </w:pPr>
      <w:r w:rsidRPr="007F38DB">
        <w:t>The committee is (also) requested to provide advice on any other issues that it thinks may be relevant to a decision on whether or not to approve this application.</w:t>
      </w:r>
    </w:p>
    <w:p w14:paraId="601D58A8"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20"/>
      </w:r>
    </w:p>
    <w:p w14:paraId="60DF1918" w14:textId="77777777" w:rsidR="00744121" w:rsidRDefault="00744121" w:rsidP="00744121">
      <w:pPr>
        <w:rPr>
          <w:bCs/>
        </w:rPr>
      </w:pPr>
      <w:bookmarkStart w:id="48" w:name="_Toc247691532"/>
      <w:bookmarkStart w:id="49" w:name="_Toc314842516"/>
      <w:bookmarkEnd w:id="30"/>
      <w:bookmarkEnd w:id="46"/>
      <w:bookmarkEnd w:id="47"/>
      <w:r w:rsidRPr="00456765">
        <w:rPr>
          <w:bCs/>
        </w:rPr>
        <w:t>The Advisory Committee on Medicines (ACM), having considered the evaluations and the Delegate’s overview, as well as the sponsor’s response to these documents, advised the following</w:t>
      </w:r>
      <w:r>
        <w:rPr>
          <w:bCs/>
        </w:rPr>
        <w:t>.</w:t>
      </w:r>
    </w:p>
    <w:p w14:paraId="69D2956B" w14:textId="77777777" w:rsidR="00744121" w:rsidRDefault="00744121" w:rsidP="00744121">
      <w:pPr>
        <w:pStyle w:val="Heading5"/>
      </w:pPr>
      <w:r>
        <w:t>Specific advice to the Delegate</w:t>
      </w:r>
    </w:p>
    <w:p w14:paraId="4EBB12B2" w14:textId="77777777" w:rsidR="004C4CB7" w:rsidRPr="004C4CB7" w:rsidRDefault="004C4CB7" w:rsidP="004C4CB7">
      <w:pPr>
        <w:pStyle w:val="Numberbullet0"/>
        <w:numPr>
          <w:ilvl w:val="0"/>
          <w:numId w:val="36"/>
        </w:numPr>
        <w:rPr>
          <w:b/>
          <w:i/>
        </w:rPr>
      </w:pPr>
      <w:r w:rsidRPr="004C4CB7">
        <w:rPr>
          <w:b/>
          <w:i/>
        </w:rPr>
        <w:t>Are measures required to cont</w:t>
      </w:r>
      <w:r>
        <w:rPr>
          <w:b/>
          <w:i/>
        </w:rPr>
        <w:t xml:space="preserve">rol the potential diversion of </w:t>
      </w:r>
      <w:proofErr w:type="spellStart"/>
      <w:r>
        <w:rPr>
          <w:b/>
          <w:i/>
        </w:rPr>
        <w:t>a</w:t>
      </w:r>
      <w:r w:rsidRPr="004C4CB7">
        <w:rPr>
          <w:b/>
          <w:i/>
        </w:rPr>
        <w:t>famelanotide</w:t>
      </w:r>
      <w:proofErr w:type="spellEnd"/>
      <w:r w:rsidRPr="004C4CB7">
        <w:rPr>
          <w:b/>
          <w:i/>
        </w:rPr>
        <w:t xml:space="preserve"> into off-label use? If so, what are ACM’s recommended actions?</w:t>
      </w:r>
    </w:p>
    <w:p w14:paraId="79C914EC" w14:textId="77777777" w:rsidR="004C4CB7" w:rsidRPr="004C4CB7" w:rsidRDefault="004C4CB7" w:rsidP="004C4CB7">
      <w:r>
        <w:t xml:space="preserve">The ACM was of the view that including </w:t>
      </w:r>
      <w:proofErr w:type="spellStart"/>
      <w:r>
        <w:t>afamelanotide</w:t>
      </w:r>
      <w:proofErr w:type="spellEnd"/>
      <w:r>
        <w:t xml:space="preserve"> in Schedule 8 was appropriate given the potential for diversion and misuse. As </w:t>
      </w:r>
      <w:proofErr w:type="spellStart"/>
      <w:r>
        <w:t>afamelanotide</w:t>
      </w:r>
      <w:proofErr w:type="spellEnd"/>
      <w:r>
        <w:t xml:space="preserve"> is intended for use in a very small patient population, the ACM advised that the potential for misuse could be minimised by restricting prescribing to registered physicians, such as dermatologists, experienced in the treatment of patients with EPP. The ACM also noted that as EPP is a life-long condition, patients should not need to provide evidence of their EPP diagnosis on an ongoing basis to access </w:t>
      </w:r>
      <w:proofErr w:type="spellStart"/>
      <w:r>
        <w:t>afamelanotide</w:t>
      </w:r>
      <w:proofErr w:type="spellEnd"/>
      <w:r>
        <w:t>.</w:t>
      </w:r>
    </w:p>
    <w:p w14:paraId="32348EE8" w14:textId="77777777" w:rsidR="004C4CB7" w:rsidRPr="004C4CB7" w:rsidRDefault="004C4CB7" w:rsidP="004C4CB7">
      <w:pPr>
        <w:pStyle w:val="Numberbullet0"/>
        <w:rPr>
          <w:b/>
          <w:i/>
        </w:rPr>
      </w:pPr>
      <w:r w:rsidRPr="004C4CB7">
        <w:rPr>
          <w:b/>
          <w:i/>
        </w:rPr>
        <w:t xml:space="preserve">Is the efficacy of </w:t>
      </w:r>
      <w:proofErr w:type="spellStart"/>
      <w:r w:rsidRPr="004C4CB7">
        <w:rPr>
          <w:b/>
          <w:i/>
        </w:rPr>
        <w:t>afamelanotide</w:t>
      </w:r>
      <w:proofErr w:type="spellEnd"/>
      <w:r w:rsidRPr="004C4CB7">
        <w:rPr>
          <w:b/>
          <w:i/>
        </w:rPr>
        <w:t xml:space="preserve"> sufficient to warrant inclusion of this product in the ARTG?</w:t>
      </w:r>
    </w:p>
    <w:p w14:paraId="255B26C9" w14:textId="26A0BE2A" w:rsidR="004C4CB7" w:rsidRDefault="004C4CB7" w:rsidP="004C4CB7">
      <w:r>
        <w:t>The ACM was of the view that the study provided was not adequately powered and special patient population groups were excluded, limiting its relevance to clinical practice. The ACM noted that it may have been diffi</w:t>
      </w:r>
      <w:r w:rsidR="00917A0F">
        <w:t>c</w:t>
      </w:r>
      <w:r>
        <w:t xml:space="preserve">ult to adequately demonstrate the effect of the drug, as results must be interpreted considering the impact of the season and the effect of recruitment difficulties. It was likely difficult to recruit patients willing to expose themselves to sunlight as EPP is an extremely painful condition, frequently requiring the use of opiates for pain management. Despite the shortcomings of the study provided, the ACM concluded that the size of the effect was significant for the intended population due to the severity of the symptoms experienced. The ACM advised that because EPP is a rare disease with debilitating symptoms, the potential improvement to quality of life for patients justifies the listing of </w:t>
      </w:r>
      <w:proofErr w:type="spellStart"/>
      <w:r>
        <w:t>afamelanotide</w:t>
      </w:r>
      <w:proofErr w:type="spellEnd"/>
      <w:r>
        <w:t xml:space="preserve"> on the ARTG.</w:t>
      </w:r>
    </w:p>
    <w:p w14:paraId="34EBB1F4" w14:textId="77777777" w:rsidR="004C4CB7" w:rsidRPr="004C4CB7" w:rsidRDefault="004C4CB7" w:rsidP="004C4CB7">
      <w:pPr>
        <w:pStyle w:val="Numberbullet0"/>
        <w:rPr>
          <w:b/>
          <w:i/>
        </w:rPr>
      </w:pPr>
      <w:r>
        <w:rPr>
          <w:b/>
          <w:i/>
        </w:rPr>
        <w:t xml:space="preserve">Should the number of </w:t>
      </w:r>
      <w:proofErr w:type="spellStart"/>
      <w:r>
        <w:rPr>
          <w:b/>
          <w:i/>
        </w:rPr>
        <w:t>a</w:t>
      </w:r>
      <w:r w:rsidRPr="004C4CB7">
        <w:rPr>
          <w:b/>
          <w:i/>
        </w:rPr>
        <w:t>famelanotide</w:t>
      </w:r>
      <w:proofErr w:type="spellEnd"/>
      <w:r w:rsidRPr="004C4CB7">
        <w:rPr>
          <w:b/>
          <w:i/>
        </w:rPr>
        <w:t xml:space="preserve"> implants be limited over a year?</w:t>
      </w:r>
    </w:p>
    <w:p w14:paraId="5116BBAD" w14:textId="017A10B9" w:rsidR="004C4CB7" w:rsidRDefault="004C4CB7" w:rsidP="004C4CB7">
      <w:pPr>
        <w:pStyle w:val="Default"/>
        <w:rPr>
          <w:sz w:val="22"/>
          <w:szCs w:val="22"/>
        </w:rPr>
      </w:pPr>
      <w:r>
        <w:rPr>
          <w:sz w:val="22"/>
          <w:szCs w:val="22"/>
        </w:rPr>
        <w:t xml:space="preserve">The ACM recommended that patients should receive a maximum of 9 implants per year, allowing for an implant every six weeks, and additional implant(s) to accommodate travel to areas of greater sun exposure if required. ACM also affirmed that treatment must be tailored to the patient, as some patients may not require treatment with </w:t>
      </w:r>
      <w:proofErr w:type="spellStart"/>
      <w:r>
        <w:rPr>
          <w:sz w:val="22"/>
          <w:szCs w:val="22"/>
        </w:rPr>
        <w:t>afamelanotide</w:t>
      </w:r>
      <w:proofErr w:type="spellEnd"/>
      <w:r>
        <w:rPr>
          <w:sz w:val="22"/>
          <w:szCs w:val="22"/>
        </w:rPr>
        <w:t xml:space="preserve"> for the entire year, depending on levels o</w:t>
      </w:r>
      <w:r w:rsidR="00100BB1">
        <w:rPr>
          <w:sz w:val="22"/>
          <w:szCs w:val="22"/>
        </w:rPr>
        <w:t>f sun exposure where they live.</w:t>
      </w:r>
    </w:p>
    <w:p w14:paraId="702AB41C" w14:textId="77777777" w:rsidR="004C4CB7" w:rsidRPr="004C4CB7" w:rsidRDefault="004C4CB7" w:rsidP="004C4CB7">
      <w:pPr>
        <w:pStyle w:val="Numberbullet0"/>
        <w:rPr>
          <w:b/>
          <w:i/>
        </w:rPr>
      </w:pPr>
      <w:r w:rsidRPr="004C4CB7">
        <w:rPr>
          <w:b/>
          <w:i/>
        </w:rPr>
        <w:lastRenderedPageBreak/>
        <w:t>The committee is (also) requested to provide advice on any other issues that it thinks may be relevant to a decision on whether or not to approve this application.</w:t>
      </w:r>
    </w:p>
    <w:p w14:paraId="314C9554" w14:textId="77777777" w:rsidR="004C4CB7" w:rsidRDefault="004C4CB7" w:rsidP="004C4CB7">
      <w:r>
        <w:t xml:space="preserve">The ACM noted that </w:t>
      </w:r>
      <w:proofErr w:type="spellStart"/>
      <w:r>
        <w:t>polyglactin</w:t>
      </w:r>
      <w:proofErr w:type="spellEnd"/>
      <w:r>
        <w:t xml:space="preserve"> is listed an excipient within the implant and has potential to cause a hypersensitivity reaction in susceptible patients. For this reason, the committee recommended including ‘hypersensitivity to absorbable su</w:t>
      </w:r>
      <w:r w:rsidR="00724A0F">
        <w:t xml:space="preserve">ture containing </w:t>
      </w:r>
      <w:proofErr w:type="spellStart"/>
      <w:r w:rsidR="00724A0F">
        <w:t>polyglactin</w:t>
      </w:r>
      <w:proofErr w:type="spellEnd"/>
      <w:r w:rsidR="00724A0F">
        <w:t xml:space="preserve"> (for example</w:t>
      </w:r>
      <w:r>
        <w:t xml:space="preserve"> </w:t>
      </w:r>
      <w:proofErr w:type="spellStart"/>
      <w:r>
        <w:t>Vicryl</w:t>
      </w:r>
      <w:proofErr w:type="spellEnd"/>
      <w:r>
        <w:t xml:space="preserve">)’, as a contraindication within the </w:t>
      </w:r>
      <w:r w:rsidR="00724A0F">
        <w:t>PI</w:t>
      </w:r>
      <w:r>
        <w:t>.</w:t>
      </w:r>
    </w:p>
    <w:p w14:paraId="6209746E" w14:textId="77777777" w:rsidR="00744121" w:rsidRDefault="00744121" w:rsidP="004C4CB7">
      <w:pPr>
        <w:pStyle w:val="Heading5"/>
      </w:pPr>
      <w:r>
        <w:t>Conclusion</w:t>
      </w:r>
    </w:p>
    <w:p w14:paraId="1FC493A7" w14:textId="77777777" w:rsidR="004C4CB7" w:rsidRDefault="004C4CB7" w:rsidP="004C4CB7">
      <w:r>
        <w:t>The ACM considered this product to have an overall positive benefit-risk profile for the indication:</w:t>
      </w:r>
    </w:p>
    <w:p w14:paraId="53613287" w14:textId="0E71F6A8" w:rsidR="004C4CB7" w:rsidRPr="004C4CB7" w:rsidRDefault="00811504" w:rsidP="004C4CB7">
      <w:pPr>
        <w:ind w:left="720"/>
        <w:rPr>
          <w:i/>
        </w:rPr>
      </w:pPr>
      <w:proofErr w:type="spellStart"/>
      <w:r>
        <w:rPr>
          <w:i/>
        </w:rPr>
        <w:t>Scenesse</w:t>
      </w:r>
      <w:proofErr w:type="spellEnd"/>
      <w:r w:rsidR="004C4CB7" w:rsidRPr="004C4CB7">
        <w:rPr>
          <w:i/>
        </w:rPr>
        <w:t xml:space="preserve"> is indicated to increase pain-free light exposure in adult patients with </w:t>
      </w:r>
      <w:proofErr w:type="spellStart"/>
      <w:r w:rsidR="004C4CB7" w:rsidRPr="004C4CB7">
        <w:rPr>
          <w:i/>
        </w:rPr>
        <w:t>erythropoietic</w:t>
      </w:r>
      <w:proofErr w:type="spellEnd"/>
      <w:r w:rsidR="004C4CB7" w:rsidRPr="004C4CB7">
        <w:rPr>
          <w:i/>
        </w:rPr>
        <w:t xml:space="preserve"> </w:t>
      </w:r>
      <w:proofErr w:type="spellStart"/>
      <w:r w:rsidR="004C4CB7" w:rsidRPr="004C4CB7">
        <w:rPr>
          <w:i/>
        </w:rPr>
        <w:t>protoporphyria</w:t>
      </w:r>
      <w:proofErr w:type="spellEnd"/>
      <w:r w:rsidR="004C4CB7" w:rsidRPr="004C4CB7">
        <w:rPr>
          <w:i/>
        </w:rPr>
        <w:t xml:space="preserve"> confirmed by biochemical or genetic testing.</w:t>
      </w:r>
    </w:p>
    <w:p w14:paraId="52DC3C1C" w14:textId="42133090" w:rsidR="008E7846" w:rsidRPr="002E238E" w:rsidRDefault="008E7846" w:rsidP="008E7846">
      <w:pPr>
        <w:pStyle w:val="Heading3"/>
      </w:pPr>
      <w:bookmarkStart w:id="50" w:name="_Toc66436572"/>
      <w:r>
        <w:t>Outcome</w:t>
      </w:r>
      <w:bookmarkEnd w:id="48"/>
      <w:bookmarkEnd w:id="49"/>
      <w:bookmarkEnd w:id="50"/>
    </w:p>
    <w:p w14:paraId="65FADA8E" w14:textId="7F9391BD" w:rsidR="00744121" w:rsidRDefault="00744121" w:rsidP="00744121">
      <w:bookmarkStart w:id="51" w:name="_Toc247691533"/>
      <w:bookmarkStart w:id="52" w:name="_Toc314842517"/>
      <w:r>
        <w:t xml:space="preserve">Based on a review of quality, safety and efficacy, the TGA approved the registration of </w:t>
      </w:r>
      <w:proofErr w:type="spellStart"/>
      <w:r w:rsidR="00811504">
        <w:t>Scenesse</w:t>
      </w:r>
      <w:proofErr w:type="spellEnd"/>
      <w:r w:rsidR="003E178B">
        <w:t xml:space="preserve"> </w:t>
      </w:r>
      <w:proofErr w:type="spellStart"/>
      <w:r w:rsidR="00C1646E" w:rsidRPr="00C1646E">
        <w:t>afamelanotide</w:t>
      </w:r>
      <w:proofErr w:type="spellEnd"/>
      <w:r w:rsidR="00C1646E" w:rsidRPr="00C1646E">
        <w:t xml:space="preserve"> (as acetate) 16 mg implant</w:t>
      </w:r>
      <w:r w:rsidR="00C1646E">
        <w:t>,</w:t>
      </w:r>
      <w:r w:rsidR="00C1646E" w:rsidRPr="00C1646E">
        <w:t xml:space="preserve"> vial</w:t>
      </w:r>
      <w:r w:rsidR="00C1646E">
        <w:t>, indicated for the following:</w:t>
      </w:r>
    </w:p>
    <w:p w14:paraId="639F785D" w14:textId="2FFE9201" w:rsidR="007D53B6" w:rsidRDefault="00811504" w:rsidP="00CD6538">
      <w:pPr>
        <w:ind w:left="720"/>
      </w:pPr>
      <w:proofErr w:type="spellStart"/>
      <w:r>
        <w:rPr>
          <w:rFonts w:eastAsia="MS Mincho"/>
          <w:i/>
          <w:lang w:eastAsia="ja-JP"/>
        </w:rPr>
        <w:t>Scenesse</w:t>
      </w:r>
      <w:proofErr w:type="spellEnd"/>
      <w:r w:rsidR="003E178B">
        <w:rPr>
          <w:rFonts w:eastAsia="MS Mincho"/>
          <w:i/>
          <w:lang w:eastAsia="ja-JP"/>
        </w:rPr>
        <w:t xml:space="preserve"> </w:t>
      </w:r>
      <w:r w:rsidR="00CD6538" w:rsidRPr="009225A0">
        <w:rPr>
          <w:rFonts w:eastAsia="MS Mincho"/>
          <w:i/>
          <w:lang w:eastAsia="ja-JP"/>
        </w:rPr>
        <w:t xml:space="preserve">is indicated for prevention of </w:t>
      </w:r>
      <w:proofErr w:type="spellStart"/>
      <w:r w:rsidR="00CD6538" w:rsidRPr="009225A0">
        <w:rPr>
          <w:rFonts w:eastAsia="MS Mincho"/>
          <w:i/>
          <w:lang w:eastAsia="ja-JP"/>
        </w:rPr>
        <w:t>phototoxicity</w:t>
      </w:r>
      <w:proofErr w:type="spellEnd"/>
      <w:r w:rsidR="00CD6538" w:rsidRPr="009225A0">
        <w:rPr>
          <w:rFonts w:eastAsia="MS Mincho"/>
          <w:i/>
          <w:lang w:eastAsia="ja-JP"/>
        </w:rPr>
        <w:t xml:space="preserve"> in adult patients with </w:t>
      </w:r>
      <w:proofErr w:type="spellStart"/>
      <w:r w:rsidR="00CD6538" w:rsidRPr="009225A0">
        <w:rPr>
          <w:rFonts w:eastAsia="MS Mincho"/>
          <w:i/>
          <w:lang w:eastAsia="ja-JP"/>
        </w:rPr>
        <w:t>erythropoietic</w:t>
      </w:r>
      <w:proofErr w:type="spellEnd"/>
      <w:r w:rsidR="00CD6538" w:rsidRPr="009225A0">
        <w:rPr>
          <w:rFonts w:eastAsia="MS Mincho"/>
          <w:i/>
          <w:lang w:eastAsia="ja-JP"/>
        </w:rPr>
        <w:t xml:space="preserve"> </w:t>
      </w:r>
      <w:proofErr w:type="spellStart"/>
      <w:r w:rsidR="00CD6538" w:rsidRPr="009225A0">
        <w:rPr>
          <w:rFonts w:eastAsia="MS Mincho"/>
          <w:i/>
          <w:lang w:eastAsia="ja-JP"/>
        </w:rPr>
        <w:t>protoporphyria</w:t>
      </w:r>
      <w:proofErr w:type="spellEnd"/>
      <w:r w:rsidR="00CD6538" w:rsidRPr="009225A0">
        <w:rPr>
          <w:rFonts w:eastAsia="MS Mincho"/>
          <w:i/>
          <w:lang w:eastAsia="ja-JP"/>
        </w:rPr>
        <w:t xml:space="preserve"> (EPP)</w:t>
      </w:r>
    </w:p>
    <w:p w14:paraId="77D96E82" w14:textId="77777777" w:rsidR="00D23139" w:rsidRPr="00D23139" w:rsidRDefault="00D23139" w:rsidP="00D23139">
      <w:pPr>
        <w:pStyle w:val="Heading4"/>
      </w:pPr>
      <w:r w:rsidRPr="00D23139">
        <w:t>Specific conditions of registration applying to these goods</w:t>
      </w:r>
    </w:p>
    <w:p w14:paraId="6B71728D" w14:textId="77777777" w:rsidR="00C1646E" w:rsidRDefault="00F723C1" w:rsidP="00C1646E">
      <w:pPr>
        <w:pStyle w:val="ListBullet"/>
      </w:pPr>
      <w:r>
        <w:t>The Product Information applying to these therap</w:t>
      </w:r>
      <w:r w:rsidR="00C1646E">
        <w:t xml:space="preserve">eutic goods must meet the TGA's </w:t>
      </w:r>
      <w:r>
        <w:t>approval at all times. Any proposed changes to the app</w:t>
      </w:r>
      <w:r w:rsidR="00C1646E">
        <w:t xml:space="preserve">roved text of the PI, including </w:t>
      </w:r>
      <w:r>
        <w:t>safety related changes, must be submitted to, and b</w:t>
      </w:r>
      <w:r w:rsidR="00C1646E">
        <w:t xml:space="preserve">e approved by, the TGA prior to </w:t>
      </w:r>
      <w:r>
        <w:t>distribution.</w:t>
      </w:r>
    </w:p>
    <w:p w14:paraId="7A4478D7" w14:textId="77777777" w:rsidR="00F723C1" w:rsidRPr="00F723C1" w:rsidRDefault="00F723C1" w:rsidP="00C1646E">
      <w:pPr>
        <w:pStyle w:val="ListBullet"/>
        <w:numPr>
          <w:ilvl w:val="0"/>
          <w:numId w:val="0"/>
        </w:numPr>
        <w:ind w:left="360"/>
      </w:pPr>
      <w:r>
        <w:t>For all injectable products the Product Information mu</w:t>
      </w:r>
      <w:r w:rsidR="00C1646E">
        <w:t xml:space="preserve">st be included with the product </w:t>
      </w:r>
      <w:r>
        <w:t>as a package insert.</w:t>
      </w:r>
    </w:p>
    <w:p w14:paraId="2FDCC66B" w14:textId="7D4B48FA" w:rsidR="00F723C1" w:rsidRDefault="00811504" w:rsidP="00C1646E">
      <w:pPr>
        <w:pStyle w:val="ListBullet"/>
      </w:pPr>
      <w:proofErr w:type="spellStart"/>
      <w:r>
        <w:t>Scenesse</w:t>
      </w:r>
      <w:proofErr w:type="spellEnd"/>
      <w:r w:rsidR="00F723C1">
        <w:t xml:space="preserve"> (</w:t>
      </w:r>
      <w:proofErr w:type="spellStart"/>
      <w:r w:rsidR="00F723C1">
        <w:t>afamelanotide</w:t>
      </w:r>
      <w:proofErr w:type="spellEnd"/>
      <w:r w:rsidR="00F723C1">
        <w:t>) is to be included in the Bl</w:t>
      </w:r>
      <w:r w:rsidR="00C1646E">
        <w:t xml:space="preserve">ack Triangle Scheme. The PI and </w:t>
      </w:r>
      <w:r w:rsidR="00F723C1">
        <w:t xml:space="preserve">CMI for </w:t>
      </w:r>
      <w:proofErr w:type="spellStart"/>
      <w:r>
        <w:t>Scenesse</w:t>
      </w:r>
      <w:proofErr w:type="spellEnd"/>
      <w:r w:rsidR="00F723C1">
        <w:t xml:space="preserve"> must include the black triangle symbol and mandatory acco</w:t>
      </w:r>
      <w:r w:rsidR="00C1646E">
        <w:t xml:space="preserve">mpanying </w:t>
      </w:r>
      <w:r w:rsidR="00F723C1">
        <w:t xml:space="preserve">text for five years, which starts from the date that </w:t>
      </w:r>
      <w:r w:rsidR="00C1646E">
        <w:t xml:space="preserve">the sponsor notifies the TGA of </w:t>
      </w:r>
      <w:r w:rsidR="00F723C1">
        <w:t>supply of the product.</w:t>
      </w:r>
    </w:p>
    <w:p w14:paraId="43B4C984" w14:textId="1086DADE" w:rsidR="00F723C1" w:rsidRDefault="00F723C1" w:rsidP="00C1646E">
      <w:pPr>
        <w:pStyle w:val="ListBullet"/>
      </w:pPr>
      <w:r>
        <w:t xml:space="preserve">The </w:t>
      </w:r>
      <w:proofErr w:type="spellStart"/>
      <w:r>
        <w:t>Afamelanotide</w:t>
      </w:r>
      <w:proofErr w:type="spellEnd"/>
      <w:r>
        <w:t xml:space="preserve"> (</w:t>
      </w:r>
      <w:proofErr w:type="spellStart"/>
      <w:r w:rsidR="00811504">
        <w:t>Scenesse</w:t>
      </w:r>
      <w:proofErr w:type="spellEnd"/>
      <w:r>
        <w:t>) EU-Risk Management P</w:t>
      </w:r>
      <w:r w:rsidR="00C1646E">
        <w:t>lan (RMP) (version 8.1, dated 1 </w:t>
      </w:r>
      <w:r>
        <w:t>February 2018, data lock point 22 June 2017), with Aust</w:t>
      </w:r>
      <w:r w:rsidR="00C1646E">
        <w:t xml:space="preserve">ralian Specific Annex (version </w:t>
      </w:r>
      <w:r>
        <w:t>1.4, dated April 2020), included with subm</w:t>
      </w:r>
      <w:r w:rsidR="00C1646E">
        <w:t xml:space="preserve">ission PM-2019-05977-1, and any </w:t>
      </w:r>
      <w:r>
        <w:t>subsequent revisions, as agreed with the TGA will be implemented in Australia.</w:t>
      </w:r>
    </w:p>
    <w:p w14:paraId="09A3B435" w14:textId="77777777" w:rsidR="00C1646E" w:rsidRDefault="00F723C1" w:rsidP="00F723C1">
      <w:pPr>
        <w:pStyle w:val="ListBullet"/>
      </w:pPr>
      <w:r>
        <w:t>An obligatory component of risk management plans is routine pharmacovigi</w:t>
      </w:r>
      <w:r w:rsidR="00C1646E">
        <w:t xml:space="preserve">lance. </w:t>
      </w:r>
      <w:r>
        <w:t>Routine pharmacovigilance includes the submission of</w:t>
      </w:r>
      <w:r w:rsidR="00C1646E">
        <w:t xml:space="preserve"> periodic safety update reports (PSURs). </w:t>
      </w:r>
      <w:r>
        <w:t>Reports are to be provided in line with the current publi</w:t>
      </w:r>
      <w:r w:rsidR="00C1646E">
        <w:t xml:space="preserve">shed list of EU reference dates </w:t>
      </w:r>
      <w:r>
        <w:t>and frequency of submission of PSURs until the period covered by su</w:t>
      </w:r>
      <w:r w:rsidR="00C1646E">
        <w:t xml:space="preserve">ch reports is not </w:t>
      </w:r>
      <w:r>
        <w:t>less than three years from the date of this approval letter.</w:t>
      </w:r>
    </w:p>
    <w:p w14:paraId="68451444" w14:textId="77777777" w:rsidR="00C1646E" w:rsidRDefault="00F723C1" w:rsidP="00C1646E">
      <w:pPr>
        <w:pStyle w:val="ListBullet"/>
        <w:numPr>
          <w:ilvl w:val="0"/>
          <w:numId w:val="0"/>
        </w:numPr>
        <w:ind w:left="360"/>
      </w:pPr>
      <w:r>
        <w:t>The reports are to at least meet the requirement</w:t>
      </w:r>
      <w:r w:rsidR="00C1646E">
        <w:t xml:space="preserve">s for PSURs as described in the </w:t>
      </w:r>
      <w:r>
        <w:t>European Medicines Agency’s Guideline on good ph</w:t>
      </w:r>
      <w:r w:rsidR="00C1646E">
        <w:t xml:space="preserve">armacovigilance practices (GVP) </w:t>
      </w:r>
      <w:r>
        <w:t>Module VII-periodic safety update report (Rev 1), Part VII.B Structures and processes.</w:t>
      </w:r>
    </w:p>
    <w:p w14:paraId="3D276BB1" w14:textId="77777777" w:rsidR="00C1646E" w:rsidRDefault="00F723C1" w:rsidP="00C1646E">
      <w:pPr>
        <w:pStyle w:val="ListBullet"/>
        <w:numPr>
          <w:ilvl w:val="0"/>
          <w:numId w:val="0"/>
        </w:numPr>
        <w:ind w:left="360"/>
      </w:pPr>
      <w:r>
        <w:t>Note that submission of a PSUR does not consti</w:t>
      </w:r>
      <w:r w:rsidR="00C1646E">
        <w:t xml:space="preserve">tute an application to vary the </w:t>
      </w:r>
      <w:r>
        <w:t>registration.</w:t>
      </w:r>
    </w:p>
    <w:p w14:paraId="2C5B29DD" w14:textId="77777777" w:rsidR="00C1646E" w:rsidRDefault="00F723C1" w:rsidP="00C1646E">
      <w:pPr>
        <w:pStyle w:val="ListBullet"/>
        <w:numPr>
          <w:ilvl w:val="0"/>
          <w:numId w:val="0"/>
        </w:numPr>
        <w:ind w:left="360"/>
      </w:pPr>
      <w:r>
        <w:lastRenderedPageBreak/>
        <w:t>You are reminded that sections 29A and 29AA of</w:t>
      </w:r>
      <w:r w:rsidR="00C1646E">
        <w:t xml:space="preserve"> the Therapeutic Goods Act 1989 </w:t>
      </w:r>
      <w:r>
        <w:t>provide for penalties where there has been failure to info</w:t>
      </w:r>
      <w:r w:rsidR="00C1646E">
        <w:t xml:space="preserve">rm the Secretary in writing, as </w:t>
      </w:r>
      <w:r>
        <w:t>soon as a person has become aware, of:</w:t>
      </w:r>
    </w:p>
    <w:p w14:paraId="4061BE7B" w14:textId="77777777" w:rsidR="00C1646E" w:rsidRDefault="00F723C1" w:rsidP="00C1646E">
      <w:pPr>
        <w:pStyle w:val="ListBullet"/>
        <w:numPr>
          <w:ilvl w:val="0"/>
          <w:numId w:val="0"/>
        </w:numPr>
        <w:ind w:left="360"/>
      </w:pPr>
      <w:r>
        <w:t>(a) information that contradicts information already</w:t>
      </w:r>
      <w:r w:rsidR="00C1646E">
        <w:t xml:space="preserve"> given by the person under this </w:t>
      </w:r>
      <w:r>
        <w:t>Act;</w:t>
      </w:r>
    </w:p>
    <w:p w14:paraId="00D53B32" w14:textId="77777777" w:rsidR="00C1646E" w:rsidRDefault="00F723C1" w:rsidP="00C1646E">
      <w:pPr>
        <w:pStyle w:val="ListBullet"/>
        <w:numPr>
          <w:ilvl w:val="0"/>
          <w:numId w:val="0"/>
        </w:numPr>
        <w:ind w:left="360"/>
      </w:pPr>
      <w:r>
        <w:t>(b) information that indicates that the use of the goo</w:t>
      </w:r>
      <w:r w:rsidR="00C1646E">
        <w:t xml:space="preserve">ds in accordance with the </w:t>
      </w:r>
      <w:r>
        <w:t>recommendations for their use may have an unintended harmful effect;</w:t>
      </w:r>
    </w:p>
    <w:p w14:paraId="0F4C9DB9" w14:textId="77777777" w:rsidR="00C1646E" w:rsidRDefault="00F723C1" w:rsidP="00C1646E">
      <w:pPr>
        <w:pStyle w:val="ListBullet"/>
        <w:numPr>
          <w:ilvl w:val="0"/>
          <w:numId w:val="0"/>
        </w:numPr>
        <w:ind w:left="360"/>
      </w:pPr>
      <w:r>
        <w:t>(c) information that indicates that the goods, w</w:t>
      </w:r>
      <w:r w:rsidR="00C1646E">
        <w:t xml:space="preserve">hen used in accordance with the </w:t>
      </w:r>
      <w:r>
        <w:t>recommendations for their use, may not be as e</w:t>
      </w:r>
      <w:r w:rsidR="00C1646E">
        <w:t xml:space="preserve">ffective as the application for </w:t>
      </w:r>
      <w:r>
        <w:t>registration or listing of the goods or informat</w:t>
      </w:r>
      <w:r w:rsidR="00C1646E">
        <w:t>ion already given by the person under this Act suggests;</w:t>
      </w:r>
    </w:p>
    <w:p w14:paraId="094B6A4C" w14:textId="77777777" w:rsidR="00456765" w:rsidRDefault="00F723C1" w:rsidP="00C1646E">
      <w:pPr>
        <w:pStyle w:val="ListBullet"/>
        <w:numPr>
          <w:ilvl w:val="0"/>
          <w:numId w:val="0"/>
        </w:numPr>
        <w:ind w:left="360"/>
      </w:pPr>
      <w:r>
        <w:t xml:space="preserve">(d) </w:t>
      </w:r>
      <w:proofErr w:type="gramStart"/>
      <w:r>
        <w:t>information</w:t>
      </w:r>
      <w:proofErr w:type="gramEnd"/>
      <w:r>
        <w:t xml:space="preserve"> that indicates that the quality, safety or efficacy of the goods is</w:t>
      </w:r>
      <w:r w:rsidR="00C1646E">
        <w:t xml:space="preserve"> </w:t>
      </w:r>
      <w:r>
        <w:t>unacceptable.</w:t>
      </w:r>
    </w:p>
    <w:p w14:paraId="2D39AB68" w14:textId="204A16E8" w:rsidR="008E7846" w:rsidRDefault="00A80B5B" w:rsidP="00D23139">
      <w:pPr>
        <w:pStyle w:val="Heading2"/>
      </w:pPr>
      <w:bookmarkStart w:id="53" w:name="_Toc66436573"/>
      <w:r>
        <w:t xml:space="preserve">Attachment 1. </w:t>
      </w:r>
      <w:r w:rsidR="008E7846">
        <w:t xml:space="preserve">Product </w:t>
      </w:r>
      <w:r w:rsidR="00AA0ED0">
        <w:t>I</w:t>
      </w:r>
      <w:r w:rsidR="008E7846">
        <w:t>nformation</w:t>
      </w:r>
      <w:bookmarkEnd w:id="51"/>
      <w:bookmarkEnd w:id="52"/>
      <w:bookmarkEnd w:id="53"/>
    </w:p>
    <w:p w14:paraId="1871830C" w14:textId="71806BD8" w:rsidR="00C80137" w:rsidRDefault="006136D7" w:rsidP="00C80137">
      <w:pPr>
        <w:rPr>
          <w:color w:val="000000"/>
          <w:lang w:eastAsia="en-AU"/>
        </w:rPr>
      </w:pPr>
      <w:r w:rsidRPr="002B3624">
        <w:t xml:space="preserve">The </w:t>
      </w:r>
      <w:r>
        <w:t>PI</w:t>
      </w:r>
      <w:r w:rsidR="00C1646E">
        <w:t xml:space="preserve"> for </w:t>
      </w:r>
      <w:proofErr w:type="spellStart"/>
      <w:r w:rsidR="00811504">
        <w:t>Scenesse</w:t>
      </w:r>
      <w:proofErr w:type="spellEnd"/>
      <w:r w:rsidR="00C1646E">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31" w:history="1">
        <w:r w:rsidR="007C6B9B" w:rsidRPr="007C6B9B">
          <w:rPr>
            <w:rStyle w:val="Hyperlink"/>
          </w:rPr>
          <w:t>https://www.tga.gov.au/product-information-pi</w:t>
        </w:r>
      </w:hyperlink>
      <w:r w:rsidR="00C1646E">
        <w:t>&gt;.</w:t>
      </w:r>
    </w:p>
    <w:p w14:paraId="536B029B" w14:textId="4D0D8151" w:rsidR="00744121" w:rsidRDefault="008E7846" w:rsidP="004B0E9D">
      <w:pPr>
        <w:autoSpaceDE w:val="0"/>
        <w:autoSpaceDN w:val="0"/>
        <w:adjustRightInd w:val="0"/>
        <w:spacing w:after="0"/>
        <w:rPr>
          <w:lang w:eastAsia="ja-JP"/>
        </w:rPr>
      </w:pPr>
      <w:r w:rsidRPr="00C80137">
        <w:rPr>
          <w:b/>
        </w:rPr>
        <w:br w:type="page"/>
      </w:r>
    </w:p>
    <w:p w14:paraId="4B4FD56A" w14:textId="77777777" w:rsidR="00C80137" w:rsidRPr="001D043B" w:rsidRDefault="00C80137"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7B7961B" w14:textId="77777777" w:rsidTr="00A05FA4">
        <w:trPr>
          <w:trHeight w:hRule="exact" w:val="704"/>
        </w:trPr>
        <w:tc>
          <w:tcPr>
            <w:tcW w:w="9175" w:type="dxa"/>
          </w:tcPr>
          <w:p w14:paraId="50BB2CEE" w14:textId="77777777" w:rsidR="001C32CD" w:rsidRPr="00487162" w:rsidRDefault="001C32CD" w:rsidP="00A05FA4">
            <w:pPr>
              <w:pStyle w:val="TGASignoff"/>
            </w:pPr>
            <w:r w:rsidRPr="00487162">
              <w:lastRenderedPageBreak/>
              <w:t>Therapeutic Goods Administration</w:t>
            </w:r>
          </w:p>
        </w:tc>
      </w:tr>
      <w:tr w:rsidR="001C32CD" w:rsidRPr="004C239D" w14:paraId="62B7D8F0" w14:textId="77777777" w:rsidTr="00A05FA4">
        <w:trPr>
          <w:trHeight w:val="1221"/>
        </w:trPr>
        <w:tc>
          <w:tcPr>
            <w:tcW w:w="9175" w:type="dxa"/>
            <w:tcMar>
              <w:top w:w="28" w:type="dxa"/>
            </w:tcMar>
          </w:tcPr>
          <w:p w14:paraId="19065603" w14:textId="77777777" w:rsidR="001C32CD" w:rsidRPr="00487162" w:rsidRDefault="001C32CD" w:rsidP="00A05FA4">
            <w:pPr>
              <w:pStyle w:val="Address"/>
            </w:pPr>
            <w:r w:rsidRPr="00487162">
              <w:t>PO Box 100 Woden ACT 2606 Australia</w:t>
            </w:r>
          </w:p>
          <w:p w14:paraId="231E8084" w14:textId="66B61FFF" w:rsidR="001C32CD" w:rsidRPr="00487162" w:rsidRDefault="001C32CD" w:rsidP="00A05FA4">
            <w:pPr>
              <w:pStyle w:val="Address"/>
            </w:pPr>
            <w:r w:rsidRPr="00487162">
              <w:t xml:space="preserve">Email: </w:t>
            </w:r>
            <w:hyperlink r:id="rId36" w:history="1">
              <w:r w:rsidRPr="004C239D">
                <w:rPr>
                  <w:rStyle w:val="Hyperlink"/>
                </w:rPr>
                <w:t>info@tga.gov.au</w:t>
              </w:r>
            </w:hyperlink>
            <w:r w:rsidRPr="00487162">
              <w:t xml:space="preserve">  Phone: 1800 020 653  Fax: 02 6232 8605</w:t>
            </w:r>
          </w:p>
          <w:p w14:paraId="6435101B" w14:textId="73F67471" w:rsidR="001C32CD" w:rsidRPr="004C239D" w:rsidRDefault="00F92033"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14:paraId="420A5610"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CE17F" w16cex:dateUtc="2021-03-05T05:57:00Z"/>
  <w16cex:commentExtensible w16cex:durableId="23B56D10" w16cex:dateUtc="2021-01-22T04:26:00Z"/>
  <w16cex:commentExtensible w16cex:durableId="23BD1669" w16cex:dateUtc="2021-01-27T23:54:00Z"/>
  <w16cex:commentExtensible w16cex:durableId="23BD174B" w16cex:dateUtc="2021-01-27T23:58:00Z"/>
  <w16cex:commentExtensible w16cex:durableId="23ECE2EF" w16cex:dateUtc="2021-03-05T06:03:00Z"/>
  <w16cex:commentExtensible w16cex:durableId="23BD177F" w16cex:dateUtc="2021-01-27T23:59:00Z"/>
  <w16cex:commentExtensible w16cex:durableId="23BD1786" w16cex:dateUtc="2021-01-27T23:59:00Z"/>
  <w16cex:commentExtensible w16cex:durableId="23BD17A8" w16cex:dateUtc="2021-01-27T23:59:00Z"/>
  <w16cex:commentExtensible w16cex:durableId="23BE7BCE" w16cex:dateUtc="2021-01-29T01:19:00Z"/>
  <w16cex:commentExtensible w16cex:durableId="23B56DFB" w16cex:dateUtc="2021-01-22T04:30:00Z"/>
  <w16cex:commentExtensible w16cex:durableId="23BD17CD" w16cex:dateUtc="2021-01-28T00:00:00Z"/>
  <w16cex:commentExtensible w16cex:durableId="23B56F1C" w16cex:dateUtc="2021-01-22T04:34:00Z"/>
  <w16cex:commentExtensible w16cex:durableId="23B57999" w16cex:dateUtc="2021-01-22T05:19:00Z"/>
  <w16cex:commentExtensible w16cex:durableId="23BD1CAF" w16cex:dateUtc="2021-01-28T00:21:00Z"/>
  <w16cex:commentExtensible w16cex:durableId="23ECD32D" w16cex:dateUtc="2021-03-05T04:56:00Z"/>
  <w16cex:commentExtensible w16cex:durableId="23B57A2B" w16cex:dateUtc="2021-01-22T05:22:00Z"/>
  <w16cex:commentExtensible w16cex:durableId="23BD1CCF" w16cex:dateUtc="2021-01-28T00:21:00Z"/>
  <w16cex:commentExtensible w16cex:durableId="23BD1D83" w16cex:dateUtc="2021-01-28T00:24:00Z"/>
  <w16cex:commentExtensible w16cex:durableId="23BE7BCF" w16cex:dateUtc="2021-01-29T01:19:00Z"/>
  <w16cex:commentExtensible w16cex:durableId="23BE7BD3" w16cex:dateUtc="2021-01-29T01:19:00Z"/>
  <w16cex:commentExtensible w16cex:durableId="23BE7BDD" w16cex:dateUtc="2021-01-29T01:19:00Z"/>
  <w16cex:commentExtensible w16cex:durableId="23ECD395" w16cex:dateUtc="2021-03-05T04:58:00Z"/>
  <w16cex:commentExtensible w16cex:durableId="23BD1EF8" w16cex:dateUtc="2021-01-28T00:31:00Z"/>
  <w16cex:commentExtensible w16cex:durableId="23BE7BEC" w16cex:dateUtc="2021-01-29T01:19:00Z"/>
  <w16cex:commentExtensible w16cex:durableId="23BE7BF6" w16cex:dateUtc="2021-01-29T01:20:00Z"/>
  <w16cex:commentExtensible w16cex:durableId="23BE7C15" w16cex:dateUtc="2021-01-29T01:20:00Z"/>
  <w16cex:commentExtensible w16cex:durableId="23BE7C27" w16cex:dateUtc="2021-01-29T01:20:00Z"/>
  <w16cex:commentExtensible w16cex:durableId="23BD1FE5" w16cex:dateUtc="2021-01-28T00:35:00Z"/>
  <w16cex:commentExtensible w16cex:durableId="23B57C3C" w16cex:dateUtc="2021-01-22T05:30:00Z"/>
  <w16cex:commentExtensible w16cex:durableId="23BE7C41" w16cex:dateUtc="2021-01-29T01:21:00Z"/>
  <w16cex:commentExtensible w16cex:durableId="23BE7C4A" w16cex:dateUtc="2021-01-29T01:21:00Z"/>
  <w16cex:commentExtensible w16cex:durableId="23BD2017" w16cex:dateUtc="2021-01-28T00:35:00Z"/>
  <w16cex:commentExtensible w16cex:durableId="23ECD477" w16cex:dateUtc="2021-03-05T05:01:00Z"/>
  <w16cex:commentExtensible w16cex:durableId="23BE7C54" w16cex:dateUtc="2021-01-29T01:21:00Z"/>
  <w16cex:commentExtensible w16cex:durableId="23BE7C5F" w16cex:dateUtc="2021-01-29T01:21:00Z"/>
  <w16cex:commentExtensible w16cex:durableId="23BE7C66" w16cex:dateUtc="2021-01-29T01:21:00Z"/>
  <w16cex:commentExtensible w16cex:durableId="23BE7C6D" w16cex:dateUtc="2021-01-29T01:22:00Z"/>
  <w16cex:commentExtensible w16cex:durableId="23F1BC6E" w16cex:dateUtc="2021-03-08T22:20:00Z"/>
  <w16cex:commentExtensible w16cex:durableId="23BE7C74" w16cex:dateUtc="2021-01-29T01:22:00Z"/>
  <w16cex:commentExtensible w16cex:durableId="23BE7C7C" w16cex:dateUtc="2021-01-29T01:22:00Z"/>
  <w16cex:commentExtensible w16cex:durableId="23BE7C84" w16cex:dateUtc="2021-01-29T01:22:00Z"/>
  <w16cex:commentExtensible w16cex:durableId="23BE7C8D" w16cex:dateUtc="2021-01-29T01:22:00Z"/>
  <w16cex:commentExtensible w16cex:durableId="23ECDF7A" w16cex:dateUtc="2021-03-05T05:48:00Z"/>
  <w16cex:commentExtensible w16cex:durableId="23ECDF94" w16cex:dateUtc="2021-03-05T05:49:00Z"/>
  <w16cex:commentExtensible w16cex:durableId="23BD20FC" w16cex:dateUtc="2021-01-28T00:39:00Z"/>
  <w16cex:commentExtensible w16cex:durableId="23BE7C94" w16cex:dateUtc="2021-01-29T01:22:00Z"/>
  <w16cex:commentExtensible w16cex:durableId="23ECDFDD" w16cex:dateUtc="2021-03-05T05:50:00Z"/>
  <w16cex:commentExtensible w16cex:durableId="23BE7C9A" w16cex:dateUtc="2021-01-29T01:22:00Z"/>
  <w16cex:commentExtensible w16cex:durableId="23BE7CA0" w16cex:dateUtc="2021-01-29T01:22:00Z"/>
  <w16cex:commentExtensible w16cex:durableId="23BD2299" w16cex:dateUtc="2021-01-28T00:46:00Z"/>
  <w16cex:commentExtensible w16cex:durableId="23BD232B" w16cex:dateUtc="2021-01-28T00:48:00Z"/>
  <w16cex:commentExtensible w16cex:durableId="23ECE043" w16cex:dateUtc="2021-03-05T05:52:00Z"/>
  <w16cex:commentExtensible w16cex:durableId="23ECE04C" w16cex:dateUtc="2021-03-05T05:52:00Z"/>
  <w16cex:commentExtensible w16cex:durableId="23BE7CAE" w16cex:dateUtc="2021-01-29T01:23:00Z"/>
  <w16cex:commentExtensible w16cex:durableId="23BE7CB3" w16cex:dateUtc="2021-01-29T01:23:00Z"/>
  <w16cex:commentExtensible w16cex:durableId="23BD23C4" w16cex:dateUtc="2021-01-28T00:51:00Z"/>
  <w16cex:commentExtensible w16cex:durableId="23ECE065" w16cex:dateUtc="2021-03-05T05:52:00Z"/>
  <w16cex:commentExtensible w16cex:durableId="23BE7CB8" w16cex:dateUtc="2021-01-29T01:23:00Z"/>
  <w16cex:commentExtensible w16cex:durableId="23B58168" w16cex:dateUtc="2021-01-22T05:52:00Z"/>
  <w16cex:commentExtensible w16cex:durableId="23BE7CC0" w16cex:dateUtc="2021-01-29T01:23:00Z"/>
  <w16cex:commentExtensible w16cex:durableId="23F1C65E" w16cex:dateUtc="2021-03-08T23:03:00Z"/>
  <w16cex:commentExtensible w16cex:durableId="23ECE0A6" w16cex:dateUtc="2021-03-05T05:53:00Z"/>
  <w16cex:commentExtensible w16cex:durableId="23BD273C" w16cex:dateUtc="2021-01-28T01:06:00Z"/>
  <w16cex:commentExtensible w16cex:durableId="23ECE0E5" w16cex:dateUtc="2021-03-05T05: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CCF484" w16cid:durableId="23ECE17F"/>
  <w16cid:commentId w16cid:paraId="6AECE796" w16cid:durableId="23B56D10"/>
  <w16cid:commentId w16cid:paraId="68EE6AF4" w16cid:durableId="23ECD169"/>
  <w16cid:commentId w16cid:paraId="0AB1CF42" w16cid:durableId="23BD1669"/>
  <w16cid:commentId w16cid:paraId="601C6DAC" w16cid:durableId="23ECD16B"/>
  <w16cid:commentId w16cid:paraId="2E777FA9" w16cid:durableId="23BD174B"/>
  <w16cid:commentId w16cid:paraId="055556F1" w16cid:durableId="23ECD16D"/>
  <w16cid:commentId w16cid:paraId="540AE16F" w16cid:durableId="23ECE2EF"/>
  <w16cid:commentId w16cid:paraId="018C6C4E" w16cid:durableId="23BD177F"/>
  <w16cid:commentId w16cid:paraId="7D2E45BB" w16cid:durableId="23ECD16F"/>
  <w16cid:commentId w16cid:paraId="27B1BF02" w16cid:durableId="23BD1786"/>
  <w16cid:commentId w16cid:paraId="5782E848" w16cid:durableId="23ECD171"/>
  <w16cid:commentId w16cid:paraId="2F5D99E4" w16cid:durableId="23BD17A8"/>
  <w16cid:commentId w16cid:paraId="72E1E1C7" w16cid:durableId="23ECD173"/>
  <w16cid:commentId w16cid:paraId="3C276A5D" w16cid:durableId="23BE7BCE"/>
  <w16cid:commentId w16cid:paraId="0203EBBD" w16cid:durableId="23ECD175"/>
  <w16cid:commentId w16cid:paraId="74096214" w16cid:durableId="23B56DFB"/>
  <w16cid:commentId w16cid:paraId="3711B658" w16cid:durableId="23ECD177"/>
  <w16cid:commentId w16cid:paraId="7A1449D0" w16cid:durableId="23BD17CD"/>
  <w16cid:commentId w16cid:paraId="6AC7BF08" w16cid:durableId="23ECD179"/>
  <w16cid:commentId w16cid:paraId="7EDE274C" w16cid:durableId="23B56F1C"/>
  <w16cid:commentId w16cid:paraId="62EDF1BC" w16cid:durableId="23ECD17B"/>
  <w16cid:commentId w16cid:paraId="6CEABA25" w16cid:durableId="23B57999"/>
  <w16cid:commentId w16cid:paraId="5366AB2B" w16cid:durableId="23ECD17D"/>
  <w16cid:commentId w16cid:paraId="40EB4269" w16cid:durableId="23BD1CAF"/>
  <w16cid:commentId w16cid:paraId="598BC81F" w16cid:durableId="23ECD17F"/>
  <w16cid:commentId w16cid:paraId="0DAFAD51" w16cid:durableId="23ECD32D"/>
  <w16cid:commentId w16cid:paraId="3F84A752" w16cid:durableId="23B57A2B"/>
  <w16cid:commentId w16cid:paraId="335B1984" w16cid:durableId="23ECD181"/>
  <w16cid:commentId w16cid:paraId="25427EC6" w16cid:durableId="23BD1CCF"/>
  <w16cid:commentId w16cid:paraId="66A2A07E" w16cid:durableId="23ECD183"/>
  <w16cid:commentId w16cid:paraId="37737ACB" w16cid:durableId="23BD1D83"/>
  <w16cid:commentId w16cid:paraId="0D48AA4E" w16cid:durableId="23ECD185"/>
  <w16cid:commentId w16cid:paraId="160637E0" w16cid:durableId="23BE7BCF"/>
  <w16cid:commentId w16cid:paraId="77ECDD0B" w16cid:durableId="23ECD187"/>
  <w16cid:commentId w16cid:paraId="01395766" w16cid:durableId="23BE7BD3"/>
  <w16cid:commentId w16cid:paraId="7F9F94AC" w16cid:durableId="23ECD189"/>
  <w16cid:commentId w16cid:paraId="04E8FF9A" w16cid:durableId="23BE7BDD"/>
  <w16cid:commentId w16cid:paraId="23A840D4" w16cid:durableId="23ECD18B"/>
  <w16cid:commentId w16cid:paraId="48D8136B" w16cid:durableId="23ECD18C"/>
  <w16cid:commentId w16cid:paraId="74DB306D" w16cid:durableId="23ECD18D"/>
  <w16cid:commentId w16cid:paraId="489B235A" w16cid:durableId="23ECD395"/>
  <w16cid:commentId w16cid:paraId="39B6DA52" w16cid:durableId="23BD1EF8"/>
  <w16cid:commentId w16cid:paraId="3D13F58F" w16cid:durableId="23ECD18F"/>
  <w16cid:commentId w16cid:paraId="211EDB6C" w16cid:durableId="23BE7BEC"/>
  <w16cid:commentId w16cid:paraId="4D98A031" w16cid:durableId="23ECD191"/>
  <w16cid:commentId w16cid:paraId="208EBC0D" w16cid:durableId="23ECD192"/>
  <w16cid:commentId w16cid:paraId="516917CD" w16cid:durableId="23BE7BF6"/>
  <w16cid:commentId w16cid:paraId="432724B5" w16cid:durableId="23ECD194"/>
  <w16cid:commentId w16cid:paraId="7DD1E273" w16cid:durableId="23BE7C15"/>
  <w16cid:commentId w16cid:paraId="00BF348B" w16cid:durableId="23ECD196"/>
  <w16cid:commentId w16cid:paraId="6FBA7120" w16cid:durableId="23BE7C27"/>
  <w16cid:commentId w16cid:paraId="0736424B" w16cid:durableId="23ECD198"/>
  <w16cid:commentId w16cid:paraId="34E9A9DB" w16cid:durableId="23BD1FE5"/>
  <w16cid:commentId w16cid:paraId="62A021ED" w16cid:durableId="23ECD19A"/>
  <w16cid:commentId w16cid:paraId="46F004AB" w16cid:durableId="23B57C3C"/>
  <w16cid:commentId w16cid:paraId="439D4637" w16cid:durableId="23ECD19C"/>
  <w16cid:commentId w16cid:paraId="387850BA" w16cid:durableId="23BE7C41"/>
  <w16cid:commentId w16cid:paraId="1EC35F14" w16cid:durableId="23ECD19E"/>
  <w16cid:commentId w16cid:paraId="0F29C47C" w16cid:durableId="23BE7C4A"/>
  <w16cid:commentId w16cid:paraId="5752930E" w16cid:durableId="23ECD1A0"/>
  <w16cid:commentId w16cid:paraId="14BABAD1" w16cid:durableId="23BD2017"/>
  <w16cid:commentId w16cid:paraId="55978448" w16cid:durableId="23ECD1A2"/>
  <w16cid:commentId w16cid:paraId="5574814F" w16cid:durableId="23ECD1A3"/>
  <w16cid:commentId w16cid:paraId="20B41722" w16cid:durableId="23ECD477"/>
  <w16cid:commentId w16cid:paraId="6FA8A886" w16cid:durableId="23ECD1A4"/>
  <w16cid:commentId w16cid:paraId="5CE4FE79" w16cid:durableId="23BE7C54"/>
  <w16cid:commentId w16cid:paraId="5E2999F2" w16cid:durableId="23ECD1A6"/>
  <w16cid:commentId w16cid:paraId="41A99EDE" w16cid:durableId="23BE7C5F"/>
  <w16cid:commentId w16cid:paraId="57E9FA75" w16cid:durableId="23ECD1A8"/>
  <w16cid:commentId w16cid:paraId="3D9AC3D0" w16cid:durableId="23BE7C66"/>
  <w16cid:commentId w16cid:paraId="144A14E7" w16cid:durableId="23ECD1AA"/>
  <w16cid:commentId w16cid:paraId="1C67451C" w16cid:durableId="23ECD1AB"/>
  <w16cid:commentId w16cid:paraId="704798ED" w16cid:durableId="23BE7C6D"/>
  <w16cid:commentId w16cid:paraId="0EA56B74" w16cid:durableId="23ECD1AD"/>
  <w16cid:commentId w16cid:paraId="7FC7118A" w16cid:durableId="23F1BC6E"/>
  <w16cid:commentId w16cid:paraId="7FF299FB" w16cid:durableId="23BE7C74"/>
  <w16cid:commentId w16cid:paraId="0EB025DF" w16cid:durableId="23ECD1AF"/>
  <w16cid:commentId w16cid:paraId="05A09420" w16cid:durableId="23BE7C7C"/>
  <w16cid:commentId w16cid:paraId="790DA4EF" w16cid:durableId="23ECD1B1"/>
  <w16cid:commentId w16cid:paraId="3A3F2165" w16cid:durableId="23BE7C84"/>
  <w16cid:commentId w16cid:paraId="63F27949" w16cid:durableId="23ECD1B3"/>
  <w16cid:commentId w16cid:paraId="14BB5CF4" w16cid:durableId="23BE7C8D"/>
  <w16cid:commentId w16cid:paraId="19F3DC10" w16cid:durableId="23ECD1B5"/>
  <w16cid:commentId w16cid:paraId="36168B08" w16cid:durableId="23ECD1B6"/>
  <w16cid:commentId w16cid:paraId="19E078C1" w16cid:durableId="23ECD1B7"/>
  <w16cid:commentId w16cid:paraId="6CAFEFF9" w16cid:durableId="23ECD1B8"/>
  <w16cid:commentId w16cid:paraId="5F30C1F6" w16cid:durableId="23ECDF7A"/>
  <w16cid:commentId w16cid:paraId="0297C0F6" w16cid:durableId="23ECDF94"/>
  <w16cid:commentId w16cid:paraId="01508639" w16cid:durableId="23ECD1B9"/>
  <w16cid:commentId w16cid:paraId="498E69DB" w16cid:durableId="23BD20FC"/>
  <w16cid:commentId w16cid:paraId="60ED8783" w16cid:durableId="23ECD1BB"/>
  <w16cid:commentId w16cid:paraId="4BD6F2BB" w16cid:durableId="23BE7C94"/>
  <w16cid:commentId w16cid:paraId="548D12A4" w16cid:durableId="23ECD1BD"/>
  <w16cid:commentId w16cid:paraId="46F7B806" w16cid:durableId="23ECDFDD"/>
  <w16cid:commentId w16cid:paraId="7EBE7BB8" w16cid:durableId="23BE7C9A"/>
  <w16cid:commentId w16cid:paraId="1906C5F2" w16cid:durableId="23ECD1BF"/>
  <w16cid:commentId w16cid:paraId="64A3F9F7" w16cid:durableId="23BE7CA0"/>
  <w16cid:commentId w16cid:paraId="04F4DAC7" w16cid:durableId="23ECD1C1"/>
  <w16cid:commentId w16cid:paraId="084C1DDF" w16cid:durableId="23ECD1C2"/>
  <w16cid:commentId w16cid:paraId="71ACF839" w16cid:durableId="23ECD1C3"/>
  <w16cid:commentId w16cid:paraId="45C9D321" w16cid:durableId="23ECD1C4"/>
  <w16cid:commentId w16cid:paraId="4DF41E37" w16cid:durableId="23BD2299"/>
  <w16cid:commentId w16cid:paraId="4547BF0B" w16cid:durableId="23ECD1C6"/>
  <w16cid:commentId w16cid:paraId="54DC92AD" w16cid:durableId="23BD232B"/>
  <w16cid:commentId w16cid:paraId="25AF5064" w16cid:durableId="23ECD1C8"/>
  <w16cid:commentId w16cid:paraId="3024CCDC" w16cid:durableId="23ECE043"/>
  <w16cid:commentId w16cid:paraId="1057D82F" w16cid:durableId="23ECD1C9"/>
  <w16cid:commentId w16cid:paraId="1AE417CD" w16cid:durableId="23ECE04C"/>
  <w16cid:commentId w16cid:paraId="7E3985D7" w16cid:durableId="23BE7CAE"/>
  <w16cid:commentId w16cid:paraId="19A5AC93" w16cid:durableId="23ECD1CB"/>
  <w16cid:commentId w16cid:paraId="260D882B" w16cid:durableId="23BE7CB3"/>
  <w16cid:commentId w16cid:paraId="7A875E86" w16cid:durableId="23ECD1CD"/>
  <w16cid:commentId w16cid:paraId="64BA19B3" w16cid:durableId="23BD23C4"/>
  <w16cid:commentId w16cid:paraId="63A22ADD" w16cid:durableId="23ECD1CF"/>
  <w16cid:commentId w16cid:paraId="392A7B79" w16cid:durableId="23ECE065"/>
  <w16cid:commentId w16cid:paraId="0DAB339A" w16cid:durableId="23BE7CB8"/>
  <w16cid:commentId w16cid:paraId="53658E79" w16cid:durableId="23ECD1D1"/>
  <w16cid:commentId w16cid:paraId="795BA24F" w16cid:durableId="23B58168"/>
  <w16cid:commentId w16cid:paraId="01C1B7D5" w16cid:durableId="23ECD1D3"/>
  <w16cid:commentId w16cid:paraId="7B46CD73" w16cid:durableId="23BE7CC0"/>
  <w16cid:commentId w16cid:paraId="29CEF6E4" w16cid:durableId="23ECD1D5"/>
  <w16cid:commentId w16cid:paraId="71BEF3D8" w16cid:durableId="23F1C65E"/>
  <w16cid:commentId w16cid:paraId="726C4FC3" w16cid:durableId="23ECE0A6"/>
  <w16cid:commentId w16cid:paraId="7946E9DD" w16cid:durableId="23BD273C"/>
  <w16cid:commentId w16cid:paraId="0D5D9D04" w16cid:durableId="23ECD1D7"/>
  <w16cid:commentId w16cid:paraId="414A8FA3" w16cid:durableId="23ECD1D8"/>
  <w16cid:commentId w16cid:paraId="15F94F4C" w16cid:durableId="23ECE0E5"/>
  <w16cid:commentId w16cid:paraId="19F037FF" w16cid:durableId="23ECD1D9"/>
  <w16cid:commentId w16cid:paraId="063B5B17" w16cid:durableId="23ECD1DA"/>
  <w16cid:commentId w16cid:paraId="294CD6C1" w16cid:durableId="23ECD1D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C3013" w14:textId="77777777" w:rsidR="004D6F28" w:rsidRDefault="004D6F28" w:rsidP="00C40A36">
      <w:pPr>
        <w:spacing w:after="0"/>
      </w:pPr>
      <w:r>
        <w:separator/>
      </w:r>
    </w:p>
  </w:endnote>
  <w:endnote w:type="continuationSeparator" w:id="0">
    <w:p w14:paraId="2FCFA1E4" w14:textId="77777777" w:rsidR="004D6F28" w:rsidRDefault="004D6F2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D6F28" w:rsidRPr="00487162" w14:paraId="3AD8C5F8" w14:textId="77777777" w:rsidTr="00DB750B">
      <w:trPr>
        <w:trHeight w:val="269"/>
      </w:trPr>
      <w:tc>
        <w:tcPr>
          <w:tcW w:w="7371" w:type="dxa"/>
          <w:tcMar>
            <w:top w:w="142" w:type="dxa"/>
            <w:bottom w:w="0" w:type="dxa"/>
          </w:tcMar>
        </w:tcPr>
        <w:p w14:paraId="0AF502C5" w14:textId="32EFC7B2" w:rsidR="004D6F28" w:rsidRPr="00487162" w:rsidRDefault="004D6F28" w:rsidP="004D612E">
          <w:pPr>
            <w:pStyle w:val="Footer"/>
          </w:pPr>
          <w:proofErr w:type="spellStart"/>
          <w:r w:rsidRPr="00487162">
            <w:t>AusPA</w:t>
          </w:r>
          <w:r>
            <w:t>R</w:t>
          </w:r>
          <w:proofErr w:type="spellEnd"/>
          <w:r>
            <w:t xml:space="preserve"> – </w:t>
          </w:r>
          <w:proofErr w:type="spellStart"/>
          <w:r>
            <w:t>S</w:t>
          </w:r>
          <w:r w:rsidR="004D612E">
            <w:t>cenesse</w:t>
          </w:r>
          <w:proofErr w:type="spellEnd"/>
          <w:r>
            <w:t xml:space="preserve">– </w:t>
          </w:r>
          <w:proofErr w:type="spellStart"/>
          <w:r>
            <w:t>afamelanotide</w:t>
          </w:r>
          <w:proofErr w:type="spellEnd"/>
          <w:r w:rsidRPr="00460036">
            <w:t xml:space="preserve"> </w:t>
          </w:r>
          <w:r>
            <w:t xml:space="preserve">– </w:t>
          </w:r>
          <w:proofErr w:type="spellStart"/>
          <w:r w:rsidRPr="00FE7EDE">
            <w:t>Clinuvel</w:t>
          </w:r>
          <w:proofErr w:type="spellEnd"/>
          <w:r w:rsidRPr="00FE7EDE">
            <w:t xml:space="preserve"> Pharmaceuticals Ltd</w:t>
          </w:r>
          <w:r>
            <w:t xml:space="preserve"> PM-2019-05977-1-6</w:t>
          </w:r>
          <w:r>
            <w:br/>
            <w:t>FINAL 11 March 2021</w:t>
          </w:r>
        </w:p>
      </w:tc>
      <w:tc>
        <w:tcPr>
          <w:tcW w:w="1490" w:type="dxa"/>
          <w:tcMar>
            <w:top w:w="142" w:type="dxa"/>
            <w:bottom w:w="0" w:type="dxa"/>
          </w:tcMar>
        </w:tcPr>
        <w:p w14:paraId="7478015A" w14:textId="277D0706" w:rsidR="004D6F28" w:rsidRPr="00487162" w:rsidRDefault="004D6F28" w:rsidP="00DB750B">
          <w:pPr>
            <w:pStyle w:val="Footer"/>
            <w:jc w:val="right"/>
          </w:pPr>
          <w:r w:rsidRPr="00487162">
            <w:t xml:space="preserve">Page </w:t>
          </w:r>
          <w:r>
            <w:fldChar w:fldCharType="begin"/>
          </w:r>
          <w:r>
            <w:instrText xml:space="preserve"> PAGE  \* Arabic </w:instrText>
          </w:r>
          <w:r>
            <w:fldChar w:fldCharType="separate"/>
          </w:r>
          <w:r w:rsidR="00F92033">
            <w:rPr>
              <w:noProof/>
            </w:rPr>
            <w:t>2</w:t>
          </w:r>
          <w:r>
            <w:fldChar w:fldCharType="end"/>
          </w:r>
          <w:r w:rsidRPr="00487162">
            <w:t xml:space="preserve"> of </w:t>
          </w:r>
          <w:r w:rsidR="00F92033">
            <w:fldChar w:fldCharType="begin"/>
          </w:r>
          <w:r w:rsidR="00F92033">
            <w:instrText xml:space="preserve"> NUMPAGES  \* Arabic </w:instrText>
          </w:r>
          <w:r w:rsidR="00F92033">
            <w:fldChar w:fldCharType="separate"/>
          </w:r>
          <w:r w:rsidR="00F92033">
            <w:rPr>
              <w:noProof/>
            </w:rPr>
            <w:t>32</w:t>
          </w:r>
          <w:r w:rsidR="00F92033">
            <w:rPr>
              <w:noProof/>
            </w:rPr>
            <w:fldChar w:fldCharType="end"/>
          </w:r>
        </w:p>
      </w:tc>
    </w:tr>
  </w:tbl>
  <w:p w14:paraId="292F80B4" w14:textId="77777777" w:rsidR="004D6F28" w:rsidRDefault="004D6F28"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D6F28" w:rsidRPr="00487162" w14:paraId="59EB2D85" w14:textId="77777777" w:rsidTr="00E45619">
      <w:trPr>
        <w:trHeight w:val="269"/>
      </w:trPr>
      <w:tc>
        <w:tcPr>
          <w:tcW w:w="4519" w:type="dxa"/>
          <w:tcBorders>
            <w:top w:val="single" w:sz="4" w:space="0" w:color="auto"/>
          </w:tcBorders>
          <w:tcMar>
            <w:top w:w="142" w:type="dxa"/>
            <w:bottom w:w="0" w:type="dxa"/>
          </w:tcMar>
        </w:tcPr>
        <w:p w14:paraId="3BC699EC" w14:textId="77777777" w:rsidR="004D6F28" w:rsidRPr="00487162" w:rsidRDefault="004D6F28" w:rsidP="00FE1DEE">
          <w:pPr>
            <w:pStyle w:val="Footer"/>
          </w:pPr>
          <w:r w:rsidRPr="00487162">
            <w:t>Document title, Part #, Section # - Section title</w:t>
          </w:r>
        </w:p>
        <w:p w14:paraId="4D0BBEB6" w14:textId="77777777" w:rsidR="004D6F28" w:rsidRPr="00487162" w:rsidRDefault="004D6F28" w:rsidP="00FE1DEE">
          <w:pPr>
            <w:pStyle w:val="Footer"/>
          </w:pPr>
          <w:r w:rsidRPr="00487162">
            <w:t>V1.0 October 2010</w:t>
          </w:r>
        </w:p>
      </w:tc>
      <w:tc>
        <w:tcPr>
          <w:tcW w:w="4342" w:type="dxa"/>
          <w:tcBorders>
            <w:top w:val="single" w:sz="4" w:space="0" w:color="auto"/>
          </w:tcBorders>
          <w:tcMar>
            <w:top w:w="142" w:type="dxa"/>
            <w:bottom w:w="0" w:type="dxa"/>
          </w:tcMar>
        </w:tcPr>
        <w:p w14:paraId="56A02D00" w14:textId="77777777" w:rsidR="004D6F28" w:rsidRPr="00487162" w:rsidRDefault="004D6F2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92033">
            <w:fldChar w:fldCharType="begin"/>
          </w:r>
          <w:r w:rsidR="00F92033">
            <w:instrText xml:space="preserve"> NUMPAGES  </w:instrText>
          </w:r>
          <w:r w:rsidR="00F92033">
            <w:fldChar w:fldCharType="separate"/>
          </w:r>
          <w:r>
            <w:rPr>
              <w:noProof/>
            </w:rPr>
            <w:t>2</w:t>
          </w:r>
          <w:r w:rsidR="00F92033">
            <w:rPr>
              <w:noProof/>
            </w:rPr>
            <w:fldChar w:fldCharType="end"/>
          </w:r>
        </w:p>
      </w:tc>
    </w:tr>
  </w:tbl>
  <w:p w14:paraId="2E3E1CF6" w14:textId="77777777" w:rsidR="004D6F28" w:rsidRDefault="004D6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2BC80" w14:textId="77777777" w:rsidR="004D6F28" w:rsidRPr="001C32CD" w:rsidRDefault="004D6F28"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D6F28" w14:paraId="7BC069E5" w14:textId="77777777" w:rsidTr="0010601F">
      <w:trPr>
        <w:trHeight w:val="108"/>
      </w:trPr>
      <w:tc>
        <w:tcPr>
          <w:tcW w:w="8875" w:type="dxa"/>
          <w:gridSpan w:val="2"/>
          <w:tcBorders>
            <w:bottom w:val="single" w:sz="4" w:space="0" w:color="auto"/>
          </w:tcBorders>
          <w:tcMar>
            <w:right w:w="284" w:type="dxa"/>
          </w:tcMar>
        </w:tcPr>
        <w:p w14:paraId="16370C1C" w14:textId="77777777" w:rsidR="004D6F28" w:rsidRDefault="004D6F28" w:rsidP="006E08B3">
          <w:pPr>
            <w:pStyle w:val="Heading3"/>
          </w:pPr>
          <w:r>
            <w:t>Copyright</w:t>
          </w:r>
        </w:p>
        <w:p w14:paraId="58D854CA" w14:textId="77777777" w:rsidR="004D6F28" w:rsidRDefault="004D6F28" w:rsidP="006E08B3">
          <w:r>
            <w:rPr>
              <w:rFonts w:cs="Arial"/>
            </w:rPr>
            <w:t>©</w:t>
          </w:r>
          <w:r>
            <w:t xml:space="preserve"> Commonwealth of Australia [add year]</w:t>
          </w:r>
        </w:p>
        <w:p w14:paraId="7E39A6ED" w14:textId="77777777" w:rsidR="004D6F28" w:rsidRDefault="004D6F28" w:rsidP="006E08B3"/>
        <w:p w14:paraId="04C5DD05" w14:textId="77777777" w:rsidR="004D6F28" w:rsidRDefault="004D6F2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5BCB34D" w14:textId="77777777" w:rsidR="004D6F28" w:rsidRDefault="004D6F28" w:rsidP="006E08B3"/>
        <w:p w14:paraId="23376A70" w14:textId="77777777" w:rsidR="004D6F28" w:rsidRDefault="004D6F28" w:rsidP="006E08B3">
          <w:pPr>
            <w:pStyle w:val="Heading3"/>
          </w:pPr>
          <w:r>
            <w:t>Confidentiality</w:t>
          </w:r>
        </w:p>
        <w:p w14:paraId="1FFB1FE2" w14:textId="77777777" w:rsidR="004D6F28" w:rsidRDefault="004D6F2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002E8BD" w14:textId="77777777" w:rsidR="004D6F28" w:rsidRDefault="004D6F28" w:rsidP="006E08B3"/>
        <w:p w14:paraId="0AA740A7" w14:textId="77777777" w:rsidR="004D6F28" w:rsidRDefault="004D6F28" w:rsidP="006E08B3">
          <w:r>
            <w:t>For submission made by individuals, all personal details, other than your name, will be removed from your submission before it is published on the TGA’s Internet site.</w:t>
          </w:r>
        </w:p>
        <w:p w14:paraId="4D67FDAB" w14:textId="77777777" w:rsidR="004D6F28" w:rsidRDefault="004D6F28" w:rsidP="006E08B3"/>
        <w:p w14:paraId="297B56DF" w14:textId="77777777" w:rsidR="004D6F28" w:rsidRDefault="004D6F2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D6F28" w14:paraId="24731CB1" w14:textId="77777777" w:rsidTr="0010601F">
      <w:trPr>
        <w:trHeight w:val="417"/>
      </w:trPr>
      <w:tc>
        <w:tcPr>
          <w:tcW w:w="4519" w:type="dxa"/>
          <w:tcBorders>
            <w:top w:val="single" w:sz="4" w:space="0" w:color="auto"/>
          </w:tcBorders>
          <w:tcMar>
            <w:top w:w="142" w:type="dxa"/>
            <w:bottom w:w="0" w:type="dxa"/>
          </w:tcMar>
        </w:tcPr>
        <w:p w14:paraId="1FAB81EF" w14:textId="77777777" w:rsidR="004D6F28" w:rsidRDefault="004D6F28" w:rsidP="006E08B3">
          <w:r>
            <w:t>Document title, Part #, Section # - Section title</w:t>
          </w:r>
        </w:p>
        <w:p w14:paraId="11A47E86" w14:textId="77777777" w:rsidR="004D6F28" w:rsidRDefault="004D6F28" w:rsidP="006E08B3">
          <w:r>
            <w:t>V1.0 October 2010</w:t>
          </w:r>
        </w:p>
      </w:tc>
      <w:tc>
        <w:tcPr>
          <w:tcW w:w="4356" w:type="dxa"/>
          <w:tcBorders>
            <w:top w:val="single" w:sz="4" w:space="0" w:color="auto"/>
          </w:tcBorders>
          <w:tcMar>
            <w:top w:w="142" w:type="dxa"/>
            <w:bottom w:w="0" w:type="dxa"/>
          </w:tcMar>
        </w:tcPr>
        <w:p w14:paraId="6E96A634" w14:textId="77777777" w:rsidR="004D6F28" w:rsidRDefault="004D6F2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92033">
            <w:fldChar w:fldCharType="begin"/>
          </w:r>
          <w:r w:rsidR="00F92033">
            <w:instrText xml:space="preserve"> NUMPAGES  \* Arabic </w:instrText>
          </w:r>
          <w:r w:rsidR="00F92033">
            <w:fldChar w:fldCharType="separate"/>
          </w:r>
          <w:r>
            <w:rPr>
              <w:noProof/>
            </w:rPr>
            <w:t>2</w:t>
          </w:r>
          <w:r w:rsidR="00F92033">
            <w:rPr>
              <w:noProof/>
            </w:rPr>
            <w:fldChar w:fldCharType="end"/>
          </w:r>
          <w:r>
            <w:t xml:space="preserve">  </w:t>
          </w:r>
        </w:p>
      </w:tc>
    </w:tr>
  </w:tbl>
  <w:p w14:paraId="6F207941" w14:textId="77777777" w:rsidR="004D6F28" w:rsidRDefault="004D6F2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19B99" w14:textId="77777777" w:rsidR="004D6F28" w:rsidRDefault="004D6F28" w:rsidP="00C40A36">
      <w:pPr>
        <w:spacing w:after="0"/>
      </w:pPr>
      <w:r>
        <w:separator/>
      </w:r>
    </w:p>
  </w:footnote>
  <w:footnote w:type="continuationSeparator" w:id="0">
    <w:p w14:paraId="6687CF25" w14:textId="77777777" w:rsidR="004D6F28" w:rsidRDefault="004D6F28" w:rsidP="00C40A36">
      <w:pPr>
        <w:spacing w:after="0"/>
      </w:pPr>
      <w:r>
        <w:continuationSeparator/>
      </w:r>
    </w:p>
  </w:footnote>
  <w:footnote w:id="1">
    <w:p w14:paraId="0639158E" w14:textId="77777777" w:rsidR="004D6F28" w:rsidRDefault="004D6F28">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56FC9252" w14:textId="77777777" w:rsidR="004D6F28" w:rsidRPr="00D55782" w:rsidRDefault="004D6F28">
      <w:pPr>
        <w:pStyle w:val="FootnoteText"/>
        <w:rPr>
          <w:lang w:val="en-US"/>
        </w:rPr>
      </w:pPr>
      <w:r>
        <w:rPr>
          <w:rStyle w:val="FootnoteReference"/>
        </w:rPr>
        <w:footnoteRef/>
      </w:r>
      <w:r>
        <w:t xml:space="preserve"> </w:t>
      </w:r>
      <w:proofErr w:type="spellStart"/>
      <w:r>
        <w:t>Afamelanotide</w:t>
      </w:r>
      <w:proofErr w:type="spellEnd"/>
      <w:r>
        <w:t xml:space="preserve"> (active ingredient) supplied as acetate; each implant contains 16 mg </w:t>
      </w:r>
      <w:proofErr w:type="spellStart"/>
      <w:r>
        <w:t>afamelanotide</w:t>
      </w:r>
      <w:proofErr w:type="spellEnd"/>
      <w:r>
        <w:t xml:space="preserve"> (18 mg as </w:t>
      </w:r>
      <w:proofErr w:type="spellStart"/>
      <w:r w:rsidRPr="00D55782">
        <w:t>afamelanotide</w:t>
      </w:r>
      <w:proofErr w:type="spellEnd"/>
      <w:r w:rsidRPr="00D55782">
        <w:t xml:space="preserve"> acetate)</w:t>
      </w:r>
      <w:r>
        <w:t>.</w:t>
      </w:r>
    </w:p>
  </w:footnote>
  <w:footnote w:id="3">
    <w:p w14:paraId="3286344C" w14:textId="77777777" w:rsidR="004D6F28" w:rsidRPr="009303A1" w:rsidRDefault="004D6F28">
      <w:pPr>
        <w:pStyle w:val="FootnoteText"/>
        <w:rPr>
          <w:lang w:val="en-US"/>
        </w:rPr>
      </w:pPr>
      <w:r>
        <w:rPr>
          <w:rStyle w:val="FootnoteReference"/>
        </w:rPr>
        <w:footnoteRef/>
      </w:r>
      <w:r>
        <w:t xml:space="preserve"> </w:t>
      </w:r>
      <w:r w:rsidRPr="00023C84">
        <w:rPr>
          <w:b/>
        </w:rPr>
        <w:t>'Orphan drugs'</w:t>
      </w:r>
      <w:r w:rsidRPr="00023C84">
        <w:t xml:space="preserve"> are often developed to treat small and very specific patient populations who suffer from rare diseases and conditions. In order to facilitate orphan drug access to the Australian marketplace and help offset orphan drug development costs the TGA waives application and evaluation fees for prescription medicine registration applications if a related orphan designation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4">
    <w:p w14:paraId="61911FA6" w14:textId="77777777" w:rsidR="004D6F28" w:rsidRPr="009303A1" w:rsidRDefault="004D6F28">
      <w:pPr>
        <w:pStyle w:val="FootnoteText"/>
        <w:rPr>
          <w:lang w:val="en-US"/>
        </w:rPr>
      </w:pPr>
      <w:r>
        <w:rPr>
          <w:rStyle w:val="FootnoteReference"/>
        </w:rPr>
        <w:footnoteRef/>
      </w:r>
      <w:r>
        <w:t xml:space="preserve"> </w:t>
      </w:r>
      <w:r w:rsidRPr="00023C84">
        <w:t xml:space="preserve">The TGA has implemented a priority pathway for the registration of novel prescription medicines for Australian patients. The </w:t>
      </w:r>
      <w:r w:rsidRPr="00023C84">
        <w:rPr>
          <w:b/>
        </w:rPr>
        <w:t>priority pathway</w:t>
      </w:r>
      <w:r w:rsidRPr="00023C84">
        <w:t xml:space="preserve"> provides a formal mechanism for faster assessment of vital and life-saving prescription medicines. The target timeframe of 150 working days is up to three months shorter than the standard prescription medicines registration process.</w:t>
      </w:r>
    </w:p>
  </w:footnote>
  <w:footnote w:id="5">
    <w:p w14:paraId="17780D8E" w14:textId="77777777" w:rsidR="004D6F28" w:rsidRPr="00023C84" w:rsidRDefault="004D6F28" w:rsidP="00023C84">
      <w:pPr>
        <w:pStyle w:val="FootnoteText"/>
      </w:pPr>
      <w:r>
        <w:rPr>
          <w:rStyle w:val="FootnoteReference"/>
        </w:rPr>
        <w:footnoteRef/>
      </w:r>
      <w:r>
        <w:t xml:space="preserve"> </w:t>
      </w:r>
      <w:r>
        <w:rPr>
          <w:b/>
        </w:rPr>
        <w:t>Good Manufacturing P</w:t>
      </w:r>
      <w:r w:rsidRPr="00023C84">
        <w:rPr>
          <w:b/>
        </w:rPr>
        <w:t>ractice</w:t>
      </w:r>
      <w:r>
        <w:t xml:space="preserve"> (</w:t>
      </w:r>
      <w:r w:rsidRPr="00023C84">
        <w:rPr>
          <w:b/>
        </w:rPr>
        <w:t>GMP</w:t>
      </w:r>
      <w:r>
        <w:t>) is the minimum standard that a medicines manufacturer must meet in their production processes. Products must be of consistent high quality; be appropriate to their intended use; and meet the requirements of the marketing authorisation or product specification.</w:t>
      </w:r>
    </w:p>
  </w:footnote>
  <w:footnote w:id="6">
    <w:p w14:paraId="6C542FA5" w14:textId="294F9838" w:rsidR="004D6F28" w:rsidRDefault="004D6F28">
      <w:pPr>
        <w:pStyle w:val="FootnoteText"/>
      </w:pPr>
      <w:r>
        <w:rPr>
          <w:rStyle w:val="FootnoteReference"/>
        </w:rPr>
        <w:footnoteRef/>
      </w:r>
      <w:r>
        <w:t xml:space="preserve"> This issue was resolved prior to approval, with a GMP clearance that expires in October 2021.</w:t>
      </w:r>
    </w:p>
  </w:footnote>
  <w:footnote w:id="7">
    <w:p w14:paraId="6DCEDE31" w14:textId="768B163A" w:rsidR="004D6F28" w:rsidRDefault="004D6F28">
      <w:pPr>
        <w:pStyle w:val="FootnoteText"/>
      </w:pPr>
      <w:r>
        <w:rPr>
          <w:rStyle w:val="FootnoteReference"/>
        </w:rPr>
        <w:footnoteRef/>
      </w:r>
      <w:r>
        <w:t xml:space="preserve"> This issue was resolved prior to approval, with a GMP clearance that expires in February 2022.</w:t>
      </w:r>
    </w:p>
  </w:footnote>
  <w:footnote w:id="8">
    <w:p w14:paraId="73ACC9CA" w14:textId="77777777" w:rsidR="004D6F28" w:rsidRPr="00E23E03" w:rsidRDefault="004D6F28">
      <w:pPr>
        <w:pStyle w:val="FootnoteText"/>
        <w:rPr>
          <w:lang w:val="en-US"/>
        </w:rPr>
      </w:pPr>
      <w:r>
        <w:rPr>
          <w:rStyle w:val="FootnoteReference"/>
        </w:rPr>
        <w:footnoteRef/>
      </w:r>
      <w:r>
        <w:t xml:space="preserve"> Guidance 7 of the </w:t>
      </w:r>
      <w:r w:rsidRPr="00E23E03">
        <w:t>Australian Regulatory Guidelines for Prescription</w:t>
      </w:r>
      <w:r>
        <w:t xml:space="preserve"> Medicines</w:t>
      </w:r>
      <w:r w:rsidRPr="00E23E03">
        <w:t xml:space="preserve"> is intended for sponsors who are submitting the Certified Product Details (CPD) for their prescription medicine to the TGA.</w:t>
      </w:r>
      <w:r>
        <w:t xml:space="preserve"> </w:t>
      </w:r>
      <w:r w:rsidRPr="00E23E03">
        <w:t>The CPD is a summary of the formulation, quality control and shelf life for a prescription medicine.</w:t>
      </w:r>
    </w:p>
  </w:footnote>
  <w:footnote w:id="9">
    <w:p w14:paraId="46C635FB" w14:textId="77777777" w:rsidR="004D6F28" w:rsidRPr="00976EAD" w:rsidRDefault="004D6F28" w:rsidP="00976EAD">
      <w:pPr>
        <w:pStyle w:val="FootnoteText"/>
      </w:pPr>
      <w:r>
        <w:rPr>
          <w:rStyle w:val="FootnoteReference"/>
        </w:rPr>
        <w:footnoteRef/>
      </w:r>
      <w:r>
        <w:t xml:space="preserve"> </w:t>
      </w:r>
      <w:r w:rsidRPr="00CD6538">
        <w:rPr>
          <w:b/>
        </w:rPr>
        <w:t>Pregnancy Category B1</w:t>
      </w:r>
      <w:r>
        <w:t xml:space="preserve">: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 Studies in animals have not shown evidence of an increased occurrence of </w:t>
      </w:r>
      <w:proofErr w:type="spellStart"/>
      <w:r>
        <w:t>fetal</w:t>
      </w:r>
      <w:proofErr w:type="spellEnd"/>
      <w:r>
        <w:t xml:space="preserve"> damage.</w:t>
      </w:r>
    </w:p>
  </w:footnote>
  <w:footnote w:id="10">
    <w:p w14:paraId="3D11B1BB" w14:textId="77777777" w:rsidR="004D6F28" w:rsidRPr="00BF75C0" w:rsidRDefault="004D6F28" w:rsidP="00BF75C0">
      <w:pPr>
        <w:pStyle w:val="FootnoteText"/>
      </w:pPr>
      <w:r>
        <w:rPr>
          <w:rStyle w:val="FootnoteReference"/>
        </w:rPr>
        <w:footnoteRef/>
      </w:r>
      <w:r>
        <w:t xml:space="preserve"> </w:t>
      </w:r>
      <w:r w:rsidRPr="00BF75C0">
        <w:t>Fitzpatrick Classification: I) never tans, always burns; II) sometimes tans, mostly burns; III) mostly tans, sometimes burns; IV) always tans, never burns.</w:t>
      </w:r>
    </w:p>
    <w:p w14:paraId="6ADC1AB6" w14:textId="77777777" w:rsidR="004D6F28" w:rsidRPr="00F457CF" w:rsidRDefault="004D6F28" w:rsidP="00BF75C0">
      <w:pPr>
        <w:pStyle w:val="FootnoteText"/>
      </w:pPr>
      <w:r w:rsidRPr="00BF75C0">
        <w:t xml:space="preserve">The validity and practicality of sun-reactive skin types I through VI. Arch </w:t>
      </w:r>
      <w:proofErr w:type="spellStart"/>
      <w:r w:rsidRPr="00BF75C0">
        <w:t>Dermatol</w:t>
      </w:r>
      <w:proofErr w:type="spellEnd"/>
      <w:r w:rsidRPr="00BF75C0">
        <w:t>. 124:869</w:t>
      </w:r>
      <w:r w:rsidRPr="00BF75C0">
        <w:noBreakHyphen/>
        <w:t>871; 1988</w:t>
      </w:r>
    </w:p>
  </w:footnote>
  <w:footnote w:id="11">
    <w:p w14:paraId="18F9B8C6" w14:textId="77777777" w:rsidR="004D6F28" w:rsidRPr="00BF75C0" w:rsidRDefault="004D6F28">
      <w:pPr>
        <w:pStyle w:val="FootnoteText"/>
        <w:rPr>
          <w:lang w:val="en-US"/>
        </w:rPr>
      </w:pPr>
      <w:r>
        <w:rPr>
          <w:rStyle w:val="FootnoteReference"/>
        </w:rPr>
        <w:footnoteRef/>
      </w:r>
      <w:r>
        <w:t xml:space="preserve"> </w:t>
      </w:r>
      <w:proofErr w:type="spellStart"/>
      <w:r>
        <w:rPr>
          <w:lang w:val="en-US"/>
        </w:rPr>
        <w:t>Scenesse</w:t>
      </w:r>
      <w:proofErr w:type="spellEnd"/>
      <w:r>
        <w:rPr>
          <w:lang w:val="en-US"/>
        </w:rPr>
        <w:t xml:space="preserve"> EPAR public assessment report. Last updated June 2015; European Medicines Agency. </w:t>
      </w:r>
      <w:r w:rsidRPr="00BF75C0">
        <w:rPr>
          <w:lang w:val="en-US"/>
        </w:rPr>
        <w:t>https://www.ema.europa.eu/en/documents/assessment-report/scenesse-epar-public-assessment-report_en.pdf</w:t>
      </w:r>
    </w:p>
  </w:footnote>
  <w:footnote w:id="12">
    <w:p w14:paraId="3F3232C3" w14:textId="151CDDE5" w:rsidR="004D6F28" w:rsidRPr="001A1B61" w:rsidRDefault="004D6F28">
      <w:pPr>
        <w:pStyle w:val="FootnoteText"/>
        <w:rPr>
          <w:lang w:val="en-US"/>
        </w:rPr>
      </w:pPr>
      <w:r>
        <w:rPr>
          <w:rStyle w:val="FootnoteReference"/>
        </w:rPr>
        <w:footnoteRef/>
      </w:r>
      <w:r>
        <w:t xml:space="preserve"> </w:t>
      </w:r>
      <w:r w:rsidRPr="001A1B61">
        <w:t xml:space="preserve">The </w:t>
      </w:r>
      <w:r w:rsidRPr="001A1B61">
        <w:rPr>
          <w:b/>
        </w:rPr>
        <w:t xml:space="preserve">Dermatology </w:t>
      </w:r>
      <w:r>
        <w:rPr>
          <w:b/>
        </w:rPr>
        <w:t>L</w:t>
      </w:r>
      <w:r w:rsidRPr="001A1B61">
        <w:rPr>
          <w:b/>
        </w:rPr>
        <w:t>ife Quality Index</w:t>
      </w:r>
      <w:r w:rsidRPr="001A1B61">
        <w:t xml:space="preserve"> (</w:t>
      </w:r>
      <w:r w:rsidRPr="001A1B61">
        <w:rPr>
          <w:b/>
        </w:rPr>
        <w:t>DLQI</w:t>
      </w:r>
      <w:r w:rsidRPr="001A1B61">
        <w:t>) is a</w:t>
      </w:r>
      <w:r>
        <w:t xml:space="preserve"> validated</w:t>
      </w:r>
      <w:r w:rsidRPr="001A1B61">
        <w:t xml:space="preserve"> ten-question questionnaire used to measure the impact of skin disease on the quality of life of an affected person. Questions cover topics of symptoms, embarrassment, shopping and home care, clothes, social and leisure, sport, work or study, close relationships, sex, treatment. Each question refers to the impact of the skin disease on the patient’s life over the previous week. Each question is scored from 0 to 3, giving a possible score range from 0 (meaning no impact of skin disease on quality of life) to 30 (meaning maximum impact on quality of life). A series of validated ‘band descriptors’ were described in 2005 to give meaning to the scores of the DLQI. The</w:t>
      </w:r>
      <w:r>
        <w:t>se bands are as follows: 0-1 = n</w:t>
      </w:r>
      <w:r w:rsidRPr="001A1B61">
        <w:t>o e</w:t>
      </w:r>
      <w:r>
        <w:t>ffect on patient’s life, 2-5 = small effect, 6-10 = moderate effect, 11-20 = very large effect, 21-30 = e</w:t>
      </w:r>
      <w:r w:rsidRPr="001A1B61">
        <w:t>xtremely large effect.</w:t>
      </w:r>
    </w:p>
  </w:footnote>
  <w:footnote w:id="13">
    <w:p w14:paraId="03D22A7A" w14:textId="786B7EA0" w:rsidR="004D6F28" w:rsidRPr="00BB4E89" w:rsidRDefault="004D6F28">
      <w:pPr>
        <w:pStyle w:val="FootnoteText"/>
        <w:rPr>
          <w:lang w:val="en-US"/>
        </w:rPr>
      </w:pPr>
      <w:r>
        <w:rPr>
          <w:rStyle w:val="FootnoteReference"/>
        </w:rPr>
        <w:footnoteRef/>
      </w:r>
      <w:r>
        <w:t xml:space="preserve"> </w:t>
      </w:r>
      <w:r>
        <w:rPr>
          <w:lang w:val="en-US"/>
        </w:rPr>
        <w:t xml:space="preserve">The </w:t>
      </w:r>
      <w:proofErr w:type="spellStart"/>
      <w:r w:rsidRPr="00BB4E89">
        <w:rPr>
          <w:b/>
          <w:lang w:val="en-US"/>
        </w:rPr>
        <w:t>Erythropoietic</w:t>
      </w:r>
      <w:proofErr w:type="spellEnd"/>
      <w:r w:rsidRPr="00BB4E89">
        <w:rPr>
          <w:b/>
          <w:lang w:val="en-US"/>
        </w:rPr>
        <w:t xml:space="preserve"> </w:t>
      </w:r>
      <w:proofErr w:type="spellStart"/>
      <w:r w:rsidRPr="00BB4E89">
        <w:rPr>
          <w:b/>
          <w:lang w:val="en-US"/>
        </w:rPr>
        <w:t>Protoporphyria</w:t>
      </w:r>
      <w:proofErr w:type="spellEnd"/>
      <w:r w:rsidRPr="00BB4E89">
        <w:rPr>
          <w:b/>
          <w:lang w:val="en-US"/>
        </w:rPr>
        <w:t xml:space="preserve"> Quality of Life </w:t>
      </w:r>
      <w:r>
        <w:rPr>
          <w:b/>
          <w:lang w:val="en-US"/>
        </w:rPr>
        <w:t>questionnaire</w:t>
      </w:r>
      <w:r>
        <w:rPr>
          <w:lang w:val="en-US"/>
        </w:rPr>
        <w:t xml:space="preserve"> (</w:t>
      </w:r>
      <w:r w:rsidRPr="00BB4E89">
        <w:rPr>
          <w:b/>
          <w:lang w:val="en-US"/>
        </w:rPr>
        <w:t>EPP-</w:t>
      </w:r>
      <w:proofErr w:type="spellStart"/>
      <w:r w:rsidRPr="00BB4E89">
        <w:rPr>
          <w:b/>
          <w:lang w:val="en-US"/>
        </w:rPr>
        <w:t>QoL</w:t>
      </w:r>
      <w:proofErr w:type="spellEnd"/>
      <w:r>
        <w:rPr>
          <w:lang w:val="en-US"/>
        </w:rPr>
        <w:t xml:space="preserve">) is a condition-specific instrument developed by the study investigators for measuring the impact of </w:t>
      </w:r>
      <w:proofErr w:type="spellStart"/>
      <w:r w:rsidRPr="00BB4E89">
        <w:rPr>
          <w:lang w:val="en-US"/>
        </w:rPr>
        <w:t>erythropoietic</w:t>
      </w:r>
      <w:proofErr w:type="spellEnd"/>
      <w:r w:rsidRPr="00BB4E89">
        <w:rPr>
          <w:lang w:val="en-US"/>
        </w:rPr>
        <w:t xml:space="preserve"> </w:t>
      </w:r>
      <w:proofErr w:type="spellStart"/>
      <w:r w:rsidRPr="00BB4E89">
        <w:rPr>
          <w:lang w:val="en-US"/>
        </w:rPr>
        <w:t>protoporphyria</w:t>
      </w:r>
      <w:proofErr w:type="spellEnd"/>
      <w:r>
        <w:rPr>
          <w:lang w:val="en-US"/>
        </w:rPr>
        <w:t xml:space="preserve"> on the quality of life of EPP patients.</w:t>
      </w:r>
    </w:p>
  </w:footnote>
  <w:footnote w:id="14">
    <w:p w14:paraId="5F1C0F2A" w14:textId="2E53E6E2" w:rsidR="004D6F28" w:rsidRPr="00172E8F" w:rsidRDefault="004D6F28" w:rsidP="00172E8F">
      <w:pPr>
        <w:rPr>
          <w:rStyle w:val="FootnoteTextChar"/>
        </w:rPr>
      </w:pPr>
      <w:r>
        <w:rPr>
          <w:rStyle w:val="FootnoteReference"/>
        </w:rPr>
        <w:footnoteRef/>
      </w:r>
      <w:r>
        <w:t xml:space="preserve"> </w:t>
      </w:r>
      <w:r w:rsidRPr="00172E8F">
        <w:rPr>
          <w:rStyle w:val="FootnoteTextChar"/>
        </w:rPr>
        <w:t>Long-term exposure data are available from patients on treatment in Europe.</w:t>
      </w:r>
    </w:p>
  </w:footnote>
  <w:footnote w:id="15">
    <w:p w14:paraId="30B4304F" w14:textId="77777777" w:rsidR="004D6F28" w:rsidRDefault="004D6F28" w:rsidP="003175A2">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0BAE2410" w14:textId="77777777" w:rsidR="004D6F28" w:rsidRDefault="004D6F28" w:rsidP="003175A2">
      <w:pPr>
        <w:pStyle w:val="FootnoteText"/>
      </w:pPr>
      <w:r w:rsidRPr="007D53B6">
        <w:rPr>
          <w:i/>
        </w:rPr>
        <w:t>Routine pharmacovigilance</w:t>
      </w:r>
      <w:r>
        <w:t xml:space="preserve"> practices involve the following activities:</w:t>
      </w:r>
    </w:p>
    <w:p w14:paraId="32AA39BA" w14:textId="77777777" w:rsidR="004D6F28" w:rsidRDefault="004D6F28" w:rsidP="003175A2">
      <w:pPr>
        <w:pStyle w:val="FootnoteText"/>
        <w:numPr>
          <w:ilvl w:val="0"/>
          <w:numId w:val="32"/>
        </w:numPr>
        <w:ind w:left="284" w:hanging="284"/>
      </w:pPr>
      <w:r>
        <w:t>All suspected adverse reactions that are reported to the personnel of the company are collected and collated in an accessible manner;</w:t>
      </w:r>
    </w:p>
    <w:p w14:paraId="47756C16" w14:textId="77777777" w:rsidR="004D6F28" w:rsidRDefault="004D6F28" w:rsidP="003175A2">
      <w:pPr>
        <w:pStyle w:val="FootnoteText"/>
        <w:numPr>
          <w:ilvl w:val="0"/>
          <w:numId w:val="32"/>
        </w:numPr>
        <w:ind w:left="284" w:hanging="284"/>
      </w:pPr>
      <w:r>
        <w:t>Reporting to regulatory authorities;</w:t>
      </w:r>
    </w:p>
    <w:p w14:paraId="7EC067D2" w14:textId="77777777" w:rsidR="004D6F28" w:rsidRDefault="004D6F28" w:rsidP="003175A2">
      <w:pPr>
        <w:pStyle w:val="FootnoteText"/>
        <w:numPr>
          <w:ilvl w:val="0"/>
          <w:numId w:val="32"/>
        </w:numPr>
        <w:ind w:left="284" w:hanging="284"/>
      </w:pPr>
      <w:r>
        <w:t>Continuous monitoring of the safety profiles of approved products including signal detection and updating of labelling;</w:t>
      </w:r>
    </w:p>
    <w:p w14:paraId="365BEFB5" w14:textId="77777777" w:rsidR="004D6F28" w:rsidRDefault="004D6F28" w:rsidP="003175A2">
      <w:pPr>
        <w:pStyle w:val="FootnoteText"/>
        <w:numPr>
          <w:ilvl w:val="0"/>
          <w:numId w:val="32"/>
        </w:numPr>
        <w:ind w:left="284" w:hanging="284"/>
      </w:pPr>
      <w:r>
        <w:t>Submission of PSURs;</w:t>
      </w:r>
    </w:p>
    <w:p w14:paraId="0007B585" w14:textId="77777777" w:rsidR="004D6F28" w:rsidRDefault="004D6F28" w:rsidP="003175A2">
      <w:pPr>
        <w:pStyle w:val="FootnoteText"/>
        <w:numPr>
          <w:ilvl w:val="0"/>
          <w:numId w:val="32"/>
        </w:numPr>
        <w:ind w:left="284" w:hanging="284"/>
      </w:pPr>
      <w:r>
        <w:t>Meeting other local regulatory agency requirements.</w:t>
      </w:r>
    </w:p>
  </w:footnote>
  <w:footnote w:id="16">
    <w:p w14:paraId="42CB5CB9" w14:textId="77777777" w:rsidR="004D6F28" w:rsidRPr="00F1133E" w:rsidRDefault="004D6F28" w:rsidP="00F1133E">
      <w:pPr>
        <w:pStyle w:val="FootnoteText"/>
        <w:rPr>
          <w:lang w:val="en-US"/>
        </w:rPr>
      </w:pPr>
      <w:r>
        <w:rPr>
          <w:rStyle w:val="FootnoteReference"/>
        </w:rPr>
        <w:footnoteRef/>
      </w:r>
      <w:r>
        <w:rPr>
          <w:lang w:val="en-US"/>
        </w:rPr>
        <w:t xml:space="preserve"> </w:t>
      </w:r>
      <w:proofErr w:type="spellStart"/>
      <w:r>
        <w:rPr>
          <w:lang w:val="en-US"/>
        </w:rPr>
        <w:t>YourHome</w:t>
      </w:r>
      <w:proofErr w:type="spellEnd"/>
      <w:r>
        <w:rPr>
          <w:lang w:val="en-US"/>
        </w:rPr>
        <w:t xml:space="preserve">: Photovoltaic systems; </w:t>
      </w:r>
      <w:r w:rsidRPr="00F1133E">
        <w:rPr>
          <w:lang w:val="en-US"/>
        </w:rPr>
        <w:t>Commonwealth of Australia Department of Industry, Science, Energy and Resources [2020]. Your Home: Australia's guide to environmentally sustainable homes.</w:t>
      </w:r>
      <w:r>
        <w:rPr>
          <w:lang w:val="en-US"/>
        </w:rPr>
        <w:t xml:space="preserve"> </w:t>
      </w:r>
      <w:r w:rsidRPr="00F1133E">
        <w:rPr>
          <w:lang w:val="en-US"/>
        </w:rPr>
        <w:t>https://www.yourhome.gov.au/energy/photovoltaic-systems</w:t>
      </w:r>
    </w:p>
  </w:footnote>
  <w:footnote w:id="17">
    <w:p w14:paraId="0EB101E6" w14:textId="77777777" w:rsidR="004D6F28" w:rsidRPr="00BC59A0" w:rsidRDefault="004D6F28">
      <w:pPr>
        <w:pStyle w:val="FootnoteText"/>
        <w:rPr>
          <w:lang w:val="en-US"/>
        </w:rPr>
      </w:pPr>
      <w:r>
        <w:rPr>
          <w:rStyle w:val="FootnoteReference"/>
        </w:rPr>
        <w:footnoteRef/>
      </w:r>
      <w:r>
        <w:t xml:space="preserve"> </w:t>
      </w:r>
      <w:r w:rsidRPr="00C12704">
        <w:t xml:space="preserve">The </w:t>
      </w:r>
      <w:r w:rsidRPr="00C12704">
        <w:rPr>
          <w:b/>
        </w:rPr>
        <w:t>Special Access Scheme</w:t>
      </w:r>
      <w:r w:rsidRPr="00C12704">
        <w:t xml:space="preserve"> (</w:t>
      </w:r>
      <w:r w:rsidRPr="00C12704">
        <w:rPr>
          <w:b/>
        </w:rPr>
        <w:t>SAS</w:t>
      </w:r>
      <w:r w:rsidRPr="00C12704">
        <w:t>) allows certain health practitioners to access therapeutic goods (such as medicines, medical devices or biologicals) that are not included in the Australian Register of Therapeutic Goods (ARTG) for a single patient. Therapeutic goods that are not included in the ARTG (and are not otherwise exempt from being in the ARTG) are described by us as 'unapproved'.</w:t>
      </w:r>
      <w:r>
        <w:t xml:space="preserve"> The SAS database is a record of past access of therapeutic goods accessed through the SAS.</w:t>
      </w:r>
    </w:p>
  </w:footnote>
  <w:footnote w:id="18">
    <w:p w14:paraId="435AC5B6" w14:textId="77777777" w:rsidR="004D6F28" w:rsidRDefault="004D6F28">
      <w:pPr>
        <w:pStyle w:val="FootnoteText"/>
      </w:pPr>
      <w:r>
        <w:rPr>
          <w:rStyle w:val="FootnoteReference"/>
        </w:rPr>
        <w:footnoteRef/>
      </w:r>
      <w:r>
        <w:t xml:space="preserve"> This issue was resolved prior to approval as GMP clearances were obtained.</w:t>
      </w:r>
    </w:p>
  </w:footnote>
  <w:footnote w:id="19">
    <w:p w14:paraId="37A289C1" w14:textId="77777777" w:rsidR="004D6F28" w:rsidRPr="00724A0F" w:rsidRDefault="004D6F28">
      <w:pPr>
        <w:pStyle w:val="FootnoteText"/>
        <w:rPr>
          <w:lang w:val="en-US"/>
        </w:rPr>
      </w:pPr>
      <w:r>
        <w:rPr>
          <w:rStyle w:val="FootnoteReference"/>
        </w:rPr>
        <w:footnoteRef/>
      </w:r>
      <w:r>
        <w:t xml:space="preserve"> </w:t>
      </w:r>
      <w:r w:rsidRPr="00724A0F">
        <w:t xml:space="preserve">The </w:t>
      </w:r>
      <w:r w:rsidRPr="00724A0F">
        <w:rPr>
          <w:b/>
        </w:rPr>
        <w:t>Standard for the Uniform Scheduling of Medicines and Poisons</w:t>
      </w:r>
      <w:r w:rsidRPr="00724A0F">
        <w:t xml:space="preserve"> (</w:t>
      </w:r>
      <w:r w:rsidRPr="00724A0F">
        <w:rPr>
          <w:b/>
        </w:rPr>
        <w:t>SUSMP</w:t>
      </w:r>
      <w:r>
        <w:t>)</w:t>
      </w:r>
      <w:r w:rsidRPr="00724A0F">
        <w:t xml:space="preserve"> is a record of decisions regarding the classification of medicines and chemicals into Schedules for inclusion in relevant legislation of the states and territories; includes model provisions about containers and labels, and recommendations about other controls on medicines and chemicals; and is registered on the Federal Register of Legislation as the Poisons Standard.</w:t>
      </w:r>
    </w:p>
  </w:footnote>
  <w:footnote w:id="20">
    <w:p w14:paraId="718B899A" w14:textId="77777777" w:rsidR="004D6F28" w:rsidRDefault="004D6F28"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112AC6A5" w14:textId="77777777" w:rsidR="004D6F28" w:rsidRPr="00456765" w:rsidRDefault="004D6F28"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738B3" w14:textId="77777777" w:rsidR="004D6F28" w:rsidRDefault="004D6F28"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2410C" w14:textId="77777777" w:rsidR="004D6F28" w:rsidRDefault="004D6F28">
    <w:pPr>
      <w:rPr>
        <w:noProof/>
        <w:lang w:eastAsia="en-AU"/>
      </w:rPr>
    </w:pPr>
    <w:r w:rsidRPr="00347824">
      <w:rPr>
        <w:noProof/>
        <w:lang w:eastAsia="en-AU"/>
      </w:rPr>
      <w:drawing>
        <wp:anchor distT="0" distB="0" distL="114300" distR="114300" simplePos="0" relativeHeight="251659264" behindDoc="1" locked="0" layoutInCell="1" allowOverlap="1" wp14:anchorId="61DEE4F2" wp14:editId="3F0206E2">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AF64585" w14:textId="7C8F711E" w:rsidR="004D6F28" w:rsidRDefault="004D6F28"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FC986" w14:textId="77777777" w:rsidR="004D6F28" w:rsidRDefault="004D6F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4C4D8" w14:textId="77777777" w:rsidR="004D6F28" w:rsidRDefault="004D6F28">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1B70D" w14:textId="77777777" w:rsidR="004D6F28" w:rsidRDefault="004D6F28">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7F367" w14:textId="77777777" w:rsidR="004D6F28" w:rsidRDefault="004D6F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55BB0" w14:textId="77777777" w:rsidR="004D6F28" w:rsidRDefault="004D6F28"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D19E6" w14:textId="77777777" w:rsidR="004D6F28" w:rsidRDefault="004D6F28" w:rsidP="006E08B3">
    <w:r>
      <w:t>Therapeutic Goods Administration</w:t>
    </w:r>
  </w:p>
  <w:p w14:paraId="00C78A97" w14:textId="77777777" w:rsidR="004D6F28" w:rsidRDefault="004D6F28"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D30AC4D0"/>
    <w:lvl w:ilvl="0" w:tplc="CA06E640">
      <w:start w:val="1"/>
      <w:numFmt w:val="bullet"/>
      <w:pStyle w:val="Bulletlis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9B15D7"/>
    <w:multiLevelType w:val="hybridMultilevel"/>
    <w:tmpl w:val="EFBC8BBE"/>
    <w:lvl w:ilvl="0" w:tplc="5F0CA708">
      <w:start w:val="1"/>
      <w:numFmt w:val="bullet"/>
      <w:pStyle w:val="Bulletpoint"/>
      <w:lvlText w:val=""/>
      <w:lvlJc w:val="left"/>
      <w:pPr>
        <w:tabs>
          <w:tab w:val="num" w:pos="510"/>
        </w:tabs>
        <w:ind w:left="510"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4853CE7"/>
    <w:multiLevelType w:val="hybridMultilevel"/>
    <w:tmpl w:val="6DA83D9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4" w15:restartNumberingAfterBreak="0">
    <w:nsid w:val="623F4BB4"/>
    <w:multiLevelType w:val="hybridMultilevel"/>
    <w:tmpl w:val="659434DC"/>
    <w:lvl w:ilvl="0" w:tplc="FE98B67C">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5"/>
  </w:num>
  <w:num w:numId="29">
    <w:abstractNumId w:val="7"/>
  </w:num>
  <w:num w:numId="30">
    <w:abstractNumId w:val="9"/>
  </w:num>
  <w:num w:numId="31">
    <w:abstractNumId w:val="4"/>
  </w:num>
  <w:num w:numId="32">
    <w:abstractNumId w:val="12"/>
  </w:num>
  <w:num w:numId="33">
    <w:abstractNumId w:val="13"/>
  </w:num>
  <w:num w:numId="34">
    <w:abstractNumId w:val="10"/>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82"/>
    <w:rsid w:val="00002031"/>
    <w:rsid w:val="00004734"/>
    <w:rsid w:val="00006B22"/>
    <w:rsid w:val="00006FAB"/>
    <w:rsid w:val="0001276A"/>
    <w:rsid w:val="000132C5"/>
    <w:rsid w:val="00023C84"/>
    <w:rsid w:val="000246AE"/>
    <w:rsid w:val="00025C67"/>
    <w:rsid w:val="00044772"/>
    <w:rsid w:val="0004541C"/>
    <w:rsid w:val="00051933"/>
    <w:rsid w:val="0005559E"/>
    <w:rsid w:val="000604D6"/>
    <w:rsid w:val="000734D8"/>
    <w:rsid w:val="00074525"/>
    <w:rsid w:val="00077775"/>
    <w:rsid w:val="00090471"/>
    <w:rsid w:val="0009545D"/>
    <w:rsid w:val="00096AA7"/>
    <w:rsid w:val="000A3AED"/>
    <w:rsid w:val="000B296B"/>
    <w:rsid w:val="000B3532"/>
    <w:rsid w:val="000B3A75"/>
    <w:rsid w:val="000C00C2"/>
    <w:rsid w:val="000C690F"/>
    <w:rsid w:val="000D1295"/>
    <w:rsid w:val="000D391B"/>
    <w:rsid w:val="000D3D6D"/>
    <w:rsid w:val="000D4FC7"/>
    <w:rsid w:val="000D58ED"/>
    <w:rsid w:val="000D7688"/>
    <w:rsid w:val="000D779A"/>
    <w:rsid w:val="000E6196"/>
    <w:rsid w:val="000F4869"/>
    <w:rsid w:val="000F5B42"/>
    <w:rsid w:val="000F6287"/>
    <w:rsid w:val="000F6E6F"/>
    <w:rsid w:val="00100BB1"/>
    <w:rsid w:val="0010601F"/>
    <w:rsid w:val="001061DF"/>
    <w:rsid w:val="0010788A"/>
    <w:rsid w:val="00107A31"/>
    <w:rsid w:val="00110EA5"/>
    <w:rsid w:val="0011168C"/>
    <w:rsid w:val="00112F56"/>
    <w:rsid w:val="00116223"/>
    <w:rsid w:val="00122C2E"/>
    <w:rsid w:val="00124ACD"/>
    <w:rsid w:val="00125318"/>
    <w:rsid w:val="001305A2"/>
    <w:rsid w:val="00133238"/>
    <w:rsid w:val="00133A1B"/>
    <w:rsid w:val="0014197B"/>
    <w:rsid w:val="001447CD"/>
    <w:rsid w:val="001516B1"/>
    <w:rsid w:val="00154EBB"/>
    <w:rsid w:val="00156316"/>
    <w:rsid w:val="00161181"/>
    <w:rsid w:val="00162D14"/>
    <w:rsid w:val="00163780"/>
    <w:rsid w:val="00164AC7"/>
    <w:rsid w:val="00165389"/>
    <w:rsid w:val="001659E8"/>
    <w:rsid w:val="00172E8F"/>
    <w:rsid w:val="001765DB"/>
    <w:rsid w:val="0017693F"/>
    <w:rsid w:val="0018110E"/>
    <w:rsid w:val="00181684"/>
    <w:rsid w:val="001843C6"/>
    <w:rsid w:val="001850E0"/>
    <w:rsid w:val="00192AD6"/>
    <w:rsid w:val="001A03AF"/>
    <w:rsid w:val="001A1B61"/>
    <w:rsid w:val="001A2158"/>
    <w:rsid w:val="001A525F"/>
    <w:rsid w:val="001B09F9"/>
    <w:rsid w:val="001B0A4E"/>
    <w:rsid w:val="001B2721"/>
    <w:rsid w:val="001B373F"/>
    <w:rsid w:val="001B3D56"/>
    <w:rsid w:val="001B5C90"/>
    <w:rsid w:val="001B6448"/>
    <w:rsid w:val="001C0B4E"/>
    <w:rsid w:val="001C32CD"/>
    <w:rsid w:val="001C62AD"/>
    <w:rsid w:val="001D0E8E"/>
    <w:rsid w:val="001D2984"/>
    <w:rsid w:val="001E07CF"/>
    <w:rsid w:val="001E59F1"/>
    <w:rsid w:val="001F2CEE"/>
    <w:rsid w:val="001F49EB"/>
    <w:rsid w:val="001F6CBA"/>
    <w:rsid w:val="00201D4E"/>
    <w:rsid w:val="002076C9"/>
    <w:rsid w:val="00207851"/>
    <w:rsid w:val="002138E1"/>
    <w:rsid w:val="00216D8B"/>
    <w:rsid w:val="00220B8A"/>
    <w:rsid w:val="002257F3"/>
    <w:rsid w:val="00233456"/>
    <w:rsid w:val="002339A5"/>
    <w:rsid w:val="00235188"/>
    <w:rsid w:val="0023668C"/>
    <w:rsid w:val="00250271"/>
    <w:rsid w:val="00257848"/>
    <w:rsid w:val="002578E8"/>
    <w:rsid w:val="00257AE7"/>
    <w:rsid w:val="0027084A"/>
    <w:rsid w:val="00280265"/>
    <w:rsid w:val="00286434"/>
    <w:rsid w:val="00286C59"/>
    <w:rsid w:val="00291957"/>
    <w:rsid w:val="002942D1"/>
    <w:rsid w:val="0029501A"/>
    <w:rsid w:val="002A3721"/>
    <w:rsid w:val="002B1638"/>
    <w:rsid w:val="002B2BAE"/>
    <w:rsid w:val="002B3624"/>
    <w:rsid w:val="002D0952"/>
    <w:rsid w:val="002E3695"/>
    <w:rsid w:val="002E40B3"/>
    <w:rsid w:val="002E4C9A"/>
    <w:rsid w:val="002F11F8"/>
    <w:rsid w:val="002F295D"/>
    <w:rsid w:val="002F3F56"/>
    <w:rsid w:val="002F44B5"/>
    <w:rsid w:val="002F5122"/>
    <w:rsid w:val="00311AC0"/>
    <w:rsid w:val="003175A2"/>
    <w:rsid w:val="003176FC"/>
    <w:rsid w:val="003214F7"/>
    <w:rsid w:val="00324E45"/>
    <w:rsid w:val="0032583B"/>
    <w:rsid w:val="00327883"/>
    <w:rsid w:val="00333147"/>
    <w:rsid w:val="00335504"/>
    <w:rsid w:val="00340C18"/>
    <w:rsid w:val="0034260A"/>
    <w:rsid w:val="003442FD"/>
    <w:rsid w:val="00347824"/>
    <w:rsid w:val="00350567"/>
    <w:rsid w:val="003521E8"/>
    <w:rsid w:val="00356DA5"/>
    <w:rsid w:val="00370CE3"/>
    <w:rsid w:val="00371561"/>
    <w:rsid w:val="00371859"/>
    <w:rsid w:val="003728F3"/>
    <w:rsid w:val="003735BC"/>
    <w:rsid w:val="0037496E"/>
    <w:rsid w:val="003752BB"/>
    <w:rsid w:val="00382EE2"/>
    <w:rsid w:val="00383221"/>
    <w:rsid w:val="00386150"/>
    <w:rsid w:val="003874CE"/>
    <w:rsid w:val="00390900"/>
    <w:rsid w:val="003A7F6C"/>
    <w:rsid w:val="003B2C16"/>
    <w:rsid w:val="003B4D60"/>
    <w:rsid w:val="003B7E39"/>
    <w:rsid w:val="003C1165"/>
    <w:rsid w:val="003C58DC"/>
    <w:rsid w:val="003C5D60"/>
    <w:rsid w:val="003C6A8C"/>
    <w:rsid w:val="003D1C39"/>
    <w:rsid w:val="003D1E62"/>
    <w:rsid w:val="003E0B99"/>
    <w:rsid w:val="003E178B"/>
    <w:rsid w:val="003E2486"/>
    <w:rsid w:val="003E294C"/>
    <w:rsid w:val="003E3208"/>
    <w:rsid w:val="003E4BDC"/>
    <w:rsid w:val="003F0B04"/>
    <w:rsid w:val="003F365F"/>
    <w:rsid w:val="0040134E"/>
    <w:rsid w:val="004046D0"/>
    <w:rsid w:val="00411AA3"/>
    <w:rsid w:val="0042348B"/>
    <w:rsid w:val="00431C77"/>
    <w:rsid w:val="004334C7"/>
    <w:rsid w:val="0043752B"/>
    <w:rsid w:val="00440A2D"/>
    <w:rsid w:val="00440E3C"/>
    <w:rsid w:val="00441C3F"/>
    <w:rsid w:val="00444D1A"/>
    <w:rsid w:val="0045005E"/>
    <w:rsid w:val="0045186A"/>
    <w:rsid w:val="004564A7"/>
    <w:rsid w:val="00456765"/>
    <w:rsid w:val="00457B30"/>
    <w:rsid w:val="00460036"/>
    <w:rsid w:val="004617BF"/>
    <w:rsid w:val="00463658"/>
    <w:rsid w:val="004637A0"/>
    <w:rsid w:val="004722CC"/>
    <w:rsid w:val="004833B5"/>
    <w:rsid w:val="00490483"/>
    <w:rsid w:val="004936E4"/>
    <w:rsid w:val="00494E60"/>
    <w:rsid w:val="0049676A"/>
    <w:rsid w:val="00497487"/>
    <w:rsid w:val="004A2771"/>
    <w:rsid w:val="004A6189"/>
    <w:rsid w:val="004A7390"/>
    <w:rsid w:val="004B0E9D"/>
    <w:rsid w:val="004B210E"/>
    <w:rsid w:val="004B4CDE"/>
    <w:rsid w:val="004B7B76"/>
    <w:rsid w:val="004C239D"/>
    <w:rsid w:val="004C2DCA"/>
    <w:rsid w:val="004C4CB7"/>
    <w:rsid w:val="004C4FBE"/>
    <w:rsid w:val="004C61D2"/>
    <w:rsid w:val="004D2A86"/>
    <w:rsid w:val="004D612E"/>
    <w:rsid w:val="004D6F28"/>
    <w:rsid w:val="004E12D4"/>
    <w:rsid w:val="004F0C4A"/>
    <w:rsid w:val="004F0F38"/>
    <w:rsid w:val="004F1D8B"/>
    <w:rsid w:val="004F47D6"/>
    <w:rsid w:val="004F5AB9"/>
    <w:rsid w:val="00500337"/>
    <w:rsid w:val="00501921"/>
    <w:rsid w:val="00512083"/>
    <w:rsid w:val="00530354"/>
    <w:rsid w:val="0053078C"/>
    <w:rsid w:val="00531D95"/>
    <w:rsid w:val="0053625B"/>
    <w:rsid w:val="00537B4A"/>
    <w:rsid w:val="00542086"/>
    <w:rsid w:val="005434C6"/>
    <w:rsid w:val="00543B39"/>
    <w:rsid w:val="00546154"/>
    <w:rsid w:val="00550096"/>
    <w:rsid w:val="005520BD"/>
    <w:rsid w:val="00555280"/>
    <w:rsid w:val="00556163"/>
    <w:rsid w:val="00557FF9"/>
    <w:rsid w:val="00562327"/>
    <w:rsid w:val="005632AD"/>
    <w:rsid w:val="00564E9E"/>
    <w:rsid w:val="005711D5"/>
    <w:rsid w:val="00576378"/>
    <w:rsid w:val="00577130"/>
    <w:rsid w:val="00577945"/>
    <w:rsid w:val="00577E38"/>
    <w:rsid w:val="005802DF"/>
    <w:rsid w:val="005849F3"/>
    <w:rsid w:val="00585322"/>
    <w:rsid w:val="005857C6"/>
    <w:rsid w:val="00592F6E"/>
    <w:rsid w:val="00593AD1"/>
    <w:rsid w:val="005A68B6"/>
    <w:rsid w:val="005B4E2D"/>
    <w:rsid w:val="005C0C04"/>
    <w:rsid w:val="005C5570"/>
    <w:rsid w:val="005C564F"/>
    <w:rsid w:val="005C5B66"/>
    <w:rsid w:val="005C6995"/>
    <w:rsid w:val="005C79A4"/>
    <w:rsid w:val="005D07E9"/>
    <w:rsid w:val="005D5442"/>
    <w:rsid w:val="005F429A"/>
    <w:rsid w:val="00603F32"/>
    <w:rsid w:val="00605AD4"/>
    <w:rsid w:val="006136D7"/>
    <w:rsid w:val="00625A6E"/>
    <w:rsid w:val="00632398"/>
    <w:rsid w:val="00640FC3"/>
    <w:rsid w:val="00642020"/>
    <w:rsid w:val="00642682"/>
    <w:rsid w:val="006430EE"/>
    <w:rsid w:val="00650A5C"/>
    <w:rsid w:val="0065337B"/>
    <w:rsid w:val="00653B73"/>
    <w:rsid w:val="00653B74"/>
    <w:rsid w:val="0065419D"/>
    <w:rsid w:val="006603BC"/>
    <w:rsid w:val="006604D8"/>
    <w:rsid w:val="00664A5B"/>
    <w:rsid w:val="0066735C"/>
    <w:rsid w:val="00673640"/>
    <w:rsid w:val="00674D44"/>
    <w:rsid w:val="006763D2"/>
    <w:rsid w:val="00680C08"/>
    <w:rsid w:val="0068515B"/>
    <w:rsid w:val="006916A0"/>
    <w:rsid w:val="006931B1"/>
    <w:rsid w:val="00694F75"/>
    <w:rsid w:val="006A15C0"/>
    <w:rsid w:val="006A4EA3"/>
    <w:rsid w:val="006A58A8"/>
    <w:rsid w:val="006C3E2A"/>
    <w:rsid w:val="006C642F"/>
    <w:rsid w:val="006D03E5"/>
    <w:rsid w:val="006D4404"/>
    <w:rsid w:val="006D5D3E"/>
    <w:rsid w:val="006E08B3"/>
    <w:rsid w:val="006F17AC"/>
    <w:rsid w:val="006F25B8"/>
    <w:rsid w:val="006F2E79"/>
    <w:rsid w:val="006F572E"/>
    <w:rsid w:val="007046D6"/>
    <w:rsid w:val="00705DB0"/>
    <w:rsid w:val="0070674E"/>
    <w:rsid w:val="00706803"/>
    <w:rsid w:val="007113F4"/>
    <w:rsid w:val="0072204A"/>
    <w:rsid w:val="00722B57"/>
    <w:rsid w:val="00724A0F"/>
    <w:rsid w:val="00725A9D"/>
    <w:rsid w:val="00725DBA"/>
    <w:rsid w:val="00730F8A"/>
    <w:rsid w:val="00733F2D"/>
    <w:rsid w:val="00735A8C"/>
    <w:rsid w:val="00735D5B"/>
    <w:rsid w:val="0074253D"/>
    <w:rsid w:val="007429D8"/>
    <w:rsid w:val="00743FF6"/>
    <w:rsid w:val="00744121"/>
    <w:rsid w:val="0074429B"/>
    <w:rsid w:val="00747156"/>
    <w:rsid w:val="00753441"/>
    <w:rsid w:val="007574F3"/>
    <w:rsid w:val="00760834"/>
    <w:rsid w:val="007615BC"/>
    <w:rsid w:val="00762F05"/>
    <w:rsid w:val="007652FF"/>
    <w:rsid w:val="007673D0"/>
    <w:rsid w:val="00770CAC"/>
    <w:rsid w:val="00770EF1"/>
    <w:rsid w:val="00773EF7"/>
    <w:rsid w:val="00774E1D"/>
    <w:rsid w:val="00774F9E"/>
    <w:rsid w:val="007765D8"/>
    <w:rsid w:val="0077675A"/>
    <w:rsid w:val="00780355"/>
    <w:rsid w:val="007813E2"/>
    <w:rsid w:val="007819FD"/>
    <w:rsid w:val="00785717"/>
    <w:rsid w:val="00785721"/>
    <w:rsid w:val="00791979"/>
    <w:rsid w:val="00793A59"/>
    <w:rsid w:val="007A2741"/>
    <w:rsid w:val="007A46F5"/>
    <w:rsid w:val="007A6505"/>
    <w:rsid w:val="007B6132"/>
    <w:rsid w:val="007B6E9F"/>
    <w:rsid w:val="007C1216"/>
    <w:rsid w:val="007C1AF7"/>
    <w:rsid w:val="007C3A1D"/>
    <w:rsid w:val="007C6B9B"/>
    <w:rsid w:val="007D53B6"/>
    <w:rsid w:val="007F4F66"/>
    <w:rsid w:val="007F764A"/>
    <w:rsid w:val="00804404"/>
    <w:rsid w:val="00805D27"/>
    <w:rsid w:val="00806DCB"/>
    <w:rsid w:val="00811504"/>
    <w:rsid w:val="00821776"/>
    <w:rsid w:val="00830D3A"/>
    <w:rsid w:val="00831184"/>
    <w:rsid w:val="008321F5"/>
    <w:rsid w:val="00832369"/>
    <w:rsid w:val="00834660"/>
    <w:rsid w:val="00836BC2"/>
    <w:rsid w:val="00847C96"/>
    <w:rsid w:val="0085156D"/>
    <w:rsid w:val="00852B28"/>
    <w:rsid w:val="00853C36"/>
    <w:rsid w:val="00854A61"/>
    <w:rsid w:val="0085641B"/>
    <w:rsid w:val="00857136"/>
    <w:rsid w:val="00875A6B"/>
    <w:rsid w:val="00885B11"/>
    <w:rsid w:val="00886D15"/>
    <w:rsid w:val="00887DD8"/>
    <w:rsid w:val="00891BA9"/>
    <w:rsid w:val="00893FEA"/>
    <w:rsid w:val="00896018"/>
    <w:rsid w:val="008960DD"/>
    <w:rsid w:val="0089635C"/>
    <w:rsid w:val="008A2B9D"/>
    <w:rsid w:val="008A3D9F"/>
    <w:rsid w:val="008A577B"/>
    <w:rsid w:val="008A5E0B"/>
    <w:rsid w:val="008A6D59"/>
    <w:rsid w:val="008B4B03"/>
    <w:rsid w:val="008B596F"/>
    <w:rsid w:val="008C159F"/>
    <w:rsid w:val="008C1623"/>
    <w:rsid w:val="008C1850"/>
    <w:rsid w:val="008C51A9"/>
    <w:rsid w:val="008D1ED2"/>
    <w:rsid w:val="008D3077"/>
    <w:rsid w:val="008E6AE2"/>
    <w:rsid w:val="008E7846"/>
    <w:rsid w:val="008F02E5"/>
    <w:rsid w:val="008F1CCC"/>
    <w:rsid w:val="008F2967"/>
    <w:rsid w:val="008F6943"/>
    <w:rsid w:val="00902A21"/>
    <w:rsid w:val="00911396"/>
    <w:rsid w:val="009119ED"/>
    <w:rsid w:val="0091523F"/>
    <w:rsid w:val="00917A0F"/>
    <w:rsid w:val="00920330"/>
    <w:rsid w:val="009219D7"/>
    <w:rsid w:val="009225A0"/>
    <w:rsid w:val="009226F2"/>
    <w:rsid w:val="00922D53"/>
    <w:rsid w:val="00923B70"/>
    <w:rsid w:val="00924482"/>
    <w:rsid w:val="00930237"/>
    <w:rsid w:val="009303A1"/>
    <w:rsid w:val="009322BC"/>
    <w:rsid w:val="00937C17"/>
    <w:rsid w:val="00940A89"/>
    <w:rsid w:val="00941F77"/>
    <w:rsid w:val="009427A8"/>
    <w:rsid w:val="00946EA5"/>
    <w:rsid w:val="00960152"/>
    <w:rsid w:val="00960520"/>
    <w:rsid w:val="00963C08"/>
    <w:rsid w:val="009667AB"/>
    <w:rsid w:val="00974177"/>
    <w:rsid w:val="009752A5"/>
    <w:rsid w:val="00976EAD"/>
    <w:rsid w:val="0098585A"/>
    <w:rsid w:val="00987EA5"/>
    <w:rsid w:val="00991792"/>
    <w:rsid w:val="009A4CED"/>
    <w:rsid w:val="009A6581"/>
    <w:rsid w:val="009A690D"/>
    <w:rsid w:val="009B1D12"/>
    <w:rsid w:val="009B1FD8"/>
    <w:rsid w:val="009B416B"/>
    <w:rsid w:val="009B4508"/>
    <w:rsid w:val="009C4BD5"/>
    <w:rsid w:val="009D4352"/>
    <w:rsid w:val="009D7B77"/>
    <w:rsid w:val="009E0BB0"/>
    <w:rsid w:val="009E1776"/>
    <w:rsid w:val="009E3FBB"/>
    <w:rsid w:val="009F7353"/>
    <w:rsid w:val="00A04F85"/>
    <w:rsid w:val="00A05157"/>
    <w:rsid w:val="00A05FA4"/>
    <w:rsid w:val="00A102E4"/>
    <w:rsid w:val="00A1219C"/>
    <w:rsid w:val="00A12C42"/>
    <w:rsid w:val="00A14DF7"/>
    <w:rsid w:val="00A162B7"/>
    <w:rsid w:val="00A21FD6"/>
    <w:rsid w:val="00A22D57"/>
    <w:rsid w:val="00A3246D"/>
    <w:rsid w:val="00A36FA7"/>
    <w:rsid w:val="00A44D54"/>
    <w:rsid w:val="00A44DDB"/>
    <w:rsid w:val="00A47457"/>
    <w:rsid w:val="00A475B7"/>
    <w:rsid w:val="00A47AF7"/>
    <w:rsid w:val="00A47C3E"/>
    <w:rsid w:val="00A50226"/>
    <w:rsid w:val="00A5158A"/>
    <w:rsid w:val="00A522AE"/>
    <w:rsid w:val="00A53FD0"/>
    <w:rsid w:val="00A60BAD"/>
    <w:rsid w:val="00A75A0F"/>
    <w:rsid w:val="00A77856"/>
    <w:rsid w:val="00A77F87"/>
    <w:rsid w:val="00A80B5B"/>
    <w:rsid w:val="00A8422A"/>
    <w:rsid w:val="00A84E36"/>
    <w:rsid w:val="00A92FAB"/>
    <w:rsid w:val="00A93691"/>
    <w:rsid w:val="00A964D1"/>
    <w:rsid w:val="00AA0ED0"/>
    <w:rsid w:val="00AB0C3A"/>
    <w:rsid w:val="00AB33D9"/>
    <w:rsid w:val="00AC1F8D"/>
    <w:rsid w:val="00AC2B40"/>
    <w:rsid w:val="00AC2BB2"/>
    <w:rsid w:val="00AC2C3C"/>
    <w:rsid w:val="00AC2DDE"/>
    <w:rsid w:val="00AC512D"/>
    <w:rsid w:val="00AD0083"/>
    <w:rsid w:val="00AD3935"/>
    <w:rsid w:val="00AE03B4"/>
    <w:rsid w:val="00AE65EB"/>
    <w:rsid w:val="00AE67A7"/>
    <w:rsid w:val="00AF0351"/>
    <w:rsid w:val="00AF1D94"/>
    <w:rsid w:val="00AF60C5"/>
    <w:rsid w:val="00B009C6"/>
    <w:rsid w:val="00B01548"/>
    <w:rsid w:val="00B066A8"/>
    <w:rsid w:val="00B07B68"/>
    <w:rsid w:val="00B07CEA"/>
    <w:rsid w:val="00B130C5"/>
    <w:rsid w:val="00B13EBD"/>
    <w:rsid w:val="00B17239"/>
    <w:rsid w:val="00B21D29"/>
    <w:rsid w:val="00B25034"/>
    <w:rsid w:val="00B33588"/>
    <w:rsid w:val="00B33863"/>
    <w:rsid w:val="00B37D17"/>
    <w:rsid w:val="00B4175E"/>
    <w:rsid w:val="00B41C85"/>
    <w:rsid w:val="00B452CE"/>
    <w:rsid w:val="00B51428"/>
    <w:rsid w:val="00B54C25"/>
    <w:rsid w:val="00B5518E"/>
    <w:rsid w:val="00B56322"/>
    <w:rsid w:val="00B668C9"/>
    <w:rsid w:val="00B70EBA"/>
    <w:rsid w:val="00B76B91"/>
    <w:rsid w:val="00B77EB1"/>
    <w:rsid w:val="00B80F76"/>
    <w:rsid w:val="00B811C6"/>
    <w:rsid w:val="00B855B0"/>
    <w:rsid w:val="00B92E08"/>
    <w:rsid w:val="00B944A2"/>
    <w:rsid w:val="00BB4E89"/>
    <w:rsid w:val="00BC59A0"/>
    <w:rsid w:val="00BC622A"/>
    <w:rsid w:val="00BD05B1"/>
    <w:rsid w:val="00BE0A78"/>
    <w:rsid w:val="00BE79F0"/>
    <w:rsid w:val="00BE7C0E"/>
    <w:rsid w:val="00BF046D"/>
    <w:rsid w:val="00BF1190"/>
    <w:rsid w:val="00BF3774"/>
    <w:rsid w:val="00BF5D04"/>
    <w:rsid w:val="00BF7521"/>
    <w:rsid w:val="00BF75C0"/>
    <w:rsid w:val="00C009AA"/>
    <w:rsid w:val="00C02080"/>
    <w:rsid w:val="00C06CB6"/>
    <w:rsid w:val="00C1164D"/>
    <w:rsid w:val="00C12704"/>
    <w:rsid w:val="00C1646E"/>
    <w:rsid w:val="00C16861"/>
    <w:rsid w:val="00C346AB"/>
    <w:rsid w:val="00C404A6"/>
    <w:rsid w:val="00C40A36"/>
    <w:rsid w:val="00C44419"/>
    <w:rsid w:val="00C45E7B"/>
    <w:rsid w:val="00C471B1"/>
    <w:rsid w:val="00C525A2"/>
    <w:rsid w:val="00C52B85"/>
    <w:rsid w:val="00C52E24"/>
    <w:rsid w:val="00C6316B"/>
    <w:rsid w:val="00C634A9"/>
    <w:rsid w:val="00C64586"/>
    <w:rsid w:val="00C6519B"/>
    <w:rsid w:val="00C70A36"/>
    <w:rsid w:val="00C70D53"/>
    <w:rsid w:val="00C73D0B"/>
    <w:rsid w:val="00C74F5C"/>
    <w:rsid w:val="00C772FF"/>
    <w:rsid w:val="00C80137"/>
    <w:rsid w:val="00C801AF"/>
    <w:rsid w:val="00C80256"/>
    <w:rsid w:val="00C94CD4"/>
    <w:rsid w:val="00C9747E"/>
    <w:rsid w:val="00CA7D9E"/>
    <w:rsid w:val="00CB3AE7"/>
    <w:rsid w:val="00CB6BC0"/>
    <w:rsid w:val="00CC1B7C"/>
    <w:rsid w:val="00CC727F"/>
    <w:rsid w:val="00CD6538"/>
    <w:rsid w:val="00CF15C3"/>
    <w:rsid w:val="00CF2B6F"/>
    <w:rsid w:val="00CF2F3E"/>
    <w:rsid w:val="00CF58B6"/>
    <w:rsid w:val="00CF5DAD"/>
    <w:rsid w:val="00CF7709"/>
    <w:rsid w:val="00D0062D"/>
    <w:rsid w:val="00D017ED"/>
    <w:rsid w:val="00D040D3"/>
    <w:rsid w:val="00D04C65"/>
    <w:rsid w:val="00D153D8"/>
    <w:rsid w:val="00D201D2"/>
    <w:rsid w:val="00D224FE"/>
    <w:rsid w:val="00D23139"/>
    <w:rsid w:val="00D339FA"/>
    <w:rsid w:val="00D425BB"/>
    <w:rsid w:val="00D453FA"/>
    <w:rsid w:val="00D50F1B"/>
    <w:rsid w:val="00D5306A"/>
    <w:rsid w:val="00D55782"/>
    <w:rsid w:val="00D6493E"/>
    <w:rsid w:val="00D7195D"/>
    <w:rsid w:val="00D7301E"/>
    <w:rsid w:val="00D83AE1"/>
    <w:rsid w:val="00D855D4"/>
    <w:rsid w:val="00D902C9"/>
    <w:rsid w:val="00D93466"/>
    <w:rsid w:val="00D95D96"/>
    <w:rsid w:val="00DA1124"/>
    <w:rsid w:val="00DA64CB"/>
    <w:rsid w:val="00DA7FE5"/>
    <w:rsid w:val="00DB06B8"/>
    <w:rsid w:val="00DB6124"/>
    <w:rsid w:val="00DB750B"/>
    <w:rsid w:val="00DB75B7"/>
    <w:rsid w:val="00DC0A2F"/>
    <w:rsid w:val="00DC1948"/>
    <w:rsid w:val="00DC6E02"/>
    <w:rsid w:val="00DD28CD"/>
    <w:rsid w:val="00DE02AE"/>
    <w:rsid w:val="00DE2965"/>
    <w:rsid w:val="00DE39D1"/>
    <w:rsid w:val="00DF1D7F"/>
    <w:rsid w:val="00DF4BE4"/>
    <w:rsid w:val="00DF589D"/>
    <w:rsid w:val="00E02382"/>
    <w:rsid w:val="00E02FB4"/>
    <w:rsid w:val="00E040C7"/>
    <w:rsid w:val="00E068F6"/>
    <w:rsid w:val="00E13FC7"/>
    <w:rsid w:val="00E20571"/>
    <w:rsid w:val="00E235F7"/>
    <w:rsid w:val="00E23659"/>
    <w:rsid w:val="00E239D4"/>
    <w:rsid w:val="00E23E03"/>
    <w:rsid w:val="00E26130"/>
    <w:rsid w:val="00E26EDD"/>
    <w:rsid w:val="00E33D42"/>
    <w:rsid w:val="00E40B22"/>
    <w:rsid w:val="00E44ED1"/>
    <w:rsid w:val="00E45619"/>
    <w:rsid w:val="00E4588F"/>
    <w:rsid w:val="00E46DA3"/>
    <w:rsid w:val="00E51BB1"/>
    <w:rsid w:val="00E55CB0"/>
    <w:rsid w:val="00E624A5"/>
    <w:rsid w:val="00E64BA4"/>
    <w:rsid w:val="00E7344E"/>
    <w:rsid w:val="00E82665"/>
    <w:rsid w:val="00EB0798"/>
    <w:rsid w:val="00EB3302"/>
    <w:rsid w:val="00EB40AD"/>
    <w:rsid w:val="00EB586E"/>
    <w:rsid w:val="00EB5FC8"/>
    <w:rsid w:val="00EC463D"/>
    <w:rsid w:val="00EC7A85"/>
    <w:rsid w:val="00ED2922"/>
    <w:rsid w:val="00ED3CAD"/>
    <w:rsid w:val="00ED4EC7"/>
    <w:rsid w:val="00ED5A41"/>
    <w:rsid w:val="00EE165C"/>
    <w:rsid w:val="00EE1DE8"/>
    <w:rsid w:val="00EE27C2"/>
    <w:rsid w:val="00EF4BAD"/>
    <w:rsid w:val="00EF59DC"/>
    <w:rsid w:val="00F033EC"/>
    <w:rsid w:val="00F04F68"/>
    <w:rsid w:val="00F07442"/>
    <w:rsid w:val="00F07AAE"/>
    <w:rsid w:val="00F1133E"/>
    <w:rsid w:val="00F12670"/>
    <w:rsid w:val="00F14B27"/>
    <w:rsid w:val="00F155BB"/>
    <w:rsid w:val="00F21409"/>
    <w:rsid w:val="00F259FC"/>
    <w:rsid w:val="00F3148D"/>
    <w:rsid w:val="00F325C5"/>
    <w:rsid w:val="00F32FE0"/>
    <w:rsid w:val="00F35298"/>
    <w:rsid w:val="00F457CF"/>
    <w:rsid w:val="00F47333"/>
    <w:rsid w:val="00F47E37"/>
    <w:rsid w:val="00F53C07"/>
    <w:rsid w:val="00F54B65"/>
    <w:rsid w:val="00F63DBF"/>
    <w:rsid w:val="00F640B6"/>
    <w:rsid w:val="00F66DF2"/>
    <w:rsid w:val="00F723C1"/>
    <w:rsid w:val="00F73180"/>
    <w:rsid w:val="00F80E40"/>
    <w:rsid w:val="00F848D9"/>
    <w:rsid w:val="00F91B4E"/>
    <w:rsid w:val="00F92033"/>
    <w:rsid w:val="00FA5069"/>
    <w:rsid w:val="00FA5B82"/>
    <w:rsid w:val="00FA639E"/>
    <w:rsid w:val="00FC1FCA"/>
    <w:rsid w:val="00FC25E4"/>
    <w:rsid w:val="00FC4EF7"/>
    <w:rsid w:val="00FD0824"/>
    <w:rsid w:val="00FD119B"/>
    <w:rsid w:val="00FD1EDC"/>
    <w:rsid w:val="00FD3A69"/>
    <w:rsid w:val="00FE1DEE"/>
    <w:rsid w:val="00FF0F84"/>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959C742"/>
  <w15:docId w15:val="{F87848AD-2085-4562-8FE4-013BEB45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1C62AD"/>
    <w:pPr>
      <w:numPr>
        <w:numId w:val="34"/>
      </w:numPr>
      <w:tabs>
        <w:tab w:val="clear" w:pos="510"/>
        <w:tab w:val="left" w:pos="397"/>
        <w:tab w:val="num" w:pos="511"/>
      </w:tabs>
      <w:spacing w:before="0" w:after="180" w:line="252" w:lineRule="auto"/>
      <w:ind w:left="369"/>
    </w:pPr>
    <w:rPr>
      <w:rFonts w:eastAsia="Times New Roman"/>
      <w:snapToGrid w:val="0"/>
      <w:kern w:val="16"/>
      <w:szCs w:val="24"/>
    </w:rPr>
  </w:style>
  <w:style w:type="paragraph" w:customStyle="1" w:styleId="Default">
    <w:name w:val="Default"/>
    <w:rsid w:val="004C4CB7"/>
    <w:pPr>
      <w:autoSpaceDE w:val="0"/>
      <w:autoSpaceDN w:val="0"/>
      <w:adjustRightInd w:val="0"/>
      <w:spacing w:after="0" w:line="240" w:lineRule="auto"/>
    </w:pPr>
    <w:rPr>
      <w:rFonts w:ascii="Cambria" w:hAnsi="Cambria" w:cs="Cambria"/>
      <w:color w:val="000000"/>
      <w:sz w:val="24"/>
      <w:szCs w:val="24"/>
      <w:lang w:val="en-GB"/>
    </w:rPr>
  </w:style>
  <w:style w:type="paragraph" w:customStyle="1" w:styleId="Bulletlist">
    <w:name w:val="Bullet list"/>
    <w:basedOn w:val="Normal"/>
    <w:link w:val="BulletlistChar"/>
    <w:qFormat/>
    <w:rsid w:val="003E294C"/>
    <w:pPr>
      <w:numPr>
        <w:numId w:val="37"/>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3E294C"/>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3E294C"/>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cid:C5041C40-FC6D-43B2-AB18-B4D1E19D7EE5" TargetMode="External"/><Relationship Id="rId26" Type="http://schemas.openxmlformats.org/officeDocument/2006/relationships/image" Target="media/image9.png"/><Relationship Id="rId39" Type="http://schemas.openxmlformats.org/officeDocument/2006/relationships/header" Target="header7.xml"/><Relationship Id="rId51"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cid:AD1ECA58-E98A-4CCD-B20B-32C65E5E7262" TargetMode="External"/><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cid:7C1D486D-6527-423F-B5B1-41AAC7E1F4F4" TargetMode="External"/><Relationship Id="rId20" Type="http://schemas.openxmlformats.org/officeDocument/2006/relationships/image" Target="cid:0293457E-DDCE-4E74-B9FE-80DA3B7095F6" TargetMode="External"/><Relationship Id="rId29" Type="http://schemas.openxmlformats.org/officeDocument/2006/relationships/image" Target="media/image11.emf"/><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hyperlink" Target="https://www.tga.gov.au"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cid:FE794DC2-B84D-4866-9E94-F4665A6D21A7" TargetMode="External"/><Relationship Id="rId36" Type="http://schemas.openxmlformats.org/officeDocument/2006/relationships/hyperlink" Target="mailto:info@tga.gov.au"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image" Target="cid:6E1338A7-BDC5-4EC2-A287-17DAAB394630" TargetMode="External"/><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footer" Target="foot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060\D19-5975236%20%20AusPAR%20-%20template%20-%20streamlined(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B1AC2-B4ED-497A-8E7F-DE8A26BF0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streamlined(2).DOTX</Template>
  <TotalTime>60</TotalTime>
  <Pages>32</Pages>
  <Words>8320</Words>
  <Characters>47424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55633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Afamelanotide</dc:title>
  <dc:subject>prescription medicine regulation</dc:subject>
  <dc:creator>Therapeutic Goods Administration</dc:creator>
  <cp:keywords>AusPARs</cp:keywords>
  <cp:lastPrinted>2019-08-14T04:30:00Z</cp:lastPrinted>
  <dcterms:created xsi:type="dcterms:W3CDTF">2021-03-11T04:05:00Z</dcterms:created>
  <dcterms:modified xsi:type="dcterms:W3CDTF">2021-03-18T22:55:00Z</dcterms:modified>
</cp:coreProperties>
</file>