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3D255" w14:textId="4370BF7B" w:rsidR="0062320D" w:rsidRPr="005A28B7" w:rsidRDefault="0062320D" w:rsidP="0062320D">
      <w:pPr>
        <w:pStyle w:val="Heading1"/>
        <w:numPr>
          <w:ilvl w:val="0"/>
          <w:numId w:val="0"/>
        </w:numPr>
        <w:spacing w:before="0"/>
        <w:rPr>
          <w:rFonts w:eastAsia="SimSun" w:cstheme="minorHAnsi"/>
          <w:b w:val="0"/>
          <w:bCs w:val="0"/>
          <w:caps w:val="0"/>
          <w:sz w:val="22"/>
          <w:szCs w:val="22"/>
        </w:rPr>
      </w:pPr>
      <w:r w:rsidRPr="005A28B7">
        <w:rPr>
          <w:noProof/>
          <w:lang w:val="en-AU" w:eastAsia="en-AU"/>
        </w:rPr>
        <w:drawing>
          <wp:inline distT="0" distB="0" distL="0" distR="0" wp14:anchorId="09F48660" wp14:editId="26AD330F">
            <wp:extent cx="257175" cy="371475"/>
            <wp:effectExtent l="0" t="0" r="9525" b="952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r w:rsidRPr="005A28B7">
        <w:rPr>
          <w:rFonts w:eastAsia="SimSun" w:cstheme="minorHAnsi"/>
          <w:b w:val="0"/>
          <w:bCs w:val="0"/>
          <w:caps w:val="0"/>
          <w:sz w:val="22"/>
          <w:szCs w:val="22"/>
        </w:rPr>
        <w:t xml:space="preserve">This medicinal product is subject to additional monitoring in Australia. This will allow quick identification of new safety information. Healthcare professionals </w:t>
      </w:r>
      <w:proofErr w:type="gramStart"/>
      <w:r w:rsidRPr="005A28B7">
        <w:rPr>
          <w:rFonts w:eastAsia="SimSun" w:cstheme="minorHAnsi"/>
          <w:b w:val="0"/>
          <w:bCs w:val="0"/>
          <w:caps w:val="0"/>
          <w:sz w:val="22"/>
          <w:szCs w:val="22"/>
        </w:rPr>
        <w:t>are asked</w:t>
      </w:r>
      <w:proofErr w:type="gramEnd"/>
      <w:r w:rsidRPr="005A28B7">
        <w:rPr>
          <w:rFonts w:eastAsia="SimSun" w:cstheme="minorHAnsi"/>
          <w:b w:val="0"/>
          <w:bCs w:val="0"/>
          <w:caps w:val="0"/>
          <w:sz w:val="22"/>
          <w:szCs w:val="22"/>
        </w:rPr>
        <w:t xml:space="preserve"> to report any suspected adverse events at </w:t>
      </w:r>
      <w:hyperlink r:id="rId10" w:history="1">
        <w:r w:rsidRPr="005A28B7">
          <w:rPr>
            <w:rStyle w:val="Hyperlink"/>
            <w:rFonts w:eastAsia="SimSun" w:cstheme="minorHAnsi"/>
            <w:b w:val="0"/>
            <w:bCs w:val="0"/>
            <w:caps w:val="0"/>
            <w:sz w:val="22"/>
            <w:szCs w:val="22"/>
          </w:rPr>
          <w:t>www.tga.gov.au/reporting-problems</w:t>
        </w:r>
      </w:hyperlink>
      <w:r w:rsidR="008425C9">
        <w:rPr>
          <w:rFonts w:eastAsia="SimSun" w:cstheme="minorHAnsi"/>
          <w:b w:val="0"/>
          <w:bCs w:val="0"/>
          <w:caps w:val="0"/>
          <w:sz w:val="22"/>
          <w:szCs w:val="22"/>
        </w:rPr>
        <w:t>.</w:t>
      </w:r>
    </w:p>
    <w:p w14:paraId="53488A32" w14:textId="0570A73D" w:rsidR="0062320D" w:rsidRPr="005A28B7" w:rsidRDefault="0062320D" w:rsidP="0062320D">
      <w:pPr>
        <w:pStyle w:val="Heading1"/>
        <w:numPr>
          <w:ilvl w:val="0"/>
          <w:numId w:val="0"/>
        </w:numPr>
        <w:spacing w:before="0"/>
        <w:rPr>
          <w:rFonts w:eastAsia="SimSun" w:cstheme="minorHAnsi"/>
          <w:b w:val="0"/>
          <w:bCs w:val="0"/>
          <w:caps w:val="0"/>
          <w:sz w:val="22"/>
          <w:szCs w:val="22"/>
        </w:rPr>
      </w:pPr>
      <w:r w:rsidRPr="005A28B7">
        <w:rPr>
          <w:rFonts w:eastAsia="SimSun" w:cstheme="minorHAnsi"/>
          <w:b w:val="0"/>
          <w:bCs w:val="0"/>
          <w:caps w:val="0"/>
          <w:sz w:val="22"/>
          <w:szCs w:val="22"/>
        </w:rPr>
        <w:t>For further information on the scheme, see the Information for sponsors on the TGA website.</w:t>
      </w:r>
    </w:p>
    <w:p w14:paraId="4A54B179" w14:textId="433F4394" w:rsidR="004032BD" w:rsidRPr="005A28B7" w:rsidRDefault="004032BD" w:rsidP="00D000AD">
      <w:pPr>
        <w:pStyle w:val="Heading1"/>
        <w:numPr>
          <w:ilvl w:val="0"/>
          <w:numId w:val="0"/>
        </w:numPr>
        <w:spacing w:after="240"/>
        <w:jc w:val="center"/>
        <w:rPr>
          <w:rFonts w:eastAsia="SimSun" w:cstheme="minorHAnsi"/>
        </w:rPr>
      </w:pPr>
      <w:r w:rsidRPr="005A28B7">
        <w:rPr>
          <w:rFonts w:eastAsia="SimSun" w:cstheme="minorHAnsi"/>
        </w:rPr>
        <w:t>Australian P</w:t>
      </w:r>
      <w:r w:rsidR="00677840" w:rsidRPr="005A28B7">
        <w:rPr>
          <w:rFonts w:eastAsia="SimSun" w:cstheme="minorHAnsi"/>
        </w:rPr>
        <w:t xml:space="preserve">roduct </w:t>
      </w:r>
      <w:r w:rsidRPr="005A28B7">
        <w:rPr>
          <w:rFonts w:eastAsia="SimSun" w:cstheme="minorHAnsi"/>
        </w:rPr>
        <w:t>I</w:t>
      </w:r>
      <w:r w:rsidR="00677840" w:rsidRPr="005A28B7">
        <w:rPr>
          <w:rFonts w:eastAsia="SimSun" w:cstheme="minorHAnsi"/>
        </w:rPr>
        <w:t>nformation</w:t>
      </w:r>
      <w:r w:rsidR="00D000AD" w:rsidRPr="005A28B7">
        <w:rPr>
          <w:rFonts w:eastAsia="SimSun" w:cstheme="minorHAnsi"/>
        </w:rPr>
        <w:br/>
        <w:t>SCENESSE</w:t>
      </w:r>
      <w:r w:rsidR="000F7674" w:rsidRPr="005A28B7">
        <w:rPr>
          <w:rFonts w:eastAsia="SimSun" w:cstheme="minorHAnsi"/>
          <w:vertAlign w:val="superscript"/>
        </w:rPr>
        <w:t>®</w:t>
      </w:r>
      <w:r w:rsidR="007E693C" w:rsidRPr="005A28B7">
        <w:rPr>
          <w:rFonts w:eastAsia="SimSun" w:cstheme="minorHAnsi"/>
        </w:rPr>
        <w:t xml:space="preserve"> </w:t>
      </w:r>
      <w:proofErr w:type="spellStart"/>
      <w:r w:rsidR="00D000AD" w:rsidRPr="005A28B7">
        <w:rPr>
          <w:rFonts w:eastAsia="SimSun" w:cstheme="minorHAnsi"/>
          <w:caps w:val="0"/>
        </w:rPr>
        <w:t>afamelanotide</w:t>
      </w:r>
      <w:proofErr w:type="spellEnd"/>
      <w:r w:rsidR="00497C85" w:rsidRPr="005A28B7">
        <w:rPr>
          <w:rFonts w:eastAsia="SimSun" w:cstheme="minorHAnsi"/>
        </w:rPr>
        <w:t xml:space="preserve"> </w:t>
      </w:r>
      <w:r w:rsidR="00D000AD" w:rsidRPr="005A28B7">
        <w:rPr>
          <w:rFonts w:eastAsia="SimSun" w:cstheme="minorHAnsi"/>
          <w:caps w:val="0"/>
        </w:rPr>
        <w:t>Implant for subcutaneous use</w:t>
      </w:r>
    </w:p>
    <w:p w14:paraId="2E29419B" w14:textId="77777777" w:rsidR="001A3992" w:rsidRPr="005A28B7" w:rsidRDefault="001A3992" w:rsidP="00DF5E99">
      <w:pPr>
        <w:pStyle w:val="Heading1"/>
        <w:spacing w:before="0" w:after="120"/>
        <w:ind w:left="431" w:hanging="431"/>
        <w:rPr>
          <w:rFonts w:cstheme="minorHAnsi"/>
        </w:rPr>
      </w:pPr>
      <w:r w:rsidRPr="005A28B7">
        <w:rPr>
          <w:rFonts w:cstheme="minorHAnsi"/>
        </w:rPr>
        <w:t>Name of the medicine</w:t>
      </w:r>
    </w:p>
    <w:p w14:paraId="7FC69831" w14:textId="51C48137" w:rsidR="00D000AD" w:rsidRPr="005A28B7" w:rsidRDefault="0062789C" w:rsidP="00D000AD">
      <w:pPr>
        <w:rPr>
          <w:rFonts w:asciiTheme="majorHAnsi" w:hAnsiTheme="majorHAnsi"/>
        </w:rPr>
      </w:pPr>
      <w:r>
        <w:rPr>
          <w:rFonts w:asciiTheme="majorHAnsi" w:hAnsiTheme="majorHAnsi"/>
        </w:rPr>
        <w:t>A</w:t>
      </w:r>
      <w:r w:rsidR="00D000AD" w:rsidRPr="005A28B7">
        <w:rPr>
          <w:rFonts w:asciiTheme="majorHAnsi" w:hAnsiTheme="majorHAnsi"/>
        </w:rPr>
        <w:t>famelanotide</w:t>
      </w:r>
    </w:p>
    <w:p w14:paraId="00C99B8C" w14:textId="77777777" w:rsidR="001A3992" w:rsidRPr="005A28B7" w:rsidRDefault="001A3992" w:rsidP="001A3992">
      <w:pPr>
        <w:pStyle w:val="Heading1"/>
        <w:spacing w:before="0" w:after="120"/>
        <w:rPr>
          <w:rFonts w:cstheme="minorHAnsi"/>
        </w:rPr>
      </w:pPr>
      <w:r w:rsidRPr="005A28B7">
        <w:rPr>
          <w:rFonts w:cstheme="minorHAnsi"/>
        </w:rPr>
        <w:t>Qualitative and quantitative composition</w:t>
      </w:r>
    </w:p>
    <w:p w14:paraId="70C0B538" w14:textId="4FD1D24C" w:rsidR="004A01BD" w:rsidRPr="005A28B7" w:rsidRDefault="004A01BD" w:rsidP="00DC5450">
      <w:pPr>
        <w:rPr>
          <w:rFonts w:asciiTheme="majorHAnsi" w:hAnsiTheme="majorHAnsi"/>
        </w:rPr>
      </w:pPr>
      <w:r w:rsidRPr="005A28B7">
        <w:rPr>
          <w:rFonts w:asciiTheme="majorHAnsi" w:hAnsiTheme="majorHAnsi"/>
        </w:rPr>
        <w:t>SCENESSE</w:t>
      </w:r>
      <w:r w:rsidRPr="005A28B7">
        <w:rPr>
          <w:rFonts w:asciiTheme="majorHAnsi" w:hAnsiTheme="majorHAnsi"/>
          <w:vertAlign w:val="superscript"/>
        </w:rPr>
        <w:t>®</w:t>
      </w:r>
      <w:r w:rsidRPr="005A28B7">
        <w:rPr>
          <w:rFonts w:asciiTheme="majorHAnsi" w:hAnsiTheme="majorHAnsi"/>
        </w:rPr>
        <w:t xml:space="preserve"> (afamelanotide) implant is a controlled-release dosage form for subcutaneous administration. The active ingredient </w:t>
      </w:r>
      <w:r w:rsidR="00284146" w:rsidRPr="005A28B7">
        <w:rPr>
          <w:rFonts w:asciiTheme="majorHAnsi" w:hAnsiTheme="majorHAnsi"/>
        </w:rPr>
        <w:t xml:space="preserve">is </w:t>
      </w:r>
      <w:r w:rsidRPr="005A28B7">
        <w:rPr>
          <w:rFonts w:asciiTheme="majorHAnsi" w:hAnsiTheme="majorHAnsi"/>
        </w:rPr>
        <w:t>afamelanotide acetate</w:t>
      </w:r>
      <w:r w:rsidR="00284146" w:rsidRPr="005A28B7">
        <w:rPr>
          <w:rFonts w:asciiTheme="majorHAnsi" w:hAnsiTheme="majorHAnsi"/>
        </w:rPr>
        <w:t>.</w:t>
      </w:r>
      <w:r w:rsidRPr="005A28B7">
        <w:rPr>
          <w:rFonts w:asciiTheme="majorHAnsi" w:hAnsiTheme="majorHAnsi"/>
        </w:rPr>
        <w:t xml:space="preserve"> Each SCENESSE</w:t>
      </w:r>
      <w:r w:rsidRPr="005A28B7">
        <w:rPr>
          <w:rFonts w:asciiTheme="majorHAnsi" w:hAnsiTheme="majorHAnsi"/>
          <w:vertAlign w:val="superscript"/>
        </w:rPr>
        <w:t>®</w:t>
      </w:r>
      <w:r w:rsidRPr="005A28B7">
        <w:rPr>
          <w:rFonts w:asciiTheme="majorHAnsi" w:hAnsiTheme="majorHAnsi"/>
        </w:rPr>
        <w:t xml:space="preserve"> implant contains 16 mg of afamelanotide (equivalent to 18 mg of afamelanotide acetate), and 15.3-19.5</w:t>
      </w:r>
      <w:r w:rsidR="00C677FB" w:rsidRPr="005A28B7">
        <w:rPr>
          <w:rFonts w:asciiTheme="majorHAnsi" w:hAnsiTheme="majorHAnsi"/>
        </w:rPr>
        <w:t> </w:t>
      </w:r>
      <w:r w:rsidRPr="005A28B7">
        <w:rPr>
          <w:rFonts w:asciiTheme="majorHAnsi" w:hAnsiTheme="majorHAnsi"/>
        </w:rPr>
        <w:t xml:space="preserve">mg of </w:t>
      </w:r>
      <w:proofErr w:type="spellStart"/>
      <w:r w:rsidRPr="005A28B7">
        <w:rPr>
          <w:rFonts w:asciiTheme="majorHAnsi" w:hAnsiTheme="majorHAnsi"/>
        </w:rPr>
        <w:t>poly</w:t>
      </w:r>
      <w:r w:rsidR="00634B8E" w:rsidRPr="005A28B7">
        <w:rPr>
          <w:rFonts w:asciiTheme="majorHAnsi" w:hAnsiTheme="majorHAnsi"/>
        </w:rPr>
        <w:t>glactin</w:t>
      </w:r>
      <w:proofErr w:type="spellEnd"/>
      <w:r w:rsidR="008425C9">
        <w:rPr>
          <w:rFonts w:asciiTheme="majorHAnsi" w:hAnsiTheme="majorHAnsi"/>
        </w:rPr>
        <w:t>.</w:t>
      </w:r>
    </w:p>
    <w:p w14:paraId="2F9A3DE6" w14:textId="7E6BF9D2" w:rsidR="00634B8E" w:rsidRPr="005A28B7" w:rsidRDefault="00634B8E" w:rsidP="00634B8E">
      <w:pPr>
        <w:rPr>
          <w:rFonts w:asciiTheme="majorHAnsi" w:hAnsiTheme="majorHAnsi"/>
        </w:rPr>
      </w:pPr>
      <w:r w:rsidRPr="005A28B7">
        <w:rPr>
          <w:rFonts w:asciiTheme="majorHAnsi" w:hAnsiTheme="majorHAnsi"/>
        </w:rPr>
        <w:t>For the full list of excipients, see Section 6.1 List of excipients</w:t>
      </w:r>
    </w:p>
    <w:p w14:paraId="3B9F623D" w14:textId="77777777" w:rsidR="001A3992" w:rsidRPr="005A28B7" w:rsidRDefault="001A3992" w:rsidP="001A3992">
      <w:pPr>
        <w:pStyle w:val="Heading1"/>
        <w:spacing w:before="0" w:after="120"/>
        <w:rPr>
          <w:rFonts w:cstheme="minorHAnsi"/>
        </w:rPr>
      </w:pPr>
      <w:r w:rsidRPr="005A28B7">
        <w:rPr>
          <w:rFonts w:cstheme="minorHAnsi"/>
        </w:rPr>
        <w:t>Pharmaceutical form</w:t>
      </w:r>
    </w:p>
    <w:p w14:paraId="0DA18916" w14:textId="4B7941B7" w:rsidR="00634B8E" w:rsidRPr="005A28B7" w:rsidRDefault="00634B8E" w:rsidP="00634B8E">
      <w:pPr>
        <w:rPr>
          <w:rFonts w:asciiTheme="majorHAnsi" w:hAnsiTheme="majorHAnsi"/>
        </w:rPr>
      </w:pPr>
      <w:r w:rsidRPr="005A28B7">
        <w:rPr>
          <w:rFonts w:asciiTheme="majorHAnsi" w:hAnsiTheme="majorHAnsi"/>
        </w:rPr>
        <w:t>SCENESSE</w:t>
      </w:r>
      <w:r w:rsidRPr="005A28B7">
        <w:rPr>
          <w:rFonts w:asciiTheme="majorHAnsi" w:hAnsiTheme="majorHAnsi"/>
          <w:vertAlign w:val="superscript"/>
        </w:rPr>
        <w:t>®</w:t>
      </w:r>
      <w:r w:rsidRPr="005A28B7">
        <w:rPr>
          <w:rFonts w:asciiTheme="majorHAnsi" w:hAnsiTheme="majorHAnsi"/>
        </w:rPr>
        <w:t xml:space="preserve"> implant is a single,</w:t>
      </w:r>
      <w:r w:rsidR="0062789C">
        <w:rPr>
          <w:rFonts w:asciiTheme="majorHAnsi" w:hAnsiTheme="majorHAnsi"/>
        </w:rPr>
        <w:t xml:space="preserve"> rod-shaped,</w:t>
      </w:r>
      <w:r w:rsidRPr="005A28B7">
        <w:rPr>
          <w:rFonts w:asciiTheme="majorHAnsi" w:hAnsiTheme="majorHAnsi"/>
        </w:rPr>
        <w:t xml:space="preserve"> solid white to off-white, bioresorbable and sterile implant approximately 1.7 cm in length and 1.45 mm in diameter. The implant core </w:t>
      </w:r>
      <w:r w:rsidR="00DC5450" w:rsidRPr="005A28B7">
        <w:rPr>
          <w:rFonts w:asciiTheme="majorHAnsi" w:hAnsiTheme="majorHAnsi"/>
        </w:rPr>
        <w:t xml:space="preserve">is comprised </w:t>
      </w:r>
      <w:r w:rsidRPr="005A28B7">
        <w:rPr>
          <w:rFonts w:asciiTheme="majorHAnsi" w:hAnsiTheme="majorHAnsi"/>
        </w:rPr>
        <w:t xml:space="preserve">of the drug substance admixed with a </w:t>
      </w:r>
      <w:proofErr w:type="spellStart"/>
      <w:r w:rsidRPr="005A28B7">
        <w:rPr>
          <w:rFonts w:asciiTheme="majorHAnsi" w:hAnsiTheme="majorHAnsi"/>
        </w:rPr>
        <w:t>polyg</w:t>
      </w:r>
      <w:r w:rsidR="008425C9">
        <w:rPr>
          <w:rFonts w:asciiTheme="majorHAnsi" w:hAnsiTheme="majorHAnsi"/>
        </w:rPr>
        <w:t>lactin</w:t>
      </w:r>
      <w:proofErr w:type="spellEnd"/>
      <w:r w:rsidR="008425C9">
        <w:rPr>
          <w:rFonts w:asciiTheme="majorHAnsi" w:hAnsiTheme="majorHAnsi"/>
        </w:rPr>
        <w:t xml:space="preserve"> </w:t>
      </w:r>
      <w:proofErr w:type="spellStart"/>
      <w:r w:rsidR="008425C9">
        <w:rPr>
          <w:rFonts w:asciiTheme="majorHAnsi" w:hAnsiTheme="majorHAnsi"/>
        </w:rPr>
        <w:t>bioresorbable</w:t>
      </w:r>
      <w:proofErr w:type="spellEnd"/>
      <w:r w:rsidR="008425C9">
        <w:rPr>
          <w:rFonts w:asciiTheme="majorHAnsi" w:hAnsiTheme="majorHAnsi"/>
        </w:rPr>
        <w:t xml:space="preserve"> copolymer.</w:t>
      </w:r>
    </w:p>
    <w:p w14:paraId="574ACDC5" w14:textId="77777777" w:rsidR="001A3992" w:rsidRPr="005A28B7" w:rsidRDefault="001A3992" w:rsidP="001A3992">
      <w:pPr>
        <w:pStyle w:val="Heading1"/>
        <w:spacing w:before="0" w:after="120"/>
        <w:rPr>
          <w:rFonts w:cstheme="minorHAnsi"/>
        </w:rPr>
      </w:pPr>
      <w:r w:rsidRPr="005A28B7">
        <w:rPr>
          <w:rFonts w:cstheme="minorHAnsi"/>
        </w:rPr>
        <w:t>Clinical particulars</w:t>
      </w:r>
    </w:p>
    <w:p w14:paraId="6BC4E31E" w14:textId="51333C9C" w:rsidR="001A3992" w:rsidRPr="005A28B7" w:rsidRDefault="008425C9" w:rsidP="001A3992">
      <w:pPr>
        <w:pStyle w:val="Heading2"/>
        <w:spacing w:before="0" w:after="120"/>
        <w:rPr>
          <w:rFonts w:cstheme="minorHAnsi"/>
        </w:rPr>
      </w:pPr>
      <w:r>
        <w:rPr>
          <w:rFonts w:cstheme="minorHAnsi"/>
        </w:rPr>
        <w:t>Therapeutic indications</w:t>
      </w:r>
    </w:p>
    <w:p w14:paraId="6DDD52C5" w14:textId="38A07535" w:rsidR="0062624A" w:rsidRPr="005A28B7" w:rsidRDefault="0062624A" w:rsidP="0062624A">
      <w:pPr>
        <w:rPr>
          <w:rFonts w:ascii="Cambria" w:hAnsi="Cambria"/>
          <w:noProof/>
        </w:rPr>
      </w:pPr>
      <w:r w:rsidRPr="005A28B7">
        <w:rPr>
          <w:rFonts w:ascii="Cambria" w:hAnsi="Cambria"/>
          <w:noProof/>
        </w:rPr>
        <w:t>SCENESSE</w:t>
      </w:r>
      <w:r w:rsidRPr="005A28B7">
        <w:rPr>
          <w:rFonts w:ascii="Cambria" w:hAnsi="Cambria"/>
          <w:noProof/>
          <w:vertAlign w:val="superscript"/>
        </w:rPr>
        <w:t>®</w:t>
      </w:r>
      <w:r w:rsidRPr="005A28B7">
        <w:rPr>
          <w:rFonts w:ascii="Cambria" w:hAnsi="Cambria"/>
          <w:noProof/>
        </w:rPr>
        <w:t xml:space="preserve"> is indicated for prevention of phototoxicity in adult patients with erythropoietic protoporphyria (EPP).</w:t>
      </w:r>
    </w:p>
    <w:p w14:paraId="723C6B21" w14:textId="3A961CAC" w:rsidR="001A3992" w:rsidRPr="005A28B7" w:rsidRDefault="001A3992" w:rsidP="001A3992">
      <w:pPr>
        <w:pStyle w:val="Heading2"/>
        <w:spacing w:before="0" w:after="120"/>
        <w:rPr>
          <w:rFonts w:cstheme="minorHAnsi"/>
        </w:rPr>
      </w:pPr>
      <w:r w:rsidRPr="005A28B7">
        <w:rPr>
          <w:rFonts w:cstheme="minorHAnsi"/>
        </w:rPr>
        <w:t>Do</w:t>
      </w:r>
      <w:r w:rsidR="008425C9">
        <w:rPr>
          <w:rFonts w:cstheme="minorHAnsi"/>
        </w:rPr>
        <w:t>se and method of administration</w:t>
      </w:r>
    </w:p>
    <w:p w14:paraId="3194281C" w14:textId="272D2B55" w:rsidR="00813A80" w:rsidRDefault="00813A80" w:rsidP="00C677FB">
      <w:pPr>
        <w:suppressLineNumbers/>
        <w:autoSpaceDE w:val="0"/>
        <w:autoSpaceDN w:val="0"/>
        <w:adjustRightInd w:val="0"/>
        <w:rPr>
          <w:rFonts w:ascii="Cambria" w:hAnsi="Cambria"/>
        </w:rPr>
      </w:pPr>
      <w:proofErr w:type="gramStart"/>
      <w:r>
        <w:rPr>
          <w:rFonts w:ascii="Cambria" w:hAnsi="Cambria"/>
        </w:rPr>
        <w:t>SCENESSE</w:t>
      </w:r>
      <w:r w:rsidRPr="00813A80">
        <w:rPr>
          <w:rFonts w:ascii="Cambria" w:hAnsi="Cambria"/>
        </w:rPr>
        <w:t xml:space="preserve"> must only be initiated by a specialist physician having expertise in the management</w:t>
      </w:r>
      <w:r>
        <w:rPr>
          <w:rFonts w:ascii="Cambria" w:hAnsi="Cambria"/>
        </w:rPr>
        <w:t xml:space="preserve"> </w:t>
      </w:r>
      <w:r w:rsidRPr="00813A80">
        <w:rPr>
          <w:rFonts w:ascii="Cambria" w:hAnsi="Cambria"/>
        </w:rPr>
        <w:t>of Erythropo</w:t>
      </w:r>
      <w:r w:rsidR="00C150FA">
        <w:rPr>
          <w:rFonts w:ascii="Cambria" w:hAnsi="Cambria"/>
        </w:rPr>
        <w:t>i</w:t>
      </w:r>
      <w:r w:rsidRPr="00813A80">
        <w:rPr>
          <w:rFonts w:ascii="Cambria" w:hAnsi="Cambria"/>
        </w:rPr>
        <w:t>etic Protoporphyria (EPP)</w:t>
      </w:r>
      <w:proofErr w:type="gramEnd"/>
      <w:r w:rsidRPr="00813A80">
        <w:rPr>
          <w:rFonts w:ascii="Cambria" w:hAnsi="Cambria"/>
        </w:rPr>
        <w:t>.</w:t>
      </w:r>
    </w:p>
    <w:p w14:paraId="50E3524C" w14:textId="23169517" w:rsidR="003C7A41" w:rsidRPr="005A28B7" w:rsidRDefault="004A01BD" w:rsidP="00C677FB">
      <w:pPr>
        <w:suppressLineNumbers/>
        <w:autoSpaceDE w:val="0"/>
        <w:autoSpaceDN w:val="0"/>
        <w:adjustRightInd w:val="0"/>
        <w:rPr>
          <w:rFonts w:ascii="Cambria" w:hAnsi="Cambria"/>
        </w:rPr>
      </w:pPr>
      <w:r w:rsidRPr="005A28B7">
        <w:rPr>
          <w:rFonts w:ascii="Cambria" w:hAnsi="Cambria"/>
        </w:rPr>
        <w:t xml:space="preserve">SCENESSE </w:t>
      </w:r>
      <w:proofErr w:type="gramStart"/>
      <w:r w:rsidRPr="005A28B7">
        <w:rPr>
          <w:rFonts w:ascii="Cambria" w:hAnsi="Cambria"/>
        </w:rPr>
        <w:t>should be administered</w:t>
      </w:r>
      <w:proofErr w:type="gramEnd"/>
      <w:r w:rsidRPr="005A28B7">
        <w:rPr>
          <w:rFonts w:ascii="Cambria" w:hAnsi="Cambria"/>
        </w:rPr>
        <w:t xml:space="preserve"> by a healthcare professional.  All healthcare professionals should be proficient in the subcutaneous implantation procedure and have completed the training program provided by CLINUVEL prior to administration of the SCENESSE</w:t>
      </w:r>
      <w:r w:rsidR="00414E9A" w:rsidRPr="005A28B7">
        <w:rPr>
          <w:rFonts w:ascii="Cambria" w:hAnsi="Cambria"/>
          <w:noProof/>
          <w:vertAlign w:val="superscript"/>
        </w:rPr>
        <w:t>®</w:t>
      </w:r>
      <w:r w:rsidR="008425C9">
        <w:rPr>
          <w:rFonts w:ascii="Cambria" w:hAnsi="Cambria"/>
        </w:rPr>
        <w:t xml:space="preserve"> implant.</w:t>
      </w:r>
    </w:p>
    <w:p w14:paraId="08E76986" w14:textId="647CB62A" w:rsidR="004A01BD" w:rsidRPr="005A28B7" w:rsidRDefault="004A01BD" w:rsidP="00E20F1A">
      <w:pPr>
        <w:suppressLineNumbers/>
        <w:autoSpaceDE w:val="0"/>
        <w:autoSpaceDN w:val="0"/>
        <w:adjustRightInd w:val="0"/>
        <w:rPr>
          <w:rFonts w:ascii="Cambria" w:hAnsi="Cambria"/>
        </w:rPr>
      </w:pPr>
      <w:r w:rsidRPr="005A28B7">
        <w:rPr>
          <w:rFonts w:ascii="Cambria" w:hAnsi="Cambria"/>
        </w:rPr>
        <w:t>A single SCENESSE</w:t>
      </w:r>
      <w:r w:rsidR="00414E9A" w:rsidRPr="005A28B7">
        <w:rPr>
          <w:rFonts w:ascii="Cambria" w:hAnsi="Cambria"/>
          <w:noProof/>
          <w:vertAlign w:val="superscript"/>
        </w:rPr>
        <w:t>®</w:t>
      </w:r>
      <w:r w:rsidRPr="005A28B7">
        <w:rPr>
          <w:rFonts w:ascii="Cambria" w:hAnsi="Cambria"/>
        </w:rPr>
        <w:t xml:space="preserve"> </w:t>
      </w:r>
      <w:r w:rsidR="00017143" w:rsidRPr="005A28B7">
        <w:rPr>
          <w:rFonts w:ascii="Cambria" w:hAnsi="Cambria"/>
        </w:rPr>
        <w:t xml:space="preserve">16 mg </w:t>
      </w:r>
      <w:r w:rsidRPr="005A28B7">
        <w:rPr>
          <w:rFonts w:ascii="Cambria" w:hAnsi="Cambria"/>
        </w:rPr>
        <w:t xml:space="preserve">implant </w:t>
      </w:r>
      <w:proofErr w:type="gramStart"/>
      <w:r w:rsidRPr="005A28B7">
        <w:rPr>
          <w:rFonts w:ascii="Cambria" w:hAnsi="Cambria"/>
        </w:rPr>
        <w:t>is inserted</w:t>
      </w:r>
      <w:proofErr w:type="gramEnd"/>
      <w:r w:rsidRPr="005A28B7">
        <w:rPr>
          <w:rFonts w:ascii="Cambria" w:hAnsi="Cambria"/>
        </w:rPr>
        <w:t xml:space="preserve"> subcutaneously above the anterior su</w:t>
      </w:r>
      <w:r w:rsidR="008425C9">
        <w:rPr>
          <w:rFonts w:ascii="Cambria" w:hAnsi="Cambria"/>
        </w:rPr>
        <w:t>pra-iliac crest every 2 months.</w:t>
      </w:r>
    </w:p>
    <w:p w14:paraId="08A99817" w14:textId="77777777" w:rsidR="0018499F" w:rsidRPr="005A28B7" w:rsidRDefault="0018499F" w:rsidP="00F13B4B">
      <w:pPr>
        <w:suppressLineNumbers/>
        <w:spacing w:before="200"/>
        <w:contextualSpacing/>
        <w:jc w:val="both"/>
        <w:rPr>
          <w:rFonts w:asciiTheme="majorHAnsi" w:hAnsiTheme="majorHAnsi"/>
          <w:u w:val="single"/>
        </w:rPr>
      </w:pPr>
      <w:r w:rsidRPr="005A28B7">
        <w:rPr>
          <w:rFonts w:asciiTheme="majorHAnsi" w:hAnsiTheme="majorHAnsi"/>
          <w:u w:val="single"/>
        </w:rPr>
        <w:lastRenderedPageBreak/>
        <w:t>Method of administration</w:t>
      </w:r>
    </w:p>
    <w:p w14:paraId="6D3C67DF" w14:textId="77777777" w:rsidR="0018499F" w:rsidRPr="005A28B7" w:rsidRDefault="0018499F" w:rsidP="00D5153A">
      <w:pPr>
        <w:suppressLineNumbers/>
        <w:jc w:val="both"/>
        <w:rPr>
          <w:rFonts w:asciiTheme="majorHAnsi" w:hAnsiTheme="majorHAnsi"/>
        </w:rPr>
      </w:pPr>
      <w:r w:rsidRPr="005A28B7">
        <w:rPr>
          <w:rFonts w:asciiTheme="majorHAnsi" w:hAnsiTheme="majorHAnsi"/>
        </w:rPr>
        <w:t>For subcutaneous use.</w:t>
      </w:r>
    </w:p>
    <w:p w14:paraId="0F46E777" w14:textId="77777777" w:rsidR="0018499F" w:rsidRPr="005A28B7" w:rsidRDefault="0018499F" w:rsidP="00336CB1">
      <w:pPr>
        <w:keepNext/>
        <w:keepLines/>
        <w:contextualSpacing/>
        <w:jc w:val="both"/>
        <w:rPr>
          <w:rFonts w:asciiTheme="majorHAnsi" w:hAnsiTheme="majorHAnsi"/>
          <w:u w:val="single"/>
        </w:rPr>
      </w:pPr>
      <w:r w:rsidRPr="005A28B7">
        <w:rPr>
          <w:rFonts w:asciiTheme="majorHAnsi" w:hAnsiTheme="majorHAnsi"/>
          <w:u w:val="single"/>
        </w:rPr>
        <w:t>Instruction for use</w:t>
      </w:r>
    </w:p>
    <w:p w14:paraId="5068AEA5" w14:textId="7C640E2B" w:rsidR="000F7FA7" w:rsidRPr="005A28B7" w:rsidRDefault="000F7FA7" w:rsidP="00336CB1">
      <w:pPr>
        <w:keepNext/>
        <w:keepLines/>
        <w:suppressLineNumbers/>
        <w:autoSpaceDE w:val="0"/>
        <w:autoSpaceDN w:val="0"/>
        <w:adjustRightInd w:val="0"/>
        <w:rPr>
          <w:rFonts w:ascii="Cambria" w:hAnsi="Cambria"/>
        </w:rPr>
      </w:pPr>
      <w:r w:rsidRPr="005A28B7">
        <w:rPr>
          <w:rFonts w:ascii="Cambria" w:hAnsi="Cambria"/>
        </w:rPr>
        <w:t xml:space="preserve">Insert a single SCENESSE implant (containing 16 mg of afamelanotide) subcutaneously above </w:t>
      </w:r>
      <w:r w:rsidR="00F13B4B">
        <w:rPr>
          <w:rFonts w:ascii="Cambria" w:hAnsi="Cambria"/>
        </w:rPr>
        <w:t>the anterior supra-iliac crest.</w:t>
      </w:r>
    </w:p>
    <w:p w14:paraId="5B00E01C" w14:textId="645D650B" w:rsidR="000F7FA7" w:rsidRPr="005A28B7" w:rsidRDefault="000F7FA7" w:rsidP="000F7FA7">
      <w:pPr>
        <w:suppressLineNumbers/>
        <w:autoSpaceDE w:val="0"/>
        <w:autoSpaceDN w:val="0"/>
        <w:adjustRightInd w:val="0"/>
        <w:rPr>
          <w:rFonts w:ascii="Cambria" w:hAnsi="Cambria"/>
        </w:rPr>
      </w:pPr>
      <w:r w:rsidRPr="005A28B7">
        <w:rPr>
          <w:rFonts w:ascii="Cambria" w:hAnsi="Cambria"/>
        </w:rPr>
        <w:t xml:space="preserve">Implant SCENESSE observing an aseptic technique.  The following equipment </w:t>
      </w:r>
      <w:proofErr w:type="gramStart"/>
      <w:r w:rsidRPr="005A28B7">
        <w:rPr>
          <w:rFonts w:ascii="Cambria" w:hAnsi="Cambria"/>
        </w:rPr>
        <w:t>is ne</w:t>
      </w:r>
      <w:r w:rsidR="00F13B4B">
        <w:rPr>
          <w:rFonts w:ascii="Cambria" w:hAnsi="Cambria"/>
        </w:rPr>
        <w:t>eded</w:t>
      </w:r>
      <w:proofErr w:type="gramEnd"/>
      <w:r w:rsidR="00F13B4B">
        <w:rPr>
          <w:rFonts w:ascii="Cambria" w:hAnsi="Cambria"/>
        </w:rPr>
        <w:t xml:space="preserve"> for the implant insertion:</w:t>
      </w:r>
    </w:p>
    <w:p w14:paraId="4BA268CA" w14:textId="77777777" w:rsidR="000F7FA7" w:rsidRPr="005A28B7" w:rsidRDefault="000F7FA7" w:rsidP="000F7FA7">
      <w:pPr>
        <w:pStyle w:val="ListParagraph"/>
        <w:numPr>
          <w:ilvl w:val="0"/>
          <w:numId w:val="17"/>
        </w:numPr>
        <w:suppressLineNumbers/>
        <w:autoSpaceDE w:val="0"/>
        <w:autoSpaceDN w:val="0"/>
        <w:adjustRightInd w:val="0"/>
      </w:pPr>
      <w:r w:rsidRPr="005A28B7">
        <w:t>SCENESSE implant</w:t>
      </w:r>
    </w:p>
    <w:p w14:paraId="309AE653" w14:textId="58EC8375" w:rsidR="000F7FA7" w:rsidRPr="005A28B7" w:rsidRDefault="000F7FA7" w:rsidP="000F7FA7">
      <w:pPr>
        <w:pStyle w:val="ListParagraph"/>
        <w:numPr>
          <w:ilvl w:val="0"/>
          <w:numId w:val="17"/>
        </w:numPr>
        <w:suppressLineNumbers/>
        <w:autoSpaceDE w:val="0"/>
        <w:autoSpaceDN w:val="0"/>
        <w:adjustRightInd w:val="0"/>
      </w:pPr>
      <w:r w:rsidRPr="005A28B7">
        <w:t>A 14 gauge (1.6 mm inner diameter) catheter with needle. Alternatively, a trocar</w:t>
      </w:r>
      <w:r w:rsidR="0009647D">
        <w:t xml:space="preserve"> and obturator</w:t>
      </w:r>
      <w:r w:rsidRPr="005A28B7">
        <w:t xml:space="preserve"> of similar dimension can be use</w:t>
      </w:r>
      <w:r w:rsidR="005A28B7" w:rsidRPr="005A28B7">
        <w:t>d</w:t>
      </w:r>
    </w:p>
    <w:p w14:paraId="4182C8EE" w14:textId="77777777" w:rsidR="000F7FA7" w:rsidRPr="005A28B7" w:rsidRDefault="000F7FA7" w:rsidP="000F7FA7">
      <w:pPr>
        <w:pStyle w:val="ListParagraph"/>
        <w:numPr>
          <w:ilvl w:val="0"/>
          <w:numId w:val="17"/>
        </w:numPr>
        <w:suppressLineNumbers/>
        <w:autoSpaceDE w:val="0"/>
        <w:autoSpaceDN w:val="0"/>
        <w:adjustRightInd w:val="0"/>
      </w:pPr>
      <w:r w:rsidRPr="005A28B7">
        <w:t xml:space="preserve">Sterile gloves </w:t>
      </w:r>
    </w:p>
    <w:p w14:paraId="516336F0" w14:textId="22E39DFF" w:rsidR="000F7FA7" w:rsidRPr="005A28B7" w:rsidRDefault="000F7FA7" w:rsidP="000F7FA7">
      <w:pPr>
        <w:pStyle w:val="ListParagraph"/>
        <w:numPr>
          <w:ilvl w:val="0"/>
          <w:numId w:val="17"/>
        </w:numPr>
        <w:suppressLineNumbers/>
        <w:autoSpaceDE w:val="0"/>
        <w:autoSpaceDN w:val="0"/>
        <w:adjustRightInd w:val="0"/>
      </w:pPr>
      <w:r w:rsidRPr="005A28B7">
        <w:t xml:space="preserve">Local </w:t>
      </w:r>
      <w:r w:rsidR="005A28B7" w:rsidRPr="005A28B7">
        <w:t>anaesthetic</w:t>
      </w:r>
      <w:r w:rsidRPr="005A28B7">
        <w:t xml:space="preserve">, needle and syringe </w:t>
      </w:r>
    </w:p>
    <w:p w14:paraId="663F8547" w14:textId="77777777" w:rsidR="000F7FA7" w:rsidRPr="005A28B7" w:rsidRDefault="000F7FA7" w:rsidP="000F7FA7">
      <w:pPr>
        <w:pStyle w:val="ListParagraph"/>
        <w:numPr>
          <w:ilvl w:val="0"/>
          <w:numId w:val="17"/>
        </w:numPr>
        <w:suppressLineNumbers/>
        <w:autoSpaceDE w:val="0"/>
        <w:autoSpaceDN w:val="0"/>
        <w:adjustRightInd w:val="0"/>
      </w:pPr>
      <w:r w:rsidRPr="005A28B7">
        <w:t xml:space="preserve">Blunt forceps suitable for removing the SCENESSE implant from the glass vial and placement of the SCENESSE implant </w:t>
      </w:r>
    </w:p>
    <w:p w14:paraId="2DE8EACE" w14:textId="77777777" w:rsidR="000F7FA7" w:rsidRPr="005A28B7" w:rsidRDefault="000F7FA7" w:rsidP="000F7FA7">
      <w:pPr>
        <w:pStyle w:val="ListParagraph"/>
        <w:numPr>
          <w:ilvl w:val="0"/>
          <w:numId w:val="17"/>
        </w:numPr>
        <w:suppressLineNumbers/>
        <w:autoSpaceDE w:val="0"/>
        <w:autoSpaceDN w:val="0"/>
        <w:adjustRightInd w:val="0"/>
      </w:pPr>
      <w:r w:rsidRPr="005A28B7">
        <w:t>Sterile gauze, adhesive bandage, pressure bandage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273"/>
      </w:tblGrid>
      <w:tr w:rsidR="000F7FA7" w:rsidRPr="005A28B7" w14:paraId="08171025" w14:textId="77777777" w:rsidTr="00F13B4B">
        <w:tc>
          <w:tcPr>
            <w:tcW w:w="9026" w:type="dxa"/>
            <w:gridSpan w:val="2"/>
          </w:tcPr>
          <w:p w14:paraId="0E75EAF6" w14:textId="77777777" w:rsidR="000F7FA7" w:rsidRPr="00F20AC0" w:rsidRDefault="000F7FA7" w:rsidP="000F7FA7">
            <w:pPr>
              <w:suppressLineNumbers/>
              <w:autoSpaceDE w:val="0"/>
              <w:autoSpaceDN w:val="0"/>
              <w:adjustRightInd w:val="0"/>
              <w:spacing w:after="200" w:line="276" w:lineRule="auto"/>
              <w:contextualSpacing/>
              <w:rPr>
                <w:rFonts w:ascii="Cambria" w:hAnsi="Cambria"/>
                <w:b/>
                <w:bCs/>
                <w:sz w:val="22"/>
                <w:szCs w:val="22"/>
              </w:rPr>
            </w:pPr>
            <w:r w:rsidRPr="00F20AC0">
              <w:rPr>
                <w:rFonts w:ascii="Cambria" w:hAnsi="Cambria"/>
                <w:b/>
                <w:bCs/>
                <w:sz w:val="22"/>
                <w:szCs w:val="22"/>
              </w:rPr>
              <w:t>Step 1</w:t>
            </w:r>
          </w:p>
          <w:p w14:paraId="5CC3A101" w14:textId="51291665" w:rsidR="000F7FA7" w:rsidRPr="00F20AC0" w:rsidRDefault="000F7FA7" w:rsidP="000F7FA7">
            <w:pPr>
              <w:suppressLineNumbers/>
              <w:autoSpaceDE w:val="0"/>
              <w:autoSpaceDN w:val="0"/>
              <w:adjustRightInd w:val="0"/>
              <w:contextualSpacing/>
              <w:rPr>
                <w:rFonts w:ascii="Cambria" w:eastAsiaTheme="minorHAnsi" w:hAnsi="Cambria" w:cstheme="minorBidi"/>
                <w:sz w:val="22"/>
                <w:szCs w:val="22"/>
                <w:lang w:eastAsia="en-US"/>
              </w:rPr>
            </w:pPr>
            <w:r w:rsidRPr="00F20AC0">
              <w:rPr>
                <w:rFonts w:ascii="Cambria" w:eastAsiaTheme="minorHAnsi" w:hAnsi="Cambria" w:cstheme="minorBidi"/>
                <w:sz w:val="22"/>
                <w:szCs w:val="22"/>
                <w:lang w:eastAsia="en-US"/>
              </w:rPr>
              <w:t xml:space="preserve">Take the carton containing SCENESSE out of the refrigerator to allow the product </w:t>
            </w:r>
            <w:proofErr w:type="gramStart"/>
            <w:r w:rsidRPr="00F20AC0">
              <w:rPr>
                <w:rFonts w:ascii="Cambria" w:eastAsiaTheme="minorHAnsi" w:hAnsi="Cambria" w:cstheme="minorBidi"/>
                <w:sz w:val="22"/>
                <w:szCs w:val="22"/>
                <w:lang w:eastAsia="en-US"/>
              </w:rPr>
              <w:t xml:space="preserve">to gradually </w:t>
            </w:r>
            <w:r w:rsidR="00F13B4B">
              <w:rPr>
                <w:rFonts w:ascii="Cambria" w:eastAsiaTheme="minorHAnsi" w:hAnsi="Cambria" w:cstheme="minorBidi"/>
                <w:sz w:val="22"/>
                <w:szCs w:val="22"/>
                <w:lang w:eastAsia="en-US"/>
              </w:rPr>
              <w:t>warm</w:t>
            </w:r>
            <w:proofErr w:type="gramEnd"/>
            <w:r w:rsidR="00F13B4B">
              <w:rPr>
                <w:rFonts w:ascii="Cambria" w:eastAsiaTheme="minorHAnsi" w:hAnsi="Cambria" w:cstheme="minorBidi"/>
                <w:sz w:val="22"/>
                <w:szCs w:val="22"/>
                <w:lang w:eastAsia="en-US"/>
              </w:rPr>
              <w:t xml:space="preserve"> up to ambient temperature.</w:t>
            </w:r>
          </w:p>
          <w:p w14:paraId="3CF07384" w14:textId="64C9B661" w:rsidR="00B271FA" w:rsidRPr="00F20AC0" w:rsidRDefault="000F7FA7" w:rsidP="000F7FA7">
            <w:pPr>
              <w:suppressLineNumbers/>
              <w:autoSpaceDE w:val="0"/>
              <w:autoSpaceDN w:val="0"/>
              <w:adjustRightInd w:val="0"/>
              <w:contextualSpacing/>
              <w:rPr>
                <w:rFonts w:ascii="Cambria" w:eastAsiaTheme="minorHAnsi" w:hAnsi="Cambria" w:cstheme="minorBidi"/>
                <w:sz w:val="22"/>
                <w:szCs w:val="22"/>
                <w:lang w:eastAsia="en-US"/>
              </w:rPr>
            </w:pPr>
            <w:r w:rsidRPr="00F20AC0">
              <w:rPr>
                <w:rFonts w:ascii="Cambria" w:eastAsiaTheme="minorHAnsi" w:hAnsi="Cambria" w:cstheme="minorBidi"/>
                <w:sz w:val="22"/>
                <w:szCs w:val="22"/>
                <w:lang w:eastAsia="en-US"/>
              </w:rPr>
              <w:t xml:space="preserve">Remove the seal and stopper from the glass vial containing SCENESSE. </w:t>
            </w:r>
            <w:bookmarkStart w:id="0" w:name="_Hlk39509115"/>
            <w:r w:rsidR="00B271FA" w:rsidRPr="00F20AC0">
              <w:rPr>
                <w:rFonts w:ascii="Cambria" w:eastAsiaTheme="minorHAnsi" w:hAnsi="Cambria" w:cstheme="minorBidi"/>
                <w:sz w:val="22"/>
                <w:szCs w:val="22"/>
                <w:lang w:eastAsia="en-US"/>
              </w:rPr>
              <w:t>Use your hand to grasp the outer edge of the locking ring. Pull upwards using light to moderate force. Once the locking ring is removed, flip off the rubber stopper.</w:t>
            </w:r>
            <w:bookmarkEnd w:id="0"/>
          </w:p>
          <w:p w14:paraId="3FF07DCE" w14:textId="2C45B607" w:rsidR="000F7FA7" w:rsidRPr="005A28B7" w:rsidRDefault="000F7FA7" w:rsidP="00F13B4B">
            <w:pPr>
              <w:suppressLineNumbers/>
              <w:autoSpaceDE w:val="0"/>
              <w:autoSpaceDN w:val="0"/>
              <w:adjustRightInd w:val="0"/>
              <w:contextualSpacing/>
              <w:rPr>
                <w:rFonts w:ascii="Cambria" w:hAnsi="Cambria"/>
              </w:rPr>
            </w:pPr>
            <w:r w:rsidRPr="00F20AC0">
              <w:rPr>
                <w:rFonts w:ascii="Cambria" w:eastAsiaTheme="minorHAnsi" w:hAnsi="Cambria" w:cstheme="minorBidi"/>
                <w:sz w:val="22"/>
                <w:szCs w:val="22"/>
                <w:lang w:eastAsia="en-US"/>
              </w:rPr>
              <w:t>Remove the implant from the vial using the blunt forceps under aseptic conditions and place the implant on a sterile gauze.</w:t>
            </w:r>
          </w:p>
        </w:tc>
      </w:tr>
      <w:tr w:rsidR="000F7FA7" w:rsidRPr="005A28B7" w14:paraId="0E99D50F" w14:textId="77777777" w:rsidTr="00F13B4B">
        <w:tc>
          <w:tcPr>
            <w:tcW w:w="4753" w:type="dxa"/>
          </w:tcPr>
          <w:p w14:paraId="77D319C7"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drawing>
                <wp:anchor distT="0" distB="0" distL="114300" distR="114300" simplePos="0" relativeHeight="251659264" behindDoc="1" locked="0" layoutInCell="1" allowOverlap="1" wp14:anchorId="767CE1FC" wp14:editId="2FF66540">
                  <wp:simplePos x="0" y="0"/>
                  <wp:positionH relativeFrom="margin">
                    <wp:posOffset>-8083</wp:posOffset>
                  </wp:positionH>
                  <wp:positionV relativeFrom="paragraph">
                    <wp:posOffset>93139</wp:posOffset>
                  </wp:positionV>
                  <wp:extent cx="2248535" cy="1602740"/>
                  <wp:effectExtent l="0" t="0" r="0" b="0"/>
                  <wp:wrapTight wrapText="bothSides">
                    <wp:wrapPolygon edited="0">
                      <wp:start x="0" y="0"/>
                      <wp:lineTo x="0" y="21309"/>
                      <wp:lineTo x="21411" y="21309"/>
                      <wp:lineTo x="2141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8535" cy="1602740"/>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3EE16B8A" w14:textId="59A649EE" w:rsidR="000F7FA7" w:rsidRPr="00F20AC0" w:rsidRDefault="00F13B4B" w:rsidP="000F7FA7">
            <w:pPr>
              <w:suppressLineNumbers/>
              <w:autoSpaceDE w:val="0"/>
              <w:autoSpaceDN w:val="0"/>
              <w:adjustRightInd w:val="0"/>
              <w:spacing w:after="200" w:line="276" w:lineRule="auto"/>
              <w:contextualSpacing/>
              <w:rPr>
                <w:rFonts w:ascii="Cambria" w:hAnsi="Cambria"/>
                <w:b/>
                <w:bCs/>
                <w:sz w:val="22"/>
                <w:szCs w:val="22"/>
              </w:rPr>
            </w:pPr>
            <w:r>
              <w:rPr>
                <w:rFonts w:ascii="Cambria" w:hAnsi="Cambria"/>
                <w:b/>
                <w:bCs/>
                <w:sz w:val="22"/>
                <w:szCs w:val="22"/>
              </w:rPr>
              <w:t>Step 2</w:t>
            </w:r>
          </w:p>
          <w:p w14:paraId="0CF0D7F7" w14:textId="3C14829F" w:rsidR="000F7FA7" w:rsidRPr="005A28B7" w:rsidRDefault="000F7FA7" w:rsidP="00F13B4B">
            <w:pPr>
              <w:suppressLineNumbers/>
              <w:autoSpaceDE w:val="0"/>
              <w:autoSpaceDN w:val="0"/>
              <w:adjustRightInd w:val="0"/>
              <w:spacing w:after="200" w:line="276" w:lineRule="auto"/>
              <w:contextualSpacing/>
              <w:rPr>
                <w:rFonts w:ascii="Cambria" w:hAnsi="Cambria"/>
              </w:rPr>
            </w:pPr>
            <w:r w:rsidRPr="00F20AC0">
              <w:rPr>
                <w:rFonts w:ascii="Cambria" w:hAnsi="Cambria"/>
                <w:sz w:val="22"/>
                <w:szCs w:val="22"/>
              </w:rPr>
              <w:t xml:space="preserve">Put the patient in a comfortable reclined supine position. Identify the insertion site 3-4 cm above the anterior supra-iliac crest and </w:t>
            </w:r>
            <w:r w:rsidR="00F13B4B">
              <w:rPr>
                <w:rFonts w:ascii="Cambria" w:hAnsi="Cambria"/>
                <w:sz w:val="22"/>
                <w:szCs w:val="22"/>
              </w:rPr>
              <w:t>disinfect the skin surface.</w:t>
            </w:r>
          </w:p>
        </w:tc>
      </w:tr>
      <w:tr w:rsidR="000F7FA7" w:rsidRPr="005A28B7" w14:paraId="63A65802" w14:textId="77777777" w:rsidTr="00F13B4B">
        <w:tc>
          <w:tcPr>
            <w:tcW w:w="4753" w:type="dxa"/>
          </w:tcPr>
          <w:p w14:paraId="3E8F4803"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drawing>
                <wp:anchor distT="0" distB="0" distL="114300" distR="114300" simplePos="0" relativeHeight="251660288" behindDoc="1" locked="0" layoutInCell="1" allowOverlap="1" wp14:anchorId="1A9726E3" wp14:editId="33BB95C0">
                  <wp:simplePos x="0" y="0"/>
                  <wp:positionH relativeFrom="margin">
                    <wp:posOffset>4445</wp:posOffset>
                  </wp:positionH>
                  <wp:positionV relativeFrom="paragraph">
                    <wp:posOffset>75565</wp:posOffset>
                  </wp:positionV>
                  <wp:extent cx="2211705" cy="1297305"/>
                  <wp:effectExtent l="0" t="0" r="0" b="0"/>
                  <wp:wrapTight wrapText="bothSides">
                    <wp:wrapPolygon edited="0">
                      <wp:start x="0" y="0"/>
                      <wp:lineTo x="0" y="21251"/>
                      <wp:lineTo x="21395" y="21251"/>
                      <wp:lineTo x="2139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1705" cy="1297305"/>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19CA7156" w14:textId="367BD197" w:rsidR="000F7FA7" w:rsidRPr="00F20AC0" w:rsidRDefault="00F13B4B" w:rsidP="000F7FA7">
            <w:pPr>
              <w:suppressLineNumbers/>
              <w:autoSpaceDE w:val="0"/>
              <w:autoSpaceDN w:val="0"/>
              <w:adjustRightInd w:val="0"/>
              <w:spacing w:after="200" w:line="276" w:lineRule="auto"/>
              <w:contextualSpacing/>
              <w:rPr>
                <w:rFonts w:ascii="Cambria" w:hAnsi="Cambria"/>
                <w:b/>
                <w:bCs/>
                <w:sz w:val="22"/>
                <w:szCs w:val="22"/>
              </w:rPr>
            </w:pPr>
            <w:r>
              <w:rPr>
                <w:rFonts w:ascii="Cambria" w:hAnsi="Cambria"/>
                <w:b/>
                <w:bCs/>
                <w:sz w:val="22"/>
                <w:szCs w:val="22"/>
              </w:rPr>
              <w:t>Step 3 (optional)</w:t>
            </w:r>
          </w:p>
          <w:p w14:paraId="61F73482" w14:textId="397BC8D5" w:rsidR="000F7FA7" w:rsidRPr="00F13B4B" w:rsidRDefault="000F7FA7" w:rsidP="000F7FA7">
            <w:pPr>
              <w:suppressLineNumbers/>
              <w:autoSpaceDE w:val="0"/>
              <w:autoSpaceDN w:val="0"/>
              <w:adjustRightInd w:val="0"/>
              <w:spacing w:after="200" w:line="276" w:lineRule="auto"/>
              <w:contextualSpacing/>
              <w:rPr>
                <w:rFonts w:ascii="Cambria" w:hAnsi="Cambria"/>
                <w:sz w:val="22"/>
                <w:szCs w:val="22"/>
              </w:rPr>
            </w:pPr>
            <w:r w:rsidRPr="00F20AC0">
              <w:rPr>
                <w:rFonts w:ascii="Cambria" w:hAnsi="Cambria"/>
                <w:sz w:val="22"/>
                <w:szCs w:val="22"/>
              </w:rPr>
              <w:t>Anesthetize the area of insertion (puncture) if deemed necessary and in consultation with the patient.</w:t>
            </w:r>
          </w:p>
        </w:tc>
      </w:tr>
      <w:tr w:rsidR="000F7FA7" w:rsidRPr="005A28B7" w14:paraId="3E540B1A" w14:textId="77777777" w:rsidTr="00F13B4B">
        <w:tc>
          <w:tcPr>
            <w:tcW w:w="4753" w:type="dxa"/>
          </w:tcPr>
          <w:p w14:paraId="7F8B3D6F"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lastRenderedPageBreak/>
              <w:drawing>
                <wp:anchor distT="0" distB="0" distL="114300" distR="114300" simplePos="0" relativeHeight="251661312" behindDoc="1" locked="0" layoutInCell="1" allowOverlap="1" wp14:anchorId="3E6CC4EF" wp14:editId="6DCBEB06">
                  <wp:simplePos x="0" y="0"/>
                  <wp:positionH relativeFrom="margin">
                    <wp:posOffset>-1905</wp:posOffset>
                  </wp:positionH>
                  <wp:positionV relativeFrom="paragraph">
                    <wp:posOffset>71120</wp:posOffset>
                  </wp:positionV>
                  <wp:extent cx="2595245" cy="2261235"/>
                  <wp:effectExtent l="0" t="0" r="0" b="5715"/>
                  <wp:wrapTight wrapText="bothSides">
                    <wp:wrapPolygon edited="0">
                      <wp:start x="0" y="0"/>
                      <wp:lineTo x="0" y="21473"/>
                      <wp:lineTo x="21404" y="21473"/>
                      <wp:lineTo x="2140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95245" cy="2261235"/>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4C2204D3" w14:textId="77777777" w:rsidR="000F7FA7" w:rsidRPr="00F20AC0" w:rsidRDefault="000F7FA7" w:rsidP="000F7FA7">
            <w:pPr>
              <w:suppressLineNumbers/>
              <w:autoSpaceDE w:val="0"/>
              <w:autoSpaceDN w:val="0"/>
              <w:adjustRightInd w:val="0"/>
              <w:spacing w:after="200" w:line="276" w:lineRule="auto"/>
              <w:contextualSpacing/>
              <w:rPr>
                <w:rFonts w:ascii="Cambria" w:hAnsi="Cambria"/>
                <w:b/>
                <w:bCs/>
                <w:sz w:val="22"/>
                <w:szCs w:val="22"/>
              </w:rPr>
            </w:pPr>
            <w:r w:rsidRPr="00F20AC0">
              <w:rPr>
                <w:rFonts w:ascii="Cambria" w:hAnsi="Cambria"/>
                <w:b/>
                <w:bCs/>
                <w:sz w:val="22"/>
                <w:szCs w:val="22"/>
              </w:rPr>
              <w:t>Step 4</w:t>
            </w:r>
          </w:p>
          <w:p w14:paraId="743C09E2" w14:textId="4C24575C" w:rsidR="005A28B7" w:rsidRPr="005A28B7" w:rsidRDefault="000F7FA7" w:rsidP="00F13B4B">
            <w:pPr>
              <w:suppressLineNumbers/>
              <w:autoSpaceDE w:val="0"/>
              <w:autoSpaceDN w:val="0"/>
              <w:adjustRightInd w:val="0"/>
              <w:spacing w:after="200" w:line="276" w:lineRule="auto"/>
              <w:contextualSpacing/>
              <w:rPr>
                <w:rFonts w:ascii="Cambria" w:hAnsi="Cambria"/>
              </w:rPr>
            </w:pPr>
            <w:r w:rsidRPr="00F20AC0">
              <w:rPr>
                <w:rFonts w:ascii="Cambria" w:hAnsi="Cambria"/>
                <w:sz w:val="22"/>
                <w:szCs w:val="22"/>
              </w:rPr>
              <w:t xml:space="preserve">While pinching the skin of the insertion site, insert the </w:t>
            </w:r>
            <w:r w:rsidR="003B0E81" w:rsidRPr="00F20AC0">
              <w:rPr>
                <w:rFonts w:ascii="Cambria" w:hAnsi="Cambria"/>
                <w:sz w:val="22"/>
                <w:szCs w:val="22"/>
              </w:rPr>
              <w:t xml:space="preserve">catheter/trocar </w:t>
            </w:r>
            <w:r w:rsidRPr="00F20AC0">
              <w:rPr>
                <w:rFonts w:ascii="Cambria" w:hAnsi="Cambria"/>
                <w:sz w:val="22"/>
                <w:szCs w:val="22"/>
              </w:rPr>
              <w:t xml:space="preserve">with the bevel facing upwards (away from the abdomen) at a 30-45° angle into the subcutaneous layer.  Advance the </w:t>
            </w:r>
            <w:r w:rsidR="003B0E81" w:rsidRPr="00F20AC0">
              <w:rPr>
                <w:rFonts w:ascii="Cambria" w:hAnsi="Cambria"/>
                <w:sz w:val="22"/>
                <w:szCs w:val="22"/>
              </w:rPr>
              <w:t>catheter/trocar</w:t>
            </w:r>
            <w:r w:rsidRPr="00F20AC0">
              <w:rPr>
                <w:rFonts w:ascii="Cambria" w:hAnsi="Cambria"/>
                <w:sz w:val="22"/>
                <w:szCs w:val="22"/>
              </w:rPr>
              <w:t xml:space="preserve"> 2 </w:t>
            </w:r>
            <w:r w:rsidR="00F13B4B">
              <w:rPr>
                <w:rFonts w:ascii="Cambria" w:hAnsi="Cambria"/>
                <w:sz w:val="22"/>
                <w:szCs w:val="22"/>
              </w:rPr>
              <w:t>cm into the subcutaneous layer.</w:t>
            </w:r>
          </w:p>
        </w:tc>
      </w:tr>
      <w:tr w:rsidR="000F7FA7" w:rsidRPr="005A28B7" w14:paraId="26FF567F" w14:textId="77777777" w:rsidTr="00F13B4B">
        <w:trPr>
          <w:trHeight w:val="2862"/>
        </w:trPr>
        <w:tc>
          <w:tcPr>
            <w:tcW w:w="4753" w:type="dxa"/>
          </w:tcPr>
          <w:p w14:paraId="6167AAA1" w14:textId="557A6D4F" w:rsidR="000F7FA7" w:rsidRPr="005A28B7" w:rsidRDefault="00DD3FAB"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drawing>
                <wp:anchor distT="0" distB="0" distL="114300" distR="114300" simplePos="0" relativeHeight="251662336" behindDoc="1" locked="0" layoutInCell="1" allowOverlap="1" wp14:anchorId="43043C17" wp14:editId="36A8FE5F">
                  <wp:simplePos x="0" y="0"/>
                  <wp:positionH relativeFrom="column">
                    <wp:posOffset>-8196</wp:posOffset>
                  </wp:positionH>
                  <wp:positionV relativeFrom="paragraph">
                    <wp:posOffset>22535</wp:posOffset>
                  </wp:positionV>
                  <wp:extent cx="2477135" cy="1497330"/>
                  <wp:effectExtent l="0" t="0" r="0" b="7620"/>
                  <wp:wrapTight wrapText="bothSides">
                    <wp:wrapPolygon edited="0">
                      <wp:start x="0" y="0"/>
                      <wp:lineTo x="0" y="21435"/>
                      <wp:lineTo x="21428" y="21435"/>
                      <wp:lineTo x="2142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7135" cy="1497330"/>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0D2F82D9" w14:textId="77777777" w:rsidR="000F7FA7" w:rsidRPr="00F20AC0" w:rsidRDefault="000F7FA7" w:rsidP="000F7FA7">
            <w:pPr>
              <w:suppressLineNumbers/>
              <w:autoSpaceDE w:val="0"/>
              <w:autoSpaceDN w:val="0"/>
              <w:adjustRightInd w:val="0"/>
              <w:spacing w:after="200" w:line="276" w:lineRule="auto"/>
              <w:contextualSpacing/>
              <w:rPr>
                <w:rFonts w:ascii="Cambria" w:hAnsi="Cambria"/>
                <w:b/>
                <w:bCs/>
                <w:sz w:val="22"/>
                <w:szCs w:val="22"/>
              </w:rPr>
            </w:pPr>
            <w:r w:rsidRPr="00F20AC0">
              <w:rPr>
                <w:rFonts w:ascii="Cambria" w:hAnsi="Cambria"/>
                <w:b/>
                <w:bCs/>
                <w:sz w:val="22"/>
                <w:szCs w:val="22"/>
              </w:rPr>
              <w:t>Step 5</w:t>
            </w:r>
          </w:p>
          <w:p w14:paraId="72BB7E25" w14:textId="2F9A96EB" w:rsidR="000F7FA7" w:rsidRPr="00F20AC0" w:rsidRDefault="000F7FA7" w:rsidP="000F7FA7">
            <w:pPr>
              <w:suppressLineNumbers/>
              <w:autoSpaceDE w:val="0"/>
              <w:autoSpaceDN w:val="0"/>
              <w:adjustRightInd w:val="0"/>
              <w:contextualSpacing/>
              <w:rPr>
                <w:rFonts w:ascii="Cambria" w:eastAsiaTheme="minorHAnsi" w:hAnsi="Cambria" w:cstheme="minorBidi"/>
                <w:sz w:val="22"/>
                <w:szCs w:val="22"/>
                <w:lang w:eastAsia="en-US"/>
              </w:rPr>
            </w:pPr>
            <w:r w:rsidRPr="00F20AC0">
              <w:rPr>
                <w:rFonts w:ascii="Cambria" w:eastAsiaTheme="minorHAnsi" w:hAnsi="Cambria" w:cstheme="minorBidi"/>
                <w:sz w:val="22"/>
                <w:szCs w:val="22"/>
                <w:lang w:eastAsia="en-US"/>
              </w:rPr>
              <w:t xml:space="preserve">Remove the </w:t>
            </w:r>
            <w:r w:rsidR="003B0E81" w:rsidRPr="00F20AC0">
              <w:rPr>
                <w:rFonts w:ascii="Cambria" w:eastAsiaTheme="minorHAnsi" w:hAnsi="Cambria" w:cstheme="minorBidi"/>
                <w:sz w:val="22"/>
                <w:szCs w:val="22"/>
                <w:lang w:eastAsia="en-US"/>
              </w:rPr>
              <w:t>needle/</w:t>
            </w:r>
            <w:r w:rsidRPr="00F20AC0">
              <w:rPr>
                <w:rFonts w:ascii="Cambria" w:eastAsiaTheme="minorHAnsi" w:hAnsi="Cambria" w:cstheme="minorBidi"/>
                <w:sz w:val="22"/>
                <w:szCs w:val="22"/>
                <w:lang w:eastAsia="en-US"/>
              </w:rPr>
              <w:t xml:space="preserve">obturator from the </w:t>
            </w:r>
            <w:r w:rsidR="003B0E81" w:rsidRPr="00F20AC0">
              <w:rPr>
                <w:rFonts w:ascii="Cambria" w:eastAsiaTheme="minorHAnsi" w:hAnsi="Cambria" w:cstheme="minorBidi"/>
                <w:sz w:val="22"/>
                <w:szCs w:val="22"/>
                <w:lang w:eastAsia="en-US"/>
              </w:rPr>
              <w:t>catheter/trocar sleeve</w:t>
            </w:r>
            <w:r w:rsidRPr="00F20AC0">
              <w:rPr>
                <w:rFonts w:ascii="Cambria" w:eastAsiaTheme="minorHAnsi" w:hAnsi="Cambria" w:cstheme="minorBidi"/>
                <w:sz w:val="22"/>
                <w:szCs w:val="22"/>
                <w:lang w:eastAsia="en-US"/>
              </w:rPr>
              <w:t xml:space="preserve"> maintaining aseptic precautions</w:t>
            </w:r>
            <w:r w:rsidR="00B271FA" w:rsidRPr="00F20AC0">
              <w:rPr>
                <w:rFonts w:ascii="Cambria" w:eastAsiaTheme="minorHAnsi" w:hAnsi="Cambria" w:cstheme="minorBidi"/>
                <w:sz w:val="22"/>
                <w:szCs w:val="22"/>
                <w:lang w:eastAsia="en-US"/>
              </w:rPr>
              <w:t>.</w:t>
            </w:r>
          </w:p>
          <w:p w14:paraId="1DE33DF1" w14:textId="54424966" w:rsidR="000F7FA7" w:rsidRPr="00F20AC0" w:rsidRDefault="000F7FA7" w:rsidP="000F7FA7">
            <w:pPr>
              <w:suppressLineNumbers/>
              <w:autoSpaceDE w:val="0"/>
              <w:autoSpaceDN w:val="0"/>
              <w:adjustRightInd w:val="0"/>
              <w:contextualSpacing/>
              <w:rPr>
                <w:rFonts w:ascii="Cambria" w:eastAsiaTheme="minorHAnsi" w:hAnsi="Cambria" w:cstheme="minorBidi"/>
                <w:sz w:val="22"/>
                <w:szCs w:val="22"/>
                <w:lang w:eastAsia="en-US"/>
              </w:rPr>
            </w:pPr>
            <w:r w:rsidRPr="00F20AC0">
              <w:rPr>
                <w:rFonts w:ascii="Cambria" w:eastAsiaTheme="minorHAnsi" w:hAnsi="Cambria" w:cstheme="minorBidi"/>
                <w:sz w:val="22"/>
                <w:szCs w:val="22"/>
                <w:lang w:eastAsia="en-US"/>
              </w:rPr>
              <w:t xml:space="preserve">Load the implant into the </w:t>
            </w:r>
            <w:r w:rsidR="00DD3FAB" w:rsidRPr="00F20AC0">
              <w:rPr>
                <w:rFonts w:ascii="Cambria" w:eastAsiaTheme="minorHAnsi" w:hAnsi="Cambria" w:cstheme="minorBidi"/>
                <w:sz w:val="22"/>
                <w:szCs w:val="22"/>
                <w:lang w:eastAsia="en-US"/>
              </w:rPr>
              <w:t>catheter/trocar sleeve</w:t>
            </w:r>
            <w:r w:rsidR="00B271FA" w:rsidRPr="00F20AC0">
              <w:rPr>
                <w:rFonts w:ascii="Cambria" w:eastAsiaTheme="minorHAnsi" w:hAnsi="Cambria" w:cstheme="minorBidi"/>
                <w:sz w:val="22"/>
                <w:szCs w:val="22"/>
                <w:lang w:eastAsia="en-US"/>
              </w:rPr>
              <w:t>.</w:t>
            </w:r>
          </w:p>
          <w:p w14:paraId="31CBFAA1" w14:textId="0E06A2A7" w:rsidR="000F7FA7" w:rsidRPr="00F20AC0" w:rsidRDefault="000F7FA7" w:rsidP="000F7FA7">
            <w:pPr>
              <w:suppressLineNumbers/>
              <w:autoSpaceDE w:val="0"/>
              <w:autoSpaceDN w:val="0"/>
              <w:adjustRightInd w:val="0"/>
              <w:contextualSpacing/>
              <w:rPr>
                <w:rFonts w:ascii="Cambria" w:eastAsiaTheme="minorHAnsi" w:hAnsi="Cambria" w:cstheme="minorBidi"/>
                <w:sz w:val="22"/>
                <w:szCs w:val="22"/>
                <w:lang w:eastAsia="en-US"/>
              </w:rPr>
            </w:pPr>
            <w:r w:rsidRPr="00F20AC0">
              <w:rPr>
                <w:rFonts w:ascii="Cambria" w:eastAsiaTheme="minorHAnsi" w:hAnsi="Cambria" w:cstheme="minorBidi"/>
                <w:sz w:val="22"/>
                <w:szCs w:val="22"/>
                <w:lang w:eastAsia="en-US"/>
              </w:rPr>
              <w:t xml:space="preserve">Using the </w:t>
            </w:r>
            <w:r w:rsidR="00DD3FAB" w:rsidRPr="00F20AC0">
              <w:rPr>
                <w:rFonts w:ascii="Cambria" w:eastAsiaTheme="minorHAnsi" w:hAnsi="Cambria" w:cstheme="minorBidi"/>
                <w:sz w:val="22"/>
                <w:szCs w:val="22"/>
                <w:lang w:eastAsia="en-US"/>
              </w:rPr>
              <w:t>needle/</w:t>
            </w:r>
            <w:r w:rsidRPr="00F20AC0">
              <w:rPr>
                <w:rFonts w:ascii="Cambria" w:eastAsiaTheme="minorHAnsi" w:hAnsi="Cambria" w:cstheme="minorBidi"/>
                <w:sz w:val="22"/>
                <w:szCs w:val="22"/>
                <w:lang w:eastAsia="en-US"/>
              </w:rPr>
              <w:t xml:space="preserve">obturator gently push the implant down the full length of the </w:t>
            </w:r>
            <w:r w:rsidR="00DD3FAB" w:rsidRPr="00F20AC0">
              <w:rPr>
                <w:rFonts w:ascii="Cambria" w:eastAsiaTheme="minorHAnsi" w:hAnsi="Cambria" w:cstheme="minorBidi"/>
                <w:sz w:val="22"/>
                <w:szCs w:val="22"/>
                <w:lang w:eastAsia="en-US"/>
              </w:rPr>
              <w:t>catheter/trocar lumen</w:t>
            </w:r>
            <w:r w:rsidR="00B271FA" w:rsidRPr="00F20AC0">
              <w:rPr>
                <w:rFonts w:ascii="Cambria" w:eastAsiaTheme="minorHAnsi" w:hAnsi="Cambria" w:cstheme="minorBidi"/>
                <w:sz w:val="22"/>
                <w:szCs w:val="22"/>
                <w:lang w:eastAsia="en-US"/>
              </w:rPr>
              <w:t>.</w:t>
            </w:r>
          </w:p>
          <w:p w14:paraId="795AAF2D"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p>
        </w:tc>
      </w:tr>
      <w:tr w:rsidR="000F7FA7" w:rsidRPr="005A28B7" w14:paraId="26AA13B5" w14:textId="77777777" w:rsidTr="00F13B4B">
        <w:trPr>
          <w:trHeight w:val="3828"/>
        </w:trPr>
        <w:tc>
          <w:tcPr>
            <w:tcW w:w="4753" w:type="dxa"/>
          </w:tcPr>
          <w:p w14:paraId="7ADDDA3B" w14:textId="56F5F6B9" w:rsidR="000F7FA7" w:rsidRPr="005A28B7" w:rsidRDefault="000F7FA7" w:rsidP="00F13B4B">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drawing>
                <wp:inline distT="0" distB="0" distL="0" distR="0" wp14:anchorId="5F6DF63F" wp14:editId="188CB744">
                  <wp:extent cx="2759549" cy="1712993"/>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774206" cy="1722091"/>
                          </a:xfrm>
                          <a:prstGeom prst="rect">
                            <a:avLst/>
                          </a:prstGeom>
                          <a:noFill/>
                          <a:ln>
                            <a:noFill/>
                          </a:ln>
                        </pic:spPr>
                      </pic:pic>
                    </a:graphicData>
                  </a:graphic>
                </wp:inline>
              </w:drawing>
            </w:r>
          </w:p>
        </w:tc>
        <w:tc>
          <w:tcPr>
            <w:tcW w:w="4273" w:type="dxa"/>
          </w:tcPr>
          <w:p w14:paraId="0AF80642" w14:textId="77777777" w:rsidR="000F7FA7" w:rsidRPr="00F20AC0" w:rsidRDefault="000F7FA7" w:rsidP="000F7FA7">
            <w:pPr>
              <w:suppressLineNumbers/>
              <w:autoSpaceDE w:val="0"/>
              <w:autoSpaceDN w:val="0"/>
              <w:adjustRightInd w:val="0"/>
              <w:spacing w:after="200" w:line="276" w:lineRule="auto"/>
              <w:contextualSpacing/>
              <w:rPr>
                <w:rFonts w:ascii="Cambria" w:hAnsi="Cambria"/>
                <w:b/>
                <w:bCs/>
                <w:sz w:val="22"/>
                <w:szCs w:val="22"/>
              </w:rPr>
            </w:pPr>
            <w:r w:rsidRPr="00F20AC0">
              <w:rPr>
                <w:rFonts w:ascii="Cambria" w:hAnsi="Cambria"/>
                <w:b/>
                <w:bCs/>
                <w:sz w:val="22"/>
                <w:szCs w:val="22"/>
              </w:rPr>
              <w:t>Step 6</w:t>
            </w:r>
          </w:p>
          <w:p w14:paraId="0071BE9C" w14:textId="750FF49D" w:rsidR="000F7FA7" w:rsidRPr="005A28B7" w:rsidRDefault="000F7FA7" w:rsidP="00F13B4B">
            <w:pPr>
              <w:suppressLineNumbers/>
              <w:autoSpaceDE w:val="0"/>
              <w:autoSpaceDN w:val="0"/>
              <w:adjustRightInd w:val="0"/>
              <w:spacing w:after="200" w:line="276" w:lineRule="auto"/>
              <w:contextualSpacing/>
              <w:rPr>
                <w:rFonts w:ascii="Cambria" w:hAnsi="Cambria"/>
              </w:rPr>
            </w:pPr>
            <w:r w:rsidRPr="00F20AC0">
              <w:rPr>
                <w:rFonts w:ascii="Cambria" w:hAnsi="Cambria"/>
                <w:sz w:val="22"/>
                <w:szCs w:val="22"/>
              </w:rPr>
              <w:t xml:space="preserve">Apply some pressure to the site of the implant while removing the </w:t>
            </w:r>
            <w:r w:rsidR="00DD3FAB" w:rsidRPr="00F20AC0">
              <w:rPr>
                <w:rFonts w:ascii="Cambria" w:hAnsi="Cambria"/>
                <w:sz w:val="22"/>
                <w:szCs w:val="22"/>
              </w:rPr>
              <w:t>needle/</w:t>
            </w:r>
            <w:r w:rsidRPr="00F20AC0">
              <w:rPr>
                <w:rFonts w:ascii="Cambria" w:hAnsi="Cambria"/>
                <w:sz w:val="22"/>
                <w:szCs w:val="22"/>
              </w:rPr>
              <w:t xml:space="preserve">obturator and the </w:t>
            </w:r>
            <w:r w:rsidR="00DD3FAB" w:rsidRPr="00F20AC0">
              <w:rPr>
                <w:rFonts w:ascii="Cambria" w:hAnsi="Cambria"/>
                <w:sz w:val="22"/>
                <w:szCs w:val="22"/>
              </w:rPr>
              <w:t>catheter/trocar sleeve</w:t>
            </w:r>
            <w:r w:rsidRPr="00F20AC0">
              <w:rPr>
                <w:rFonts w:ascii="Cambria" w:hAnsi="Cambria"/>
                <w:sz w:val="22"/>
                <w:szCs w:val="22"/>
              </w:rPr>
              <w:t xml:space="preserve">. Verify that no implant or implant portion remains in the </w:t>
            </w:r>
            <w:r w:rsidR="00DD3FAB" w:rsidRPr="00F20AC0">
              <w:rPr>
                <w:rFonts w:ascii="Cambria" w:hAnsi="Cambria"/>
                <w:sz w:val="22"/>
                <w:szCs w:val="22"/>
              </w:rPr>
              <w:t>catheter/trocar sleeve</w:t>
            </w:r>
            <w:r w:rsidR="00F13B4B">
              <w:rPr>
                <w:rFonts w:ascii="Cambria" w:hAnsi="Cambria"/>
                <w:sz w:val="22"/>
                <w:szCs w:val="22"/>
              </w:rPr>
              <w:t>.</w:t>
            </w:r>
          </w:p>
        </w:tc>
      </w:tr>
      <w:tr w:rsidR="000F7FA7" w:rsidRPr="005A28B7" w14:paraId="68F1DF1B" w14:textId="77777777" w:rsidTr="00F13B4B">
        <w:tc>
          <w:tcPr>
            <w:tcW w:w="4753" w:type="dxa"/>
          </w:tcPr>
          <w:p w14:paraId="65C2C099"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drawing>
                <wp:anchor distT="0" distB="0" distL="114300" distR="114300" simplePos="0" relativeHeight="251665408" behindDoc="0" locked="0" layoutInCell="1" allowOverlap="1" wp14:anchorId="695F6027" wp14:editId="0AF897B5">
                  <wp:simplePos x="0" y="0"/>
                  <wp:positionH relativeFrom="margin">
                    <wp:posOffset>10795</wp:posOffset>
                  </wp:positionH>
                  <wp:positionV relativeFrom="paragraph">
                    <wp:posOffset>75565</wp:posOffset>
                  </wp:positionV>
                  <wp:extent cx="2199005" cy="11430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199005" cy="1143000"/>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6EAA8649" w14:textId="360FEBB0" w:rsidR="000F7FA7" w:rsidRPr="00F20AC0" w:rsidRDefault="000F7FA7" w:rsidP="000F7FA7">
            <w:pPr>
              <w:suppressLineNumbers/>
              <w:autoSpaceDE w:val="0"/>
              <w:autoSpaceDN w:val="0"/>
              <w:adjustRightInd w:val="0"/>
              <w:spacing w:after="200" w:line="276" w:lineRule="auto"/>
              <w:contextualSpacing/>
              <w:rPr>
                <w:rFonts w:ascii="Cambria" w:hAnsi="Cambria"/>
                <w:b/>
                <w:bCs/>
                <w:sz w:val="22"/>
                <w:szCs w:val="22"/>
              </w:rPr>
            </w:pPr>
            <w:r w:rsidRPr="00F20AC0">
              <w:rPr>
                <w:rFonts w:ascii="Cambria" w:hAnsi="Cambria"/>
                <w:b/>
                <w:bCs/>
                <w:sz w:val="22"/>
                <w:szCs w:val="22"/>
              </w:rPr>
              <w:t>Step 7</w:t>
            </w:r>
          </w:p>
          <w:p w14:paraId="441807D9" w14:textId="73FC9ACA" w:rsidR="000F7FA7" w:rsidRPr="005A28B7" w:rsidRDefault="000F7FA7" w:rsidP="00F13B4B">
            <w:pPr>
              <w:suppressLineNumbers/>
              <w:autoSpaceDE w:val="0"/>
              <w:autoSpaceDN w:val="0"/>
              <w:adjustRightInd w:val="0"/>
              <w:spacing w:after="200" w:line="276" w:lineRule="auto"/>
              <w:contextualSpacing/>
              <w:rPr>
                <w:rFonts w:ascii="Cambria" w:hAnsi="Cambria"/>
              </w:rPr>
            </w:pPr>
            <w:r w:rsidRPr="00F20AC0">
              <w:rPr>
                <w:rFonts w:ascii="Cambria" w:hAnsi="Cambria"/>
                <w:sz w:val="22"/>
                <w:szCs w:val="22"/>
              </w:rPr>
              <w:t>Verify the correct insertion and placement of the implant by palpating the skin overlying the implant with two fingers.</w:t>
            </w:r>
          </w:p>
        </w:tc>
      </w:tr>
      <w:tr w:rsidR="000F7FA7" w:rsidRPr="005A28B7" w14:paraId="664FEEA0" w14:textId="77777777" w:rsidTr="00F13B4B">
        <w:tc>
          <w:tcPr>
            <w:tcW w:w="4753" w:type="dxa"/>
          </w:tcPr>
          <w:p w14:paraId="2208EF65"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lastRenderedPageBreak/>
              <w:drawing>
                <wp:anchor distT="0" distB="0" distL="114300" distR="114300" simplePos="0" relativeHeight="251663360" behindDoc="0" locked="0" layoutInCell="1" allowOverlap="1" wp14:anchorId="7DE09E91" wp14:editId="59C120DB">
                  <wp:simplePos x="0" y="0"/>
                  <wp:positionH relativeFrom="margin">
                    <wp:posOffset>72390</wp:posOffset>
                  </wp:positionH>
                  <wp:positionV relativeFrom="paragraph">
                    <wp:posOffset>48895</wp:posOffset>
                  </wp:positionV>
                  <wp:extent cx="1655445" cy="1682750"/>
                  <wp:effectExtent l="0" t="0" r="190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5445" cy="1682750"/>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253CC444" w14:textId="48A57B35" w:rsidR="000F7FA7" w:rsidRPr="00F20AC0" w:rsidRDefault="00F13B4B" w:rsidP="000F7FA7">
            <w:pPr>
              <w:suppressLineNumbers/>
              <w:autoSpaceDE w:val="0"/>
              <w:autoSpaceDN w:val="0"/>
              <w:adjustRightInd w:val="0"/>
              <w:spacing w:after="200" w:line="276" w:lineRule="auto"/>
              <w:contextualSpacing/>
              <w:rPr>
                <w:rFonts w:ascii="Cambria" w:hAnsi="Cambria"/>
                <w:b/>
                <w:bCs/>
                <w:sz w:val="22"/>
                <w:szCs w:val="22"/>
              </w:rPr>
            </w:pPr>
            <w:r>
              <w:rPr>
                <w:rFonts w:ascii="Cambria" w:hAnsi="Cambria"/>
                <w:b/>
                <w:bCs/>
                <w:sz w:val="22"/>
                <w:szCs w:val="22"/>
              </w:rPr>
              <w:t>Step 8</w:t>
            </w:r>
          </w:p>
          <w:p w14:paraId="30F9481B" w14:textId="110B6EAA" w:rsidR="000F7FA7" w:rsidRPr="005A28B7" w:rsidRDefault="000F7FA7" w:rsidP="00F13B4B">
            <w:pPr>
              <w:suppressLineNumbers/>
              <w:autoSpaceDE w:val="0"/>
              <w:autoSpaceDN w:val="0"/>
              <w:adjustRightInd w:val="0"/>
              <w:spacing w:after="200" w:line="276" w:lineRule="auto"/>
              <w:contextualSpacing/>
              <w:rPr>
                <w:rFonts w:ascii="Cambria" w:hAnsi="Cambria"/>
              </w:rPr>
            </w:pPr>
            <w:r w:rsidRPr="00F20AC0">
              <w:rPr>
                <w:rFonts w:ascii="Cambria" w:hAnsi="Cambria"/>
                <w:sz w:val="22"/>
                <w:szCs w:val="22"/>
              </w:rPr>
              <w:t>Apply dressing to the insertion site. Leave dressing in place for 24 hours.</w:t>
            </w:r>
          </w:p>
        </w:tc>
      </w:tr>
      <w:tr w:rsidR="000F7FA7" w:rsidRPr="005A28B7" w14:paraId="785DDFDB" w14:textId="77777777" w:rsidTr="00F13B4B">
        <w:trPr>
          <w:trHeight w:val="2737"/>
        </w:trPr>
        <w:tc>
          <w:tcPr>
            <w:tcW w:w="4753" w:type="dxa"/>
          </w:tcPr>
          <w:p w14:paraId="23826085" w14:textId="77777777" w:rsidR="000F7FA7" w:rsidRPr="005A28B7" w:rsidRDefault="000F7FA7" w:rsidP="000F7FA7">
            <w:pPr>
              <w:suppressLineNumbers/>
              <w:autoSpaceDE w:val="0"/>
              <w:autoSpaceDN w:val="0"/>
              <w:adjustRightInd w:val="0"/>
              <w:spacing w:after="200" w:line="276" w:lineRule="auto"/>
              <w:contextualSpacing/>
              <w:rPr>
                <w:rFonts w:ascii="Cambria" w:hAnsi="Cambria"/>
              </w:rPr>
            </w:pPr>
            <w:r w:rsidRPr="005A28B7">
              <w:rPr>
                <w:rFonts w:ascii="Cambria" w:hAnsi="Cambria"/>
                <w:noProof/>
                <w:lang w:val="en-AU" w:eastAsia="en-AU"/>
              </w:rPr>
              <w:drawing>
                <wp:anchor distT="0" distB="0" distL="114300" distR="114300" simplePos="0" relativeHeight="251664384" behindDoc="1" locked="0" layoutInCell="1" allowOverlap="1" wp14:anchorId="29677520" wp14:editId="01052040">
                  <wp:simplePos x="0" y="0"/>
                  <wp:positionH relativeFrom="margin">
                    <wp:posOffset>131325</wp:posOffset>
                  </wp:positionH>
                  <wp:positionV relativeFrom="paragraph">
                    <wp:posOffset>121354</wp:posOffset>
                  </wp:positionV>
                  <wp:extent cx="1908810" cy="1613535"/>
                  <wp:effectExtent l="0" t="0" r="0" b="5715"/>
                  <wp:wrapTight wrapText="bothSides">
                    <wp:wrapPolygon edited="0">
                      <wp:start x="0" y="0"/>
                      <wp:lineTo x="0" y="21421"/>
                      <wp:lineTo x="21341" y="21421"/>
                      <wp:lineTo x="2134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8810" cy="1613535"/>
                          </a:xfrm>
                          <a:prstGeom prst="rect">
                            <a:avLst/>
                          </a:prstGeom>
                        </pic:spPr>
                      </pic:pic>
                    </a:graphicData>
                  </a:graphic>
                  <wp14:sizeRelH relativeFrom="page">
                    <wp14:pctWidth>0</wp14:pctWidth>
                  </wp14:sizeRelH>
                  <wp14:sizeRelV relativeFrom="page">
                    <wp14:pctHeight>0</wp14:pctHeight>
                  </wp14:sizeRelV>
                </wp:anchor>
              </w:drawing>
            </w:r>
          </w:p>
        </w:tc>
        <w:tc>
          <w:tcPr>
            <w:tcW w:w="4273" w:type="dxa"/>
          </w:tcPr>
          <w:p w14:paraId="3CD0F275" w14:textId="77777777" w:rsidR="000F7FA7" w:rsidRPr="00F20AC0" w:rsidRDefault="000F7FA7" w:rsidP="000F7FA7">
            <w:pPr>
              <w:suppressLineNumbers/>
              <w:autoSpaceDE w:val="0"/>
              <w:autoSpaceDN w:val="0"/>
              <w:adjustRightInd w:val="0"/>
              <w:spacing w:after="200" w:line="276" w:lineRule="auto"/>
              <w:contextualSpacing/>
              <w:rPr>
                <w:rFonts w:ascii="Cambria" w:hAnsi="Cambria"/>
                <w:b/>
                <w:bCs/>
                <w:sz w:val="22"/>
                <w:szCs w:val="22"/>
              </w:rPr>
            </w:pPr>
            <w:r w:rsidRPr="00F20AC0">
              <w:rPr>
                <w:rFonts w:ascii="Cambria" w:hAnsi="Cambria"/>
                <w:b/>
                <w:bCs/>
                <w:sz w:val="22"/>
                <w:szCs w:val="22"/>
              </w:rPr>
              <w:t>Step 9</w:t>
            </w:r>
          </w:p>
          <w:p w14:paraId="086A7D84" w14:textId="31A40BED" w:rsidR="000F7FA7" w:rsidRPr="005A28B7" w:rsidRDefault="000F7FA7" w:rsidP="00F13B4B">
            <w:pPr>
              <w:suppressLineNumbers/>
              <w:autoSpaceDE w:val="0"/>
              <w:autoSpaceDN w:val="0"/>
              <w:adjustRightInd w:val="0"/>
              <w:spacing w:after="200" w:line="276" w:lineRule="auto"/>
              <w:contextualSpacing/>
              <w:rPr>
                <w:rFonts w:ascii="Cambria" w:hAnsi="Cambria"/>
              </w:rPr>
            </w:pPr>
            <w:r w:rsidRPr="00F20AC0">
              <w:rPr>
                <w:rFonts w:ascii="Cambria" w:hAnsi="Cambria"/>
                <w:sz w:val="22"/>
                <w:szCs w:val="22"/>
              </w:rPr>
              <w:t>Monitor the patient for 30 minutes after the implant administration.</w:t>
            </w:r>
          </w:p>
        </w:tc>
      </w:tr>
    </w:tbl>
    <w:p w14:paraId="2C9185C3" w14:textId="64B3A47D" w:rsidR="0018499F" w:rsidRPr="005A28B7" w:rsidRDefault="0018499F" w:rsidP="00F13B4B">
      <w:pPr>
        <w:spacing w:before="200"/>
        <w:jc w:val="both"/>
        <w:rPr>
          <w:rFonts w:asciiTheme="majorHAnsi" w:hAnsiTheme="majorHAnsi"/>
          <w:noProof/>
        </w:rPr>
      </w:pPr>
      <w:r w:rsidRPr="005A28B7">
        <w:rPr>
          <w:rFonts w:asciiTheme="majorHAnsi" w:hAnsiTheme="majorHAnsi"/>
          <w:noProof/>
        </w:rPr>
        <w:t>The implant can be surgically removed if needed.</w:t>
      </w:r>
      <w:r w:rsidR="003D3213" w:rsidRPr="005A28B7">
        <w:rPr>
          <w:rFonts w:asciiTheme="majorHAnsi" w:hAnsiTheme="majorHAnsi"/>
          <w:noProof/>
        </w:rPr>
        <w:t xml:space="preserve"> If it is necessary, implant removal is recommended within </w:t>
      </w:r>
      <w:r w:rsidR="002E0BF1" w:rsidRPr="005A28B7">
        <w:rPr>
          <w:rFonts w:asciiTheme="majorHAnsi" w:hAnsiTheme="majorHAnsi"/>
          <w:noProof/>
        </w:rPr>
        <w:t>96</w:t>
      </w:r>
      <w:r w:rsidR="003D3213" w:rsidRPr="005A28B7">
        <w:rPr>
          <w:rFonts w:asciiTheme="majorHAnsi" w:hAnsiTheme="majorHAnsi"/>
          <w:noProof/>
        </w:rPr>
        <w:t xml:space="preserve"> hours of implantation.</w:t>
      </w:r>
    </w:p>
    <w:p w14:paraId="65C56540" w14:textId="77777777" w:rsidR="001A3992" w:rsidRPr="005A28B7" w:rsidRDefault="001A3992" w:rsidP="001A3992">
      <w:pPr>
        <w:pStyle w:val="Heading2"/>
        <w:spacing w:before="0" w:after="120"/>
        <w:rPr>
          <w:rFonts w:cstheme="minorHAnsi"/>
        </w:rPr>
      </w:pPr>
      <w:r w:rsidRPr="005A28B7">
        <w:rPr>
          <w:rFonts w:cstheme="minorHAnsi"/>
        </w:rPr>
        <w:t>Contraindications</w:t>
      </w:r>
    </w:p>
    <w:p w14:paraId="60CA392A" w14:textId="77777777" w:rsidR="0018499F" w:rsidRPr="005A28B7" w:rsidRDefault="0018499F" w:rsidP="00E20F1A">
      <w:pPr>
        <w:numPr>
          <w:ilvl w:val="0"/>
          <w:numId w:val="12"/>
        </w:numPr>
        <w:spacing w:after="0" w:line="240" w:lineRule="auto"/>
        <w:ind w:left="567" w:hanging="567"/>
        <w:contextualSpacing/>
        <w:rPr>
          <w:rFonts w:asciiTheme="majorHAnsi" w:hAnsiTheme="majorHAnsi"/>
        </w:rPr>
      </w:pPr>
      <w:r w:rsidRPr="005A28B7">
        <w:rPr>
          <w:rFonts w:asciiTheme="majorHAnsi" w:hAnsiTheme="majorHAnsi"/>
        </w:rPr>
        <w:t>Hypersensitivity to the active substance or to any of the excipients listed in section 6.1</w:t>
      </w:r>
    </w:p>
    <w:p w14:paraId="48FFF632" w14:textId="77777777" w:rsidR="0018499F" w:rsidRPr="005A28B7" w:rsidRDefault="0018499F" w:rsidP="00E20F1A">
      <w:pPr>
        <w:numPr>
          <w:ilvl w:val="0"/>
          <w:numId w:val="12"/>
        </w:numPr>
        <w:spacing w:after="0" w:line="240" w:lineRule="auto"/>
        <w:ind w:left="567" w:hanging="567"/>
        <w:contextualSpacing/>
        <w:rPr>
          <w:rFonts w:asciiTheme="majorHAnsi" w:hAnsiTheme="majorHAnsi"/>
        </w:rPr>
      </w:pPr>
      <w:r w:rsidRPr="005A28B7">
        <w:rPr>
          <w:rFonts w:asciiTheme="majorHAnsi" w:hAnsiTheme="majorHAnsi"/>
        </w:rPr>
        <w:t>Presence of severe hepatic disease</w:t>
      </w:r>
    </w:p>
    <w:p w14:paraId="1E94B242" w14:textId="613A88F8" w:rsidR="0018499F" w:rsidRPr="005A28B7" w:rsidRDefault="0018499F" w:rsidP="00E20F1A">
      <w:pPr>
        <w:numPr>
          <w:ilvl w:val="0"/>
          <w:numId w:val="12"/>
        </w:numPr>
        <w:spacing w:after="0" w:line="240" w:lineRule="auto"/>
        <w:ind w:left="567" w:hanging="567"/>
        <w:contextualSpacing/>
        <w:rPr>
          <w:rFonts w:asciiTheme="majorHAnsi" w:hAnsiTheme="majorHAnsi"/>
        </w:rPr>
      </w:pPr>
      <w:r w:rsidRPr="005A28B7">
        <w:rPr>
          <w:rFonts w:asciiTheme="majorHAnsi" w:hAnsiTheme="majorHAnsi"/>
        </w:rPr>
        <w:t xml:space="preserve">Hepatic impairment (see section </w:t>
      </w:r>
      <w:r w:rsidR="00414E9A" w:rsidRPr="005A28B7">
        <w:rPr>
          <w:rFonts w:asciiTheme="majorHAnsi" w:hAnsiTheme="majorHAnsi"/>
        </w:rPr>
        <w:t>4.4</w:t>
      </w:r>
      <w:r w:rsidRPr="005A28B7">
        <w:rPr>
          <w:rFonts w:asciiTheme="majorHAnsi" w:hAnsiTheme="majorHAnsi"/>
        </w:rPr>
        <w:t>)</w:t>
      </w:r>
    </w:p>
    <w:p w14:paraId="49875C80" w14:textId="2713F87C" w:rsidR="0018499F" w:rsidRPr="005A28B7" w:rsidRDefault="0018499F" w:rsidP="00F13B4B">
      <w:pPr>
        <w:numPr>
          <w:ilvl w:val="0"/>
          <w:numId w:val="12"/>
        </w:numPr>
        <w:spacing w:line="240" w:lineRule="auto"/>
        <w:ind w:left="567" w:hanging="567"/>
        <w:rPr>
          <w:rFonts w:asciiTheme="majorHAnsi" w:hAnsiTheme="majorHAnsi"/>
        </w:rPr>
      </w:pPr>
      <w:r w:rsidRPr="005A28B7">
        <w:rPr>
          <w:rFonts w:asciiTheme="majorHAnsi" w:hAnsiTheme="majorHAnsi"/>
        </w:rPr>
        <w:t xml:space="preserve">Renal impairment (see section </w:t>
      </w:r>
      <w:r w:rsidR="00414E9A" w:rsidRPr="005A28B7">
        <w:rPr>
          <w:rFonts w:asciiTheme="majorHAnsi" w:hAnsiTheme="majorHAnsi"/>
        </w:rPr>
        <w:t>4.4</w:t>
      </w:r>
      <w:r w:rsidRPr="005A28B7">
        <w:rPr>
          <w:rFonts w:asciiTheme="majorHAnsi" w:hAnsiTheme="majorHAnsi"/>
        </w:rPr>
        <w:t>)</w:t>
      </w:r>
    </w:p>
    <w:p w14:paraId="0730E77C" w14:textId="77777777" w:rsidR="001A3992" w:rsidRPr="005A28B7" w:rsidRDefault="00E74A56" w:rsidP="001A3992">
      <w:pPr>
        <w:pStyle w:val="Heading2"/>
        <w:spacing w:before="0" w:after="120"/>
        <w:rPr>
          <w:rFonts w:cstheme="minorHAnsi"/>
        </w:rPr>
      </w:pPr>
      <w:r w:rsidRPr="005A28B7">
        <w:rPr>
          <w:rFonts w:cstheme="minorHAnsi"/>
        </w:rPr>
        <w:t>Special warnings and p</w:t>
      </w:r>
      <w:r w:rsidR="001A3992" w:rsidRPr="005A28B7">
        <w:rPr>
          <w:rFonts w:cstheme="minorHAnsi"/>
        </w:rPr>
        <w:t xml:space="preserve">recautions </w:t>
      </w:r>
      <w:r w:rsidRPr="005A28B7">
        <w:rPr>
          <w:rFonts w:cstheme="minorHAnsi"/>
        </w:rPr>
        <w:t>for use</w:t>
      </w:r>
    </w:p>
    <w:p w14:paraId="7A2D3C10" w14:textId="77777777" w:rsidR="0051243C" w:rsidRPr="005A28B7" w:rsidRDefault="0051243C" w:rsidP="0051243C">
      <w:pPr>
        <w:autoSpaceDE w:val="0"/>
        <w:autoSpaceDN w:val="0"/>
        <w:adjustRightInd w:val="0"/>
        <w:contextualSpacing/>
        <w:rPr>
          <w:rFonts w:asciiTheme="majorHAnsi" w:hAnsiTheme="majorHAnsi"/>
          <w:u w:val="single"/>
        </w:rPr>
      </w:pPr>
      <w:r w:rsidRPr="005A28B7">
        <w:rPr>
          <w:rFonts w:asciiTheme="majorHAnsi" w:hAnsiTheme="majorHAnsi"/>
          <w:u w:val="single"/>
        </w:rPr>
        <w:t>Concomitant disorders not studied</w:t>
      </w:r>
    </w:p>
    <w:p w14:paraId="34661E9C" w14:textId="6B6E0DC9" w:rsidR="0051243C" w:rsidRPr="005A28B7" w:rsidRDefault="0051243C" w:rsidP="00E20F1A">
      <w:pPr>
        <w:tabs>
          <w:tab w:val="left" w:pos="8505"/>
        </w:tabs>
        <w:autoSpaceDE w:val="0"/>
        <w:autoSpaceDN w:val="0"/>
        <w:adjustRightInd w:val="0"/>
        <w:rPr>
          <w:rFonts w:asciiTheme="majorHAnsi" w:hAnsiTheme="majorHAnsi"/>
        </w:rPr>
      </w:pPr>
      <w:r w:rsidRPr="005A28B7">
        <w:rPr>
          <w:rFonts w:asciiTheme="majorHAnsi" w:hAnsiTheme="majorHAnsi"/>
        </w:rPr>
        <w:t xml:space="preserve">Clinically significant disorders of the gastrointestinal, cardiovascular, respiratory, endocrine (including diabetes, Cushing’s disease, Addison’s disease, </w:t>
      </w:r>
      <w:proofErr w:type="spellStart"/>
      <w:r w:rsidRPr="005A28B7">
        <w:rPr>
          <w:rFonts w:asciiTheme="majorHAnsi" w:hAnsiTheme="majorHAnsi"/>
        </w:rPr>
        <w:t>Peutz-Jeghers</w:t>
      </w:r>
      <w:proofErr w:type="spellEnd"/>
      <w:r w:rsidRPr="005A28B7">
        <w:rPr>
          <w:rFonts w:asciiTheme="majorHAnsi" w:hAnsiTheme="majorHAnsi"/>
        </w:rPr>
        <w:t xml:space="preserve"> syndrome), neurological (including seizures) and haematological (especially anaemia) systems have not been evaluated.</w:t>
      </w:r>
    </w:p>
    <w:p w14:paraId="4CB1169F" w14:textId="77777777" w:rsidR="0051243C" w:rsidRPr="005A28B7" w:rsidRDefault="0051243C" w:rsidP="00E20F1A">
      <w:pPr>
        <w:tabs>
          <w:tab w:val="left" w:pos="8505"/>
        </w:tabs>
        <w:autoSpaceDE w:val="0"/>
        <w:autoSpaceDN w:val="0"/>
        <w:adjustRightInd w:val="0"/>
        <w:rPr>
          <w:rFonts w:asciiTheme="majorHAnsi" w:hAnsiTheme="majorHAnsi"/>
        </w:rPr>
      </w:pPr>
      <w:r w:rsidRPr="005A28B7">
        <w:rPr>
          <w:rFonts w:asciiTheme="majorHAnsi" w:hAnsiTheme="majorHAnsi"/>
        </w:rPr>
        <w:t xml:space="preserve">A careful decision </w:t>
      </w:r>
      <w:proofErr w:type="gramStart"/>
      <w:r w:rsidRPr="005A28B7">
        <w:rPr>
          <w:rFonts w:asciiTheme="majorHAnsi" w:hAnsiTheme="majorHAnsi"/>
        </w:rPr>
        <w:t>must be made</w:t>
      </w:r>
      <w:proofErr w:type="gramEnd"/>
      <w:r w:rsidRPr="005A28B7">
        <w:rPr>
          <w:rFonts w:asciiTheme="majorHAnsi" w:hAnsiTheme="majorHAnsi"/>
        </w:rPr>
        <w:t xml:space="preserve"> whether to treat patients with any of these conditions with this medicinal product. If such patients are treated, they must be monitored after each implant administration, including vital signs, routine haematology, and biochemistry.</w:t>
      </w:r>
    </w:p>
    <w:p w14:paraId="46563129" w14:textId="77777777" w:rsidR="0051243C" w:rsidRPr="005A28B7" w:rsidRDefault="0051243C" w:rsidP="00B71FC4">
      <w:pPr>
        <w:autoSpaceDE w:val="0"/>
        <w:autoSpaceDN w:val="0"/>
        <w:adjustRightInd w:val="0"/>
        <w:rPr>
          <w:rFonts w:asciiTheme="majorHAnsi" w:hAnsiTheme="majorHAnsi"/>
          <w:u w:val="single"/>
        </w:rPr>
      </w:pPr>
      <w:r w:rsidRPr="005A28B7">
        <w:rPr>
          <w:rFonts w:asciiTheme="majorHAnsi" w:hAnsiTheme="majorHAnsi"/>
          <w:u w:val="single"/>
        </w:rPr>
        <w:t>Sun protection</w:t>
      </w:r>
    </w:p>
    <w:p w14:paraId="73A8DB64" w14:textId="29D9D138" w:rsidR="0051243C" w:rsidRPr="005A28B7" w:rsidRDefault="0051243C" w:rsidP="00B71FC4">
      <w:pPr>
        <w:autoSpaceDE w:val="0"/>
        <w:autoSpaceDN w:val="0"/>
        <w:adjustRightInd w:val="0"/>
        <w:rPr>
          <w:rFonts w:asciiTheme="majorHAnsi" w:hAnsiTheme="majorHAnsi"/>
        </w:rPr>
      </w:pPr>
      <w:r w:rsidRPr="005A28B7">
        <w:rPr>
          <w:rFonts w:asciiTheme="majorHAnsi" w:hAnsiTheme="majorHAnsi"/>
        </w:rPr>
        <w:t>It is recommended that sun protection measures routinely adopted by each patient to manage their photosensitivity related to EPP and in accordance with their skin type (Fitzpatrick scale) are maintained during treatment with this medicinal product.</w:t>
      </w:r>
    </w:p>
    <w:p w14:paraId="7886C2B4" w14:textId="77777777" w:rsidR="0051243C" w:rsidRPr="005A28B7" w:rsidRDefault="0051243C" w:rsidP="00336CB1">
      <w:pPr>
        <w:keepNext/>
        <w:keepLines/>
        <w:autoSpaceDE w:val="0"/>
        <w:autoSpaceDN w:val="0"/>
        <w:adjustRightInd w:val="0"/>
        <w:contextualSpacing/>
        <w:rPr>
          <w:rFonts w:asciiTheme="majorHAnsi" w:hAnsiTheme="majorHAnsi"/>
          <w:u w:val="single"/>
        </w:rPr>
      </w:pPr>
      <w:r w:rsidRPr="005A28B7">
        <w:rPr>
          <w:rFonts w:asciiTheme="majorHAnsi" w:hAnsiTheme="majorHAnsi"/>
          <w:u w:val="single"/>
        </w:rPr>
        <w:lastRenderedPageBreak/>
        <w:t>Skin monitoring</w:t>
      </w:r>
    </w:p>
    <w:p w14:paraId="64E87085" w14:textId="77777777" w:rsidR="0051243C" w:rsidRPr="005A28B7" w:rsidRDefault="0051243C" w:rsidP="00336CB1">
      <w:pPr>
        <w:keepNext/>
        <w:keepLines/>
        <w:autoSpaceDE w:val="0"/>
        <w:autoSpaceDN w:val="0"/>
        <w:adjustRightInd w:val="0"/>
        <w:rPr>
          <w:rFonts w:asciiTheme="majorHAnsi" w:hAnsiTheme="majorHAnsi"/>
        </w:rPr>
      </w:pPr>
      <w:r w:rsidRPr="005A28B7">
        <w:rPr>
          <w:rFonts w:asciiTheme="majorHAnsi" w:hAnsiTheme="majorHAnsi"/>
        </w:rPr>
        <w:t>Afamelanotide may induce darkening of pre-existing pigmentary lesions due to its pharmacological effect. A regular full body skin examination (every 6 months) is recommended to monitor all pigmentary lesions and other skin abnormalities.</w:t>
      </w:r>
    </w:p>
    <w:p w14:paraId="44318558" w14:textId="77777777" w:rsidR="0051243C" w:rsidRPr="005A28B7" w:rsidRDefault="0051243C" w:rsidP="00E20F1A">
      <w:pPr>
        <w:suppressLineNumbers/>
        <w:rPr>
          <w:rFonts w:asciiTheme="majorHAnsi" w:hAnsiTheme="majorHAnsi"/>
        </w:rPr>
      </w:pPr>
      <w:r w:rsidRPr="005A28B7">
        <w:rPr>
          <w:rFonts w:asciiTheme="majorHAnsi" w:hAnsiTheme="majorHAnsi"/>
          <w:noProof/>
        </w:rPr>
        <w:t>If the skin changes noted are consistent with skin cancer or its precursors, or are ambiguous to the porphyria specialist, dermatology specialist consultation should be sought.</w:t>
      </w:r>
    </w:p>
    <w:p w14:paraId="3AD55171" w14:textId="77777777" w:rsidR="0051243C" w:rsidRPr="005A28B7" w:rsidRDefault="0051243C" w:rsidP="0051243C">
      <w:pPr>
        <w:jc w:val="both"/>
        <w:rPr>
          <w:rFonts w:asciiTheme="majorHAnsi" w:hAnsiTheme="majorHAnsi"/>
        </w:rPr>
      </w:pPr>
      <w:r w:rsidRPr="005A28B7">
        <w:rPr>
          <w:rFonts w:asciiTheme="majorHAnsi" w:hAnsiTheme="majorHAnsi"/>
        </w:rPr>
        <w:t>The two total full body skin examinations per year are intended to:</w:t>
      </w:r>
    </w:p>
    <w:p w14:paraId="24A2390A" w14:textId="77777777" w:rsidR="0051243C" w:rsidRPr="005A28B7" w:rsidRDefault="0051243C" w:rsidP="00E20F1A">
      <w:pPr>
        <w:numPr>
          <w:ilvl w:val="0"/>
          <w:numId w:val="11"/>
        </w:numPr>
        <w:autoSpaceDE w:val="0"/>
        <w:autoSpaceDN w:val="0"/>
        <w:adjustRightInd w:val="0"/>
        <w:spacing w:after="0" w:line="240" w:lineRule="auto"/>
        <w:ind w:left="567" w:hanging="567"/>
        <w:rPr>
          <w:rFonts w:asciiTheme="majorHAnsi" w:hAnsiTheme="majorHAnsi"/>
        </w:rPr>
      </w:pPr>
      <w:r w:rsidRPr="005A28B7">
        <w:rPr>
          <w:rFonts w:asciiTheme="majorHAnsi" w:hAnsiTheme="majorHAnsi"/>
        </w:rPr>
        <w:t>detect early any skin cancers and their precursors induced by UV-exposure, as EPP patients can be expected to significantly increase their exposure to sunlight and UV light while on treatment with afamelanotide. EPP patients with fair skin may be more likely to request treatment and are more prone to developing UV light-associated skin changes, including cancer;</w:t>
      </w:r>
    </w:p>
    <w:p w14:paraId="7E72F811" w14:textId="2D8B4A85" w:rsidR="0051243C" w:rsidRPr="005A28B7" w:rsidRDefault="0051243C" w:rsidP="00F13B4B">
      <w:pPr>
        <w:numPr>
          <w:ilvl w:val="0"/>
          <w:numId w:val="11"/>
        </w:numPr>
        <w:autoSpaceDE w:val="0"/>
        <w:autoSpaceDN w:val="0"/>
        <w:adjustRightInd w:val="0"/>
        <w:spacing w:line="240" w:lineRule="auto"/>
        <w:ind w:left="567" w:hanging="567"/>
        <w:rPr>
          <w:rFonts w:asciiTheme="majorHAnsi" w:hAnsiTheme="majorHAnsi"/>
        </w:rPr>
      </w:pPr>
      <w:proofErr w:type="gramStart"/>
      <w:r w:rsidRPr="005A28B7">
        <w:rPr>
          <w:rFonts w:asciiTheme="majorHAnsi" w:hAnsiTheme="majorHAnsi"/>
        </w:rPr>
        <w:t>detect</w:t>
      </w:r>
      <w:proofErr w:type="gramEnd"/>
      <w:r w:rsidRPr="005A28B7">
        <w:rPr>
          <w:rFonts w:asciiTheme="majorHAnsi" w:hAnsiTheme="majorHAnsi"/>
        </w:rPr>
        <w:t xml:space="preserve"> and monitor changes in pigmentary lesions, thus allowing early detection of melanoma.</w:t>
      </w:r>
    </w:p>
    <w:p w14:paraId="6CE391A4" w14:textId="77777777" w:rsidR="0051243C" w:rsidRPr="005A28B7" w:rsidRDefault="0051243C" w:rsidP="008A15D5">
      <w:pPr>
        <w:autoSpaceDE w:val="0"/>
        <w:autoSpaceDN w:val="0"/>
        <w:adjustRightInd w:val="0"/>
        <w:jc w:val="both"/>
        <w:rPr>
          <w:rFonts w:asciiTheme="majorHAnsi" w:hAnsiTheme="majorHAnsi"/>
          <w:noProof/>
        </w:rPr>
      </w:pPr>
      <w:r w:rsidRPr="005A28B7">
        <w:rPr>
          <w:rFonts w:asciiTheme="majorHAnsi" w:hAnsiTheme="majorHAnsi"/>
          <w:noProof/>
        </w:rPr>
        <w:t>Special caution is warranted in patients with an</w:t>
      </w:r>
      <w:r w:rsidR="008A15D5" w:rsidRPr="005A28B7">
        <w:rPr>
          <w:rFonts w:asciiTheme="majorHAnsi" w:hAnsiTheme="majorHAnsi"/>
          <w:noProof/>
        </w:rPr>
        <w:t>:</w:t>
      </w:r>
    </w:p>
    <w:p w14:paraId="71573F34" w14:textId="77777777" w:rsidR="0051243C" w:rsidRPr="005A28B7" w:rsidRDefault="0051243C" w:rsidP="00E20F1A">
      <w:pPr>
        <w:numPr>
          <w:ilvl w:val="0"/>
          <w:numId w:val="11"/>
        </w:numPr>
        <w:autoSpaceDE w:val="0"/>
        <w:autoSpaceDN w:val="0"/>
        <w:adjustRightInd w:val="0"/>
        <w:spacing w:after="0" w:line="240" w:lineRule="auto"/>
        <w:ind w:left="567" w:hanging="567"/>
        <w:rPr>
          <w:rFonts w:asciiTheme="majorHAnsi" w:hAnsiTheme="majorHAnsi"/>
          <w:noProof/>
        </w:rPr>
      </w:pPr>
      <w:r w:rsidRPr="005A28B7">
        <w:rPr>
          <w:rFonts w:asciiTheme="majorHAnsi" w:hAnsiTheme="majorHAnsi"/>
          <w:noProof/>
        </w:rPr>
        <w:t>individual or family history</w:t>
      </w:r>
      <w:r w:rsidRPr="005A28B7">
        <w:rPr>
          <w:rFonts w:asciiTheme="majorHAnsi" w:hAnsiTheme="majorHAnsi"/>
        </w:rPr>
        <w:t xml:space="preserve"> of melanoma (inclusive of </w:t>
      </w:r>
      <w:r w:rsidRPr="005A28B7">
        <w:rPr>
          <w:rFonts w:asciiTheme="majorHAnsi" w:hAnsiTheme="majorHAnsi"/>
          <w:i/>
        </w:rPr>
        <w:t>in-situ</w:t>
      </w:r>
      <w:r w:rsidRPr="005A28B7">
        <w:rPr>
          <w:rFonts w:asciiTheme="majorHAnsi" w:hAnsiTheme="majorHAnsi"/>
        </w:rPr>
        <w:t xml:space="preserve"> melanoma, e.g. </w:t>
      </w:r>
      <w:proofErr w:type="spellStart"/>
      <w:r w:rsidRPr="005A28B7">
        <w:rPr>
          <w:rFonts w:asciiTheme="majorHAnsi" w:hAnsiTheme="majorHAnsi"/>
        </w:rPr>
        <w:t>lentigo</w:t>
      </w:r>
      <w:proofErr w:type="spellEnd"/>
      <w:r w:rsidRPr="005A28B7">
        <w:rPr>
          <w:rFonts w:asciiTheme="majorHAnsi" w:hAnsiTheme="majorHAnsi"/>
        </w:rPr>
        <w:t xml:space="preserve"> </w:t>
      </w:r>
      <w:proofErr w:type="spellStart"/>
      <w:r w:rsidRPr="005A28B7">
        <w:rPr>
          <w:rFonts w:asciiTheme="majorHAnsi" w:hAnsiTheme="majorHAnsi"/>
        </w:rPr>
        <w:t>maligna</w:t>
      </w:r>
      <w:proofErr w:type="spellEnd"/>
      <w:r w:rsidRPr="005A28B7">
        <w:rPr>
          <w:rFonts w:asciiTheme="majorHAnsi" w:hAnsiTheme="majorHAnsi"/>
        </w:rPr>
        <w:t>) or suspected or confirmed s</w:t>
      </w:r>
      <w:r w:rsidRPr="005A28B7">
        <w:rPr>
          <w:rFonts w:asciiTheme="majorHAnsi" w:hAnsiTheme="majorHAnsi"/>
          <w:noProof/>
        </w:rPr>
        <w:t xml:space="preserve">usceptibility to cutaneous melanoma (CMM1, MIM </w:t>
      </w:r>
      <w:r w:rsidRPr="005A28B7">
        <w:rPr>
          <w:rStyle w:val="prefix"/>
          <w:rFonts w:asciiTheme="majorHAnsi" w:hAnsiTheme="majorHAnsi"/>
        </w:rPr>
        <w:t>#</w:t>
      </w:r>
      <w:r w:rsidRPr="005A28B7">
        <w:rPr>
          <w:rStyle w:val="mim-number"/>
          <w:rFonts w:asciiTheme="majorHAnsi" w:hAnsiTheme="majorHAnsi"/>
        </w:rPr>
        <w:t>155600</w:t>
      </w:r>
      <w:r w:rsidRPr="005A28B7">
        <w:rPr>
          <w:rFonts w:asciiTheme="majorHAnsi" w:hAnsiTheme="majorHAnsi"/>
          <w:noProof/>
        </w:rPr>
        <w:t>, synonyms: familial atypical mole-malignant melanoma syndrome, FAMMM; dysplastic naevus syndrome, DNS; B-K mole syndrome; CMM2 MIM #155601)</w:t>
      </w:r>
    </w:p>
    <w:p w14:paraId="3B20AD32" w14:textId="29758166" w:rsidR="0051243C" w:rsidRPr="005A28B7" w:rsidRDefault="0051243C" w:rsidP="008A15D5">
      <w:pPr>
        <w:autoSpaceDE w:val="0"/>
        <w:autoSpaceDN w:val="0"/>
        <w:adjustRightInd w:val="0"/>
        <w:jc w:val="both"/>
        <w:rPr>
          <w:rFonts w:asciiTheme="majorHAnsi" w:hAnsiTheme="majorHAnsi"/>
          <w:noProof/>
        </w:rPr>
      </w:pPr>
      <w:r w:rsidRPr="005A28B7">
        <w:rPr>
          <w:rFonts w:asciiTheme="majorHAnsi" w:hAnsiTheme="majorHAnsi"/>
          <w:noProof/>
        </w:rPr>
        <w:t>and/or an</w:t>
      </w:r>
    </w:p>
    <w:p w14:paraId="6FA12204" w14:textId="77777777" w:rsidR="0051243C" w:rsidRPr="005A28B7" w:rsidRDefault="0051243C" w:rsidP="00F13B4B">
      <w:pPr>
        <w:numPr>
          <w:ilvl w:val="0"/>
          <w:numId w:val="11"/>
        </w:numPr>
        <w:suppressLineNumbers/>
        <w:spacing w:line="240" w:lineRule="auto"/>
        <w:ind w:left="567" w:hanging="567"/>
        <w:rPr>
          <w:rFonts w:asciiTheme="majorHAnsi" w:hAnsiTheme="majorHAnsi"/>
        </w:rPr>
      </w:pPr>
      <w:r w:rsidRPr="005A28B7">
        <w:rPr>
          <w:rFonts w:asciiTheme="majorHAnsi" w:hAnsiTheme="majorHAnsi"/>
        </w:rPr>
        <w:t xml:space="preserve">individual history of basal cell carcinoma, squamous cell carcinoma (inclusive of carcinoma </w:t>
      </w:r>
      <w:r w:rsidRPr="005A28B7">
        <w:rPr>
          <w:rFonts w:asciiTheme="majorHAnsi" w:hAnsiTheme="majorHAnsi"/>
          <w:i/>
        </w:rPr>
        <w:t>in situ</w:t>
      </w:r>
      <w:r w:rsidRPr="005A28B7">
        <w:rPr>
          <w:rFonts w:asciiTheme="majorHAnsi" w:hAnsiTheme="majorHAnsi"/>
        </w:rPr>
        <w:t xml:space="preserve">, e.g. Bowen’s disease), Merkel cell carcinoma, or other </w:t>
      </w:r>
      <w:r w:rsidRPr="005A28B7">
        <w:rPr>
          <w:rFonts w:asciiTheme="majorHAnsi" w:hAnsiTheme="majorHAnsi"/>
          <w:noProof/>
        </w:rPr>
        <w:t>malignant</w:t>
      </w:r>
      <w:r w:rsidRPr="005A28B7">
        <w:rPr>
          <w:rFonts w:asciiTheme="majorHAnsi" w:hAnsiTheme="majorHAnsi"/>
        </w:rPr>
        <w:t xml:space="preserve"> or premalignant skin lesions.</w:t>
      </w:r>
    </w:p>
    <w:p w14:paraId="38A9FCFE" w14:textId="77777777" w:rsidR="001A3992" w:rsidRPr="005A28B7" w:rsidRDefault="001A3992" w:rsidP="00224908">
      <w:pPr>
        <w:pStyle w:val="Heading3"/>
        <w:keepNext w:val="0"/>
        <w:keepLines w:val="0"/>
        <w:spacing w:before="0" w:after="120"/>
        <w:rPr>
          <w:rFonts w:cstheme="minorHAnsi"/>
        </w:rPr>
      </w:pPr>
      <w:r w:rsidRPr="005A28B7">
        <w:rPr>
          <w:rFonts w:cstheme="minorHAnsi"/>
        </w:rPr>
        <w:t>Use in the elderly</w:t>
      </w:r>
    </w:p>
    <w:p w14:paraId="6C5B77C2" w14:textId="77777777" w:rsidR="006C384C" w:rsidRPr="005A28B7" w:rsidRDefault="006C384C" w:rsidP="00E20F1A">
      <w:pPr>
        <w:autoSpaceDE w:val="0"/>
        <w:autoSpaceDN w:val="0"/>
        <w:adjustRightInd w:val="0"/>
        <w:contextualSpacing/>
        <w:rPr>
          <w:rFonts w:asciiTheme="majorHAnsi" w:hAnsiTheme="majorHAnsi"/>
        </w:rPr>
      </w:pPr>
      <w:r w:rsidRPr="005A28B7">
        <w:rPr>
          <w:rFonts w:asciiTheme="majorHAnsi" w:hAnsiTheme="majorHAnsi"/>
        </w:rPr>
        <w:t>Since available data in treatment of the elderly are limited, afamelanotide should not be used in patients over 70 years of age. If such patients are treated</w:t>
      </w:r>
      <w:r w:rsidR="00B94BDF" w:rsidRPr="005A28B7">
        <w:rPr>
          <w:rFonts w:asciiTheme="majorHAnsi" w:hAnsiTheme="majorHAnsi"/>
        </w:rPr>
        <w:t>,</w:t>
      </w:r>
      <w:r w:rsidRPr="005A28B7">
        <w:rPr>
          <w:rFonts w:asciiTheme="majorHAnsi" w:hAnsiTheme="majorHAnsi"/>
        </w:rPr>
        <w:t xml:space="preserve"> they must be monitored after administration of every implant, including vital signs, routine haematology and biochemistry.</w:t>
      </w:r>
    </w:p>
    <w:p w14:paraId="0C0E455E" w14:textId="77777777" w:rsidR="001A3992" w:rsidRPr="005A28B7" w:rsidRDefault="001A3992" w:rsidP="00224908">
      <w:pPr>
        <w:pStyle w:val="Heading3"/>
        <w:keepNext w:val="0"/>
        <w:keepLines w:val="0"/>
        <w:spacing w:before="0" w:after="120"/>
        <w:rPr>
          <w:rFonts w:cstheme="minorHAnsi"/>
        </w:rPr>
      </w:pPr>
      <w:r w:rsidRPr="005A28B7">
        <w:rPr>
          <w:rFonts w:cstheme="minorHAnsi"/>
        </w:rPr>
        <w:t>Paediatric use</w:t>
      </w:r>
    </w:p>
    <w:p w14:paraId="1A87CC3E" w14:textId="77777777" w:rsidR="00D20D7C" w:rsidRPr="005A28B7" w:rsidRDefault="00D20D7C" w:rsidP="00E20F1A">
      <w:pPr>
        <w:rPr>
          <w:rFonts w:asciiTheme="majorHAnsi" w:hAnsiTheme="majorHAnsi" w:cstheme="minorHAnsi"/>
          <w:lang w:eastAsia="en-GB"/>
        </w:rPr>
      </w:pPr>
      <w:r w:rsidRPr="005A28B7">
        <w:rPr>
          <w:rFonts w:asciiTheme="majorHAnsi" w:hAnsiTheme="majorHAnsi" w:cstheme="minorHAnsi"/>
          <w:lang w:eastAsia="en-GB"/>
        </w:rPr>
        <w:t>The safety and efficacy of afamelanotide in children and adolescents aged 0 to 17 years have not yet been established.</w:t>
      </w:r>
    </w:p>
    <w:p w14:paraId="7F77E97D" w14:textId="77777777" w:rsidR="001A3992" w:rsidRPr="005A28B7" w:rsidRDefault="001A3992" w:rsidP="00224908">
      <w:pPr>
        <w:pStyle w:val="Heading3"/>
        <w:keepNext w:val="0"/>
        <w:keepLines w:val="0"/>
        <w:spacing w:before="0" w:after="120"/>
        <w:rPr>
          <w:rFonts w:cstheme="minorHAnsi"/>
        </w:rPr>
      </w:pPr>
      <w:r w:rsidRPr="005A28B7">
        <w:rPr>
          <w:rFonts w:cstheme="minorHAnsi"/>
        </w:rPr>
        <w:t>Effects on laboratory tests</w:t>
      </w:r>
    </w:p>
    <w:p w14:paraId="364559CB" w14:textId="0EEAAD1B" w:rsidR="00224908" w:rsidRPr="005A28B7" w:rsidRDefault="00F13B4B" w:rsidP="00224908">
      <w:pPr>
        <w:rPr>
          <w:rFonts w:asciiTheme="majorHAnsi" w:hAnsiTheme="majorHAnsi"/>
        </w:rPr>
      </w:pPr>
      <w:r>
        <w:rPr>
          <w:rFonts w:asciiTheme="majorHAnsi" w:hAnsiTheme="majorHAnsi"/>
        </w:rPr>
        <w:t>No data available.</w:t>
      </w:r>
    </w:p>
    <w:p w14:paraId="45A2CC66" w14:textId="606A008D" w:rsidR="00E52851" w:rsidRPr="005A28B7" w:rsidRDefault="00E52851" w:rsidP="00E52851">
      <w:pPr>
        <w:pStyle w:val="Heading3"/>
        <w:keepNext w:val="0"/>
        <w:keepLines w:val="0"/>
        <w:spacing w:before="0" w:after="120"/>
        <w:rPr>
          <w:rFonts w:cstheme="minorHAnsi"/>
        </w:rPr>
      </w:pPr>
      <w:r w:rsidRPr="005A28B7">
        <w:rPr>
          <w:rFonts w:cstheme="minorHAnsi"/>
        </w:rPr>
        <w:t>Long-term use</w:t>
      </w:r>
    </w:p>
    <w:p w14:paraId="14D07227" w14:textId="77777777" w:rsidR="00E52851" w:rsidRPr="005A28B7" w:rsidRDefault="00E52851" w:rsidP="00E52851">
      <w:pPr>
        <w:rPr>
          <w:rFonts w:asciiTheme="majorHAnsi" w:hAnsiTheme="majorHAnsi" w:cstheme="minorHAnsi"/>
          <w:lang w:eastAsia="en-GB"/>
        </w:rPr>
      </w:pPr>
      <w:r w:rsidRPr="005A28B7">
        <w:rPr>
          <w:rFonts w:asciiTheme="majorHAnsi" w:hAnsiTheme="majorHAnsi" w:cstheme="minorHAnsi"/>
          <w:lang w:eastAsia="en-GB"/>
        </w:rPr>
        <w:t>Long-term safety data for afamelanotide are limited.</w:t>
      </w:r>
    </w:p>
    <w:p w14:paraId="1D92A47A" w14:textId="75CCC27F" w:rsidR="00224908" w:rsidRPr="005A28B7" w:rsidRDefault="00E52851" w:rsidP="00E52851">
      <w:pPr>
        <w:rPr>
          <w:rFonts w:asciiTheme="majorHAnsi" w:hAnsiTheme="majorHAnsi" w:cstheme="minorHAnsi"/>
          <w:lang w:eastAsia="en-GB"/>
        </w:rPr>
      </w:pPr>
      <w:r w:rsidRPr="005A28B7">
        <w:rPr>
          <w:rFonts w:asciiTheme="majorHAnsi" w:hAnsiTheme="majorHAnsi" w:cstheme="minorHAnsi"/>
          <w:lang w:eastAsia="en-GB"/>
        </w:rPr>
        <w:t xml:space="preserve">The safety of this medicinal product has not been evaluated in clinical trials of duration longer than 2 years (see section </w:t>
      </w:r>
      <w:r w:rsidR="005F3198" w:rsidRPr="005A28B7">
        <w:rPr>
          <w:rFonts w:asciiTheme="majorHAnsi" w:hAnsiTheme="majorHAnsi" w:cstheme="minorHAnsi"/>
          <w:lang w:eastAsia="en-GB"/>
        </w:rPr>
        <w:t>5.1</w:t>
      </w:r>
      <w:r w:rsidRPr="005A28B7">
        <w:rPr>
          <w:rFonts w:asciiTheme="majorHAnsi" w:hAnsiTheme="majorHAnsi" w:cstheme="minorHAnsi"/>
          <w:lang w:eastAsia="en-GB"/>
        </w:rPr>
        <w:t>).</w:t>
      </w:r>
    </w:p>
    <w:p w14:paraId="1DBCAD18" w14:textId="77777777" w:rsidR="001A3992" w:rsidRPr="005A28B7" w:rsidRDefault="001A3992" w:rsidP="001A3992">
      <w:pPr>
        <w:pStyle w:val="Heading2"/>
        <w:keepNext/>
        <w:keepLines/>
        <w:spacing w:before="0" w:after="120"/>
        <w:rPr>
          <w:rFonts w:cstheme="minorHAnsi"/>
        </w:rPr>
      </w:pPr>
      <w:r w:rsidRPr="005A28B7">
        <w:rPr>
          <w:rFonts w:cstheme="minorHAnsi"/>
        </w:rPr>
        <w:lastRenderedPageBreak/>
        <w:t>Interactions with other medicines and other forms of interactions</w:t>
      </w:r>
    </w:p>
    <w:p w14:paraId="62CD6D54" w14:textId="028B1690" w:rsidR="00E52851" w:rsidRPr="005A28B7" w:rsidRDefault="00413BD2" w:rsidP="005704DB">
      <w:pPr>
        <w:suppressLineNumbers/>
        <w:jc w:val="both"/>
        <w:rPr>
          <w:rFonts w:asciiTheme="majorHAnsi" w:hAnsiTheme="majorHAnsi"/>
        </w:rPr>
      </w:pPr>
      <w:r w:rsidRPr="005A28B7">
        <w:rPr>
          <w:rFonts w:asciiTheme="majorHAnsi" w:hAnsiTheme="majorHAnsi"/>
        </w:rPr>
        <w:t>No drug interaction studies were conducted with afamelanotide.</w:t>
      </w:r>
    </w:p>
    <w:p w14:paraId="5EC79089" w14:textId="388AAD5B" w:rsidR="00173121" w:rsidRPr="005A28B7" w:rsidRDefault="00D276DF" w:rsidP="00D276DF">
      <w:pPr>
        <w:suppressLineNumbers/>
        <w:rPr>
          <w:rFonts w:asciiTheme="majorHAnsi" w:hAnsiTheme="majorHAnsi"/>
          <w:noProof/>
        </w:rPr>
      </w:pPr>
      <w:r w:rsidRPr="00D276DF">
        <w:rPr>
          <w:rFonts w:asciiTheme="majorHAnsi" w:hAnsiTheme="majorHAnsi"/>
          <w:noProof/>
        </w:rPr>
        <w:t>Inhibition of CYP enzymes and transporters by afamelanotide is not expected, nor for such inhibition to affect the pharmacokinetics of afamelanotide.</w:t>
      </w:r>
    </w:p>
    <w:p w14:paraId="59E5E9DD" w14:textId="77777777" w:rsidR="005704DB" w:rsidRPr="005A28B7" w:rsidRDefault="005704DB" w:rsidP="00E20F1A">
      <w:pPr>
        <w:suppressLineNumbers/>
        <w:rPr>
          <w:rFonts w:asciiTheme="majorHAnsi" w:hAnsiTheme="majorHAnsi"/>
          <w:b/>
          <w:i/>
        </w:rPr>
      </w:pPr>
      <w:r w:rsidRPr="005A28B7">
        <w:rPr>
          <w:rFonts w:asciiTheme="majorHAnsi" w:hAnsiTheme="majorHAnsi"/>
        </w:rPr>
        <w:t xml:space="preserve">Patients taking </w:t>
      </w:r>
      <w:proofErr w:type="gramStart"/>
      <w:r w:rsidRPr="005A28B7">
        <w:rPr>
          <w:rFonts w:asciiTheme="majorHAnsi" w:hAnsiTheme="majorHAnsi"/>
        </w:rPr>
        <w:t>substances which reduce coagulation, such as</w:t>
      </w:r>
      <w:r w:rsidRPr="005A28B7">
        <w:rPr>
          <w:rFonts w:asciiTheme="majorHAnsi" w:hAnsiTheme="majorHAnsi"/>
          <w:noProof/>
        </w:rPr>
        <w:t xml:space="preserve"> vitamin K antagonists (e.g. warfarin),</w:t>
      </w:r>
      <w:r w:rsidRPr="005A28B7">
        <w:rPr>
          <w:rFonts w:asciiTheme="majorHAnsi" w:hAnsiTheme="majorHAnsi"/>
        </w:rPr>
        <w:t xml:space="preserve"> acetylsalicylic acid and non-steroidal anti-inflammatory drug (NSAIDs)</w:t>
      </w:r>
      <w:proofErr w:type="gramEnd"/>
      <w:r w:rsidRPr="005A28B7">
        <w:rPr>
          <w:rFonts w:asciiTheme="majorHAnsi" w:hAnsiTheme="majorHAnsi"/>
        </w:rPr>
        <w:t xml:space="preserve"> may experience increased bruising or bleeding at the site of implantation.</w:t>
      </w:r>
    </w:p>
    <w:p w14:paraId="6449B985" w14:textId="43B32964" w:rsidR="001A3992" w:rsidRPr="005A28B7" w:rsidRDefault="001A3992" w:rsidP="001A3992">
      <w:pPr>
        <w:pStyle w:val="Heading2"/>
        <w:spacing w:before="0" w:after="120"/>
        <w:rPr>
          <w:rFonts w:cstheme="minorHAnsi"/>
        </w:rPr>
      </w:pPr>
      <w:r w:rsidRPr="005A28B7">
        <w:rPr>
          <w:rFonts w:cstheme="minorHAnsi"/>
        </w:rPr>
        <w:t>Fertility, pregnancy and lactation</w:t>
      </w:r>
    </w:p>
    <w:p w14:paraId="7B5F1547" w14:textId="77777777" w:rsidR="001A3992" w:rsidRPr="005A28B7" w:rsidRDefault="001A3992" w:rsidP="001A3992">
      <w:pPr>
        <w:pStyle w:val="Heading3"/>
        <w:spacing w:before="0" w:after="120"/>
        <w:rPr>
          <w:rFonts w:cstheme="minorHAnsi"/>
        </w:rPr>
      </w:pPr>
      <w:r w:rsidRPr="005A28B7">
        <w:rPr>
          <w:rFonts w:cstheme="minorHAnsi"/>
        </w:rPr>
        <w:t>Effects on fertility</w:t>
      </w:r>
    </w:p>
    <w:p w14:paraId="31B90A13" w14:textId="1FCC243E" w:rsidR="00224908" w:rsidRPr="005A28B7" w:rsidRDefault="00D61CA6" w:rsidP="00224908">
      <w:pPr>
        <w:rPr>
          <w:rFonts w:asciiTheme="majorHAnsi" w:hAnsiTheme="majorHAnsi"/>
        </w:rPr>
      </w:pPr>
      <w:r w:rsidRPr="005A28B7">
        <w:rPr>
          <w:rFonts w:asciiTheme="majorHAnsi" w:hAnsiTheme="majorHAnsi"/>
        </w:rPr>
        <w:t xml:space="preserve">There are no clinical data on the effects of afamelanotide on fertility. </w:t>
      </w:r>
      <w:r w:rsidR="00D276DF" w:rsidRPr="00D276DF">
        <w:t xml:space="preserve"> </w:t>
      </w:r>
      <w:r w:rsidR="00D276DF" w:rsidRPr="00D276DF">
        <w:rPr>
          <w:rFonts w:asciiTheme="majorHAnsi" w:hAnsiTheme="majorHAnsi"/>
        </w:rPr>
        <w:t>No effects on male or female fertility were observed with afamelanotide in rats at subcutaneous doses up to 20 mg/kg/day (12 times the maximum recommended human dose, based on body surface area comparison).</w:t>
      </w:r>
    </w:p>
    <w:p w14:paraId="22C44EAD" w14:textId="44C1C050" w:rsidR="001A3992" w:rsidRPr="005A28B7" w:rsidRDefault="001A3992" w:rsidP="001A3992">
      <w:pPr>
        <w:pStyle w:val="Heading3"/>
        <w:spacing w:before="0" w:after="120"/>
        <w:rPr>
          <w:rFonts w:cstheme="minorHAnsi"/>
        </w:rPr>
      </w:pPr>
      <w:r w:rsidRPr="005A28B7">
        <w:rPr>
          <w:rFonts w:cstheme="minorHAnsi"/>
        </w:rPr>
        <w:t xml:space="preserve">Use in pregnancy </w:t>
      </w:r>
      <w:r w:rsidR="00497C85" w:rsidRPr="005A28B7">
        <w:rPr>
          <w:rFonts w:cstheme="minorHAnsi"/>
        </w:rPr>
        <w:t>–</w:t>
      </w:r>
      <w:r w:rsidR="00173121">
        <w:rPr>
          <w:rFonts w:cstheme="minorHAnsi"/>
        </w:rPr>
        <w:t xml:space="preserve"> </w:t>
      </w:r>
      <w:r w:rsidR="00497C85" w:rsidRPr="005A28B7">
        <w:rPr>
          <w:rFonts w:cstheme="minorHAnsi"/>
        </w:rPr>
        <w:t>Category B1</w:t>
      </w:r>
    </w:p>
    <w:p w14:paraId="600AF92B" w14:textId="77777777" w:rsidR="001F4605" w:rsidRPr="005A28B7" w:rsidRDefault="001F4605" w:rsidP="00E20F1A">
      <w:pPr>
        <w:tabs>
          <w:tab w:val="left" w:pos="1522"/>
        </w:tabs>
        <w:autoSpaceDE w:val="0"/>
        <w:autoSpaceDN w:val="0"/>
        <w:adjustRightInd w:val="0"/>
        <w:rPr>
          <w:rFonts w:asciiTheme="majorHAnsi" w:hAnsiTheme="majorHAnsi"/>
        </w:rPr>
      </w:pPr>
      <w:r w:rsidRPr="005A28B7">
        <w:rPr>
          <w:rFonts w:asciiTheme="majorHAnsi" w:hAnsiTheme="majorHAnsi"/>
        </w:rPr>
        <w:t>There are no or limited amounts of data from the use of afamelanotide in pregnant women.</w:t>
      </w:r>
    </w:p>
    <w:p w14:paraId="6C0A6059" w14:textId="799090F4" w:rsidR="00E52851" w:rsidRDefault="00E95BC5" w:rsidP="005704DB">
      <w:pPr>
        <w:suppressLineNumbers/>
        <w:jc w:val="both"/>
        <w:rPr>
          <w:rFonts w:asciiTheme="majorHAnsi" w:hAnsiTheme="majorHAnsi"/>
        </w:rPr>
      </w:pPr>
      <w:r w:rsidRPr="00E95BC5">
        <w:rPr>
          <w:rFonts w:asciiTheme="majorHAnsi" w:hAnsiTheme="majorHAnsi"/>
        </w:rPr>
        <w:t>No adverse effects on embryof</w:t>
      </w:r>
      <w:r>
        <w:rPr>
          <w:rFonts w:asciiTheme="majorHAnsi" w:hAnsiTheme="majorHAnsi"/>
        </w:rPr>
        <w:t>o</w:t>
      </w:r>
      <w:r w:rsidRPr="00E95BC5">
        <w:rPr>
          <w:rFonts w:asciiTheme="majorHAnsi" w:hAnsiTheme="majorHAnsi"/>
        </w:rPr>
        <w:t xml:space="preserve">etal development </w:t>
      </w:r>
      <w:proofErr w:type="gramStart"/>
      <w:r w:rsidRPr="00E95BC5">
        <w:rPr>
          <w:rFonts w:asciiTheme="majorHAnsi" w:hAnsiTheme="majorHAnsi"/>
        </w:rPr>
        <w:t>were observed</w:t>
      </w:r>
      <w:proofErr w:type="gramEnd"/>
      <w:r w:rsidRPr="00E95BC5">
        <w:rPr>
          <w:rFonts w:asciiTheme="majorHAnsi" w:hAnsiTheme="majorHAnsi"/>
        </w:rPr>
        <w:t xml:space="preserve"> with afamelanotide in rats (albino and pigmented strains) at subcutaneous doses up to 20 mg/kg/day (12 times the maximum recommended human dose, based on body surface area comparison).</w:t>
      </w:r>
    </w:p>
    <w:p w14:paraId="1BABF2E4" w14:textId="095AEFE6" w:rsidR="001F4605" w:rsidRPr="005A28B7" w:rsidRDefault="001F4605" w:rsidP="00E20F1A">
      <w:pPr>
        <w:tabs>
          <w:tab w:val="left" w:pos="1522"/>
        </w:tabs>
        <w:autoSpaceDE w:val="0"/>
        <w:autoSpaceDN w:val="0"/>
        <w:adjustRightInd w:val="0"/>
        <w:rPr>
          <w:rFonts w:asciiTheme="majorHAnsi" w:hAnsiTheme="majorHAnsi"/>
        </w:rPr>
      </w:pPr>
      <w:r w:rsidRPr="005A28B7">
        <w:rPr>
          <w:rFonts w:asciiTheme="majorHAnsi" w:hAnsiTheme="majorHAnsi"/>
        </w:rPr>
        <w:t>SCENESSE</w:t>
      </w:r>
      <w:r w:rsidR="000119B8" w:rsidRPr="005A28B7">
        <w:rPr>
          <w:rFonts w:ascii="Cambria" w:hAnsi="Cambria"/>
          <w:noProof/>
          <w:vertAlign w:val="superscript"/>
        </w:rPr>
        <w:t>®</w:t>
      </w:r>
      <w:r w:rsidRPr="005A28B7">
        <w:rPr>
          <w:rFonts w:asciiTheme="majorHAnsi" w:hAnsiTheme="majorHAnsi"/>
        </w:rPr>
        <w:t xml:space="preserve"> </w:t>
      </w:r>
      <w:proofErr w:type="gramStart"/>
      <w:r w:rsidRPr="005A28B7">
        <w:rPr>
          <w:rFonts w:asciiTheme="majorHAnsi" w:hAnsiTheme="majorHAnsi"/>
        </w:rPr>
        <w:t xml:space="preserve">should </w:t>
      </w:r>
      <w:r w:rsidR="00E95BC5">
        <w:rPr>
          <w:rFonts w:asciiTheme="majorHAnsi" w:hAnsiTheme="majorHAnsi"/>
        </w:rPr>
        <w:t>only</w:t>
      </w:r>
      <w:r w:rsidR="00E95BC5" w:rsidRPr="005A28B7">
        <w:rPr>
          <w:rFonts w:asciiTheme="majorHAnsi" w:hAnsiTheme="majorHAnsi"/>
        </w:rPr>
        <w:t xml:space="preserve"> </w:t>
      </w:r>
      <w:r w:rsidRPr="005A28B7">
        <w:rPr>
          <w:rFonts w:asciiTheme="majorHAnsi" w:hAnsiTheme="majorHAnsi"/>
        </w:rPr>
        <w:t>be used</w:t>
      </w:r>
      <w:proofErr w:type="gramEnd"/>
      <w:r w:rsidRPr="005A28B7">
        <w:rPr>
          <w:rFonts w:asciiTheme="majorHAnsi" w:hAnsiTheme="majorHAnsi"/>
        </w:rPr>
        <w:t xml:space="preserve"> during pregnancy</w:t>
      </w:r>
      <w:r w:rsidR="007D59A0" w:rsidRPr="007D59A0">
        <w:rPr>
          <w:rFonts w:asciiTheme="majorHAnsi" w:hAnsiTheme="majorHAnsi"/>
        </w:rPr>
        <w:t>, and for a period of three months following discontinuation of treatment,</w:t>
      </w:r>
      <w:r w:rsidR="007D59A0">
        <w:rPr>
          <w:rFonts w:asciiTheme="majorHAnsi" w:hAnsiTheme="majorHAnsi"/>
        </w:rPr>
        <w:t xml:space="preserve"> </w:t>
      </w:r>
      <w:r w:rsidR="00E95BC5">
        <w:rPr>
          <w:rFonts w:asciiTheme="majorHAnsi" w:hAnsiTheme="majorHAnsi"/>
        </w:rPr>
        <w:t>if the benefit to the mother outweighs the potential risk to the foetus</w:t>
      </w:r>
      <w:r w:rsidR="0062320D" w:rsidRPr="005A28B7">
        <w:rPr>
          <w:rFonts w:asciiTheme="majorHAnsi" w:hAnsiTheme="majorHAnsi"/>
        </w:rPr>
        <w:t>.</w:t>
      </w:r>
    </w:p>
    <w:p w14:paraId="2E91CAEE" w14:textId="55625C70" w:rsidR="001A3992" w:rsidRPr="005A28B7" w:rsidRDefault="00F13B4B" w:rsidP="001A3992">
      <w:pPr>
        <w:pStyle w:val="Heading3"/>
        <w:spacing w:before="0" w:after="120"/>
        <w:rPr>
          <w:rFonts w:cstheme="minorHAnsi"/>
        </w:rPr>
      </w:pPr>
      <w:r>
        <w:rPr>
          <w:rFonts w:cstheme="minorHAnsi"/>
        </w:rPr>
        <w:t>Use in lactation</w:t>
      </w:r>
    </w:p>
    <w:p w14:paraId="2A22C57C" w14:textId="6D1D143D" w:rsidR="001F4605" w:rsidRPr="005A28B7" w:rsidRDefault="001F4605" w:rsidP="00E20F1A">
      <w:pPr>
        <w:autoSpaceDE w:val="0"/>
        <w:autoSpaceDN w:val="0"/>
        <w:adjustRightInd w:val="0"/>
        <w:rPr>
          <w:rFonts w:asciiTheme="majorHAnsi" w:hAnsiTheme="majorHAnsi"/>
        </w:rPr>
      </w:pPr>
      <w:r w:rsidRPr="005A28B7">
        <w:rPr>
          <w:rFonts w:asciiTheme="majorHAnsi" w:hAnsiTheme="majorHAnsi"/>
        </w:rPr>
        <w:t xml:space="preserve">It is unknown whether afamelanotide or any of its metabolites </w:t>
      </w:r>
      <w:proofErr w:type="gramStart"/>
      <w:r w:rsidRPr="005A28B7">
        <w:rPr>
          <w:rFonts w:asciiTheme="majorHAnsi" w:hAnsiTheme="majorHAnsi"/>
        </w:rPr>
        <w:t>are excreted</w:t>
      </w:r>
      <w:proofErr w:type="gramEnd"/>
      <w:r w:rsidRPr="005A28B7">
        <w:rPr>
          <w:rFonts w:asciiTheme="majorHAnsi" w:hAnsiTheme="majorHAnsi"/>
        </w:rPr>
        <w:t xml:space="preserve"> in breast milk.</w:t>
      </w:r>
    </w:p>
    <w:p w14:paraId="12FEE24B" w14:textId="4773336F" w:rsidR="001F4605" w:rsidRPr="005A28B7" w:rsidRDefault="001F4605" w:rsidP="005704DB">
      <w:pPr>
        <w:autoSpaceDE w:val="0"/>
        <w:autoSpaceDN w:val="0"/>
        <w:adjustRightInd w:val="0"/>
        <w:jc w:val="both"/>
        <w:rPr>
          <w:rFonts w:asciiTheme="majorHAnsi" w:hAnsiTheme="majorHAnsi"/>
        </w:rPr>
      </w:pPr>
      <w:r w:rsidRPr="005A28B7">
        <w:rPr>
          <w:rFonts w:asciiTheme="majorHAnsi" w:hAnsiTheme="majorHAnsi"/>
        </w:rPr>
        <w:t>No clinical data are available on the use of afamelanotide in breastfeeding women.</w:t>
      </w:r>
    </w:p>
    <w:p w14:paraId="469799F3" w14:textId="24D3A25B" w:rsidR="00D61CA6" w:rsidRPr="005A28B7" w:rsidRDefault="00FD1D78" w:rsidP="00C677FB">
      <w:pPr>
        <w:autoSpaceDE w:val="0"/>
        <w:autoSpaceDN w:val="0"/>
        <w:adjustRightInd w:val="0"/>
        <w:rPr>
          <w:rFonts w:asciiTheme="majorHAnsi" w:hAnsiTheme="majorHAnsi"/>
        </w:rPr>
      </w:pPr>
      <w:r w:rsidRPr="00FD1D78">
        <w:t xml:space="preserve"> </w:t>
      </w:r>
      <w:r w:rsidRPr="00FD1D78">
        <w:rPr>
          <w:rFonts w:asciiTheme="majorHAnsi" w:hAnsiTheme="majorHAnsi"/>
        </w:rPr>
        <w:t>Use of SCENESSE</w:t>
      </w:r>
      <w:r w:rsidRPr="00FD1D78">
        <w:rPr>
          <w:rFonts w:asciiTheme="majorHAnsi" w:hAnsiTheme="majorHAnsi"/>
          <w:vertAlign w:val="superscript"/>
        </w:rPr>
        <w:t>®</w:t>
      </w:r>
      <w:r w:rsidRPr="00FD1D78">
        <w:rPr>
          <w:rFonts w:asciiTheme="majorHAnsi" w:hAnsiTheme="majorHAnsi"/>
        </w:rPr>
        <w:t xml:space="preserve"> during breastfeeding should consider the developmental and health benefits of breastfeeding, the clinical need of the mother, and the potential for adverse effects in the </w:t>
      </w:r>
      <w:proofErr w:type="spellStart"/>
      <w:r w:rsidRPr="00FD1D78">
        <w:rPr>
          <w:rFonts w:asciiTheme="majorHAnsi" w:hAnsiTheme="majorHAnsi"/>
        </w:rPr>
        <w:t>newborn</w:t>
      </w:r>
      <w:proofErr w:type="spellEnd"/>
      <w:r w:rsidRPr="00FD1D78">
        <w:rPr>
          <w:rFonts w:asciiTheme="majorHAnsi" w:hAnsiTheme="majorHAnsi"/>
        </w:rPr>
        <w:t>/infant.</w:t>
      </w:r>
    </w:p>
    <w:p w14:paraId="35ADAA4B" w14:textId="008CD99E" w:rsidR="001A3992" w:rsidRPr="005A28B7" w:rsidRDefault="001A3992" w:rsidP="001A3992">
      <w:pPr>
        <w:pStyle w:val="Heading2"/>
        <w:spacing w:before="0" w:after="120"/>
        <w:rPr>
          <w:rFonts w:cstheme="minorHAnsi"/>
        </w:rPr>
      </w:pPr>
      <w:r w:rsidRPr="005A28B7">
        <w:rPr>
          <w:rFonts w:cstheme="minorHAnsi"/>
        </w:rPr>
        <w:t>Effects on ab</w:t>
      </w:r>
      <w:r w:rsidR="00F13B4B">
        <w:rPr>
          <w:rFonts w:cstheme="minorHAnsi"/>
        </w:rPr>
        <w:t>ility to drive and use machines</w:t>
      </w:r>
    </w:p>
    <w:p w14:paraId="626AD2F0" w14:textId="77777777" w:rsidR="00224908" w:rsidRPr="005A28B7" w:rsidRDefault="001F4605" w:rsidP="00E20F1A">
      <w:pPr>
        <w:rPr>
          <w:rFonts w:asciiTheme="majorHAnsi" w:hAnsiTheme="majorHAnsi" w:cstheme="minorHAnsi"/>
        </w:rPr>
      </w:pPr>
      <w:r w:rsidRPr="005A28B7">
        <w:rPr>
          <w:rFonts w:asciiTheme="majorHAnsi" w:hAnsiTheme="majorHAnsi"/>
        </w:rPr>
        <w:t>Afamelanotide has moderate influence on the ability to drive and use machines, especially within</w:t>
      </w:r>
      <w:r w:rsidR="005704DB" w:rsidRPr="005A28B7">
        <w:rPr>
          <w:rFonts w:asciiTheme="majorHAnsi" w:hAnsiTheme="majorHAnsi"/>
        </w:rPr>
        <w:t xml:space="preserve"> </w:t>
      </w:r>
      <w:r w:rsidRPr="005A28B7">
        <w:rPr>
          <w:rFonts w:asciiTheme="majorHAnsi" w:hAnsiTheme="majorHAnsi"/>
        </w:rPr>
        <w:t>72</w:t>
      </w:r>
      <w:r w:rsidR="005704DB" w:rsidRPr="005A28B7">
        <w:rPr>
          <w:rFonts w:asciiTheme="majorHAnsi" w:hAnsiTheme="majorHAnsi"/>
        </w:rPr>
        <w:t xml:space="preserve"> </w:t>
      </w:r>
      <w:r w:rsidRPr="005A28B7">
        <w:rPr>
          <w:rFonts w:asciiTheme="majorHAnsi" w:hAnsiTheme="majorHAnsi"/>
        </w:rPr>
        <w:t>hours of administration. Following administration of this medicinal product, somnolence, fatigue, dizziness, and nausea have been reported.</w:t>
      </w:r>
      <w:r w:rsidRPr="005A28B7">
        <w:rPr>
          <w:rFonts w:asciiTheme="majorHAnsi" w:hAnsiTheme="majorHAnsi"/>
          <w:noProof/>
        </w:rPr>
        <w:t xml:space="preserve"> Patients should not drive or use machines in case they are affected by these symptoms.</w:t>
      </w:r>
    </w:p>
    <w:p w14:paraId="372B3D45" w14:textId="77777777" w:rsidR="001A3992" w:rsidRPr="005A28B7" w:rsidRDefault="001A3992" w:rsidP="001A3992">
      <w:pPr>
        <w:pStyle w:val="Heading2"/>
        <w:keepNext/>
        <w:keepLines/>
        <w:spacing w:before="0" w:after="120"/>
        <w:rPr>
          <w:rFonts w:cstheme="minorHAnsi"/>
        </w:rPr>
      </w:pPr>
      <w:r w:rsidRPr="005A28B7">
        <w:rPr>
          <w:rFonts w:cstheme="minorHAnsi"/>
        </w:rPr>
        <w:lastRenderedPageBreak/>
        <w:t>Adverse effects (Undesirable effects)</w:t>
      </w:r>
    </w:p>
    <w:p w14:paraId="53550669" w14:textId="0966758D" w:rsidR="003F3B7D" w:rsidRPr="005A28B7" w:rsidRDefault="003F3B7D" w:rsidP="003F3B7D">
      <w:pPr>
        <w:tabs>
          <w:tab w:val="left" w:pos="720"/>
        </w:tabs>
        <w:contextualSpacing/>
        <w:rPr>
          <w:rFonts w:asciiTheme="majorHAnsi" w:hAnsiTheme="majorHAnsi"/>
          <w:u w:val="single"/>
        </w:rPr>
      </w:pPr>
      <w:r w:rsidRPr="005A28B7">
        <w:rPr>
          <w:rFonts w:asciiTheme="majorHAnsi" w:hAnsiTheme="majorHAnsi"/>
          <w:u w:val="single"/>
        </w:rPr>
        <w:t>Clinical Trials Experience</w:t>
      </w:r>
    </w:p>
    <w:p w14:paraId="0270C721" w14:textId="306D84DA" w:rsidR="003F3B7D" w:rsidRPr="005A28B7" w:rsidRDefault="009757A4" w:rsidP="005D492F">
      <w:pPr>
        <w:tabs>
          <w:tab w:val="left" w:pos="720"/>
        </w:tabs>
        <w:rPr>
          <w:rFonts w:asciiTheme="majorHAnsi" w:hAnsiTheme="majorHAnsi"/>
        </w:rPr>
      </w:pPr>
      <w:r w:rsidRPr="005A28B7">
        <w:rPr>
          <w:rFonts w:asciiTheme="majorHAnsi" w:hAnsiTheme="majorHAnsi"/>
        </w:rPr>
        <w:t>The majority of subjects in both active and placebo groups experienced at least one Treatment Emergent Adverse Event (TEAE). For the majority of these subjects, the greatest severity of any TEAE was mild or moderate. In both groups, fewer than 50% reported any TEAE that was considered to be related to study drug.</w:t>
      </w:r>
    </w:p>
    <w:p w14:paraId="37676F87" w14:textId="619EA5C9" w:rsidR="009757A4" w:rsidRPr="005A28B7" w:rsidRDefault="00336CB1" w:rsidP="005D492F">
      <w:pPr>
        <w:tabs>
          <w:tab w:val="left" w:pos="720"/>
        </w:tabs>
        <w:rPr>
          <w:rFonts w:asciiTheme="majorHAnsi" w:hAnsiTheme="majorHAnsi"/>
        </w:rPr>
      </w:pPr>
      <w:r w:rsidRPr="00336CB1">
        <w:rPr>
          <w:rFonts w:asciiTheme="majorHAnsi" w:hAnsiTheme="majorHAnsi"/>
        </w:rPr>
        <w:fldChar w:fldCharType="begin"/>
      </w:r>
      <w:r w:rsidRPr="00336CB1">
        <w:rPr>
          <w:rFonts w:asciiTheme="majorHAnsi" w:hAnsiTheme="majorHAnsi"/>
        </w:rPr>
        <w:instrText xml:space="preserve"> REF  _Ref39747053 \h  \* MERGEFORMAT </w:instrText>
      </w:r>
      <w:r w:rsidRPr="00336CB1">
        <w:rPr>
          <w:rFonts w:asciiTheme="majorHAnsi" w:hAnsiTheme="majorHAnsi"/>
        </w:rPr>
      </w:r>
      <w:r w:rsidRPr="00336CB1">
        <w:rPr>
          <w:rFonts w:asciiTheme="majorHAnsi" w:hAnsiTheme="majorHAnsi"/>
        </w:rPr>
        <w:fldChar w:fldCharType="separate"/>
      </w:r>
      <w:r w:rsidRPr="00336CB1">
        <w:rPr>
          <w:rFonts w:asciiTheme="majorHAnsi" w:hAnsiTheme="majorHAnsi" w:cstheme="minorHAnsi"/>
        </w:rPr>
        <w:t xml:space="preserve">Table </w:t>
      </w:r>
      <w:proofErr w:type="gramStart"/>
      <w:r w:rsidRPr="00336CB1">
        <w:rPr>
          <w:rFonts w:asciiTheme="majorHAnsi" w:hAnsiTheme="majorHAnsi" w:cstheme="minorHAnsi"/>
        </w:rPr>
        <w:t>1</w:t>
      </w:r>
      <w:proofErr w:type="gramEnd"/>
      <w:r w:rsidRPr="00336CB1">
        <w:rPr>
          <w:rFonts w:asciiTheme="majorHAnsi" w:hAnsiTheme="majorHAnsi"/>
        </w:rPr>
        <w:fldChar w:fldCharType="end"/>
      </w:r>
      <w:r w:rsidR="009757A4" w:rsidRPr="005A28B7">
        <w:rPr>
          <w:rFonts w:asciiTheme="majorHAnsi" w:hAnsiTheme="majorHAnsi"/>
        </w:rPr>
        <w:t xml:space="preserve"> below presents a summary of the most common events (≥ 5%) observed in both afamelanotide and placebo groups. The most frequently observed AEs across patient populations were headache, nausea, nasopharyngitis, back pain and influenza.</w:t>
      </w:r>
    </w:p>
    <w:p w14:paraId="2D3E3C91" w14:textId="29995958" w:rsidR="00336CB1" w:rsidRPr="00336CB1" w:rsidRDefault="00336CB1" w:rsidP="00336CB1">
      <w:pPr>
        <w:rPr>
          <w:rFonts w:asciiTheme="majorHAnsi" w:hAnsiTheme="majorHAnsi" w:cstheme="minorHAnsi"/>
          <w:b/>
          <w:bCs/>
        </w:rPr>
      </w:pPr>
      <w:bookmarkStart w:id="1" w:name="_Ref39747053"/>
      <w:r w:rsidRPr="00336CB1">
        <w:rPr>
          <w:rFonts w:asciiTheme="majorHAnsi" w:hAnsiTheme="majorHAnsi" w:cstheme="minorHAnsi"/>
          <w:b/>
          <w:bCs/>
        </w:rPr>
        <w:t xml:space="preserve">Table </w:t>
      </w:r>
      <w:r w:rsidRPr="00336CB1">
        <w:rPr>
          <w:rFonts w:asciiTheme="majorHAnsi" w:hAnsiTheme="majorHAnsi" w:cstheme="minorHAnsi"/>
          <w:b/>
          <w:bCs/>
        </w:rPr>
        <w:fldChar w:fldCharType="begin"/>
      </w:r>
      <w:r w:rsidRPr="00336CB1">
        <w:rPr>
          <w:rFonts w:asciiTheme="majorHAnsi" w:hAnsiTheme="majorHAnsi" w:cstheme="minorHAnsi"/>
          <w:b/>
          <w:bCs/>
        </w:rPr>
        <w:instrText xml:space="preserve"> SEQ Table \* ARABIC </w:instrText>
      </w:r>
      <w:r w:rsidRPr="00336CB1">
        <w:rPr>
          <w:rFonts w:asciiTheme="majorHAnsi" w:hAnsiTheme="majorHAnsi" w:cstheme="minorHAnsi"/>
          <w:b/>
          <w:bCs/>
        </w:rPr>
        <w:fldChar w:fldCharType="separate"/>
      </w:r>
      <w:r w:rsidRPr="00336CB1">
        <w:rPr>
          <w:rFonts w:asciiTheme="majorHAnsi" w:hAnsiTheme="majorHAnsi" w:cstheme="minorHAnsi"/>
          <w:b/>
          <w:bCs/>
        </w:rPr>
        <w:t>1</w:t>
      </w:r>
      <w:r w:rsidRPr="00336CB1">
        <w:rPr>
          <w:rFonts w:asciiTheme="majorHAnsi" w:hAnsiTheme="majorHAnsi" w:cstheme="minorHAnsi"/>
          <w:b/>
          <w:bCs/>
        </w:rPr>
        <w:fldChar w:fldCharType="end"/>
      </w:r>
      <w:bookmarkEnd w:id="1"/>
    </w:p>
    <w:tbl>
      <w:tblPr>
        <w:tblW w:w="5000" w:type="pct"/>
        <w:tblLayout w:type="fixed"/>
        <w:tblCellMar>
          <w:left w:w="0" w:type="dxa"/>
          <w:right w:w="0" w:type="dxa"/>
        </w:tblCellMar>
        <w:tblLook w:val="0000" w:firstRow="0" w:lastRow="0" w:firstColumn="0" w:lastColumn="0" w:noHBand="0" w:noVBand="0"/>
      </w:tblPr>
      <w:tblGrid>
        <w:gridCol w:w="3872"/>
        <w:gridCol w:w="1898"/>
        <w:gridCol w:w="3256"/>
      </w:tblGrid>
      <w:tr w:rsidR="003F3B7D" w:rsidRPr="005A28B7" w14:paraId="773E1D84" w14:textId="77777777" w:rsidTr="00F91248">
        <w:trPr>
          <w:trHeight w:val="362"/>
        </w:trPr>
        <w:tc>
          <w:tcPr>
            <w:tcW w:w="3872" w:type="dxa"/>
            <w:tcBorders>
              <w:top w:val="single" w:sz="4" w:space="0" w:color="auto"/>
            </w:tcBorders>
          </w:tcPr>
          <w:p w14:paraId="6C8053A7" w14:textId="77777777" w:rsidR="003F3B7D" w:rsidRPr="005A28B7" w:rsidRDefault="003F3B7D" w:rsidP="00ED4812">
            <w:pPr>
              <w:kinsoku w:val="0"/>
              <w:overflowPunct w:val="0"/>
              <w:autoSpaceDE w:val="0"/>
              <w:autoSpaceDN w:val="0"/>
              <w:adjustRightInd w:val="0"/>
              <w:spacing w:after="0" w:line="250" w:lineRule="exact"/>
              <w:ind w:left="107"/>
              <w:rPr>
                <w:rFonts w:asciiTheme="majorHAnsi" w:hAnsiTheme="majorHAnsi"/>
                <w:b/>
                <w:bCs/>
                <w:lang w:eastAsia="nl-BE"/>
              </w:rPr>
            </w:pPr>
          </w:p>
        </w:tc>
        <w:tc>
          <w:tcPr>
            <w:tcW w:w="5154" w:type="dxa"/>
            <w:gridSpan w:val="2"/>
            <w:tcBorders>
              <w:top w:val="single" w:sz="4" w:space="0" w:color="auto"/>
            </w:tcBorders>
          </w:tcPr>
          <w:p w14:paraId="12162961" w14:textId="650AAF6D" w:rsidR="003F3B7D" w:rsidRPr="005A28B7" w:rsidRDefault="003F3B7D" w:rsidP="00ED4812">
            <w:pPr>
              <w:kinsoku w:val="0"/>
              <w:overflowPunct w:val="0"/>
              <w:autoSpaceDE w:val="0"/>
              <w:autoSpaceDN w:val="0"/>
              <w:adjustRightInd w:val="0"/>
              <w:spacing w:before="2" w:after="0" w:line="252" w:lineRule="exact"/>
              <w:ind w:right="60"/>
              <w:jc w:val="center"/>
              <w:rPr>
                <w:rFonts w:asciiTheme="majorHAnsi" w:hAnsiTheme="majorHAnsi"/>
                <w:b/>
                <w:bCs/>
                <w:lang w:eastAsia="nl-BE"/>
              </w:rPr>
            </w:pPr>
            <w:r w:rsidRPr="005A28B7">
              <w:rPr>
                <w:rFonts w:asciiTheme="majorHAnsi" w:hAnsiTheme="majorHAnsi"/>
                <w:b/>
                <w:bCs/>
                <w:lang w:eastAsia="nl-BE"/>
              </w:rPr>
              <w:t>Number (%) of Subjects</w:t>
            </w:r>
            <w:r w:rsidR="003F374D">
              <w:rPr>
                <w:rFonts w:asciiTheme="majorHAnsi" w:hAnsiTheme="majorHAnsi"/>
                <w:b/>
                <w:bCs/>
                <w:lang w:eastAsia="nl-BE"/>
              </w:rPr>
              <w:t>, Number of Events</w:t>
            </w:r>
          </w:p>
        </w:tc>
      </w:tr>
      <w:tr w:rsidR="003F3B7D" w:rsidRPr="005A28B7" w14:paraId="694B2AC0" w14:textId="77777777" w:rsidTr="00F91248">
        <w:trPr>
          <w:trHeight w:val="502"/>
        </w:trPr>
        <w:tc>
          <w:tcPr>
            <w:tcW w:w="3872" w:type="dxa"/>
            <w:tcBorders>
              <w:bottom w:val="single" w:sz="4" w:space="0" w:color="auto"/>
            </w:tcBorders>
          </w:tcPr>
          <w:p w14:paraId="24FF4266" w14:textId="77777777" w:rsidR="003F3B7D" w:rsidRPr="005A28B7" w:rsidRDefault="003F3B7D" w:rsidP="00ED4812">
            <w:pPr>
              <w:kinsoku w:val="0"/>
              <w:overflowPunct w:val="0"/>
              <w:autoSpaceDE w:val="0"/>
              <w:autoSpaceDN w:val="0"/>
              <w:adjustRightInd w:val="0"/>
              <w:spacing w:after="0" w:line="250" w:lineRule="exact"/>
              <w:ind w:left="142"/>
              <w:rPr>
                <w:rFonts w:asciiTheme="majorHAnsi" w:hAnsiTheme="majorHAnsi"/>
                <w:b/>
                <w:bCs/>
                <w:lang w:eastAsia="nl-BE"/>
              </w:rPr>
            </w:pPr>
            <w:r w:rsidRPr="005A28B7">
              <w:rPr>
                <w:rFonts w:asciiTheme="majorHAnsi" w:hAnsiTheme="majorHAnsi"/>
                <w:b/>
                <w:bCs/>
                <w:lang w:eastAsia="nl-BE"/>
              </w:rPr>
              <w:t>Preferred term</w:t>
            </w:r>
          </w:p>
        </w:tc>
        <w:tc>
          <w:tcPr>
            <w:tcW w:w="1898" w:type="dxa"/>
            <w:tcBorders>
              <w:bottom w:val="single" w:sz="4" w:space="0" w:color="auto"/>
            </w:tcBorders>
          </w:tcPr>
          <w:p w14:paraId="6FA2F6D4"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
                <w:bCs/>
                <w:lang w:eastAsia="nl-BE"/>
              </w:rPr>
            </w:pPr>
            <w:r w:rsidRPr="005A28B7">
              <w:rPr>
                <w:rFonts w:asciiTheme="majorHAnsi" w:hAnsiTheme="majorHAnsi"/>
                <w:b/>
                <w:bCs/>
                <w:lang w:eastAsia="nl-BE"/>
              </w:rPr>
              <w:t>All Studies**</w:t>
            </w:r>
          </w:p>
          <w:p w14:paraId="59E4108F"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
                <w:bCs/>
                <w:lang w:eastAsia="nl-BE"/>
              </w:rPr>
            </w:pPr>
            <w:r w:rsidRPr="005A28B7">
              <w:rPr>
                <w:rFonts w:asciiTheme="majorHAnsi" w:hAnsiTheme="majorHAnsi"/>
                <w:b/>
                <w:bCs/>
                <w:lang w:eastAsia="nl-BE"/>
              </w:rPr>
              <w:t>Active</w:t>
            </w:r>
          </w:p>
          <w:p w14:paraId="1D5C2D5F"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
                <w:bCs/>
                <w:lang w:eastAsia="nl-BE"/>
              </w:rPr>
            </w:pPr>
            <w:r w:rsidRPr="005A28B7">
              <w:rPr>
                <w:rFonts w:asciiTheme="majorHAnsi" w:hAnsiTheme="majorHAnsi"/>
                <w:b/>
                <w:bCs/>
                <w:lang w:eastAsia="nl-BE"/>
              </w:rPr>
              <w:t>(N=230)</w:t>
            </w:r>
          </w:p>
        </w:tc>
        <w:tc>
          <w:tcPr>
            <w:tcW w:w="3256" w:type="dxa"/>
            <w:tcBorders>
              <w:bottom w:val="single" w:sz="4" w:space="0" w:color="auto"/>
            </w:tcBorders>
          </w:tcPr>
          <w:p w14:paraId="74454CCE"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
                <w:bCs/>
                <w:lang w:eastAsia="nl-BE"/>
              </w:rPr>
            </w:pPr>
            <w:r w:rsidRPr="005A28B7">
              <w:rPr>
                <w:rFonts w:asciiTheme="majorHAnsi" w:hAnsiTheme="majorHAnsi"/>
                <w:b/>
                <w:bCs/>
                <w:lang w:eastAsia="nl-BE"/>
              </w:rPr>
              <w:t>All Studies**</w:t>
            </w:r>
          </w:p>
          <w:p w14:paraId="21A07CFD"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
                <w:bCs/>
                <w:lang w:eastAsia="nl-BE"/>
              </w:rPr>
            </w:pPr>
            <w:r w:rsidRPr="005A28B7">
              <w:rPr>
                <w:rFonts w:asciiTheme="majorHAnsi" w:hAnsiTheme="majorHAnsi"/>
                <w:b/>
                <w:bCs/>
                <w:lang w:eastAsia="nl-BE"/>
              </w:rPr>
              <w:t>Placebo</w:t>
            </w:r>
          </w:p>
          <w:p w14:paraId="24E7BD05"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
                <w:bCs/>
                <w:lang w:eastAsia="nl-BE"/>
              </w:rPr>
            </w:pPr>
            <w:r w:rsidRPr="005A28B7">
              <w:rPr>
                <w:rFonts w:asciiTheme="majorHAnsi" w:hAnsiTheme="majorHAnsi"/>
                <w:b/>
                <w:bCs/>
                <w:lang w:eastAsia="nl-BE"/>
              </w:rPr>
              <w:t>(N=219)</w:t>
            </w:r>
          </w:p>
        </w:tc>
      </w:tr>
      <w:tr w:rsidR="003F3B7D" w:rsidRPr="005A28B7" w14:paraId="052AF326" w14:textId="77777777" w:rsidTr="00F91248">
        <w:trPr>
          <w:trHeight w:val="260"/>
        </w:trPr>
        <w:tc>
          <w:tcPr>
            <w:tcW w:w="3872" w:type="dxa"/>
            <w:tcBorders>
              <w:top w:val="single" w:sz="4" w:space="0" w:color="auto"/>
            </w:tcBorders>
          </w:tcPr>
          <w:p w14:paraId="03B401F6" w14:textId="77777777" w:rsidR="003F3B7D" w:rsidRPr="005A28B7" w:rsidRDefault="003F3B7D" w:rsidP="00ED4812">
            <w:pPr>
              <w:kinsoku w:val="0"/>
              <w:overflowPunct w:val="0"/>
              <w:autoSpaceDE w:val="0"/>
              <w:autoSpaceDN w:val="0"/>
              <w:adjustRightInd w:val="0"/>
              <w:spacing w:after="0" w:line="250" w:lineRule="exact"/>
              <w:ind w:left="107"/>
              <w:rPr>
                <w:rFonts w:asciiTheme="majorHAnsi" w:hAnsiTheme="majorHAnsi"/>
                <w:b/>
                <w:bCs/>
                <w:lang w:eastAsia="nl-BE"/>
              </w:rPr>
            </w:pPr>
            <w:r w:rsidRPr="005A28B7">
              <w:rPr>
                <w:rFonts w:asciiTheme="majorHAnsi" w:hAnsiTheme="majorHAnsi"/>
                <w:b/>
                <w:bCs/>
                <w:lang w:eastAsia="nl-BE"/>
              </w:rPr>
              <w:t>Any event</w:t>
            </w:r>
          </w:p>
        </w:tc>
        <w:tc>
          <w:tcPr>
            <w:tcW w:w="1898" w:type="dxa"/>
            <w:tcBorders>
              <w:top w:val="single" w:sz="4" w:space="0" w:color="auto"/>
            </w:tcBorders>
          </w:tcPr>
          <w:p w14:paraId="2BBBF7A9"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Cs/>
                <w:lang w:eastAsia="nl-BE"/>
              </w:rPr>
            </w:pPr>
          </w:p>
        </w:tc>
        <w:tc>
          <w:tcPr>
            <w:tcW w:w="3256" w:type="dxa"/>
            <w:tcBorders>
              <w:top w:val="single" w:sz="4" w:space="0" w:color="auto"/>
            </w:tcBorders>
          </w:tcPr>
          <w:p w14:paraId="6518D832" w14:textId="77777777" w:rsidR="003F3B7D" w:rsidRPr="005A28B7" w:rsidRDefault="003F3B7D" w:rsidP="00ED4812">
            <w:pPr>
              <w:kinsoku w:val="0"/>
              <w:overflowPunct w:val="0"/>
              <w:autoSpaceDE w:val="0"/>
              <w:autoSpaceDN w:val="0"/>
              <w:adjustRightInd w:val="0"/>
              <w:spacing w:after="0" w:line="232" w:lineRule="exact"/>
              <w:ind w:right="2"/>
              <w:jc w:val="center"/>
              <w:rPr>
                <w:rFonts w:asciiTheme="majorHAnsi" w:hAnsiTheme="majorHAnsi"/>
                <w:bCs/>
                <w:lang w:eastAsia="nl-BE"/>
              </w:rPr>
            </w:pPr>
          </w:p>
        </w:tc>
      </w:tr>
      <w:tr w:rsidR="003F3B7D" w:rsidRPr="005A28B7" w14:paraId="4F431693" w14:textId="77777777" w:rsidTr="00F91248">
        <w:trPr>
          <w:trHeight w:val="251"/>
        </w:trPr>
        <w:tc>
          <w:tcPr>
            <w:tcW w:w="3872" w:type="dxa"/>
            <w:vAlign w:val="center"/>
          </w:tcPr>
          <w:p w14:paraId="5BBEAB61"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Headache</w:t>
            </w:r>
          </w:p>
        </w:tc>
        <w:tc>
          <w:tcPr>
            <w:tcW w:w="1898" w:type="dxa"/>
            <w:vAlign w:val="center"/>
          </w:tcPr>
          <w:p w14:paraId="3CC19961" w14:textId="77777777" w:rsidR="003F3B7D" w:rsidRPr="005A28B7" w:rsidRDefault="003F3B7D" w:rsidP="00ED4812">
            <w:pPr>
              <w:kinsoku w:val="0"/>
              <w:overflowPunct w:val="0"/>
              <w:autoSpaceDE w:val="0"/>
              <w:autoSpaceDN w:val="0"/>
              <w:adjustRightInd w:val="0"/>
              <w:spacing w:after="0" w:line="232" w:lineRule="exact"/>
              <w:ind w:right="225"/>
              <w:jc w:val="center"/>
              <w:rPr>
                <w:rFonts w:asciiTheme="majorHAnsi" w:hAnsiTheme="majorHAnsi"/>
                <w:lang w:eastAsia="nl-BE"/>
              </w:rPr>
            </w:pPr>
            <w:r w:rsidRPr="005A28B7">
              <w:rPr>
                <w:rFonts w:asciiTheme="majorHAnsi" w:hAnsiTheme="majorHAnsi"/>
                <w:color w:val="000000"/>
                <w:lang w:eastAsia="nl-BE"/>
              </w:rPr>
              <w:t>87 (38%) 258</w:t>
            </w:r>
          </w:p>
        </w:tc>
        <w:tc>
          <w:tcPr>
            <w:tcW w:w="3256" w:type="dxa"/>
            <w:vAlign w:val="center"/>
          </w:tcPr>
          <w:p w14:paraId="6A2602B7" w14:textId="77777777" w:rsidR="003F3B7D" w:rsidRPr="005A28B7" w:rsidRDefault="003F3B7D" w:rsidP="00ED4812">
            <w:pPr>
              <w:kinsoku w:val="0"/>
              <w:overflowPunct w:val="0"/>
              <w:autoSpaceDE w:val="0"/>
              <w:autoSpaceDN w:val="0"/>
              <w:adjustRightInd w:val="0"/>
              <w:spacing w:after="0" w:line="232" w:lineRule="exact"/>
              <w:ind w:right="225"/>
              <w:jc w:val="center"/>
              <w:rPr>
                <w:rFonts w:asciiTheme="majorHAnsi" w:hAnsiTheme="majorHAnsi"/>
                <w:lang w:eastAsia="nl-BE"/>
              </w:rPr>
            </w:pPr>
            <w:r w:rsidRPr="005A28B7">
              <w:rPr>
                <w:rFonts w:asciiTheme="majorHAnsi" w:hAnsiTheme="majorHAnsi"/>
                <w:color w:val="000000"/>
                <w:lang w:eastAsia="nl-BE"/>
              </w:rPr>
              <w:t>75 (34%) 251</w:t>
            </w:r>
          </w:p>
        </w:tc>
      </w:tr>
      <w:tr w:rsidR="003F3B7D" w:rsidRPr="005A28B7" w14:paraId="5F026C3C" w14:textId="77777777" w:rsidTr="00F91248">
        <w:trPr>
          <w:trHeight w:val="251"/>
        </w:trPr>
        <w:tc>
          <w:tcPr>
            <w:tcW w:w="3872" w:type="dxa"/>
            <w:vAlign w:val="center"/>
          </w:tcPr>
          <w:p w14:paraId="5BC5D50D"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Nausea</w:t>
            </w:r>
          </w:p>
        </w:tc>
        <w:tc>
          <w:tcPr>
            <w:tcW w:w="1898" w:type="dxa"/>
            <w:vAlign w:val="center"/>
          </w:tcPr>
          <w:p w14:paraId="4F8B30C8" w14:textId="77777777" w:rsidR="003F3B7D" w:rsidRPr="005A28B7" w:rsidRDefault="003F3B7D" w:rsidP="00ED4812">
            <w:pPr>
              <w:kinsoku w:val="0"/>
              <w:overflowPunct w:val="0"/>
              <w:autoSpaceDE w:val="0"/>
              <w:autoSpaceDN w:val="0"/>
              <w:adjustRightInd w:val="0"/>
              <w:spacing w:after="0" w:line="232" w:lineRule="exact"/>
              <w:ind w:right="225"/>
              <w:jc w:val="center"/>
              <w:rPr>
                <w:rFonts w:asciiTheme="majorHAnsi" w:hAnsiTheme="majorHAnsi"/>
                <w:lang w:eastAsia="nl-BE"/>
              </w:rPr>
            </w:pPr>
            <w:r w:rsidRPr="005A28B7">
              <w:rPr>
                <w:rFonts w:asciiTheme="majorHAnsi" w:hAnsiTheme="majorHAnsi"/>
                <w:color w:val="000000"/>
                <w:lang w:eastAsia="nl-BE"/>
              </w:rPr>
              <w:t>60 (26%) 107</w:t>
            </w:r>
          </w:p>
        </w:tc>
        <w:tc>
          <w:tcPr>
            <w:tcW w:w="3256" w:type="dxa"/>
            <w:vAlign w:val="center"/>
          </w:tcPr>
          <w:p w14:paraId="29DB596D" w14:textId="77777777" w:rsidR="003F3B7D" w:rsidRPr="005A28B7" w:rsidRDefault="003F3B7D" w:rsidP="00ED4812">
            <w:pPr>
              <w:kinsoku w:val="0"/>
              <w:overflowPunct w:val="0"/>
              <w:autoSpaceDE w:val="0"/>
              <w:autoSpaceDN w:val="0"/>
              <w:adjustRightInd w:val="0"/>
              <w:spacing w:after="0" w:line="232" w:lineRule="exact"/>
              <w:ind w:right="225"/>
              <w:jc w:val="center"/>
              <w:rPr>
                <w:rFonts w:asciiTheme="majorHAnsi" w:hAnsiTheme="majorHAnsi"/>
                <w:lang w:eastAsia="nl-BE"/>
              </w:rPr>
            </w:pPr>
            <w:r w:rsidRPr="005A28B7">
              <w:rPr>
                <w:rFonts w:asciiTheme="majorHAnsi" w:hAnsiTheme="majorHAnsi"/>
                <w:color w:val="000000"/>
                <w:lang w:eastAsia="nl-BE"/>
              </w:rPr>
              <w:t>35 (16%) 53</w:t>
            </w:r>
          </w:p>
        </w:tc>
      </w:tr>
      <w:tr w:rsidR="003F3B7D" w:rsidRPr="005A28B7" w14:paraId="1DC181B2" w14:textId="77777777" w:rsidTr="00F91248">
        <w:trPr>
          <w:trHeight w:val="254"/>
        </w:trPr>
        <w:tc>
          <w:tcPr>
            <w:tcW w:w="3872" w:type="dxa"/>
            <w:vAlign w:val="center"/>
          </w:tcPr>
          <w:p w14:paraId="7AFF1821" w14:textId="77777777" w:rsidR="003F3B7D" w:rsidRPr="005A28B7" w:rsidRDefault="003F3B7D" w:rsidP="00ED4812">
            <w:pPr>
              <w:kinsoku w:val="0"/>
              <w:overflowPunct w:val="0"/>
              <w:autoSpaceDE w:val="0"/>
              <w:autoSpaceDN w:val="0"/>
              <w:adjustRightInd w:val="0"/>
              <w:spacing w:after="0" w:line="234" w:lineRule="exact"/>
              <w:ind w:left="107"/>
              <w:rPr>
                <w:rFonts w:asciiTheme="majorHAnsi" w:hAnsiTheme="majorHAnsi"/>
                <w:lang w:eastAsia="nl-BE"/>
              </w:rPr>
            </w:pPr>
            <w:r w:rsidRPr="005A28B7">
              <w:rPr>
                <w:rFonts w:asciiTheme="majorHAnsi" w:hAnsiTheme="majorHAnsi"/>
                <w:color w:val="000000"/>
                <w:lang w:eastAsia="nl-BE"/>
              </w:rPr>
              <w:t>Nasopharyngitis</w:t>
            </w:r>
          </w:p>
        </w:tc>
        <w:tc>
          <w:tcPr>
            <w:tcW w:w="1898" w:type="dxa"/>
            <w:vAlign w:val="center"/>
          </w:tcPr>
          <w:p w14:paraId="274D9E21" w14:textId="77777777" w:rsidR="003F3B7D" w:rsidRPr="005A28B7" w:rsidRDefault="003F3B7D" w:rsidP="00ED4812">
            <w:pPr>
              <w:kinsoku w:val="0"/>
              <w:overflowPunct w:val="0"/>
              <w:autoSpaceDE w:val="0"/>
              <w:autoSpaceDN w:val="0"/>
              <w:adjustRightInd w:val="0"/>
              <w:spacing w:after="0" w:line="234" w:lineRule="exact"/>
              <w:ind w:right="225"/>
              <w:jc w:val="center"/>
              <w:rPr>
                <w:rFonts w:asciiTheme="majorHAnsi" w:hAnsiTheme="majorHAnsi"/>
                <w:lang w:eastAsia="nl-BE"/>
              </w:rPr>
            </w:pPr>
            <w:r w:rsidRPr="005A28B7">
              <w:rPr>
                <w:rFonts w:asciiTheme="majorHAnsi" w:hAnsiTheme="majorHAnsi"/>
                <w:color w:val="000000"/>
                <w:lang w:eastAsia="nl-BE"/>
              </w:rPr>
              <w:t>41 (18%) 46</w:t>
            </w:r>
          </w:p>
        </w:tc>
        <w:tc>
          <w:tcPr>
            <w:tcW w:w="3256" w:type="dxa"/>
            <w:vAlign w:val="center"/>
          </w:tcPr>
          <w:p w14:paraId="67B82071" w14:textId="77777777" w:rsidR="003F3B7D" w:rsidRPr="005A28B7" w:rsidRDefault="003F3B7D" w:rsidP="00ED4812">
            <w:pPr>
              <w:kinsoku w:val="0"/>
              <w:overflowPunct w:val="0"/>
              <w:autoSpaceDE w:val="0"/>
              <w:autoSpaceDN w:val="0"/>
              <w:adjustRightInd w:val="0"/>
              <w:spacing w:after="0" w:line="234" w:lineRule="exact"/>
              <w:ind w:right="225"/>
              <w:jc w:val="center"/>
              <w:rPr>
                <w:rFonts w:asciiTheme="majorHAnsi" w:hAnsiTheme="majorHAnsi"/>
                <w:lang w:eastAsia="nl-BE"/>
              </w:rPr>
            </w:pPr>
            <w:r w:rsidRPr="005A28B7">
              <w:rPr>
                <w:rFonts w:asciiTheme="majorHAnsi" w:hAnsiTheme="majorHAnsi"/>
                <w:color w:val="000000"/>
                <w:lang w:eastAsia="nl-BE"/>
              </w:rPr>
              <w:t>36 (16%) 43</w:t>
            </w:r>
          </w:p>
        </w:tc>
      </w:tr>
      <w:tr w:rsidR="003F3B7D" w:rsidRPr="005A28B7" w14:paraId="3CE523FA" w14:textId="77777777" w:rsidTr="00F91248">
        <w:trPr>
          <w:trHeight w:val="251"/>
        </w:trPr>
        <w:tc>
          <w:tcPr>
            <w:tcW w:w="3872" w:type="dxa"/>
            <w:vAlign w:val="center"/>
          </w:tcPr>
          <w:p w14:paraId="239939B2"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Back pain</w:t>
            </w:r>
          </w:p>
        </w:tc>
        <w:tc>
          <w:tcPr>
            <w:tcW w:w="1898" w:type="dxa"/>
            <w:vAlign w:val="center"/>
          </w:tcPr>
          <w:p w14:paraId="484725B3" w14:textId="77777777" w:rsidR="003F3B7D" w:rsidRPr="005A28B7" w:rsidRDefault="003F3B7D" w:rsidP="00ED4812">
            <w:pPr>
              <w:kinsoku w:val="0"/>
              <w:overflowPunct w:val="0"/>
              <w:autoSpaceDE w:val="0"/>
              <w:autoSpaceDN w:val="0"/>
              <w:adjustRightInd w:val="0"/>
              <w:spacing w:after="0" w:line="232" w:lineRule="exact"/>
              <w:ind w:right="225"/>
              <w:jc w:val="center"/>
              <w:rPr>
                <w:rFonts w:asciiTheme="majorHAnsi" w:hAnsiTheme="majorHAnsi"/>
                <w:lang w:eastAsia="nl-BE"/>
              </w:rPr>
            </w:pPr>
            <w:r w:rsidRPr="005A28B7">
              <w:rPr>
                <w:rFonts w:asciiTheme="majorHAnsi" w:hAnsiTheme="majorHAnsi"/>
                <w:color w:val="000000"/>
                <w:lang w:eastAsia="nl-BE"/>
              </w:rPr>
              <w:t>23 (10%) 34</w:t>
            </w:r>
          </w:p>
        </w:tc>
        <w:tc>
          <w:tcPr>
            <w:tcW w:w="3256" w:type="dxa"/>
            <w:vAlign w:val="center"/>
          </w:tcPr>
          <w:p w14:paraId="6C7E1B2B" w14:textId="77777777" w:rsidR="003F3B7D" w:rsidRPr="005A28B7" w:rsidRDefault="003F3B7D" w:rsidP="00ED4812">
            <w:pPr>
              <w:kinsoku w:val="0"/>
              <w:overflowPunct w:val="0"/>
              <w:autoSpaceDE w:val="0"/>
              <w:autoSpaceDN w:val="0"/>
              <w:adjustRightInd w:val="0"/>
              <w:spacing w:after="0" w:line="232" w:lineRule="exact"/>
              <w:ind w:right="225"/>
              <w:jc w:val="center"/>
              <w:rPr>
                <w:rFonts w:asciiTheme="majorHAnsi" w:hAnsiTheme="majorHAnsi"/>
                <w:lang w:eastAsia="nl-BE"/>
              </w:rPr>
            </w:pPr>
            <w:r w:rsidRPr="005A28B7">
              <w:rPr>
                <w:rFonts w:asciiTheme="majorHAnsi" w:hAnsiTheme="majorHAnsi"/>
                <w:color w:val="000000"/>
                <w:lang w:eastAsia="nl-BE"/>
              </w:rPr>
              <w:t>21 (9.6%) 43</w:t>
            </w:r>
          </w:p>
        </w:tc>
      </w:tr>
      <w:tr w:rsidR="003F3B7D" w:rsidRPr="005A28B7" w14:paraId="6F27DB4D" w14:textId="77777777" w:rsidTr="00F91248">
        <w:trPr>
          <w:trHeight w:val="254"/>
        </w:trPr>
        <w:tc>
          <w:tcPr>
            <w:tcW w:w="3872" w:type="dxa"/>
            <w:vAlign w:val="center"/>
          </w:tcPr>
          <w:p w14:paraId="3DA20244" w14:textId="77777777" w:rsidR="003F3B7D" w:rsidRPr="005A28B7" w:rsidRDefault="003F3B7D" w:rsidP="00ED4812">
            <w:pPr>
              <w:kinsoku w:val="0"/>
              <w:overflowPunct w:val="0"/>
              <w:autoSpaceDE w:val="0"/>
              <w:autoSpaceDN w:val="0"/>
              <w:adjustRightInd w:val="0"/>
              <w:spacing w:after="0" w:line="234" w:lineRule="exact"/>
              <w:ind w:left="107"/>
              <w:rPr>
                <w:rFonts w:asciiTheme="majorHAnsi" w:hAnsiTheme="majorHAnsi"/>
                <w:lang w:eastAsia="nl-BE"/>
              </w:rPr>
            </w:pPr>
            <w:r w:rsidRPr="005A28B7">
              <w:rPr>
                <w:rFonts w:asciiTheme="majorHAnsi" w:hAnsiTheme="majorHAnsi"/>
                <w:color w:val="000000"/>
                <w:lang w:eastAsia="nl-BE"/>
              </w:rPr>
              <w:t>Influenza</w:t>
            </w:r>
          </w:p>
        </w:tc>
        <w:tc>
          <w:tcPr>
            <w:tcW w:w="1898" w:type="dxa"/>
            <w:vAlign w:val="center"/>
          </w:tcPr>
          <w:p w14:paraId="0B3DB962" w14:textId="77777777" w:rsidR="003F3B7D" w:rsidRPr="005A28B7" w:rsidRDefault="003F3B7D" w:rsidP="00ED4812">
            <w:pPr>
              <w:kinsoku w:val="0"/>
              <w:overflowPunct w:val="0"/>
              <w:autoSpaceDE w:val="0"/>
              <w:autoSpaceDN w:val="0"/>
              <w:adjustRightInd w:val="0"/>
              <w:spacing w:after="0" w:line="234" w:lineRule="exact"/>
              <w:ind w:right="276"/>
              <w:jc w:val="center"/>
              <w:rPr>
                <w:rFonts w:asciiTheme="majorHAnsi" w:hAnsiTheme="majorHAnsi"/>
                <w:lang w:eastAsia="nl-BE"/>
              </w:rPr>
            </w:pPr>
            <w:r w:rsidRPr="005A28B7">
              <w:rPr>
                <w:rFonts w:asciiTheme="majorHAnsi" w:hAnsiTheme="majorHAnsi"/>
                <w:color w:val="000000"/>
                <w:lang w:eastAsia="nl-BE"/>
              </w:rPr>
              <w:t>23 (10%) 25</w:t>
            </w:r>
          </w:p>
        </w:tc>
        <w:tc>
          <w:tcPr>
            <w:tcW w:w="3256" w:type="dxa"/>
            <w:vAlign w:val="center"/>
          </w:tcPr>
          <w:p w14:paraId="59FD8D70" w14:textId="77777777" w:rsidR="003F3B7D" w:rsidRPr="005A28B7" w:rsidRDefault="003F3B7D" w:rsidP="00ED4812">
            <w:pPr>
              <w:kinsoku w:val="0"/>
              <w:overflowPunct w:val="0"/>
              <w:autoSpaceDE w:val="0"/>
              <w:autoSpaceDN w:val="0"/>
              <w:adjustRightInd w:val="0"/>
              <w:spacing w:after="0" w:line="234" w:lineRule="exact"/>
              <w:ind w:right="276"/>
              <w:jc w:val="center"/>
              <w:rPr>
                <w:rFonts w:asciiTheme="majorHAnsi" w:hAnsiTheme="majorHAnsi"/>
                <w:lang w:eastAsia="nl-BE"/>
              </w:rPr>
            </w:pPr>
            <w:r w:rsidRPr="005A28B7">
              <w:rPr>
                <w:rFonts w:asciiTheme="majorHAnsi" w:hAnsiTheme="majorHAnsi"/>
                <w:color w:val="000000"/>
                <w:lang w:eastAsia="nl-BE"/>
              </w:rPr>
              <w:t>15 (6.8%) 17</w:t>
            </w:r>
          </w:p>
        </w:tc>
      </w:tr>
      <w:tr w:rsidR="003F3B7D" w:rsidRPr="005A28B7" w14:paraId="1FF5BCB3" w14:textId="77777777" w:rsidTr="00F91248">
        <w:trPr>
          <w:trHeight w:val="251"/>
        </w:trPr>
        <w:tc>
          <w:tcPr>
            <w:tcW w:w="3872" w:type="dxa"/>
            <w:vAlign w:val="center"/>
          </w:tcPr>
          <w:p w14:paraId="6714FC1A"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Diarrhoea</w:t>
            </w:r>
          </w:p>
        </w:tc>
        <w:tc>
          <w:tcPr>
            <w:tcW w:w="1898" w:type="dxa"/>
            <w:vAlign w:val="center"/>
          </w:tcPr>
          <w:p w14:paraId="2B185746" w14:textId="77777777" w:rsidR="003F3B7D" w:rsidRPr="005A28B7" w:rsidRDefault="003F3B7D" w:rsidP="00ED4812">
            <w:pPr>
              <w:kinsoku w:val="0"/>
              <w:overflowPunct w:val="0"/>
              <w:autoSpaceDE w:val="0"/>
              <w:autoSpaceDN w:val="0"/>
              <w:adjustRightInd w:val="0"/>
              <w:spacing w:after="0" w:line="232" w:lineRule="exact"/>
              <w:ind w:right="276"/>
              <w:jc w:val="center"/>
              <w:rPr>
                <w:rFonts w:asciiTheme="majorHAnsi" w:hAnsiTheme="majorHAnsi"/>
                <w:lang w:eastAsia="nl-BE"/>
              </w:rPr>
            </w:pPr>
            <w:r w:rsidRPr="005A28B7">
              <w:rPr>
                <w:rFonts w:asciiTheme="majorHAnsi" w:hAnsiTheme="majorHAnsi"/>
                <w:color w:val="000000"/>
                <w:lang w:eastAsia="nl-BE"/>
              </w:rPr>
              <w:t>20 (8.7%) 25</w:t>
            </w:r>
          </w:p>
        </w:tc>
        <w:tc>
          <w:tcPr>
            <w:tcW w:w="3256" w:type="dxa"/>
            <w:vAlign w:val="center"/>
          </w:tcPr>
          <w:p w14:paraId="5FD8EC7F" w14:textId="77777777" w:rsidR="003F3B7D" w:rsidRPr="005A28B7" w:rsidRDefault="003F3B7D" w:rsidP="00ED4812">
            <w:pPr>
              <w:kinsoku w:val="0"/>
              <w:overflowPunct w:val="0"/>
              <w:autoSpaceDE w:val="0"/>
              <w:autoSpaceDN w:val="0"/>
              <w:adjustRightInd w:val="0"/>
              <w:spacing w:after="0" w:line="232" w:lineRule="exact"/>
              <w:ind w:right="276"/>
              <w:jc w:val="center"/>
              <w:rPr>
                <w:rFonts w:asciiTheme="majorHAnsi" w:hAnsiTheme="majorHAnsi"/>
                <w:lang w:eastAsia="nl-BE"/>
              </w:rPr>
            </w:pPr>
            <w:r w:rsidRPr="005A28B7">
              <w:rPr>
                <w:rFonts w:asciiTheme="majorHAnsi" w:hAnsiTheme="majorHAnsi"/>
                <w:color w:val="000000"/>
                <w:lang w:eastAsia="nl-BE"/>
              </w:rPr>
              <w:t>22 (10%) 28</w:t>
            </w:r>
          </w:p>
        </w:tc>
      </w:tr>
      <w:tr w:rsidR="003F3B7D" w:rsidRPr="005A28B7" w14:paraId="5442CB16" w14:textId="77777777" w:rsidTr="00F91248">
        <w:trPr>
          <w:trHeight w:val="251"/>
        </w:trPr>
        <w:tc>
          <w:tcPr>
            <w:tcW w:w="3872" w:type="dxa"/>
            <w:vAlign w:val="center"/>
          </w:tcPr>
          <w:p w14:paraId="3154DC78"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Fatigue</w:t>
            </w:r>
          </w:p>
        </w:tc>
        <w:tc>
          <w:tcPr>
            <w:tcW w:w="1898" w:type="dxa"/>
            <w:vAlign w:val="center"/>
          </w:tcPr>
          <w:p w14:paraId="1F9ABF56" w14:textId="77777777" w:rsidR="003F3B7D" w:rsidRPr="005A28B7" w:rsidRDefault="003F3B7D" w:rsidP="00ED4812">
            <w:pPr>
              <w:kinsoku w:val="0"/>
              <w:overflowPunct w:val="0"/>
              <w:autoSpaceDE w:val="0"/>
              <w:autoSpaceDN w:val="0"/>
              <w:adjustRightInd w:val="0"/>
              <w:spacing w:after="0" w:line="232" w:lineRule="exact"/>
              <w:ind w:right="276"/>
              <w:jc w:val="center"/>
              <w:rPr>
                <w:rFonts w:asciiTheme="majorHAnsi" w:hAnsiTheme="majorHAnsi"/>
                <w:lang w:eastAsia="nl-BE"/>
              </w:rPr>
            </w:pPr>
            <w:r w:rsidRPr="005A28B7">
              <w:rPr>
                <w:rFonts w:asciiTheme="majorHAnsi" w:hAnsiTheme="majorHAnsi"/>
                <w:color w:val="000000"/>
                <w:lang w:eastAsia="nl-BE"/>
              </w:rPr>
              <w:t>19 (8.3%) 30</w:t>
            </w:r>
          </w:p>
        </w:tc>
        <w:tc>
          <w:tcPr>
            <w:tcW w:w="3256" w:type="dxa"/>
            <w:vAlign w:val="center"/>
          </w:tcPr>
          <w:p w14:paraId="0EAB149F" w14:textId="77777777" w:rsidR="003F3B7D" w:rsidRPr="005A28B7" w:rsidRDefault="003F3B7D" w:rsidP="00ED4812">
            <w:pPr>
              <w:kinsoku w:val="0"/>
              <w:overflowPunct w:val="0"/>
              <w:autoSpaceDE w:val="0"/>
              <w:autoSpaceDN w:val="0"/>
              <w:adjustRightInd w:val="0"/>
              <w:spacing w:after="0" w:line="232" w:lineRule="exact"/>
              <w:ind w:right="276"/>
              <w:jc w:val="center"/>
              <w:rPr>
                <w:rFonts w:asciiTheme="majorHAnsi" w:hAnsiTheme="majorHAnsi"/>
                <w:lang w:eastAsia="nl-BE"/>
              </w:rPr>
            </w:pPr>
            <w:r w:rsidRPr="005A28B7">
              <w:rPr>
                <w:rFonts w:asciiTheme="majorHAnsi" w:hAnsiTheme="majorHAnsi"/>
                <w:color w:val="000000"/>
                <w:lang w:eastAsia="nl-BE"/>
              </w:rPr>
              <w:t>14 (6.4%) 30</w:t>
            </w:r>
          </w:p>
        </w:tc>
      </w:tr>
      <w:tr w:rsidR="003F3B7D" w:rsidRPr="005A28B7" w14:paraId="7B8017C2" w14:textId="77777777" w:rsidTr="00F91248">
        <w:trPr>
          <w:trHeight w:val="254"/>
        </w:trPr>
        <w:tc>
          <w:tcPr>
            <w:tcW w:w="3872" w:type="dxa"/>
            <w:vAlign w:val="center"/>
          </w:tcPr>
          <w:p w14:paraId="2175F518" w14:textId="77777777" w:rsidR="003F3B7D" w:rsidRPr="005A28B7" w:rsidRDefault="003F3B7D" w:rsidP="00ED4812">
            <w:pPr>
              <w:kinsoku w:val="0"/>
              <w:overflowPunct w:val="0"/>
              <w:autoSpaceDE w:val="0"/>
              <w:autoSpaceDN w:val="0"/>
              <w:adjustRightInd w:val="0"/>
              <w:spacing w:after="0" w:line="234" w:lineRule="exact"/>
              <w:ind w:left="107"/>
              <w:rPr>
                <w:rFonts w:asciiTheme="majorHAnsi" w:hAnsiTheme="majorHAnsi"/>
                <w:lang w:eastAsia="nl-BE"/>
              </w:rPr>
            </w:pPr>
            <w:r w:rsidRPr="005A28B7">
              <w:rPr>
                <w:rFonts w:asciiTheme="majorHAnsi" w:hAnsiTheme="majorHAnsi"/>
                <w:color w:val="000000"/>
                <w:lang w:eastAsia="nl-BE"/>
              </w:rPr>
              <w:t>Dizziness</w:t>
            </w:r>
          </w:p>
        </w:tc>
        <w:tc>
          <w:tcPr>
            <w:tcW w:w="1898" w:type="dxa"/>
            <w:vAlign w:val="center"/>
          </w:tcPr>
          <w:p w14:paraId="454854FD" w14:textId="77777777" w:rsidR="003F3B7D" w:rsidRPr="005A28B7" w:rsidRDefault="003F3B7D" w:rsidP="00ED4812">
            <w:pPr>
              <w:kinsoku w:val="0"/>
              <w:overflowPunct w:val="0"/>
              <w:autoSpaceDE w:val="0"/>
              <w:autoSpaceDN w:val="0"/>
              <w:adjustRightInd w:val="0"/>
              <w:spacing w:after="0" w:line="234" w:lineRule="exact"/>
              <w:ind w:right="326"/>
              <w:jc w:val="center"/>
              <w:rPr>
                <w:rFonts w:asciiTheme="majorHAnsi" w:hAnsiTheme="majorHAnsi"/>
                <w:lang w:eastAsia="nl-BE"/>
              </w:rPr>
            </w:pPr>
            <w:r w:rsidRPr="005A28B7">
              <w:rPr>
                <w:rFonts w:asciiTheme="majorHAnsi" w:hAnsiTheme="majorHAnsi"/>
                <w:color w:val="000000"/>
                <w:lang w:eastAsia="nl-BE"/>
              </w:rPr>
              <w:t>17 (7.4%) 23</w:t>
            </w:r>
          </w:p>
        </w:tc>
        <w:tc>
          <w:tcPr>
            <w:tcW w:w="3256" w:type="dxa"/>
            <w:vAlign w:val="center"/>
          </w:tcPr>
          <w:p w14:paraId="02F13B64" w14:textId="77777777" w:rsidR="003F3B7D" w:rsidRPr="005A28B7" w:rsidRDefault="003F3B7D" w:rsidP="00ED4812">
            <w:pPr>
              <w:kinsoku w:val="0"/>
              <w:overflowPunct w:val="0"/>
              <w:autoSpaceDE w:val="0"/>
              <w:autoSpaceDN w:val="0"/>
              <w:adjustRightInd w:val="0"/>
              <w:spacing w:after="0" w:line="234" w:lineRule="exact"/>
              <w:ind w:right="326"/>
              <w:jc w:val="center"/>
              <w:rPr>
                <w:rFonts w:asciiTheme="majorHAnsi" w:hAnsiTheme="majorHAnsi"/>
                <w:lang w:eastAsia="nl-BE"/>
              </w:rPr>
            </w:pPr>
            <w:r w:rsidRPr="005A28B7">
              <w:rPr>
                <w:rFonts w:asciiTheme="majorHAnsi" w:hAnsiTheme="majorHAnsi"/>
                <w:color w:val="000000"/>
                <w:lang w:eastAsia="nl-BE"/>
              </w:rPr>
              <w:t>9 (4.1%) 32</w:t>
            </w:r>
          </w:p>
        </w:tc>
      </w:tr>
      <w:tr w:rsidR="003F3B7D" w:rsidRPr="005A28B7" w14:paraId="4EBD8863" w14:textId="77777777" w:rsidTr="00F91248">
        <w:trPr>
          <w:trHeight w:val="251"/>
        </w:trPr>
        <w:tc>
          <w:tcPr>
            <w:tcW w:w="3872" w:type="dxa"/>
            <w:vAlign w:val="center"/>
          </w:tcPr>
          <w:p w14:paraId="7C1C62AA"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Abdominal pain</w:t>
            </w:r>
          </w:p>
        </w:tc>
        <w:tc>
          <w:tcPr>
            <w:tcW w:w="1898" w:type="dxa"/>
            <w:vAlign w:val="center"/>
          </w:tcPr>
          <w:p w14:paraId="680207F8"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16 (7.0%) 20</w:t>
            </w:r>
          </w:p>
        </w:tc>
        <w:tc>
          <w:tcPr>
            <w:tcW w:w="3256" w:type="dxa"/>
            <w:vAlign w:val="center"/>
          </w:tcPr>
          <w:p w14:paraId="30F8AACF"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11 (5.0%) 14</w:t>
            </w:r>
          </w:p>
        </w:tc>
      </w:tr>
      <w:tr w:rsidR="003F3B7D" w:rsidRPr="005A28B7" w14:paraId="467B0576" w14:textId="77777777" w:rsidTr="00F91248">
        <w:trPr>
          <w:trHeight w:val="253"/>
        </w:trPr>
        <w:tc>
          <w:tcPr>
            <w:tcW w:w="3872" w:type="dxa"/>
            <w:vAlign w:val="center"/>
          </w:tcPr>
          <w:p w14:paraId="582618DA" w14:textId="77777777" w:rsidR="003F3B7D" w:rsidRPr="005A28B7" w:rsidRDefault="003F3B7D" w:rsidP="00ED4812">
            <w:pPr>
              <w:kinsoku w:val="0"/>
              <w:overflowPunct w:val="0"/>
              <w:autoSpaceDE w:val="0"/>
              <w:autoSpaceDN w:val="0"/>
              <w:adjustRightInd w:val="0"/>
              <w:spacing w:after="0" w:line="234" w:lineRule="exact"/>
              <w:ind w:left="107"/>
              <w:rPr>
                <w:rFonts w:asciiTheme="majorHAnsi" w:hAnsiTheme="majorHAnsi"/>
                <w:lang w:eastAsia="nl-BE"/>
              </w:rPr>
            </w:pPr>
            <w:r w:rsidRPr="005A28B7">
              <w:rPr>
                <w:rFonts w:asciiTheme="majorHAnsi" w:hAnsiTheme="majorHAnsi"/>
                <w:color w:val="000000"/>
                <w:lang w:eastAsia="nl-BE"/>
              </w:rPr>
              <w:t>Oropharyngeal pain</w:t>
            </w:r>
          </w:p>
        </w:tc>
        <w:tc>
          <w:tcPr>
            <w:tcW w:w="1898" w:type="dxa"/>
            <w:vAlign w:val="center"/>
          </w:tcPr>
          <w:p w14:paraId="489449B2" w14:textId="77777777" w:rsidR="003F3B7D" w:rsidRPr="005A28B7" w:rsidRDefault="003F3B7D" w:rsidP="00ED4812">
            <w:pPr>
              <w:kinsoku w:val="0"/>
              <w:overflowPunct w:val="0"/>
              <w:autoSpaceDE w:val="0"/>
              <w:autoSpaceDN w:val="0"/>
              <w:adjustRightInd w:val="0"/>
              <w:spacing w:after="0" w:line="234" w:lineRule="exact"/>
              <w:ind w:right="326"/>
              <w:jc w:val="center"/>
              <w:rPr>
                <w:rFonts w:asciiTheme="majorHAnsi" w:hAnsiTheme="majorHAnsi"/>
                <w:lang w:eastAsia="nl-BE"/>
              </w:rPr>
            </w:pPr>
            <w:r w:rsidRPr="005A28B7">
              <w:rPr>
                <w:rFonts w:asciiTheme="majorHAnsi" w:hAnsiTheme="majorHAnsi"/>
                <w:color w:val="000000"/>
                <w:lang w:eastAsia="nl-BE"/>
              </w:rPr>
              <w:t>14 (6.1%) 16</w:t>
            </w:r>
          </w:p>
        </w:tc>
        <w:tc>
          <w:tcPr>
            <w:tcW w:w="3256" w:type="dxa"/>
            <w:vAlign w:val="center"/>
          </w:tcPr>
          <w:p w14:paraId="7BDC1E15" w14:textId="77777777" w:rsidR="003F3B7D" w:rsidRPr="005A28B7" w:rsidRDefault="003F3B7D" w:rsidP="00ED4812">
            <w:pPr>
              <w:kinsoku w:val="0"/>
              <w:overflowPunct w:val="0"/>
              <w:autoSpaceDE w:val="0"/>
              <w:autoSpaceDN w:val="0"/>
              <w:adjustRightInd w:val="0"/>
              <w:spacing w:after="0" w:line="234" w:lineRule="exact"/>
              <w:ind w:right="326"/>
              <w:jc w:val="center"/>
              <w:rPr>
                <w:rFonts w:asciiTheme="majorHAnsi" w:hAnsiTheme="majorHAnsi"/>
                <w:lang w:eastAsia="nl-BE"/>
              </w:rPr>
            </w:pPr>
            <w:r w:rsidRPr="005A28B7">
              <w:rPr>
                <w:rFonts w:asciiTheme="majorHAnsi" w:hAnsiTheme="majorHAnsi"/>
                <w:color w:val="000000"/>
                <w:lang w:eastAsia="nl-BE"/>
              </w:rPr>
              <w:t>16 (7.3%) 24</w:t>
            </w:r>
          </w:p>
        </w:tc>
      </w:tr>
      <w:tr w:rsidR="003F3B7D" w:rsidRPr="005A28B7" w14:paraId="5CE28860" w14:textId="77777777" w:rsidTr="00F91248">
        <w:trPr>
          <w:trHeight w:val="251"/>
        </w:trPr>
        <w:tc>
          <w:tcPr>
            <w:tcW w:w="3872" w:type="dxa"/>
            <w:vAlign w:val="center"/>
          </w:tcPr>
          <w:p w14:paraId="788D6731"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Implant site pain</w:t>
            </w:r>
          </w:p>
        </w:tc>
        <w:tc>
          <w:tcPr>
            <w:tcW w:w="1898" w:type="dxa"/>
            <w:vAlign w:val="center"/>
          </w:tcPr>
          <w:p w14:paraId="63BCAF25"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14 (6.1%) 15</w:t>
            </w:r>
          </w:p>
        </w:tc>
        <w:tc>
          <w:tcPr>
            <w:tcW w:w="3256" w:type="dxa"/>
            <w:vAlign w:val="center"/>
          </w:tcPr>
          <w:p w14:paraId="58981175"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13 (5.9%) 15</w:t>
            </w:r>
          </w:p>
        </w:tc>
      </w:tr>
      <w:tr w:rsidR="003F3B7D" w:rsidRPr="005A28B7" w14:paraId="0B89803A" w14:textId="77777777" w:rsidTr="00F91248">
        <w:trPr>
          <w:trHeight w:val="251"/>
        </w:trPr>
        <w:tc>
          <w:tcPr>
            <w:tcW w:w="3872" w:type="dxa"/>
            <w:vAlign w:val="center"/>
          </w:tcPr>
          <w:p w14:paraId="7996A0AA"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Migraine</w:t>
            </w:r>
          </w:p>
        </w:tc>
        <w:tc>
          <w:tcPr>
            <w:tcW w:w="1898" w:type="dxa"/>
            <w:vAlign w:val="center"/>
          </w:tcPr>
          <w:p w14:paraId="229E9923"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13 (5.7%) 38</w:t>
            </w:r>
          </w:p>
        </w:tc>
        <w:tc>
          <w:tcPr>
            <w:tcW w:w="3256" w:type="dxa"/>
            <w:vAlign w:val="center"/>
          </w:tcPr>
          <w:p w14:paraId="3965A576"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15 (6.8%) 32</w:t>
            </w:r>
          </w:p>
        </w:tc>
      </w:tr>
      <w:tr w:rsidR="003F3B7D" w:rsidRPr="005A28B7" w14:paraId="2551AF92" w14:textId="77777777" w:rsidTr="00F91248">
        <w:trPr>
          <w:trHeight w:val="251"/>
        </w:trPr>
        <w:tc>
          <w:tcPr>
            <w:tcW w:w="3872" w:type="dxa"/>
            <w:vAlign w:val="center"/>
          </w:tcPr>
          <w:p w14:paraId="3508FB2D"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Implant site discolouration</w:t>
            </w:r>
          </w:p>
        </w:tc>
        <w:tc>
          <w:tcPr>
            <w:tcW w:w="1898" w:type="dxa"/>
            <w:vAlign w:val="center"/>
          </w:tcPr>
          <w:p w14:paraId="3498B97A"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13 (5.7%) 16</w:t>
            </w:r>
          </w:p>
        </w:tc>
        <w:tc>
          <w:tcPr>
            <w:tcW w:w="3256" w:type="dxa"/>
            <w:vAlign w:val="center"/>
          </w:tcPr>
          <w:p w14:paraId="621045C6"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0 (0.0%) 0</w:t>
            </w:r>
          </w:p>
        </w:tc>
      </w:tr>
      <w:tr w:rsidR="003F3B7D" w:rsidRPr="005A28B7" w14:paraId="30B01FAB" w14:textId="77777777" w:rsidTr="00F91248">
        <w:trPr>
          <w:trHeight w:val="251"/>
        </w:trPr>
        <w:tc>
          <w:tcPr>
            <w:tcW w:w="3872" w:type="dxa"/>
            <w:vAlign w:val="center"/>
          </w:tcPr>
          <w:p w14:paraId="49C94A6E"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Cough</w:t>
            </w:r>
          </w:p>
        </w:tc>
        <w:tc>
          <w:tcPr>
            <w:tcW w:w="1898" w:type="dxa"/>
            <w:vAlign w:val="center"/>
          </w:tcPr>
          <w:p w14:paraId="4A39485C"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12 (5.2%) 13</w:t>
            </w:r>
          </w:p>
        </w:tc>
        <w:tc>
          <w:tcPr>
            <w:tcW w:w="3256" w:type="dxa"/>
            <w:vAlign w:val="center"/>
          </w:tcPr>
          <w:p w14:paraId="1299C891"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13 (5.9%) 16</w:t>
            </w:r>
          </w:p>
        </w:tc>
      </w:tr>
      <w:tr w:rsidR="003F3B7D" w:rsidRPr="005A28B7" w14:paraId="032AED67" w14:textId="77777777" w:rsidTr="00F91248">
        <w:trPr>
          <w:trHeight w:val="251"/>
        </w:trPr>
        <w:tc>
          <w:tcPr>
            <w:tcW w:w="3872" w:type="dxa"/>
            <w:vAlign w:val="center"/>
          </w:tcPr>
          <w:p w14:paraId="6FBBB76A"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Arthralgia</w:t>
            </w:r>
          </w:p>
        </w:tc>
        <w:tc>
          <w:tcPr>
            <w:tcW w:w="1898" w:type="dxa"/>
            <w:vAlign w:val="center"/>
          </w:tcPr>
          <w:p w14:paraId="0F78449D"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10 (4.3%) 14</w:t>
            </w:r>
          </w:p>
        </w:tc>
        <w:tc>
          <w:tcPr>
            <w:tcW w:w="3256" w:type="dxa"/>
            <w:vAlign w:val="center"/>
          </w:tcPr>
          <w:p w14:paraId="13ECEC1E"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12 (5.5%) 22</w:t>
            </w:r>
          </w:p>
        </w:tc>
      </w:tr>
      <w:tr w:rsidR="003F3B7D" w:rsidRPr="005A28B7" w14:paraId="25911393" w14:textId="77777777" w:rsidTr="00F91248">
        <w:trPr>
          <w:trHeight w:val="251"/>
        </w:trPr>
        <w:tc>
          <w:tcPr>
            <w:tcW w:w="3872" w:type="dxa"/>
            <w:vAlign w:val="center"/>
          </w:tcPr>
          <w:p w14:paraId="20E24C3B"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Toothache</w:t>
            </w:r>
          </w:p>
        </w:tc>
        <w:tc>
          <w:tcPr>
            <w:tcW w:w="1898" w:type="dxa"/>
            <w:vAlign w:val="center"/>
          </w:tcPr>
          <w:p w14:paraId="249335AD"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8 (3.5%) 11</w:t>
            </w:r>
          </w:p>
        </w:tc>
        <w:tc>
          <w:tcPr>
            <w:tcW w:w="3256" w:type="dxa"/>
            <w:vAlign w:val="center"/>
          </w:tcPr>
          <w:p w14:paraId="3E7EE7D8"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12 (5.5%) 16</w:t>
            </w:r>
          </w:p>
        </w:tc>
      </w:tr>
      <w:tr w:rsidR="003F3B7D" w:rsidRPr="005A28B7" w14:paraId="3A763FB5" w14:textId="77777777" w:rsidTr="00F91248">
        <w:trPr>
          <w:trHeight w:val="251"/>
        </w:trPr>
        <w:tc>
          <w:tcPr>
            <w:tcW w:w="3872" w:type="dxa"/>
            <w:vAlign w:val="center"/>
          </w:tcPr>
          <w:p w14:paraId="49A8BA87"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r w:rsidRPr="005A28B7">
              <w:rPr>
                <w:rFonts w:asciiTheme="majorHAnsi" w:hAnsiTheme="majorHAnsi"/>
                <w:color w:val="000000"/>
                <w:lang w:eastAsia="nl-BE"/>
              </w:rPr>
              <w:t>Sinusitis</w:t>
            </w:r>
          </w:p>
        </w:tc>
        <w:tc>
          <w:tcPr>
            <w:tcW w:w="1898" w:type="dxa"/>
            <w:vAlign w:val="center"/>
          </w:tcPr>
          <w:p w14:paraId="6908BBDC"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6 (2.6%) 6</w:t>
            </w:r>
          </w:p>
        </w:tc>
        <w:tc>
          <w:tcPr>
            <w:tcW w:w="3256" w:type="dxa"/>
            <w:vAlign w:val="center"/>
          </w:tcPr>
          <w:p w14:paraId="0F1BD991"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r w:rsidRPr="005A28B7">
              <w:rPr>
                <w:rFonts w:asciiTheme="majorHAnsi" w:hAnsiTheme="majorHAnsi"/>
                <w:color w:val="000000"/>
                <w:lang w:eastAsia="nl-BE"/>
              </w:rPr>
              <w:t>12 (5.5%) 18</w:t>
            </w:r>
          </w:p>
        </w:tc>
      </w:tr>
      <w:tr w:rsidR="003F3B7D" w:rsidRPr="005A28B7" w14:paraId="5F5F1F90" w14:textId="77777777" w:rsidTr="00F91248">
        <w:trPr>
          <w:trHeight w:val="251"/>
        </w:trPr>
        <w:tc>
          <w:tcPr>
            <w:tcW w:w="3872" w:type="dxa"/>
            <w:tcBorders>
              <w:bottom w:val="single" w:sz="4" w:space="0" w:color="auto"/>
            </w:tcBorders>
          </w:tcPr>
          <w:p w14:paraId="6576C6C9" w14:textId="77777777" w:rsidR="003F3B7D" w:rsidRPr="005A28B7" w:rsidRDefault="003F3B7D" w:rsidP="00ED4812">
            <w:pPr>
              <w:kinsoku w:val="0"/>
              <w:overflowPunct w:val="0"/>
              <w:autoSpaceDE w:val="0"/>
              <w:autoSpaceDN w:val="0"/>
              <w:adjustRightInd w:val="0"/>
              <w:spacing w:after="0" w:line="232" w:lineRule="exact"/>
              <w:ind w:left="107"/>
              <w:rPr>
                <w:rFonts w:asciiTheme="majorHAnsi" w:hAnsiTheme="majorHAnsi"/>
                <w:lang w:eastAsia="nl-BE"/>
              </w:rPr>
            </w:pPr>
          </w:p>
        </w:tc>
        <w:tc>
          <w:tcPr>
            <w:tcW w:w="1898" w:type="dxa"/>
            <w:tcBorders>
              <w:bottom w:val="single" w:sz="4" w:space="0" w:color="auto"/>
            </w:tcBorders>
          </w:tcPr>
          <w:p w14:paraId="18B50A87"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p>
        </w:tc>
        <w:tc>
          <w:tcPr>
            <w:tcW w:w="3256" w:type="dxa"/>
            <w:tcBorders>
              <w:bottom w:val="single" w:sz="4" w:space="0" w:color="auto"/>
            </w:tcBorders>
          </w:tcPr>
          <w:p w14:paraId="74619A08" w14:textId="77777777" w:rsidR="003F3B7D" w:rsidRPr="005A28B7" w:rsidRDefault="003F3B7D" w:rsidP="00ED4812">
            <w:pPr>
              <w:kinsoku w:val="0"/>
              <w:overflowPunct w:val="0"/>
              <w:autoSpaceDE w:val="0"/>
              <w:autoSpaceDN w:val="0"/>
              <w:adjustRightInd w:val="0"/>
              <w:spacing w:after="0" w:line="232" w:lineRule="exact"/>
              <w:ind w:right="326"/>
              <w:jc w:val="center"/>
              <w:rPr>
                <w:rFonts w:asciiTheme="majorHAnsi" w:hAnsiTheme="majorHAnsi"/>
                <w:lang w:eastAsia="nl-BE"/>
              </w:rPr>
            </w:pPr>
          </w:p>
        </w:tc>
      </w:tr>
    </w:tbl>
    <w:p w14:paraId="32651FC3" w14:textId="576CF424" w:rsidR="003F3B7D" w:rsidRPr="005A28B7" w:rsidRDefault="009757A4" w:rsidP="005D492F">
      <w:pPr>
        <w:tabs>
          <w:tab w:val="left" w:pos="720"/>
        </w:tabs>
        <w:contextualSpacing/>
        <w:rPr>
          <w:rFonts w:asciiTheme="majorHAnsi" w:hAnsiTheme="majorHAnsi"/>
        </w:rPr>
      </w:pPr>
      <w:r w:rsidRPr="005A28B7">
        <w:rPr>
          <w:rFonts w:asciiTheme="majorHAnsi" w:hAnsiTheme="majorHAnsi"/>
        </w:rPr>
        <w:t>** Integrated Summary of Safety population: CUV010, CUV017, CUV029, CUV030 and CUV039</w:t>
      </w:r>
    </w:p>
    <w:p w14:paraId="10DA521E" w14:textId="3B93F81B" w:rsidR="005D492F" w:rsidRPr="005A28B7" w:rsidRDefault="005D492F" w:rsidP="00F13B4B">
      <w:pPr>
        <w:tabs>
          <w:tab w:val="left" w:pos="720"/>
        </w:tabs>
        <w:spacing w:before="360" w:after="0"/>
        <w:rPr>
          <w:rFonts w:asciiTheme="majorHAnsi" w:hAnsiTheme="majorHAnsi"/>
          <w:u w:val="single"/>
        </w:rPr>
      </w:pPr>
      <w:r w:rsidRPr="005A28B7">
        <w:rPr>
          <w:rFonts w:asciiTheme="majorHAnsi" w:hAnsiTheme="majorHAnsi"/>
          <w:u w:val="single"/>
        </w:rPr>
        <w:t>Summary of the safety profile</w:t>
      </w:r>
    </w:p>
    <w:p w14:paraId="0EE5349A" w14:textId="77777777" w:rsidR="00284146" w:rsidRPr="005A28B7" w:rsidRDefault="00284146" w:rsidP="00284146">
      <w:pPr>
        <w:tabs>
          <w:tab w:val="left" w:pos="720"/>
        </w:tabs>
        <w:contextualSpacing/>
        <w:jc w:val="both"/>
        <w:rPr>
          <w:rFonts w:asciiTheme="majorHAnsi" w:hAnsiTheme="majorHAnsi" w:cstheme="minorHAnsi"/>
        </w:rPr>
      </w:pPr>
      <w:r w:rsidRPr="005A28B7">
        <w:rPr>
          <w:rFonts w:asciiTheme="majorHAnsi" w:hAnsiTheme="majorHAnsi" w:cstheme="minorHAnsi"/>
        </w:rPr>
        <w:t xml:space="preserve">The safety profile </w:t>
      </w:r>
      <w:proofErr w:type="gramStart"/>
      <w:r w:rsidRPr="005A28B7">
        <w:rPr>
          <w:rFonts w:asciiTheme="majorHAnsi" w:hAnsiTheme="majorHAnsi" w:cstheme="minorHAnsi"/>
        </w:rPr>
        <w:t>is based</w:t>
      </w:r>
      <w:proofErr w:type="gramEnd"/>
      <w:r w:rsidRPr="005A28B7">
        <w:rPr>
          <w:rFonts w:asciiTheme="majorHAnsi" w:hAnsiTheme="majorHAnsi" w:cstheme="minorHAnsi"/>
        </w:rPr>
        <w:t xml:space="preserve"> on pooled data from clinical studies in 425 patients.</w:t>
      </w:r>
    </w:p>
    <w:p w14:paraId="067AD064" w14:textId="77777777" w:rsidR="00284146" w:rsidRPr="005A28B7" w:rsidRDefault="00284146" w:rsidP="00E20F1A">
      <w:pPr>
        <w:tabs>
          <w:tab w:val="left" w:pos="720"/>
        </w:tabs>
        <w:contextualSpacing/>
        <w:rPr>
          <w:rFonts w:asciiTheme="majorHAnsi" w:hAnsiTheme="majorHAnsi" w:cstheme="minorHAnsi"/>
        </w:rPr>
      </w:pPr>
      <w:r w:rsidRPr="005A28B7">
        <w:rPr>
          <w:rFonts w:asciiTheme="majorHAnsi" w:hAnsiTheme="majorHAnsi" w:cstheme="minorHAnsi"/>
        </w:rPr>
        <w:t>The most commonly reported adverse reactions are nausea, experienced by approximately 19% of subjects who received treatment with this medicinal product, headache (20%), and implant site reactions (21%; mainly discolouration, pain, haematoma, erythema). In most cases these adverse reactions are reported to be mild in severity.</w:t>
      </w:r>
    </w:p>
    <w:p w14:paraId="63E5A80B" w14:textId="77777777" w:rsidR="005D492F" w:rsidRPr="005A28B7" w:rsidRDefault="005D492F" w:rsidP="00F13B4B">
      <w:pPr>
        <w:tabs>
          <w:tab w:val="left" w:pos="720"/>
        </w:tabs>
        <w:spacing w:before="360" w:after="0"/>
        <w:rPr>
          <w:rFonts w:asciiTheme="majorHAnsi" w:hAnsiTheme="majorHAnsi" w:cstheme="minorHAnsi"/>
          <w:u w:val="single"/>
        </w:rPr>
      </w:pPr>
      <w:r w:rsidRPr="005A28B7">
        <w:rPr>
          <w:rFonts w:asciiTheme="majorHAnsi" w:hAnsiTheme="majorHAnsi" w:cstheme="minorHAnsi"/>
          <w:u w:val="single"/>
        </w:rPr>
        <w:t>Tabulated list of adverse reactions</w:t>
      </w:r>
    </w:p>
    <w:p w14:paraId="698AB556" w14:textId="53FC1144" w:rsidR="00E52851" w:rsidRPr="005A28B7" w:rsidRDefault="00284146" w:rsidP="00EE7AEE">
      <w:pPr>
        <w:rPr>
          <w:rFonts w:asciiTheme="majorHAnsi" w:hAnsiTheme="majorHAnsi" w:cstheme="minorHAnsi"/>
        </w:rPr>
      </w:pPr>
      <w:r w:rsidRPr="005A28B7">
        <w:rPr>
          <w:rFonts w:asciiTheme="majorHAnsi" w:hAnsiTheme="majorHAnsi" w:cstheme="minorHAnsi"/>
        </w:rPr>
        <w:t xml:space="preserve">The adverse reactions reported during clinical trials conducted with afamelanotide </w:t>
      </w:r>
      <w:proofErr w:type="gramStart"/>
      <w:r w:rsidRPr="005A28B7">
        <w:rPr>
          <w:rFonts w:asciiTheme="majorHAnsi" w:hAnsiTheme="majorHAnsi" w:cstheme="minorHAnsi"/>
        </w:rPr>
        <w:t>are listed</w:t>
      </w:r>
      <w:proofErr w:type="gramEnd"/>
      <w:r w:rsidRPr="005A28B7">
        <w:rPr>
          <w:rFonts w:asciiTheme="majorHAnsi" w:hAnsiTheme="majorHAnsi" w:cstheme="minorHAnsi"/>
        </w:rPr>
        <w:t xml:space="preserve"> in</w:t>
      </w:r>
      <w:r w:rsidR="00177A49" w:rsidRPr="005A28B7">
        <w:rPr>
          <w:rFonts w:asciiTheme="majorHAnsi" w:hAnsiTheme="majorHAnsi" w:cstheme="minorHAnsi"/>
        </w:rPr>
        <w:t xml:space="preserve"> </w:t>
      </w:r>
      <w:r w:rsidR="00336CB1" w:rsidRPr="00336CB1">
        <w:rPr>
          <w:rFonts w:asciiTheme="majorHAnsi" w:hAnsiTheme="majorHAnsi" w:cstheme="minorHAnsi"/>
        </w:rPr>
        <w:fldChar w:fldCharType="begin"/>
      </w:r>
      <w:r w:rsidR="00336CB1" w:rsidRPr="00336CB1">
        <w:rPr>
          <w:rFonts w:asciiTheme="majorHAnsi" w:hAnsiTheme="majorHAnsi" w:cstheme="minorHAnsi"/>
        </w:rPr>
        <w:instrText xml:space="preserve"> REF  _Ref39747100 \h  \* MERGEFORMAT </w:instrText>
      </w:r>
      <w:r w:rsidR="00336CB1" w:rsidRPr="00336CB1">
        <w:rPr>
          <w:rFonts w:asciiTheme="majorHAnsi" w:hAnsiTheme="majorHAnsi" w:cstheme="minorHAnsi"/>
        </w:rPr>
      </w:r>
      <w:r w:rsidR="00336CB1" w:rsidRPr="00336CB1">
        <w:rPr>
          <w:rFonts w:asciiTheme="majorHAnsi" w:hAnsiTheme="majorHAnsi" w:cstheme="minorHAnsi"/>
        </w:rPr>
        <w:fldChar w:fldCharType="separate"/>
      </w:r>
      <w:r w:rsidR="00336CB1" w:rsidRPr="00336CB1">
        <w:rPr>
          <w:rFonts w:asciiTheme="majorHAnsi" w:hAnsiTheme="majorHAnsi" w:cstheme="minorHAnsi"/>
        </w:rPr>
        <w:t xml:space="preserve">Table </w:t>
      </w:r>
      <w:r w:rsidR="00336CB1" w:rsidRPr="00336CB1">
        <w:rPr>
          <w:rFonts w:asciiTheme="majorHAnsi" w:hAnsiTheme="majorHAnsi" w:cstheme="minorHAnsi"/>
          <w:noProof/>
        </w:rPr>
        <w:t>2</w:t>
      </w:r>
      <w:r w:rsidR="00336CB1" w:rsidRPr="00336CB1">
        <w:rPr>
          <w:rFonts w:asciiTheme="majorHAnsi" w:hAnsiTheme="majorHAnsi" w:cstheme="minorHAnsi"/>
        </w:rPr>
        <w:fldChar w:fldCharType="end"/>
      </w:r>
      <w:r w:rsidRPr="005A28B7">
        <w:rPr>
          <w:rFonts w:asciiTheme="majorHAnsi" w:hAnsiTheme="majorHAnsi" w:cstheme="minorHAnsi"/>
        </w:rPr>
        <w:t xml:space="preserve"> below by </w:t>
      </w:r>
      <w:proofErr w:type="spellStart"/>
      <w:r w:rsidRPr="005A28B7">
        <w:rPr>
          <w:rFonts w:asciiTheme="majorHAnsi" w:hAnsiTheme="majorHAnsi" w:cstheme="minorHAnsi"/>
        </w:rPr>
        <w:t>MedDRA</w:t>
      </w:r>
      <w:proofErr w:type="spellEnd"/>
      <w:r w:rsidRPr="005A28B7">
        <w:rPr>
          <w:rFonts w:asciiTheme="majorHAnsi" w:hAnsiTheme="majorHAnsi" w:cstheme="minorHAnsi"/>
        </w:rPr>
        <w:t xml:space="preserve"> system organ class and frequency convention.</w:t>
      </w:r>
    </w:p>
    <w:p w14:paraId="6BAC6284" w14:textId="12E1551B" w:rsidR="005D492F" w:rsidRPr="005A28B7" w:rsidRDefault="005D492F" w:rsidP="00EE7AEE">
      <w:pPr>
        <w:rPr>
          <w:rFonts w:asciiTheme="majorHAnsi" w:hAnsiTheme="majorHAnsi" w:cstheme="minorHAnsi"/>
        </w:rPr>
      </w:pPr>
      <w:r w:rsidRPr="005A28B7">
        <w:rPr>
          <w:rFonts w:asciiTheme="majorHAnsi" w:hAnsiTheme="majorHAnsi" w:cstheme="minorHAnsi"/>
        </w:rPr>
        <w:lastRenderedPageBreak/>
        <w:t xml:space="preserve">Frequencies are defined </w:t>
      </w:r>
      <w:proofErr w:type="gramStart"/>
      <w:r w:rsidRPr="005A28B7">
        <w:rPr>
          <w:rFonts w:asciiTheme="majorHAnsi" w:hAnsiTheme="majorHAnsi" w:cstheme="minorHAnsi"/>
        </w:rPr>
        <w:t>as:</w:t>
      </w:r>
      <w:proofErr w:type="gramEnd"/>
      <w:r w:rsidRPr="005A28B7">
        <w:rPr>
          <w:rFonts w:asciiTheme="majorHAnsi" w:hAnsiTheme="majorHAnsi" w:cstheme="minorHAnsi"/>
        </w:rPr>
        <w:t xml:space="preserve"> very common</w:t>
      </w:r>
      <w:r w:rsidR="005704DB" w:rsidRPr="005A28B7">
        <w:rPr>
          <w:rFonts w:asciiTheme="majorHAnsi" w:hAnsiTheme="majorHAnsi" w:cstheme="minorHAnsi"/>
        </w:rPr>
        <w:t xml:space="preserve"> </w:t>
      </w:r>
      <w:r w:rsidRPr="005A28B7">
        <w:rPr>
          <w:rFonts w:asciiTheme="majorHAnsi" w:hAnsiTheme="majorHAnsi" w:cstheme="minorHAnsi"/>
        </w:rPr>
        <w:t>(≥1/10), common</w:t>
      </w:r>
      <w:r w:rsidR="005704DB" w:rsidRPr="005A28B7">
        <w:rPr>
          <w:rFonts w:asciiTheme="majorHAnsi" w:hAnsiTheme="majorHAnsi" w:cstheme="minorHAnsi"/>
        </w:rPr>
        <w:t xml:space="preserve"> </w:t>
      </w:r>
      <w:r w:rsidRPr="005A28B7">
        <w:rPr>
          <w:rFonts w:asciiTheme="majorHAnsi" w:hAnsiTheme="majorHAnsi" w:cstheme="minorHAnsi"/>
        </w:rPr>
        <w:t>(≥1/100 to &lt;1/10), uncommon</w:t>
      </w:r>
      <w:r w:rsidR="005704DB" w:rsidRPr="005A28B7">
        <w:rPr>
          <w:rFonts w:asciiTheme="majorHAnsi" w:hAnsiTheme="majorHAnsi" w:cstheme="minorHAnsi"/>
        </w:rPr>
        <w:t xml:space="preserve"> </w:t>
      </w:r>
      <w:r w:rsidRPr="005A28B7">
        <w:rPr>
          <w:rFonts w:asciiTheme="majorHAnsi" w:hAnsiTheme="majorHAnsi" w:cstheme="minorHAnsi"/>
        </w:rPr>
        <w:t>(≥1/1,000 to &lt;1/100), rare</w:t>
      </w:r>
      <w:r w:rsidR="005704DB" w:rsidRPr="005A28B7">
        <w:rPr>
          <w:rFonts w:asciiTheme="majorHAnsi" w:hAnsiTheme="majorHAnsi" w:cstheme="minorHAnsi"/>
        </w:rPr>
        <w:t xml:space="preserve"> </w:t>
      </w:r>
      <w:r w:rsidRPr="005A28B7">
        <w:rPr>
          <w:rFonts w:asciiTheme="majorHAnsi" w:hAnsiTheme="majorHAnsi" w:cstheme="minorHAnsi"/>
        </w:rPr>
        <w:t>(≥1/10,000 to &lt;1/1,000), very rare</w:t>
      </w:r>
      <w:r w:rsidR="005704DB" w:rsidRPr="005A28B7">
        <w:rPr>
          <w:rFonts w:asciiTheme="majorHAnsi" w:hAnsiTheme="majorHAnsi" w:cstheme="minorHAnsi"/>
        </w:rPr>
        <w:t xml:space="preserve"> </w:t>
      </w:r>
      <w:r w:rsidRPr="005A28B7">
        <w:rPr>
          <w:rFonts w:asciiTheme="majorHAnsi" w:hAnsiTheme="majorHAnsi" w:cstheme="minorHAnsi"/>
        </w:rPr>
        <w:t>(&lt;1/10,000)</w:t>
      </w:r>
      <w:r w:rsidRPr="005A28B7">
        <w:rPr>
          <w:rFonts w:asciiTheme="majorHAnsi" w:hAnsiTheme="majorHAnsi" w:cstheme="minorHAnsi"/>
          <w:noProof/>
        </w:rPr>
        <w:t xml:space="preserve"> and not known (cannot be estimated from the available data).</w:t>
      </w:r>
    </w:p>
    <w:p w14:paraId="0FA12600" w14:textId="5FEDB4F9" w:rsidR="00336CB1" w:rsidRPr="00336CB1" w:rsidRDefault="00336CB1" w:rsidP="00336CB1">
      <w:pPr>
        <w:rPr>
          <w:rFonts w:asciiTheme="majorHAnsi" w:hAnsiTheme="majorHAnsi" w:cstheme="minorHAnsi"/>
          <w:b/>
          <w:bCs/>
        </w:rPr>
      </w:pPr>
      <w:bookmarkStart w:id="2" w:name="_Ref39747100"/>
      <w:r w:rsidRPr="00336CB1">
        <w:rPr>
          <w:rFonts w:asciiTheme="majorHAnsi" w:hAnsiTheme="majorHAnsi" w:cstheme="minorHAnsi"/>
          <w:b/>
          <w:bCs/>
        </w:rPr>
        <w:t xml:space="preserve">Table </w:t>
      </w:r>
      <w:r w:rsidRPr="00336CB1">
        <w:rPr>
          <w:rFonts w:asciiTheme="majorHAnsi" w:hAnsiTheme="majorHAnsi" w:cstheme="minorHAnsi"/>
          <w:b/>
          <w:bCs/>
        </w:rPr>
        <w:fldChar w:fldCharType="begin"/>
      </w:r>
      <w:r w:rsidRPr="00336CB1">
        <w:rPr>
          <w:rFonts w:asciiTheme="majorHAnsi" w:hAnsiTheme="majorHAnsi" w:cstheme="minorHAnsi"/>
          <w:b/>
          <w:bCs/>
        </w:rPr>
        <w:instrText xml:space="preserve"> SEQ Table \* ARABIC </w:instrText>
      </w:r>
      <w:r w:rsidRPr="00336CB1">
        <w:rPr>
          <w:rFonts w:asciiTheme="majorHAnsi" w:hAnsiTheme="majorHAnsi" w:cstheme="minorHAnsi"/>
          <w:b/>
          <w:bCs/>
        </w:rPr>
        <w:fldChar w:fldCharType="separate"/>
      </w:r>
      <w:r>
        <w:rPr>
          <w:rFonts w:asciiTheme="majorHAnsi" w:hAnsiTheme="majorHAnsi" w:cstheme="minorHAnsi"/>
          <w:b/>
          <w:bCs/>
          <w:noProof/>
        </w:rPr>
        <w:t>2</w:t>
      </w:r>
      <w:r w:rsidRPr="00336CB1">
        <w:rPr>
          <w:rFonts w:asciiTheme="majorHAnsi" w:hAnsiTheme="majorHAnsi" w:cstheme="minorHAnsi"/>
          <w:b/>
          <w:bCs/>
        </w:rPr>
        <w:fldChar w:fldCharType="end"/>
      </w:r>
      <w:bookmarkEnd w:id="2"/>
    </w:p>
    <w:tbl>
      <w:tblPr>
        <w:tblW w:w="904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40"/>
        <w:gridCol w:w="1701"/>
        <w:gridCol w:w="2268"/>
        <w:gridCol w:w="2835"/>
      </w:tblGrid>
      <w:tr w:rsidR="00284146" w:rsidRPr="005A28B7" w14:paraId="6AE39905" w14:textId="77777777" w:rsidTr="00D7286B">
        <w:trPr>
          <w:tblHeader/>
        </w:trPr>
        <w:tc>
          <w:tcPr>
            <w:tcW w:w="2240" w:type="dxa"/>
            <w:tcBorders>
              <w:top w:val="single" w:sz="4" w:space="0" w:color="auto"/>
              <w:left w:val="single" w:sz="4" w:space="0" w:color="auto"/>
              <w:bottom w:val="single" w:sz="6" w:space="0" w:color="auto"/>
              <w:right w:val="single" w:sz="6" w:space="0" w:color="auto"/>
            </w:tcBorders>
            <w:shd w:val="clear" w:color="auto" w:fill="auto"/>
            <w:noWrap/>
          </w:tcPr>
          <w:p w14:paraId="36537947"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
              </w:rPr>
              <w:t>System Organ Class</w:t>
            </w:r>
            <w:r w:rsidRPr="005A28B7">
              <w:rPr>
                <w:rFonts w:ascii="Cambria" w:hAnsi="Cambria" w:cstheme="minorHAnsi"/>
                <w:b/>
                <w:bCs/>
              </w:rPr>
              <w:t xml:space="preserve"> </w:t>
            </w:r>
          </w:p>
        </w:tc>
        <w:tc>
          <w:tcPr>
            <w:tcW w:w="1701" w:type="dxa"/>
            <w:tcBorders>
              <w:top w:val="single" w:sz="4" w:space="0" w:color="auto"/>
              <w:left w:val="single" w:sz="6" w:space="0" w:color="auto"/>
              <w:bottom w:val="single" w:sz="6" w:space="0" w:color="auto"/>
              <w:right w:val="single" w:sz="6" w:space="0" w:color="auto"/>
            </w:tcBorders>
            <w:shd w:val="clear" w:color="auto" w:fill="auto"/>
            <w:noWrap/>
          </w:tcPr>
          <w:p w14:paraId="3B606CCA" w14:textId="77777777" w:rsidR="00284146" w:rsidRPr="005A28B7" w:rsidRDefault="00284146" w:rsidP="00D7286B">
            <w:pPr>
              <w:spacing w:before="40" w:after="40"/>
              <w:contextualSpacing/>
              <w:rPr>
                <w:rFonts w:ascii="Cambria" w:hAnsi="Cambria" w:cstheme="minorHAnsi"/>
                <w:b/>
                <w:strike/>
              </w:rPr>
            </w:pPr>
            <w:r w:rsidRPr="005A28B7">
              <w:rPr>
                <w:rFonts w:ascii="Cambria" w:hAnsi="Cambria" w:cstheme="minorHAnsi"/>
                <w:b/>
              </w:rPr>
              <w:t>Very common</w:t>
            </w:r>
          </w:p>
        </w:tc>
        <w:tc>
          <w:tcPr>
            <w:tcW w:w="2268" w:type="dxa"/>
            <w:tcBorders>
              <w:top w:val="single" w:sz="4" w:space="0" w:color="auto"/>
              <w:left w:val="single" w:sz="6" w:space="0" w:color="auto"/>
              <w:bottom w:val="single" w:sz="6" w:space="0" w:color="auto"/>
              <w:right w:val="single" w:sz="6" w:space="0" w:color="auto"/>
            </w:tcBorders>
            <w:shd w:val="clear" w:color="auto" w:fill="auto"/>
            <w:noWrap/>
          </w:tcPr>
          <w:p w14:paraId="7D3A4C9B" w14:textId="77777777" w:rsidR="00284146" w:rsidRPr="005A28B7" w:rsidRDefault="00284146" w:rsidP="00D7286B">
            <w:pPr>
              <w:spacing w:before="40" w:after="40"/>
              <w:contextualSpacing/>
              <w:rPr>
                <w:rFonts w:ascii="Cambria" w:hAnsi="Cambria" w:cstheme="minorHAnsi"/>
                <w:b/>
                <w:strike/>
              </w:rPr>
            </w:pPr>
            <w:r w:rsidRPr="005A28B7">
              <w:rPr>
                <w:rFonts w:ascii="Cambria" w:hAnsi="Cambria" w:cstheme="minorHAnsi"/>
                <w:b/>
              </w:rPr>
              <w:t xml:space="preserve">Common </w:t>
            </w:r>
          </w:p>
        </w:tc>
        <w:tc>
          <w:tcPr>
            <w:tcW w:w="2835" w:type="dxa"/>
            <w:tcBorders>
              <w:top w:val="single" w:sz="4" w:space="0" w:color="auto"/>
              <w:left w:val="single" w:sz="6" w:space="0" w:color="auto"/>
              <w:bottom w:val="single" w:sz="6" w:space="0" w:color="auto"/>
              <w:right w:val="single" w:sz="6" w:space="0" w:color="auto"/>
            </w:tcBorders>
            <w:shd w:val="clear" w:color="auto" w:fill="auto"/>
            <w:noWrap/>
          </w:tcPr>
          <w:p w14:paraId="4099E499" w14:textId="77777777" w:rsidR="00284146" w:rsidRPr="005A28B7" w:rsidRDefault="00284146" w:rsidP="00D7286B">
            <w:pPr>
              <w:spacing w:before="40" w:after="40"/>
              <w:contextualSpacing/>
              <w:rPr>
                <w:rFonts w:ascii="Cambria" w:hAnsi="Cambria" w:cstheme="minorHAnsi"/>
                <w:b/>
              </w:rPr>
            </w:pPr>
            <w:r w:rsidRPr="005A28B7">
              <w:rPr>
                <w:rFonts w:ascii="Cambria" w:hAnsi="Cambria" w:cstheme="minorHAnsi"/>
                <w:b/>
              </w:rPr>
              <w:t xml:space="preserve">Uncommon </w:t>
            </w:r>
          </w:p>
        </w:tc>
      </w:tr>
      <w:tr w:rsidR="00284146" w:rsidRPr="005A28B7" w14:paraId="4EC4D85E"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3872540C"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Cs/>
              </w:rPr>
              <w:t>Infections and infestations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150F1453"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016E6B78" w14:textId="4B61D5F1" w:rsidR="00284146" w:rsidRPr="005A28B7" w:rsidRDefault="00284146" w:rsidP="00EE7AEE">
            <w:pPr>
              <w:spacing w:before="40" w:after="40"/>
              <w:contextualSpacing/>
              <w:rPr>
                <w:rFonts w:ascii="Cambria" w:hAnsi="Cambria" w:cstheme="minorHAnsi"/>
              </w:rPr>
            </w:pPr>
            <w:r w:rsidRPr="005A28B7">
              <w:rPr>
                <w:rFonts w:ascii="Cambria" w:hAnsi="Cambria" w:cstheme="minorHAnsi"/>
                <w:lang w:eastAsia="en-AU"/>
              </w:rPr>
              <w:t>Upper respiratory tract infection</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041D7F76"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Influenza</w:t>
            </w:r>
          </w:p>
          <w:p w14:paraId="7AAF936D"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Gastrointestinal infection</w:t>
            </w:r>
          </w:p>
          <w:p w14:paraId="3CB7C5D3"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Gastroenteritis</w:t>
            </w:r>
          </w:p>
          <w:p w14:paraId="712D0897"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Folliculitis</w:t>
            </w:r>
          </w:p>
          <w:p w14:paraId="67AF79FF"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Candidiasis</w:t>
            </w:r>
          </w:p>
          <w:p w14:paraId="51E8104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Nasopharyngitis</w:t>
            </w:r>
          </w:p>
        </w:tc>
      </w:tr>
      <w:tr w:rsidR="00284146" w:rsidRPr="005A28B7" w14:paraId="7BFCC78C"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70AD7BEA"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Neoplasms benign, malignant and unspecified (</w:t>
            </w:r>
            <w:proofErr w:type="spellStart"/>
            <w:r w:rsidRPr="005A28B7">
              <w:rPr>
                <w:rFonts w:ascii="Cambria" w:hAnsi="Cambria" w:cstheme="minorHAnsi"/>
              </w:rPr>
              <w:t>incl</w:t>
            </w:r>
            <w:proofErr w:type="spellEnd"/>
            <w:r w:rsidRPr="005A28B7">
              <w:rPr>
                <w:rFonts w:ascii="Cambria" w:hAnsi="Cambria" w:cstheme="minorHAnsi"/>
              </w:rPr>
              <w:t xml:space="preserve"> cysts and polyps)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A77C42E"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FAE026F"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01A0417B"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Haemangioma</w:t>
            </w:r>
          </w:p>
        </w:tc>
      </w:tr>
      <w:tr w:rsidR="00284146" w:rsidRPr="005A28B7" w14:paraId="42444E73"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2B804B16" w14:textId="77777777" w:rsidR="00284146" w:rsidRPr="005A28B7" w:rsidRDefault="00284146" w:rsidP="00D7286B">
            <w:pPr>
              <w:spacing w:before="40" w:after="40"/>
              <w:contextualSpacing/>
              <w:rPr>
                <w:rFonts w:ascii="Cambria" w:hAnsi="Cambria" w:cstheme="minorHAnsi"/>
                <w:bCs/>
              </w:rPr>
            </w:pPr>
            <w:r w:rsidRPr="005A28B7">
              <w:rPr>
                <w:rFonts w:ascii="Cambria" w:hAnsi="Cambria" w:cstheme="minorHAnsi"/>
                <w:bCs/>
              </w:rPr>
              <w:t xml:space="preserve">Blood and lymphatic system disorders </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73CD485B"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255DC232" w14:textId="77777777" w:rsidR="00284146" w:rsidRPr="005A28B7" w:rsidRDefault="00284146" w:rsidP="00D7286B">
            <w:pPr>
              <w:spacing w:before="40" w:after="40"/>
              <w:contextualSpacing/>
              <w:rPr>
                <w:rFonts w:ascii="Cambria" w:hAnsi="Cambria" w:cstheme="minorHAnsi"/>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18EFCAD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Leukopenia</w:t>
            </w:r>
          </w:p>
        </w:tc>
      </w:tr>
      <w:tr w:rsidR="00284146" w:rsidRPr="005A28B7" w14:paraId="6B09DDDE"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51827728" w14:textId="77777777" w:rsidR="00284146" w:rsidRPr="005A28B7" w:rsidRDefault="00284146" w:rsidP="00D7286B">
            <w:pPr>
              <w:spacing w:before="40" w:after="40"/>
              <w:contextualSpacing/>
              <w:rPr>
                <w:rFonts w:ascii="Cambria" w:hAnsi="Cambria" w:cstheme="minorHAnsi"/>
                <w:bCs/>
              </w:rPr>
            </w:pPr>
            <w:r w:rsidRPr="005A28B7">
              <w:rPr>
                <w:rFonts w:ascii="Cambria" w:hAnsi="Cambria" w:cstheme="minorHAnsi"/>
                <w:bCs/>
              </w:rPr>
              <w:t xml:space="preserve">Metabolism and nutrition disorders </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15220A28"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55EC6517"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 xml:space="preserve">Decreased appetite </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68EF04E9"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Hypercholesterolaemia</w:t>
            </w:r>
          </w:p>
          <w:p w14:paraId="349C4B8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 xml:space="preserve">Increased appetite </w:t>
            </w:r>
          </w:p>
        </w:tc>
      </w:tr>
      <w:tr w:rsidR="00284146" w:rsidRPr="005A28B7" w14:paraId="52D1B90F"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74918275" w14:textId="77777777" w:rsidR="00284146" w:rsidRPr="005A28B7" w:rsidRDefault="00284146" w:rsidP="00D7286B">
            <w:pPr>
              <w:spacing w:before="40" w:after="40"/>
              <w:contextualSpacing/>
              <w:rPr>
                <w:rFonts w:ascii="Cambria" w:hAnsi="Cambria" w:cstheme="minorHAnsi"/>
                <w:bCs/>
              </w:rPr>
            </w:pPr>
            <w:r w:rsidRPr="005A28B7">
              <w:rPr>
                <w:rFonts w:ascii="Cambria" w:hAnsi="Cambria" w:cstheme="minorHAnsi"/>
                <w:bCs/>
              </w:rPr>
              <w:t>Psychiatric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D46C99A"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FB0DF9A" w14:textId="77777777" w:rsidR="00284146" w:rsidRPr="005A28B7" w:rsidRDefault="00284146" w:rsidP="00D7286B">
            <w:pPr>
              <w:spacing w:before="40" w:after="40"/>
              <w:contextualSpacing/>
              <w:rPr>
                <w:rFonts w:ascii="Cambria" w:hAnsi="Cambria" w:cstheme="minorHAnsi"/>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6F7EFBC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Depression</w:t>
            </w:r>
          </w:p>
          <w:p w14:paraId="758EADD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Depressed mood</w:t>
            </w:r>
          </w:p>
          <w:p w14:paraId="7DAF8D6E"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Insomnia</w:t>
            </w:r>
          </w:p>
        </w:tc>
      </w:tr>
      <w:tr w:rsidR="00284146" w:rsidRPr="005A28B7" w14:paraId="638078B4"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52B55747"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Nervous system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2D3349DB" w14:textId="47988772" w:rsidR="00284146" w:rsidRPr="005A28B7" w:rsidRDefault="00284146" w:rsidP="00EE7AEE">
            <w:pPr>
              <w:spacing w:before="40" w:after="40"/>
              <w:contextualSpacing/>
              <w:rPr>
                <w:rFonts w:ascii="Cambria" w:hAnsi="Cambria" w:cstheme="minorHAnsi"/>
              </w:rPr>
            </w:pPr>
            <w:r w:rsidRPr="005A28B7">
              <w:rPr>
                <w:rFonts w:ascii="Cambria" w:hAnsi="Cambria" w:cstheme="minorHAnsi"/>
              </w:rPr>
              <w:t>Headache</w:t>
            </w: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23A52B61"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Migraine</w:t>
            </w:r>
          </w:p>
          <w:p w14:paraId="127DF365"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Dizziness</w:t>
            </w:r>
          </w:p>
          <w:p w14:paraId="04EF244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Lethargy</w:t>
            </w:r>
          </w:p>
          <w:p w14:paraId="44517E40" w14:textId="7B42AB41" w:rsidR="00284146" w:rsidRPr="005A28B7" w:rsidRDefault="00284146" w:rsidP="00EE7AEE">
            <w:pPr>
              <w:spacing w:before="40" w:after="40"/>
              <w:contextualSpacing/>
              <w:rPr>
                <w:rFonts w:ascii="Cambria" w:hAnsi="Cambria" w:cstheme="minorHAnsi"/>
              </w:rPr>
            </w:pPr>
            <w:r w:rsidRPr="005A28B7">
              <w:rPr>
                <w:rFonts w:ascii="Cambria" w:hAnsi="Cambria" w:cstheme="minorHAnsi"/>
              </w:rPr>
              <w:t>Somnolence</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056528B5"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Syncope</w:t>
            </w:r>
          </w:p>
          <w:p w14:paraId="14D757D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Restless leg syndrome</w:t>
            </w:r>
          </w:p>
          <w:p w14:paraId="24525DED"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Hyperaesthesia</w:t>
            </w:r>
          </w:p>
          <w:p w14:paraId="06EA201F"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Presyncope</w:t>
            </w:r>
          </w:p>
          <w:p w14:paraId="5EDF02A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Post-traumatic headache</w:t>
            </w:r>
          </w:p>
          <w:p w14:paraId="2C74AB43"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Burning sensation</w:t>
            </w:r>
          </w:p>
          <w:p w14:paraId="12DAFBD7"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Poor quality sleep</w:t>
            </w:r>
          </w:p>
          <w:p w14:paraId="75FC1A0E"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Dysgeusia</w:t>
            </w:r>
          </w:p>
        </w:tc>
      </w:tr>
      <w:tr w:rsidR="00284146" w:rsidRPr="005A28B7" w14:paraId="0B33DD07"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52A387B4"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Cs/>
              </w:rPr>
              <w:t>Eye</w:t>
            </w:r>
            <w:r w:rsidRPr="005A28B7">
              <w:rPr>
                <w:rFonts w:ascii="Cambria" w:hAnsi="Cambria" w:cstheme="minorHAnsi"/>
              </w:rPr>
              <w:t xml:space="preserve">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6699D6F6"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36D87BA7"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2A0C78CE"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Eyelid oedema</w:t>
            </w:r>
          </w:p>
          <w:p w14:paraId="3B834716"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Ocular hyperaemia</w:t>
            </w:r>
          </w:p>
          <w:p w14:paraId="364ADF13"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Dry eye</w:t>
            </w:r>
          </w:p>
          <w:p w14:paraId="715CABB3"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Presbyopia</w:t>
            </w:r>
          </w:p>
        </w:tc>
      </w:tr>
      <w:tr w:rsidR="00284146" w:rsidRPr="005A28B7" w14:paraId="786772F8"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5FB317B4"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Cs/>
              </w:rPr>
              <w:t>Ear</w:t>
            </w:r>
            <w:r w:rsidRPr="005A28B7">
              <w:rPr>
                <w:rFonts w:ascii="Cambria" w:hAnsi="Cambria" w:cstheme="minorHAnsi"/>
              </w:rPr>
              <w:t xml:space="preserve"> and </w:t>
            </w:r>
            <w:r w:rsidRPr="005A28B7">
              <w:rPr>
                <w:rFonts w:ascii="Cambria" w:hAnsi="Cambria" w:cstheme="minorHAnsi"/>
                <w:bCs/>
              </w:rPr>
              <w:t>labyrinth</w:t>
            </w:r>
            <w:r w:rsidRPr="005A28B7">
              <w:rPr>
                <w:rFonts w:ascii="Cambria" w:hAnsi="Cambria" w:cstheme="minorHAnsi"/>
              </w:rPr>
              <w:t xml:space="preserve">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74A13D23"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8B3655E"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4544B884"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lang w:eastAsia="en-AU"/>
              </w:rPr>
              <w:t>Tinnitus</w:t>
            </w:r>
          </w:p>
        </w:tc>
      </w:tr>
      <w:tr w:rsidR="00284146" w:rsidRPr="005A28B7" w14:paraId="519A6662"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33B29E30"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Cs/>
              </w:rPr>
              <w:t>Cardiac</w:t>
            </w:r>
            <w:r w:rsidRPr="005A28B7">
              <w:rPr>
                <w:rFonts w:ascii="Cambria" w:hAnsi="Cambria" w:cstheme="minorHAnsi"/>
              </w:rPr>
              <w:t xml:space="preserve">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666B6848"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418C91FC"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48C945BD"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Palpitations</w:t>
            </w:r>
          </w:p>
          <w:p w14:paraId="6C8551A7"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Tachycardia</w:t>
            </w:r>
          </w:p>
        </w:tc>
      </w:tr>
      <w:tr w:rsidR="00284146" w:rsidRPr="005A28B7" w14:paraId="0536E4FD"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2B569B0A" w14:textId="77777777" w:rsidR="00284146" w:rsidRPr="005A28B7" w:rsidRDefault="00284146" w:rsidP="00D7286B">
            <w:pPr>
              <w:spacing w:before="40" w:after="40"/>
              <w:contextualSpacing/>
              <w:rPr>
                <w:rFonts w:ascii="Cambria" w:hAnsi="Cambria" w:cstheme="minorHAnsi"/>
                <w:bCs/>
                <w:lang w:eastAsia="en-AU"/>
              </w:rPr>
            </w:pPr>
            <w:r w:rsidRPr="005A28B7">
              <w:rPr>
                <w:rFonts w:ascii="Cambria" w:hAnsi="Cambria" w:cstheme="minorHAnsi"/>
                <w:bCs/>
              </w:rPr>
              <w:t>Vascular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34869584"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2A22BC5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Flushing</w:t>
            </w:r>
          </w:p>
          <w:p w14:paraId="11A0828B"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Hot flush</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55BCCAA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Haematoma</w:t>
            </w:r>
          </w:p>
          <w:p w14:paraId="46B7B021"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Diastolic hypertension</w:t>
            </w:r>
          </w:p>
          <w:p w14:paraId="0FECA9B3"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Hypertension</w:t>
            </w:r>
          </w:p>
        </w:tc>
      </w:tr>
      <w:tr w:rsidR="00284146" w:rsidRPr="005A28B7" w14:paraId="47031870"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25FB70CA"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lastRenderedPageBreak/>
              <w:t>Respiratory, thoracic and mediastinal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3A22B5AC"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0A05B7A"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02E248E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Dysphonia</w:t>
            </w:r>
          </w:p>
          <w:p w14:paraId="3E13FA92"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Sinus congestion</w:t>
            </w:r>
          </w:p>
          <w:p w14:paraId="1F808A69"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Rhinitis</w:t>
            </w:r>
          </w:p>
          <w:p w14:paraId="214AA0AF"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 xml:space="preserve">Nasal congestion </w:t>
            </w:r>
          </w:p>
        </w:tc>
      </w:tr>
      <w:tr w:rsidR="00284146" w:rsidRPr="005A28B7" w14:paraId="796A8DCF"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5CCD69BC" w14:textId="77777777" w:rsidR="00284146" w:rsidRPr="005A28B7" w:rsidRDefault="00284146" w:rsidP="00D7286B">
            <w:pPr>
              <w:spacing w:before="40" w:after="40"/>
              <w:contextualSpacing/>
              <w:rPr>
                <w:rFonts w:ascii="Cambria" w:hAnsi="Cambria" w:cstheme="minorHAnsi"/>
                <w:bCs/>
                <w:lang w:eastAsia="en-AU"/>
              </w:rPr>
            </w:pPr>
            <w:r w:rsidRPr="005A28B7">
              <w:rPr>
                <w:rFonts w:ascii="Cambria" w:hAnsi="Cambria" w:cstheme="minorHAnsi"/>
                <w:bCs/>
              </w:rPr>
              <w:t>Gastrointestinal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F5E4476"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Nausea</w:t>
            </w: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E7543A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Abdominal pain</w:t>
            </w:r>
          </w:p>
          <w:p w14:paraId="23B21167"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Abdominal pain upper</w:t>
            </w:r>
          </w:p>
          <w:p w14:paraId="01524FE6"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Diarrhoea</w:t>
            </w:r>
          </w:p>
          <w:p w14:paraId="4DCFD5DD"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Vomiting</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394C58AD"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Lip oedema</w:t>
            </w:r>
          </w:p>
          <w:p w14:paraId="40F2BE89"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Lip swelling</w:t>
            </w:r>
          </w:p>
          <w:p w14:paraId="3B8477DE"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lang w:eastAsia="en-AU"/>
              </w:rPr>
              <w:t>Gastroesophageal reflux disease</w:t>
            </w:r>
          </w:p>
          <w:p w14:paraId="63F76147"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Gastritis</w:t>
            </w:r>
          </w:p>
          <w:p w14:paraId="245BD4A2"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Dyspepsia</w:t>
            </w:r>
          </w:p>
          <w:p w14:paraId="71F91DA5"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Cheilitis</w:t>
            </w:r>
          </w:p>
          <w:p w14:paraId="7CF3382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Abdominal distension</w:t>
            </w:r>
          </w:p>
          <w:p w14:paraId="19BD272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Gingival pain</w:t>
            </w:r>
          </w:p>
          <w:p w14:paraId="0892C813"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Abdominal discomfort</w:t>
            </w:r>
          </w:p>
          <w:p w14:paraId="0212456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Toothache</w:t>
            </w:r>
          </w:p>
          <w:p w14:paraId="11FCC18E"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Abdominal symptom</w:t>
            </w:r>
          </w:p>
          <w:p w14:paraId="289A2F38"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Bowel movement irregularity</w:t>
            </w:r>
          </w:p>
          <w:p w14:paraId="3E123E87"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Flatulence</w:t>
            </w:r>
          </w:p>
          <w:p w14:paraId="5CF589F2"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Gingival discolouration</w:t>
            </w:r>
          </w:p>
          <w:p w14:paraId="52B9FF00" w14:textId="77777777" w:rsidR="00284146" w:rsidRPr="005A28B7" w:rsidRDefault="00284146" w:rsidP="00D7286B">
            <w:pPr>
              <w:spacing w:before="40" w:after="40"/>
              <w:contextualSpacing/>
              <w:rPr>
                <w:rFonts w:ascii="Cambria" w:hAnsi="Cambria" w:cstheme="minorHAnsi"/>
                <w:lang w:eastAsia="en-AU"/>
              </w:rPr>
            </w:pPr>
            <w:proofErr w:type="spellStart"/>
            <w:r w:rsidRPr="005A28B7">
              <w:rPr>
                <w:rFonts w:ascii="Cambria" w:hAnsi="Cambria" w:cstheme="minorHAnsi"/>
                <w:lang w:eastAsia="en-AU"/>
              </w:rPr>
              <w:t>Hypoaesthesia</w:t>
            </w:r>
            <w:proofErr w:type="spellEnd"/>
            <w:r w:rsidRPr="005A28B7">
              <w:rPr>
                <w:rFonts w:ascii="Cambria" w:hAnsi="Cambria" w:cstheme="minorHAnsi"/>
                <w:lang w:eastAsia="en-AU"/>
              </w:rPr>
              <w:t xml:space="preserve"> oral</w:t>
            </w:r>
          </w:p>
          <w:p w14:paraId="44788708"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Lip discolouration</w:t>
            </w:r>
          </w:p>
          <w:p w14:paraId="5EE1043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Tongue discoloration</w:t>
            </w:r>
          </w:p>
        </w:tc>
      </w:tr>
      <w:tr w:rsidR="00284146" w:rsidRPr="005A28B7" w14:paraId="3731E1F2"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07CF3F61"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Skin and subcutaneous tissue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34BF2569"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240AF753"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Erythema</w:t>
            </w:r>
          </w:p>
          <w:p w14:paraId="53BEFE3F"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Melanocytic naevus</w:t>
            </w:r>
          </w:p>
          <w:p w14:paraId="612CA195"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Pigmentation disorder</w:t>
            </w:r>
          </w:p>
          <w:p w14:paraId="083FC426"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Skin discolouration</w:t>
            </w:r>
          </w:p>
          <w:p w14:paraId="11549251"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Skin hyperpigmentation</w:t>
            </w:r>
          </w:p>
          <w:p w14:paraId="747DDCDA"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Ephelides</w:t>
            </w:r>
          </w:p>
          <w:p w14:paraId="1B8E9693"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Pruritus</w:t>
            </w:r>
          </w:p>
          <w:p w14:paraId="48335726"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74A32D29"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Lichen planus</w:t>
            </w:r>
          </w:p>
          <w:p w14:paraId="33086E5D"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Rash vesicular</w:t>
            </w:r>
          </w:p>
          <w:p w14:paraId="657EB1F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Pruritus generalised</w:t>
            </w:r>
          </w:p>
          <w:p w14:paraId="487F0655"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Rash</w:t>
            </w:r>
          </w:p>
          <w:p w14:paraId="4C22D966"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Rash erythematous</w:t>
            </w:r>
          </w:p>
          <w:p w14:paraId="6FFAF4D2"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Rash papular</w:t>
            </w:r>
          </w:p>
          <w:p w14:paraId="098F032B"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Rash pruritic</w:t>
            </w:r>
          </w:p>
          <w:p w14:paraId="4E794B3B"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Skin irritation</w:t>
            </w:r>
          </w:p>
          <w:p w14:paraId="1E4802A2"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Vitiligo</w:t>
            </w:r>
          </w:p>
          <w:p w14:paraId="4B99BF6B"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Acne</w:t>
            </w:r>
          </w:p>
          <w:p w14:paraId="6451390C"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Eczema</w:t>
            </w:r>
          </w:p>
          <w:p w14:paraId="1B065EA6"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Pigmentation lip</w:t>
            </w:r>
          </w:p>
          <w:p w14:paraId="5E69BF40"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Post inflammatory pigmentation change</w:t>
            </w:r>
          </w:p>
          <w:p w14:paraId="19DAD5E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rPr>
              <w:t>Seborrhoea</w:t>
            </w:r>
          </w:p>
          <w:p w14:paraId="7B4C44EC"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Skin exfoliation</w:t>
            </w:r>
          </w:p>
          <w:p w14:paraId="37FCFB4F"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Skin hypopigmentation</w:t>
            </w:r>
          </w:p>
          <w:p w14:paraId="7F41DCFD"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Hair colour changes</w:t>
            </w:r>
          </w:p>
          <w:p w14:paraId="1CC7C734"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Hyperhidrosis</w:t>
            </w:r>
          </w:p>
        </w:tc>
      </w:tr>
      <w:tr w:rsidR="00284146" w:rsidRPr="005A28B7" w14:paraId="50673F7F"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0FB5C268"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Cs/>
              </w:rPr>
              <w:lastRenderedPageBreak/>
              <w:t>Musculoskeletal and connective tissue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AEFB9D1"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9B85CF1"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Back pain</w:t>
            </w:r>
          </w:p>
          <w:p w14:paraId="60D27778"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053E2258"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Arthralgia</w:t>
            </w:r>
          </w:p>
          <w:p w14:paraId="3BB84516"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Myalgia</w:t>
            </w:r>
          </w:p>
          <w:p w14:paraId="273F42E6"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Pain in extremity</w:t>
            </w:r>
          </w:p>
          <w:p w14:paraId="40F6263B"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Muscle spasm</w:t>
            </w:r>
          </w:p>
          <w:p w14:paraId="3E257382"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Musculoskeletal pain</w:t>
            </w:r>
          </w:p>
          <w:p w14:paraId="3DCD2668"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Musculoskeletal stiffness</w:t>
            </w:r>
          </w:p>
          <w:p w14:paraId="02473801"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Joint stiffness</w:t>
            </w:r>
          </w:p>
          <w:p w14:paraId="013C3823"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Groin pain</w:t>
            </w:r>
          </w:p>
          <w:p w14:paraId="7E424BEA"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lang w:eastAsia="en-AU"/>
              </w:rPr>
              <w:t>Sensation of heaviness</w:t>
            </w:r>
          </w:p>
        </w:tc>
      </w:tr>
      <w:tr w:rsidR="00284146" w:rsidRPr="005A28B7" w14:paraId="00442A5D"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23FBBCBC"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bCs/>
              </w:rPr>
              <w:t>Renal and urinary</w:t>
            </w:r>
            <w:r w:rsidRPr="005A28B7">
              <w:rPr>
                <w:rFonts w:ascii="Cambria" w:hAnsi="Cambria" w:cstheme="minorHAnsi"/>
              </w:rPr>
              <w:t xml:space="preserve"> disorders</w:t>
            </w:r>
            <w:r w:rsidRPr="005A28B7">
              <w:rPr>
                <w:rFonts w:ascii="Cambria" w:hAnsi="Cambria" w:cstheme="minorHAnsi"/>
                <w:bCs/>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B844AB9" w14:textId="77777777" w:rsidR="00284146" w:rsidRPr="005A28B7" w:rsidRDefault="00284146" w:rsidP="00D7286B">
            <w:pPr>
              <w:spacing w:before="40" w:after="40"/>
              <w:contextualSpacing/>
              <w:rPr>
                <w:rFonts w:ascii="Cambria" w:hAnsi="Cambria"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D334730" w14:textId="77777777" w:rsidR="00284146" w:rsidRPr="005A28B7" w:rsidRDefault="00284146" w:rsidP="00D7286B">
            <w:pPr>
              <w:spacing w:before="40" w:after="40"/>
              <w:contextualSpacing/>
              <w:rPr>
                <w:rFonts w:ascii="Cambria" w:hAnsi="Cambria" w:cstheme="minorHAnsi"/>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633EEE2D" w14:textId="1A833BB5" w:rsidR="00284146" w:rsidRPr="005A28B7" w:rsidRDefault="00284146" w:rsidP="00D7286B">
            <w:pPr>
              <w:spacing w:before="40" w:after="40"/>
              <w:contextualSpacing/>
              <w:rPr>
                <w:rFonts w:ascii="Cambria" w:hAnsi="Cambria" w:cstheme="minorHAnsi"/>
              </w:rPr>
            </w:pPr>
            <w:r w:rsidRPr="005A28B7">
              <w:rPr>
                <w:rFonts w:ascii="Cambria" w:hAnsi="Cambria" w:cstheme="minorHAnsi"/>
              </w:rPr>
              <w:t>Cystitis</w:t>
            </w:r>
          </w:p>
        </w:tc>
      </w:tr>
      <w:tr w:rsidR="00284146" w:rsidRPr="005A28B7" w14:paraId="30FD6846"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5219E87B" w14:textId="77777777" w:rsidR="00284146" w:rsidRPr="005A28B7" w:rsidRDefault="00284146" w:rsidP="00D7286B">
            <w:pPr>
              <w:spacing w:before="40" w:after="40"/>
              <w:contextualSpacing/>
              <w:rPr>
                <w:rFonts w:ascii="Cambria" w:hAnsi="Cambria" w:cstheme="minorHAnsi"/>
                <w:bCs/>
              </w:rPr>
            </w:pPr>
            <w:r w:rsidRPr="005A28B7">
              <w:rPr>
                <w:rFonts w:ascii="Cambria" w:hAnsi="Cambria" w:cstheme="minorHAnsi"/>
                <w:bCs/>
              </w:rPr>
              <w:t>Reproductive system and breast disorders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46F8A774"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4C3CDD2A" w14:textId="77777777" w:rsidR="00284146" w:rsidRPr="005A28B7" w:rsidRDefault="00284146" w:rsidP="00D7286B">
            <w:pPr>
              <w:spacing w:before="40" w:after="40"/>
              <w:contextualSpacing/>
              <w:rPr>
                <w:rFonts w:ascii="Cambria" w:hAnsi="Cambria" w:cstheme="minorHAnsi"/>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55FD6DC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Menorrhagia</w:t>
            </w:r>
          </w:p>
          <w:p w14:paraId="766A0745"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Dysmenorrhoea</w:t>
            </w:r>
          </w:p>
          <w:p w14:paraId="5CA5CBF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Breast tenderness</w:t>
            </w:r>
          </w:p>
          <w:p w14:paraId="5F8DA95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Menstruation irregular</w:t>
            </w:r>
          </w:p>
          <w:p w14:paraId="58A6C28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Vaginal discharge</w:t>
            </w:r>
          </w:p>
          <w:p w14:paraId="10809C6B"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Libido decreased</w:t>
            </w:r>
          </w:p>
        </w:tc>
      </w:tr>
      <w:tr w:rsidR="00284146" w:rsidRPr="005A28B7" w14:paraId="78E6F74E"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04961023" w14:textId="77777777" w:rsidR="00284146" w:rsidRPr="005A28B7" w:rsidRDefault="00284146" w:rsidP="00D7286B">
            <w:pPr>
              <w:spacing w:before="40" w:after="40"/>
              <w:contextualSpacing/>
              <w:rPr>
                <w:rFonts w:ascii="Cambria" w:hAnsi="Cambria" w:cstheme="minorHAnsi"/>
                <w:bCs/>
                <w:lang w:eastAsia="en-AU"/>
              </w:rPr>
            </w:pPr>
            <w:r w:rsidRPr="005A28B7">
              <w:rPr>
                <w:rFonts w:ascii="Cambria" w:hAnsi="Cambria" w:cstheme="minorHAnsi"/>
                <w:bCs/>
              </w:rPr>
              <w:t>General disorders and administration site conditions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0BF5C5DE"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EB47D22"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hypersensitivity</w:t>
            </w:r>
          </w:p>
          <w:p w14:paraId="1D3176FE"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reaction</w:t>
            </w:r>
          </w:p>
          <w:p w14:paraId="0DAEA8A5"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pain</w:t>
            </w:r>
          </w:p>
          <w:p w14:paraId="00888887"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haematoma</w:t>
            </w:r>
          </w:p>
          <w:p w14:paraId="10EA5A91"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erythema</w:t>
            </w:r>
          </w:p>
          <w:p w14:paraId="09A13702"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irritation</w:t>
            </w:r>
          </w:p>
          <w:p w14:paraId="08C80DE7"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Asthenia</w:t>
            </w:r>
          </w:p>
          <w:p w14:paraId="7DC9FB4B"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Fatigue</w:t>
            </w:r>
          </w:p>
          <w:p w14:paraId="48BA606C"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discolouration</w:t>
            </w:r>
          </w:p>
          <w:p w14:paraId="17F08686" w14:textId="75467DA8" w:rsidR="00284146" w:rsidRPr="005A28B7" w:rsidRDefault="00284146" w:rsidP="00EE7AEE">
            <w:pPr>
              <w:spacing w:before="40" w:after="40"/>
              <w:contextualSpacing/>
              <w:rPr>
                <w:rFonts w:ascii="Cambria" w:hAnsi="Cambria" w:cstheme="minorHAnsi"/>
                <w:lang w:eastAsia="en-AU"/>
              </w:rPr>
            </w:pPr>
            <w:r w:rsidRPr="005A28B7">
              <w:rPr>
                <w:rFonts w:ascii="Cambria" w:hAnsi="Cambria" w:cstheme="minorHAnsi"/>
              </w:rPr>
              <w:t>Feeling hot</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0165882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Oedema peripheral</w:t>
            </w:r>
          </w:p>
          <w:p w14:paraId="2F248F2B"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Oedema mucosal</w:t>
            </w:r>
          </w:p>
          <w:p w14:paraId="2895200B"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Pain</w:t>
            </w:r>
          </w:p>
          <w:p w14:paraId="7BFB068B"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oedema</w:t>
            </w:r>
          </w:p>
          <w:p w14:paraId="6837020F"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Pyrexia</w:t>
            </w:r>
          </w:p>
          <w:p w14:paraId="2156EFE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Chills</w:t>
            </w:r>
          </w:p>
          <w:p w14:paraId="1F3E9E28"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Injection site haematoma</w:t>
            </w:r>
          </w:p>
          <w:p w14:paraId="40461636"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Injection site irritation</w:t>
            </w:r>
          </w:p>
          <w:p w14:paraId="5BCED980"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hypertrophy</w:t>
            </w:r>
          </w:p>
          <w:p w14:paraId="297AF312"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Implant site pruritus</w:t>
            </w:r>
          </w:p>
          <w:p w14:paraId="6CCBBEC5"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Device expulsion</w:t>
            </w:r>
          </w:p>
          <w:p w14:paraId="5F628579"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Application site discolouration</w:t>
            </w:r>
          </w:p>
          <w:p w14:paraId="61A7612D" w14:textId="77777777" w:rsidR="00284146" w:rsidRPr="005A28B7" w:rsidRDefault="00284146" w:rsidP="00D7286B">
            <w:pPr>
              <w:spacing w:before="40" w:after="40"/>
              <w:contextualSpacing/>
              <w:rPr>
                <w:rFonts w:ascii="Cambria" w:hAnsi="Cambria" w:cstheme="minorHAnsi"/>
              </w:rPr>
            </w:pPr>
            <w:r w:rsidRPr="005A28B7">
              <w:rPr>
                <w:rFonts w:ascii="Cambria" w:hAnsi="Cambria" w:cstheme="minorHAnsi"/>
              </w:rPr>
              <w:t>Hangover</w:t>
            </w:r>
          </w:p>
          <w:p w14:paraId="6D47DC9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Influenza like illness</w:t>
            </w:r>
          </w:p>
        </w:tc>
      </w:tr>
      <w:tr w:rsidR="00284146" w:rsidRPr="005A28B7" w14:paraId="23F624C1"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4FAA52D0" w14:textId="77777777" w:rsidR="00284146" w:rsidRPr="005A28B7" w:rsidRDefault="00284146" w:rsidP="00D7286B">
            <w:pPr>
              <w:spacing w:before="40" w:after="40"/>
              <w:contextualSpacing/>
              <w:rPr>
                <w:rFonts w:ascii="Cambria" w:hAnsi="Cambria" w:cstheme="minorHAnsi"/>
                <w:bCs/>
              </w:rPr>
            </w:pPr>
            <w:r w:rsidRPr="005A28B7">
              <w:rPr>
                <w:rFonts w:ascii="Cambria" w:hAnsi="Cambria" w:cstheme="minorHAnsi"/>
                <w:bCs/>
              </w:rPr>
              <w:t>Investigations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5437C98E"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512A2C46" w14:textId="788490FD" w:rsidR="00284146" w:rsidRPr="005A28B7" w:rsidRDefault="00284146" w:rsidP="00EE7AEE">
            <w:pPr>
              <w:spacing w:before="40" w:after="40"/>
              <w:contextualSpacing/>
              <w:rPr>
                <w:rFonts w:ascii="Cambria" w:hAnsi="Cambria" w:cstheme="minorHAnsi"/>
                <w:lang w:eastAsia="en-AU"/>
              </w:rPr>
            </w:pPr>
            <w:r w:rsidRPr="005A28B7">
              <w:rPr>
                <w:rFonts w:ascii="Cambria" w:hAnsi="Cambria" w:cstheme="minorHAnsi"/>
                <w:lang w:eastAsia="en-AU"/>
              </w:rPr>
              <w:t xml:space="preserve">Blood </w:t>
            </w:r>
            <w:proofErr w:type="spellStart"/>
            <w:r w:rsidRPr="005A28B7">
              <w:rPr>
                <w:rFonts w:ascii="Cambria" w:hAnsi="Cambria" w:cstheme="minorHAnsi"/>
                <w:lang w:eastAsia="en-AU"/>
              </w:rPr>
              <w:t>creatine</w:t>
            </w:r>
            <w:proofErr w:type="spellEnd"/>
            <w:r w:rsidRPr="005A28B7">
              <w:rPr>
                <w:rFonts w:ascii="Cambria" w:hAnsi="Cambria" w:cstheme="minorHAnsi"/>
                <w:lang w:eastAsia="en-AU"/>
              </w:rPr>
              <w:t xml:space="preserve"> phosphokinase increased</w:t>
            </w: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59F150DF"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Alanine aminotransferase increased</w:t>
            </w:r>
          </w:p>
          <w:p w14:paraId="19B853E1"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Aspartate aminotransferase increased</w:t>
            </w:r>
          </w:p>
          <w:p w14:paraId="4F76A28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Liver function test abnormal</w:t>
            </w:r>
          </w:p>
          <w:p w14:paraId="1546BD76"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Transaminases increased</w:t>
            </w:r>
          </w:p>
          <w:p w14:paraId="55DF2139"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Transferrin saturation decreased</w:t>
            </w:r>
          </w:p>
          <w:p w14:paraId="6C0A5AE0"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Blood cholesterol increased</w:t>
            </w:r>
          </w:p>
          <w:p w14:paraId="644D350A"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lastRenderedPageBreak/>
              <w:t>Blood glucose increased</w:t>
            </w:r>
          </w:p>
          <w:p w14:paraId="00F8AF9B"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Blood iron decreased</w:t>
            </w:r>
          </w:p>
          <w:p w14:paraId="5F758128"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Blood pressure diastolic increased</w:t>
            </w:r>
          </w:p>
          <w:p w14:paraId="39E8D00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Blood urine present</w:t>
            </w:r>
          </w:p>
          <w:p w14:paraId="33822C9C"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Biopsy skin</w:t>
            </w:r>
          </w:p>
        </w:tc>
      </w:tr>
      <w:tr w:rsidR="00284146" w:rsidRPr="005A28B7" w14:paraId="130CAE19" w14:textId="77777777" w:rsidTr="00D7286B">
        <w:tc>
          <w:tcPr>
            <w:tcW w:w="2240" w:type="dxa"/>
            <w:tcBorders>
              <w:top w:val="single" w:sz="6" w:space="0" w:color="auto"/>
              <w:left w:val="single" w:sz="4" w:space="0" w:color="auto"/>
              <w:bottom w:val="single" w:sz="6" w:space="0" w:color="auto"/>
              <w:right w:val="single" w:sz="6" w:space="0" w:color="auto"/>
            </w:tcBorders>
            <w:shd w:val="clear" w:color="auto" w:fill="auto"/>
            <w:noWrap/>
          </w:tcPr>
          <w:p w14:paraId="34ECCFEA" w14:textId="77777777" w:rsidR="00284146" w:rsidRPr="005A28B7" w:rsidRDefault="00284146" w:rsidP="00D7286B">
            <w:pPr>
              <w:spacing w:before="40" w:after="40"/>
              <w:contextualSpacing/>
              <w:rPr>
                <w:rFonts w:ascii="Cambria" w:hAnsi="Cambria" w:cstheme="minorHAnsi"/>
                <w:bCs/>
                <w:lang w:eastAsia="en-AU"/>
              </w:rPr>
            </w:pPr>
            <w:r w:rsidRPr="005A28B7">
              <w:rPr>
                <w:rFonts w:ascii="Cambria" w:hAnsi="Cambria" w:cstheme="minorHAnsi"/>
                <w:bCs/>
              </w:rPr>
              <w:lastRenderedPageBreak/>
              <w:t>Injury, poisoning and procedural complications</w:t>
            </w:r>
          </w:p>
        </w:tc>
        <w:tc>
          <w:tcPr>
            <w:tcW w:w="1701" w:type="dxa"/>
            <w:tcBorders>
              <w:top w:val="single" w:sz="6" w:space="0" w:color="auto"/>
              <w:left w:val="single" w:sz="6" w:space="0" w:color="auto"/>
              <w:bottom w:val="single" w:sz="6" w:space="0" w:color="auto"/>
              <w:right w:val="single" w:sz="6" w:space="0" w:color="auto"/>
            </w:tcBorders>
            <w:shd w:val="clear" w:color="auto" w:fill="auto"/>
            <w:noWrap/>
          </w:tcPr>
          <w:p w14:paraId="7BF108A4" w14:textId="77777777" w:rsidR="00284146" w:rsidRPr="005A28B7" w:rsidRDefault="00284146" w:rsidP="00D7286B">
            <w:pPr>
              <w:spacing w:before="40" w:after="40"/>
              <w:contextualSpacing/>
              <w:rPr>
                <w:rFonts w:ascii="Cambria" w:hAnsi="Cambria" w:cstheme="minorHAnsi"/>
                <w:lang w:eastAsia="en-AU"/>
              </w:rPr>
            </w:pP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14:paraId="68E5641A" w14:textId="77777777" w:rsidR="00284146" w:rsidRPr="005A28B7" w:rsidRDefault="00284146" w:rsidP="00D7286B">
            <w:pPr>
              <w:spacing w:before="40" w:after="40"/>
              <w:contextualSpacing/>
              <w:rPr>
                <w:rFonts w:ascii="Cambria" w:hAnsi="Cambria" w:cstheme="minorHAnsi"/>
                <w:lang w:eastAsia="en-AU"/>
              </w:rPr>
            </w:pPr>
          </w:p>
        </w:tc>
        <w:tc>
          <w:tcPr>
            <w:tcW w:w="2835" w:type="dxa"/>
            <w:tcBorders>
              <w:top w:val="single" w:sz="6" w:space="0" w:color="auto"/>
              <w:left w:val="single" w:sz="6" w:space="0" w:color="auto"/>
              <w:bottom w:val="single" w:sz="6" w:space="0" w:color="auto"/>
              <w:right w:val="single" w:sz="6" w:space="0" w:color="auto"/>
            </w:tcBorders>
            <w:shd w:val="clear" w:color="auto" w:fill="auto"/>
            <w:noWrap/>
          </w:tcPr>
          <w:p w14:paraId="433E2245"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Wound complication</w:t>
            </w:r>
          </w:p>
          <w:p w14:paraId="41B58F54"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Open wound</w:t>
            </w:r>
          </w:p>
          <w:p w14:paraId="6D485052"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Fall</w:t>
            </w:r>
          </w:p>
          <w:p w14:paraId="0A3E4C95" w14:textId="77777777" w:rsidR="00284146" w:rsidRPr="005A28B7" w:rsidRDefault="00284146" w:rsidP="00D7286B">
            <w:pPr>
              <w:spacing w:before="40" w:after="40"/>
              <w:contextualSpacing/>
              <w:rPr>
                <w:rFonts w:ascii="Cambria" w:hAnsi="Cambria" w:cstheme="minorHAnsi"/>
                <w:lang w:eastAsia="en-AU"/>
              </w:rPr>
            </w:pPr>
            <w:r w:rsidRPr="005A28B7">
              <w:rPr>
                <w:rFonts w:ascii="Cambria" w:hAnsi="Cambria" w:cstheme="minorHAnsi"/>
                <w:lang w:eastAsia="en-AU"/>
              </w:rPr>
              <w:t>Procedural nausea</w:t>
            </w:r>
          </w:p>
        </w:tc>
      </w:tr>
    </w:tbl>
    <w:p w14:paraId="1FF2F0C2" w14:textId="4EEECA8F" w:rsidR="00F91248" w:rsidRPr="005A28B7" w:rsidRDefault="00F91248" w:rsidP="00EE7AEE">
      <w:pPr>
        <w:spacing w:before="360" w:after="0"/>
        <w:rPr>
          <w:rFonts w:asciiTheme="majorHAnsi" w:hAnsiTheme="majorHAnsi" w:cstheme="minorHAnsi"/>
          <w:u w:val="single"/>
        </w:rPr>
      </w:pPr>
      <w:r w:rsidRPr="005A28B7">
        <w:rPr>
          <w:rFonts w:asciiTheme="majorHAnsi" w:hAnsiTheme="majorHAnsi" w:cstheme="minorHAnsi"/>
          <w:u w:val="single"/>
        </w:rPr>
        <w:t>Post-marketing Experience</w:t>
      </w:r>
    </w:p>
    <w:p w14:paraId="460B0A2F" w14:textId="759514EB" w:rsidR="00F91248" w:rsidRPr="005A28B7" w:rsidRDefault="00F91248" w:rsidP="00F91248">
      <w:pPr>
        <w:rPr>
          <w:rFonts w:asciiTheme="majorHAnsi" w:hAnsiTheme="majorHAnsi" w:cstheme="minorHAnsi"/>
        </w:rPr>
      </w:pPr>
      <w:r w:rsidRPr="005A28B7">
        <w:rPr>
          <w:rFonts w:asciiTheme="majorHAnsi" w:hAnsiTheme="majorHAnsi" w:cstheme="minorHAnsi"/>
        </w:rPr>
        <w:t>Marketing authori</w:t>
      </w:r>
      <w:r w:rsidR="00C677FB" w:rsidRPr="005A28B7">
        <w:rPr>
          <w:rFonts w:asciiTheme="majorHAnsi" w:hAnsiTheme="majorHAnsi" w:cstheme="minorHAnsi"/>
        </w:rPr>
        <w:t>s</w:t>
      </w:r>
      <w:r w:rsidRPr="005A28B7">
        <w:rPr>
          <w:rFonts w:asciiTheme="majorHAnsi" w:hAnsiTheme="majorHAnsi" w:cstheme="minorHAnsi"/>
        </w:rPr>
        <w:t>ation was obtained in the European Union in December 2014. SCENESSE</w:t>
      </w:r>
      <w:r w:rsidRPr="005A28B7">
        <w:rPr>
          <w:rFonts w:asciiTheme="majorHAnsi" w:hAnsiTheme="majorHAnsi" w:cstheme="minorHAnsi"/>
          <w:vertAlign w:val="superscript"/>
        </w:rPr>
        <w:t>®</w:t>
      </w:r>
      <w:r w:rsidRPr="005A28B7">
        <w:rPr>
          <w:rFonts w:asciiTheme="majorHAnsi" w:hAnsiTheme="majorHAnsi" w:cstheme="minorHAnsi"/>
        </w:rPr>
        <w:t xml:space="preserve"> has been commercially distributed in Europe, predominantly via a post-authori</w:t>
      </w:r>
      <w:r w:rsidR="00C677FB" w:rsidRPr="005A28B7">
        <w:rPr>
          <w:rFonts w:asciiTheme="majorHAnsi" w:hAnsiTheme="majorHAnsi" w:cstheme="minorHAnsi"/>
        </w:rPr>
        <w:t>s</w:t>
      </w:r>
      <w:r w:rsidRPr="005A28B7">
        <w:rPr>
          <w:rFonts w:asciiTheme="majorHAnsi" w:hAnsiTheme="majorHAnsi" w:cstheme="minorHAnsi"/>
        </w:rPr>
        <w:t>ation safety study (PASS)/ disease registry study, and partly through an expanded access program in Switzerland and Italy. All treating physicians within the European Union follow a treatment protocol which mandates reporting of adverse reactions.</w:t>
      </w:r>
    </w:p>
    <w:p w14:paraId="6D429197" w14:textId="1CE579CA" w:rsidR="00F91248" w:rsidRPr="005A28B7" w:rsidRDefault="00F91248" w:rsidP="00F91248">
      <w:pPr>
        <w:rPr>
          <w:rFonts w:asciiTheme="majorHAnsi" w:hAnsiTheme="majorHAnsi" w:cstheme="minorHAnsi"/>
        </w:rPr>
      </w:pPr>
      <w:r w:rsidRPr="005A28B7">
        <w:rPr>
          <w:rFonts w:asciiTheme="majorHAnsi" w:hAnsiTheme="majorHAnsi" w:cstheme="minorHAnsi"/>
        </w:rPr>
        <w:t xml:space="preserve">Adverse reactions reported to CLINUVEL under these programs </w:t>
      </w:r>
      <w:proofErr w:type="gramStart"/>
      <w:r w:rsidRPr="005A28B7">
        <w:rPr>
          <w:rFonts w:asciiTheme="majorHAnsi" w:hAnsiTheme="majorHAnsi" w:cstheme="minorHAnsi"/>
        </w:rPr>
        <w:t>are listed</w:t>
      </w:r>
      <w:proofErr w:type="gramEnd"/>
      <w:r w:rsidRPr="005A28B7">
        <w:rPr>
          <w:rFonts w:asciiTheme="majorHAnsi" w:hAnsiTheme="majorHAnsi" w:cstheme="minorHAnsi"/>
        </w:rPr>
        <w:t xml:space="preserve"> in </w:t>
      </w:r>
      <w:r w:rsidR="00336CB1" w:rsidRPr="00336CB1">
        <w:rPr>
          <w:rFonts w:asciiTheme="majorHAnsi" w:hAnsiTheme="majorHAnsi" w:cstheme="minorHAnsi"/>
        </w:rPr>
        <w:fldChar w:fldCharType="begin"/>
      </w:r>
      <w:r w:rsidR="00336CB1" w:rsidRPr="00336CB1">
        <w:rPr>
          <w:rFonts w:asciiTheme="majorHAnsi" w:hAnsiTheme="majorHAnsi" w:cstheme="minorHAnsi"/>
        </w:rPr>
        <w:instrText xml:space="preserve"> REF  _Ref39747120 \h  \* MERGEFORMAT </w:instrText>
      </w:r>
      <w:r w:rsidR="00336CB1" w:rsidRPr="00336CB1">
        <w:rPr>
          <w:rFonts w:asciiTheme="majorHAnsi" w:hAnsiTheme="majorHAnsi" w:cstheme="minorHAnsi"/>
        </w:rPr>
      </w:r>
      <w:r w:rsidR="00336CB1" w:rsidRPr="00336CB1">
        <w:rPr>
          <w:rFonts w:asciiTheme="majorHAnsi" w:hAnsiTheme="majorHAnsi" w:cstheme="minorHAnsi"/>
        </w:rPr>
        <w:fldChar w:fldCharType="separate"/>
      </w:r>
      <w:r w:rsidR="00336CB1" w:rsidRPr="00336CB1">
        <w:rPr>
          <w:rFonts w:asciiTheme="majorHAnsi" w:hAnsiTheme="majorHAnsi" w:cstheme="minorHAnsi"/>
        </w:rPr>
        <w:t xml:space="preserve">Table </w:t>
      </w:r>
      <w:r w:rsidR="00336CB1" w:rsidRPr="00336CB1">
        <w:rPr>
          <w:rFonts w:asciiTheme="majorHAnsi" w:hAnsiTheme="majorHAnsi" w:cstheme="minorHAnsi"/>
          <w:noProof/>
        </w:rPr>
        <w:t>3</w:t>
      </w:r>
      <w:r w:rsidR="00336CB1" w:rsidRPr="00336CB1">
        <w:rPr>
          <w:rFonts w:asciiTheme="majorHAnsi" w:hAnsiTheme="majorHAnsi" w:cstheme="minorHAnsi"/>
        </w:rPr>
        <w:fldChar w:fldCharType="end"/>
      </w:r>
      <w:r w:rsidRPr="005A28B7">
        <w:rPr>
          <w:rFonts w:asciiTheme="majorHAnsi" w:hAnsiTheme="majorHAnsi" w:cstheme="minorHAnsi"/>
        </w:rPr>
        <w:t xml:space="preserve"> and include data obtained from approximately 1,200 SCENESSE</w:t>
      </w:r>
      <w:r w:rsidRPr="005A28B7">
        <w:rPr>
          <w:rFonts w:asciiTheme="majorHAnsi" w:hAnsiTheme="majorHAnsi" w:cstheme="minorHAnsi"/>
          <w:vertAlign w:val="superscript"/>
        </w:rPr>
        <w:t>®</w:t>
      </w:r>
      <w:r w:rsidRPr="005A28B7">
        <w:rPr>
          <w:rFonts w:asciiTheme="majorHAnsi" w:hAnsiTheme="majorHAnsi" w:cstheme="minorHAnsi"/>
        </w:rPr>
        <w:t xml:space="preserve"> administrations. Given the limited clinical use of SCENESSE</w:t>
      </w:r>
      <w:r w:rsidRPr="005A28B7">
        <w:rPr>
          <w:rFonts w:asciiTheme="majorHAnsi" w:hAnsiTheme="majorHAnsi" w:cstheme="minorHAnsi"/>
          <w:vertAlign w:val="superscript"/>
        </w:rPr>
        <w:t>®</w:t>
      </w:r>
      <w:r w:rsidRPr="005A28B7">
        <w:rPr>
          <w:rFonts w:asciiTheme="majorHAnsi" w:hAnsiTheme="majorHAnsi" w:cstheme="minorHAnsi"/>
        </w:rPr>
        <w:t xml:space="preserve"> in a relatively small patient population since obtaining marketing authori</w:t>
      </w:r>
      <w:r w:rsidR="00C677FB" w:rsidRPr="005A28B7">
        <w:rPr>
          <w:rFonts w:asciiTheme="majorHAnsi" w:hAnsiTheme="majorHAnsi" w:cstheme="minorHAnsi"/>
        </w:rPr>
        <w:t>s</w:t>
      </w:r>
      <w:r w:rsidRPr="005A28B7">
        <w:rPr>
          <w:rFonts w:asciiTheme="majorHAnsi" w:hAnsiTheme="majorHAnsi" w:cstheme="minorHAnsi"/>
        </w:rPr>
        <w:t>ation in Europe, the reported adverse reaction incidence should be regarded as preliminary at this time.</w:t>
      </w:r>
    </w:p>
    <w:p w14:paraId="0B55D3CE" w14:textId="119DED0A" w:rsidR="00336CB1" w:rsidRPr="00336CB1" w:rsidRDefault="00336CB1" w:rsidP="00336CB1">
      <w:pPr>
        <w:rPr>
          <w:rFonts w:asciiTheme="majorHAnsi" w:hAnsiTheme="majorHAnsi" w:cstheme="minorHAnsi"/>
          <w:b/>
          <w:bCs/>
        </w:rPr>
      </w:pPr>
      <w:bookmarkStart w:id="3" w:name="_Ref39747120"/>
      <w:r w:rsidRPr="00336CB1">
        <w:rPr>
          <w:rFonts w:asciiTheme="majorHAnsi" w:hAnsiTheme="majorHAnsi" w:cstheme="minorHAnsi"/>
          <w:b/>
          <w:bCs/>
        </w:rPr>
        <w:t xml:space="preserve">Table </w:t>
      </w:r>
      <w:r w:rsidRPr="00336CB1">
        <w:rPr>
          <w:rFonts w:asciiTheme="majorHAnsi" w:hAnsiTheme="majorHAnsi" w:cstheme="minorHAnsi"/>
          <w:b/>
          <w:bCs/>
        </w:rPr>
        <w:fldChar w:fldCharType="begin"/>
      </w:r>
      <w:r w:rsidRPr="00336CB1">
        <w:rPr>
          <w:rFonts w:asciiTheme="majorHAnsi" w:hAnsiTheme="majorHAnsi" w:cstheme="minorHAnsi"/>
          <w:b/>
          <w:bCs/>
        </w:rPr>
        <w:instrText xml:space="preserve"> SEQ Table \* ARABIC </w:instrText>
      </w:r>
      <w:r w:rsidRPr="00336CB1">
        <w:rPr>
          <w:rFonts w:asciiTheme="majorHAnsi" w:hAnsiTheme="majorHAnsi" w:cstheme="minorHAnsi"/>
          <w:b/>
          <w:bCs/>
        </w:rPr>
        <w:fldChar w:fldCharType="separate"/>
      </w:r>
      <w:r>
        <w:rPr>
          <w:rFonts w:asciiTheme="majorHAnsi" w:hAnsiTheme="majorHAnsi" w:cstheme="minorHAnsi"/>
          <w:b/>
          <w:bCs/>
          <w:noProof/>
        </w:rPr>
        <w:t>3</w:t>
      </w:r>
      <w:r w:rsidRPr="00336CB1">
        <w:rPr>
          <w:rFonts w:asciiTheme="majorHAnsi" w:hAnsiTheme="majorHAnsi" w:cstheme="minorHAnsi"/>
          <w:b/>
          <w:bCs/>
        </w:rPr>
        <w:fldChar w:fldCharType="end"/>
      </w:r>
      <w:bookmarkEnd w:id="3"/>
    </w:p>
    <w:tbl>
      <w:tblPr>
        <w:tblW w:w="965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567"/>
        <w:gridCol w:w="2362"/>
        <w:gridCol w:w="2362"/>
        <w:gridCol w:w="2363"/>
      </w:tblGrid>
      <w:tr w:rsidR="00F91248" w:rsidRPr="005A28B7" w14:paraId="75CBC106" w14:textId="77777777" w:rsidTr="00F91248">
        <w:trPr>
          <w:tblHeader/>
        </w:trPr>
        <w:tc>
          <w:tcPr>
            <w:tcW w:w="2567" w:type="dxa"/>
            <w:tcBorders>
              <w:top w:val="single" w:sz="4" w:space="0" w:color="auto"/>
              <w:left w:val="single" w:sz="4" w:space="0" w:color="auto"/>
              <w:bottom w:val="single" w:sz="6" w:space="0" w:color="auto"/>
              <w:right w:val="single" w:sz="6" w:space="0" w:color="auto"/>
            </w:tcBorders>
            <w:shd w:val="clear" w:color="auto" w:fill="auto"/>
            <w:noWrap/>
          </w:tcPr>
          <w:p w14:paraId="6E5CC1BC"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b/>
              </w:rPr>
              <w:t>System Organ Class</w:t>
            </w:r>
            <w:r w:rsidRPr="005A28B7">
              <w:rPr>
                <w:rFonts w:asciiTheme="majorHAnsi" w:hAnsiTheme="majorHAnsi" w:cs="Times New Roman"/>
                <w:b/>
                <w:bCs/>
              </w:rPr>
              <w:t xml:space="preserve"> </w:t>
            </w:r>
          </w:p>
        </w:tc>
        <w:tc>
          <w:tcPr>
            <w:tcW w:w="2362" w:type="dxa"/>
            <w:tcBorders>
              <w:top w:val="single" w:sz="4" w:space="0" w:color="auto"/>
              <w:left w:val="single" w:sz="6" w:space="0" w:color="auto"/>
              <w:bottom w:val="single" w:sz="6" w:space="0" w:color="auto"/>
              <w:right w:val="single" w:sz="6" w:space="0" w:color="auto"/>
            </w:tcBorders>
            <w:shd w:val="clear" w:color="auto" w:fill="auto"/>
            <w:noWrap/>
          </w:tcPr>
          <w:p w14:paraId="77814DFE" w14:textId="77777777" w:rsidR="00F91248" w:rsidRPr="005A28B7" w:rsidRDefault="00F91248" w:rsidP="00F91248">
            <w:pPr>
              <w:spacing w:before="40" w:after="40"/>
              <w:contextualSpacing/>
              <w:rPr>
                <w:rFonts w:asciiTheme="majorHAnsi" w:hAnsiTheme="majorHAnsi" w:cs="Times New Roman"/>
                <w:b/>
                <w:strike/>
              </w:rPr>
            </w:pPr>
            <w:r w:rsidRPr="005A28B7">
              <w:rPr>
                <w:rFonts w:asciiTheme="majorHAnsi" w:hAnsiTheme="majorHAnsi" w:cs="Times New Roman"/>
                <w:b/>
              </w:rPr>
              <w:t>Very common</w:t>
            </w:r>
          </w:p>
        </w:tc>
        <w:tc>
          <w:tcPr>
            <w:tcW w:w="2362" w:type="dxa"/>
            <w:tcBorders>
              <w:top w:val="single" w:sz="4" w:space="0" w:color="auto"/>
              <w:left w:val="single" w:sz="6" w:space="0" w:color="auto"/>
              <w:bottom w:val="single" w:sz="6" w:space="0" w:color="auto"/>
              <w:right w:val="single" w:sz="6" w:space="0" w:color="auto"/>
            </w:tcBorders>
            <w:shd w:val="clear" w:color="auto" w:fill="auto"/>
            <w:noWrap/>
          </w:tcPr>
          <w:p w14:paraId="3699FD7D" w14:textId="77777777" w:rsidR="00F91248" w:rsidRPr="005A28B7" w:rsidRDefault="00F91248" w:rsidP="00F91248">
            <w:pPr>
              <w:spacing w:before="40" w:after="40"/>
              <w:contextualSpacing/>
              <w:rPr>
                <w:rFonts w:asciiTheme="majorHAnsi" w:hAnsiTheme="majorHAnsi" w:cs="Times New Roman"/>
                <w:b/>
                <w:strike/>
              </w:rPr>
            </w:pPr>
            <w:r w:rsidRPr="005A28B7">
              <w:rPr>
                <w:rFonts w:asciiTheme="majorHAnsi" w:hAnsiTheme="majorHAnsi" w:cs="Times New Roman"/>
                <w:b/>
              </w:rPr>
              <w:t xml:space="preserve">Common </w:t>
            </w:r>
          </w:p>
        </w:tc>
        <w:tc>
          <w:tcPr>
            <w:tcW w:w="2363" w:type="dxa"/>
            <w:tcBorders>
              <w:top w:val="single" w:sz="4" w:space="0" w:color="auto"/>
              <w:left w:val="single" w:sz="6" w:space="0" w:color="auto"/>
              <w:bottom w:val="single" w:sz="6" w:space="0" w:color="auto"/>
              <w:right w:val="single" w:sz="6" w:space="0" w:color="auto"/>
            </w:tcBorders>
            <w:shd w:val="clear" w:color="auto" w:fill="auto"/>
            <w:noWrap/>
          </w:tcPr>
          <w:p w14:paraId="4C9E73C2" w14:textId="77777777" w:rsidR="00F91248" w:rsidRPr="005A28B7" w:rsidRDefault="00F91248" w:rsidP="00F91248">
            <w:pPr>
              <w:spacing w:before="40" w:after="40"/>
              <w:contextualSpacing/>
              <w:rPr>
                <w:rFonts w:asciiTheme="majorHAnsi" w:hAnsiTheme="majorHAnsi" w:cs="Times New Roman"/>
                <w:b/>
              </w:rPr>
            </w:pPr>
            <w:r w:rsidRPr="005A28B7">
              <w:rPr>
                <w:rFonts w:asciiTheme="majorHAnsi" w:hAnsiTheme="majorHAnsi" w:cs="Times New Roman"/>
                <w:b/>
              </w:rPr>
              <w:t xml:space="preserve">Uncommon </w:t>
            </w:r>
          </w:p>
        </w:tc>
      </w:tr>
      <w:tr w:rsidR="00F91248" w:rsidRPr="005A28B7" w14:paraId="65F48ECA"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24B9046F"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bCs/>
              </w:rPr>
              <w:t xml:space="preserve">Infections and infestations </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68EBD689"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3A923929" w14:textId="77777777" w:rsidR="00F91248" w:rsidRPr="005A28B7" w:rsidRDefault="00F91248" w:rsidP="00F91248">
            <w:pPr>
              <w:spacing w:before="40" w:after="40"/>
              <w:contextualSpacing/>
              <w:rPr>
                <w:rFonts w:asciiTheme="majorHAnsi" w:hAnsiTheme="majorHAnsi" w:cs="Times New Roman"/>
              </w:rPr>
            </w:pP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16A7A93F"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Influenza</w:t>
            </w:r>
          </w:p>
          <w:p w14:paraId="39149713"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Viral upper respiratory tract infection</w:t>
            </w:r>
          </w:p>
        </w:tc>
      </w:tr>
      <w:tr w:rsidR="00F91248" w:rsidRPr="005A28B7" w14:paraId="51DFA85B"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7216C1E2" w14:textId="77777777" w:rsidR="00F91248" w:rsidRPr="005A28B7" w:rsidRDefault="00F91248" w:rsidP="00F91248">
            <w:pPr>
              <w:spacing w:before="40" w:after="40"/>
              <w:contextualSpacing/>
              <w:rPr>
                <w:rFonts w:asciiTheme="majorHAnsi" w:hAnsiTheme="majorHAnsi" w:cs="Times New Roman"/>
                <w:bCs/>
              </w:rPr>
            </w:pPr>
            <w:r w:rsidRPr="005A28B7">
              <w:rPr>
                <w:rFonts w:asciiTheme="majorHAnsi" w:hAnsiTheme="majorHAnsi" w:cs="Times New Roman"/>
                <w:bCs/>
              </w:rPr>
              <w:t xml:space="preserve">Metabolism and nutrition disorders </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6E18E785"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4C76D339" w14:textId="6426E4DE" w:rsidR="00F91248" w:rsidRPr="005A28B7" w:rsidRDefault="00EE7AEE" w:rsidP="00F91248">
            <w:pPr>
              <w:spacing w:before="40" w:after="40"/>
              <w:contextualSpacing/>
              <w:rPr>
                <w:rFonts w:asciiTheme="majorHAnsi" w:hAnsiTheme="majorHAnsi" w:cs="Times New Roman"/>
              </w:rPr>
            </w:pPr>
            <w:r>
              <w:rPr>
                <w:rFonts w:asciiTheme="majorHAnsi" w:hAnsiTheme="majorHAnsi" w:cs="Times New Roman"/>
              </w:rPr>
              <w:t>Decreased appetite</w:t>
            </w: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05921FEE" w14:textId="77777777" w:rsidR="00F91248" w:rsidRPr="005A28B7" w:rsidRDefault="00F91248" w:rsidP="00F91248">
            <w:pPr>
              <w:spacing w:before="40" w:after="40"/>
              <w:contextualSpacing/>
              <w:rPr>
                <w:rFonts w:asciiTheme="majorHAnsi" w:hAnsiTheme="majorHAnsi" w:cs="Times New Roman"/>
              </w:rPr>
            </w:pPr>
          </w:p>
        </w:tc>
      </w:tr>
      <w:tr w:rsidR="00F91248" w:rsidRPr="005A28B7" w14:paraId="364012EE"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0C4A7C0F" w14:textId="77777777" w:rsidR="00F91248" w:rsidRPr="005A28B7" w:rsidRDefault="00F91248" w:rsidP="00F91248">
            <w:pPr>
              <w:spacing w:before="40" w:after="40"/>
              <w:contextualSpacing/>
              <w:rPr>
                <w:rFonts w:asciiTheme="majorHAnsi" w:hAnsiTheme="majorHAnsi" w:cs="Times New Roman"/>
                <w:bCs/>
              </w:rPr>
            </w:pPr>
            <w:r w:rsidRPr="005A28B7">
              <w:rPr>
                <w:rFonts w:asciiTheme="majorHAnsi" w:hAnsiTheme="majorHAnsi" w:cs="Times New Roman"/>
                <w:bCs/>
              </w:rPr>
              <w:t>Psychiatric disorders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20860C7D"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5199E45C" w14:textId="77777777" w:rsidR="00F91248" w:rsidRPr="005A28B7" w:rsidRDefault="00F91248" w:rsidP="00F91248">
            <w:pPr>
              <w:spacing w:before="40" w:after="40"/>
              <w:contextualSpacing/>
              <w:rPr>
                <w:rFonts w:asciiTheme="majorHAnsi" w:hAnsiTheme="majorHAnsi" w:cs="Times New Roman"/>
              </w:rPr>
            </w:pP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17DA8C2B"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Insomnia</w:t>
            </w:r>
          </w:p>
        </w:tc>
      </w:tr>
      <w:tr w:rsidR="00F91248" w:rsidRPr="005A28B7" w14:paraId="1440DA8E"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53230EF9"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Nervous system disorders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0302507C"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 xml:space="preserve">Headache </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0AD6595A"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Dizziness</w:t>
            </w:r>
          </w:p>
          <w:p w14:paraId="5C2E7CEE"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Somnolence</w:t>
            </w: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7E7B9FDF"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Dysgeusia</w:t>
            </w:r>
          </w:p>
          <w:p w14:paraId="67B134BB"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Migraine</w:t>
            </w:r>
          </w:p>
        </w:tc>
      </w:tr>
      <w:tr w:rsidR="00F91248" w:rsidRPr="005A28B7" w14:paraId="7D1A0EDD"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170D2D4A"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bCs/>
              </w:rPr>
              <w:t>Ear</w:t>
            </w:r>
            <w:r w:rsidRPr="005A28B7">
              <w:rPr>
                <w:rFonts w:asciiTheme="majorHAnsi" w:hAnsiTheme="majorHAnsi" w:cs="Times New Roman"/>
              </w:rPr>
              <w:t xml:space="preserve"> and </w:t>
            </w:r>
            <w:r w:rsidRPr="005A28B7">
              <w:rPr>
                <w:rFonts w:asciiTheme="majorHAnsi" w:hAnsiTheme="majorHAnsi" w:cs="Times New Roman"/>
                <w:bCs/>
              </w:rPr>
              <w:t>labyrinth</w:t>
            </w:r>
            <w:r w:rsidRPr="005A28B7">
              <w:rPr>
                <w:rFonts w:asciiTheme="majorHAnsi" w:hAnsiTheme="majorHAnsi" w:cs="Times New Roman"/>
              </w:rPr>
              <w:t xml:space="preserve"> disorders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6F8F3018"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6334FC1B" w14:textId="77777777" w:rsidR="00F91248" w:rsidRPr="005A28B7" w:rsidRDefault="00F91248" w:rsidP="00F91248">
            <w:pPr>
              <w:spacing w:before="40" w:after="40"/>
              <w:contextualSpacing/>
              <w:rPr>
                <w:rFonts w:asciiTheme="majorHAnsi" w:hAnsiTheme="majorHAnsi" w:cs="Times New Roman"/>
              </w:rPr>
            </w:pP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02B88D86"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Tinnitus</w:t>
            </w:r>
          </w:p>
        </w:tc>
      </w:tr>
      <w:tr w:rsidR="00F91248" w:rsidRPr="005A28B7" w14:paraId="20E54E43"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6BB93589" w14:textId="77777777" w:rsidR="00F91248" w:rsidRPr="005A28B7" w:rsidRDefault="00F91248" w:rsidP="00F91248">
            <w:pPr>
              <w:spacing w:before="40" w:after="40"/>
              <w:contextualSpacing/>
              <w:rPr>
                <w:rFonts w:asciiTheme="majorHAnsi" w:hAnsiTheme="majorHAnsi" w:cs="Times New Roman"/>
                <w:bCs/>
              </w:rPr>
            </w:pPr>
            <w:r w:rsidRPr="005A28B7">
              <w:rPr>
                <w:rFonts w:asciiTheme="majorHAnsi" w:hAnsiTheme="majorHAnsi" w:cs="Times New Roman"/>
                <w:bCs/>
              </w:rPr>
              <w:t>Vascular disorders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3B47C646"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4B8E4EDC"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Flushing</w:t>
            </w:r>
          </w:p>
          <w:p w14:paraId="2D742930"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Hot flush</w:t>
            </w: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701997E6" w14:textId="0B72E8B0" w:rsidR="00F91248" w:rsidRPr="005A28B7" w:rsidRDefault="00F91248" w:rsidP="00EE7AEE">
            <w:pPr>
              <w:spacing w:before="40" w:after="40"/>
              <w:contextualSpacing/>
              <w:rPr>
                <w:rFonts w:asciiTheme="majorHAnsi" w:hAnsiTheme="majorHAnsi" w:cs="Times New Roman"/>
              </w:rPr>
            </w:pPr>
            <w:r w:rsidRPr="005A28B7">
              <w:rPr>
                <w:rFonts w:asciiTheme="majorHAnsi" w:hAnsiTheme="majorHAnsi" w:cs="Times New Roman"/>
              </w:rPr>
              <w:t>H</w:t>
            </w:r>
            <w:r w:rsidR="005D0864" w:rsidRPr="005A28B7">
              <w:rPr>
                <w:rFonts w:asciiTheme="majorHAnsi" w:hAnsiTheme="majorHAnsi" w:cs="Times New Roman"/>
              </w:rPr>
              <w:t>a</w:t>
            </w:r>
            <w:r w:rsidRPr="005A28B7">
              <w:rPr>
                <w:rFonts w:asciiTheme="majorHAnsi" w:hAnsiTheme="majorHAnsi" w:cs="Times New Roman"/>
              </w:rPr>
              <w:t>ematoma</w:t>
            </w:r>
          </w:p>
        </w:tc>
      </w:tr>
      <w:tr w:rsidR="00F91248" w:rsidRPr="005A28B7" w14:paraId="4D435297"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17F835FC" w14:textId="77777777" w:rsidR="00F91248" w:rsidRPr="005A28B7" w:rsidRDefault="00F91248" w:rsidP="00F91248">
            <w:pPr>
              <w:spacing w:before="40" w:after="40"/>
              <w:contextualSpacing/>
              <w:rPr>
                <w:rFonts w:asciiTheme="majorHAnsi" w:hAnsiTheme="majorHAnsi" w:cs="Times New Roman"/>
                <w:bCs/>
              </w:rPr>
            </w:pPr>
            <w:r w:rsidRPr="005A28B7">
              <w:rPr>
                <w:rFonts w:asciiTheme="majorHAnsi" w:hAnsiTheme="majorHAnsi" w:cs="Times New Roman"/>
                <w:bCs/>
              </w:rPr>
              <w:t>Gastrointestinal disorders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283BCFA0"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Nausea</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1999071E" w14:textId="77777777" w:rsidR="00F91248" w:rsidRPr="005A28B7" w:rsidRDefault="00F91248" w:rsidP="00F91248">
            <w:pPr>
              <w:spacing w:before="40" w:after="40"/>
              <w:contextualSpacing/>
              <w:rPr>
                <w:rFonts w:asciiTheme="majorHAnsi" w:hAnsiTheme="majorHAnsi" w:cs="Times New Roman"/>
              </w:rPr>
            </w:pP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1EB2C325"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Abdominal distension</w:t>
            </w:r>
          </w:p>
          <w:p w14:paraId="4AF53397"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Abdominal discomfort</w:t>
            </w:r>
          </w:p>
          <w:p w14:paraId="3BC8F6D5"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Abdominal pain</w:t>
            </w:r>
          </w:p>
          <w:p w14:paraId="27B20E17"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lastRenderedPageBreak/>
              <w:t>Abdominal pain upper</w:t>
            </w:r>
          </w:p>
          <w:p w14:paraId="74D3517C" w14:textId="6CACB2BE"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Diarrh</w:t>
            </w:r>
            <w:r w:rsidR="005D0864" w:rsidRPr="005A28B7">
              <w:rPr>
                <w:rFonts w:asciiTheme="majorHAnsi" w:hAnsiTheme="majorHAnsi" w:cs="Times New Roman"/>
              </w:rPr>
              <w:t>o</w:t>
            </w:r>
            <w:r w:rsidRPr="005A28B7">
              <w:rPr>
                <w:rFonts w:asciiTheme="majorHAnsi" w:hAnsiTheme="majorHAnsi" w:cs="Times New Roman"/>
              </w:rPr>
              <w:t>ea</w:t>
            </w:r>
          </w:p>
          <w:p w14:paraId="69E9E6AC"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Dyspepsia</w:t>
            </w:r>
          </w:p>
        </w:tc>
      </w:tr>
      <w:tr w:rsidR="00F91248" w:rsidRPr="005A28B7" w14:paraId="20287DD9"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2AC4393B"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lastRenderedPageBreak/>
              <w:t>Skin and subcutaneous tissue disorders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44D4661F"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7FC7B40D" w14:textId="1A605B8C" w:rsidR="00F91248" w:rsidRPr="005A28B7" w:rsidRDefault="00F91248" w:rsidP="00EE7AEE">
            <w:pPr>
              <w:spacing w:before="40" w:after="40"/>
              <w:contextualSpacing/>
              <w:rPr>
                <w:rFonts w:asciiTheme="majorHAnsi" w:hAnsiTheme="majorHAnsi" w:cs="Times New Roman"/>
              </w:rPr>
            </w:pPr>
            <w:r w:rsidRPr="005A28B7">
              <w:rPr>
                <w:rFonts w:asciiTheme="majorHAnsi" w:hAnsiTheme="majorHAnsi" w:cs="Times New Roman"/>
              </w:rPr>
              <w:t>Pigmentation disorder</w:t>
            </w: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2B534A90"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Acne</w:t>
            </w:r>
          </w:p>
          <w:p w14:paraId="35604942"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Erythema</w:t>
            </w:r>
          </w:p>
          <w:p w14:paraId="49E745BD"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Hyperhidrosis</w:t>
            </w:r>
          </w:p>
          <w:p w14:paraId="486B388E"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 xml:space="preserve">Pruritus </w:t>
            </w:r>
          </w:p>
          <w:p w14:paraId="546571B5"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Pigmentation lip</w:t>
            </w:r>
          </w:p>
          <w:p w14:paraId="52C80997"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Rash</w:t>
            </w:r>
          </w:p>
          <w:p w14:paraId="5F24C1B7" w14:textId="385209AD"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Seborrh</w:t>
            </w:r>
            <w:r w:rsidR="005D0864" w:rsidRPr="005A28B7">
              <w:rPr>
                <w:rFonts w:asciiTheme="majorHAnsi" w:hAnsiTheme="majorHAnsi" w:cs="Times New Roman"/>
              </w:rPr>
              <w:t>o</w:t>
            </w:r>
            <w:r w:rsidRPr="005A28B7">
              <w:rPr>
                <w:rFonts w:asciiTheme="majorHAnsi" w:hAnsiTheme="majorHAnsi" w:cs="Times New Roman"/>
              </w:rPr>
              <w:t>ea</w:t>
            </w:r>
          </w:p>
        </w:tc>
      </w:tr>
      <w:tr w:rsidR="00F91248" w:rsidRPr="005A28B7" w14:paraId="3EAF1FCC" w14:textId="77777777" w:rsidTr="00F91248">
        <w:tc>
          <w:tcPr>
            <w:tcW w:w="2567" w:type="dxa"/>
            <w:tcBorders>
              <w:top w:val="single" w:sz="6" w:space="0" w:color="auto"/>
              <w:left w:val="single" w:sz="4" w:space="0" w:color="auto"/>
              <w:bottom w:val="single" w:sz="6" w:space="0" w:color="auto"/>
              <w:right w:val="single" w:sz="6" w:space="0" w:color="auto"/>
            </w:tcBorders>
            <w:shd w:val="clear" w:color="auto" w:fill="auto"/>
            <w:noWrap/>
          </w:tcPr>
          <w:p w14:paraId="4C70A4AE" w14:textId="77777777" w:rsidR="00F91248" w:rsidRPr="005A28B7" w:rsidRDefault="00F91248" w:rsidP="00F91248">
            <w:pPr>
              <w:spacing w:before="40" w:after="40"/>
              <w:contextualSpacing/>
              <w:rPr>
                <w:rFonts w:asciiTheme="majorHAnsi" w:hAnsiTheme="majorHAnsi" w:cs="Times New Roman"/>
                <w:bCs/>
              </w:rPr>
            </w:pPr>
            <w:r w:rsidRPr="005A28B7">
              <w:rPr>
                <w:rFonts w:asciiTheme="majorHAnsi" w:hAnsiTheme="majorHAnsi" w:cs="Times New Roman"/>
                <w:bCs/>
              </w:rPr>
              <w:t>General disorders and administration site conditions</w:t>
            </w: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186A7F8E" w14:textId="77777777" w:rsidR="00F91248" w:rsidRPr="005A28B7" w:rsidRDefault="00F91248" w:rsidP="00F91248">
            <w:pPr>
              <w:spacing w:before="40" w:after="40"/>
              <w:contextualSpacing/>
              <w:rPr>
                <w:rFonts w:asciiTheme="majorHAnsi" w:hAnsiTheme="majorHAnsi" w:cs="Times New Roman"/>
              </w:rPr>
            </w:pPr>
          </w:p>
        </w:tc>
        <w:tc>
          <w:tcPr>
            <w:tcW w:w="2362" w:type="dxa"/>
            <w:tcBorders>
              <w:top w:val="single" w:sz="6" w:space="0" w:color="auto"/>
              <w:left w:val="single" w:sz="6" w:space="0" w:color="auto"/>
              <w:bottom w:val="single" w:sz="6" w:space="0" w:color="auto"/>
              <w:right w:val="single" w:sz="6" w:space="0" w:color="auto"/>
            </w:tcBorders>
            <w:shd w:val="clear" w:color="auto" w:fill="auto"/>
            <w:noWrap/>
          </w:tcPr>
          <w:p w14:paraId="48AC23FB"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Asthenia</w:t>
            </w:r>
          </w:p>
          <w:p w14:paraId="0EED3345"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Fatigue</w:t>
            </w:r>
          </w:p>
          <w:p w14:paraId="44C311EE" w14:textId="30A0F17C" w:rsidR="00F91248" w:rsidRPr="005A28B7" w:rsidRDefault="00F91248" w:rsidP="00EE7AEE">
            <w:pPr>
              <w:spacing w:before="40" w:after="40"/>
              <w:contextualSpacing/>
              <w:rPr>
                <w:rFonts w:asciiTheme="majorHAnsi" w:hAnsiTheme="majorHAnsi" w:cs="Times New Roman"/>
              </w:rPr>
            </w:pPr>
            <w:r w:rsidRPr="005A28B7">
              <w:rPr>
                <w:rFonts w:asciiTheme="majorHAnsi" w:hAnsiTheme="majorHAnsi" w:cs="Times New Roman"/>
              </w:rPr>
              <w:t>Implant site pain</w:t>
            </w:r>
          </w:p>
        </w:tc>
        <w:tc>
          <w:tcPr>
            <w:tcW w:w="2363" w:type="dxa"/>
            <w:tcBorders>
              <w:top w:val="single" w:sz="6" w:space="0" w:color="auto"/>
              <w:left w:val="single" w:sz="6" w:space="0" w:color="auto"/>
              <w:bottom w:val="single" w:sz="6" w:space="0" w:color="auto"/>
              <w:right w:val="single" w:sz="6" w:space="0" w:color="auto"/>
            </w:tcBorders>
            <w:shd w:val="clear" w:color="auto" w:fill="auto"/>
            <w:noWrap/>
          </w:tcPr>
          <w:p w14:paraId="0A93BFEA"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Feeling hot</w:t>
            </w:r>
          </w:p>
          <w:p w14:paraId="61362F6D"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 xml:space="preserve">Implant site discoloration </w:t>
            </w:r>
          </w:p>
          <w:p w14:paraId="76C64402" w14:textId="3E4A05FE"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Implant site h</w:t>
            </w:r>
            <w:r w:rsidR="005D0864" w:rsidRPr="005A28B7">
              <w:rPr>
                <w:rFonts w:asciiTheme="majorHAnsi" w:hAnsiTheme="majorHAnsi" w:cs="Times New Roman"/>
              </w:rPr>
              <w:t>a</w:t>
            </w:r>
            <w:r w:rsidRPr="005A28B7">
              <w:rPr>
                <w:rFonts w:asciiTheme="majorHAnsi" w:hAnsiTheme="majorHAnsi" w:cs="Times New Roman"/>
              </w:rPr>
              <w:t>ematoma</w:t>
            </w:r>
          </w:p>
          <w:p w14:paraId="2F2BF1A5" w14:textId="38D4BA70"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Implant site h</w:t>
            </w:r>
            <w:r w:rsidR="005D0864" w:rsidRPr="005A28B7">
              <w:rPr>
                <w:rFonts w:asciiTheme="majorHAnsi" w:hAnsiTheme="majorHAnsi" w:cs="Times New Roman"/>
              </w:rPr>
              <w:t>a</w:t>
            </w:r>
            <w:r w:rsidRPr="005A28B7">
              <w:rPr>
                <w:rFonts w:asciiTheme="majorHAnsi" w:hAnsiTheme="majorHAnsi" w:cs="Times New Roman"/>
              </w:rPr>
              <w:t>emorrhage</w:t>
            </w:r>
          </w:p>
          <w:p w14:paraId="43E21697"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Implant site pruritus</w:t>
            </w:r>
          </w:p>
          <w:p w14:paraId="53897BEA"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Influenza like illness</w:t>
            </w:r>
          </w:p>
          <w:p w14:paraId="5C63B0C6"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Malaise</w:t>
            </w:r>
          </w:p>
          <w:p w14:paraId="778183ED" w14:textId="77777777" w:rsidR="00F91248" w:rsidRPr="005A28B7" w:rsidRDefault="00F91248" w:rsidP="00F91248">
            <w:pPr>
              <w:spacing w:before="40" w:after="40"/>
              <w:contextualSpacing/>
              <w:rPr>
                <w:rFonts w:asciiTheme="majorHAnsi" w:hAnsiTheme="majorHAnsi" w:cs="Times New Roman"/>
              </w:rPr>
            </w:pPr>
            <w:r w:rsidRPr="005A28B7">
              <w:rPr>
                <w:rFonts w:asciiTheme="majorHAnsi" w:hAnsiTheme="majorHAnsi" w:cs="Times New Roman"/>
              </w:rPr>
              <w:t>Pain</w:t>
            </w:r>
          </w:p>
        </w:tc>
      </w:tr>
    </w:tbl>
    <w:p w14:paraId="5D2AEFFB" w14:textId="5345654C" w:rsidR="00E52851" w:rsidRPr="005A28B7" w:rsidRDefault="002B424E" w:rsidP="00E52851">
      <w:pPr>
        <w:pStyle w:val="Heading3"/>
        <w:rPr>
          <w:rFonts w:cstheme="minorHAnsi"/>
        </w:rPr>
      </w:pPr>
      <w:r w:rsidRPr="005A28B7">
        <w:t>Reporting suspected adverse effects</w:t>
      </w:r>
    </w:p>
    <w:p w14:paraId="17DAB6BC" w14:textId="5A0A6E01" w:rsidR="00497C85" w:rsidRPr="005A28B7" w:rsidRDefault="00497C85" w:rsidP="00497C85">
      <w:pPr>
        <w:rPr>
          <w:rFonts w:asciiTheme="majorHAnsi" w:hAnsiTheme="majorHAnsi" w:cstheme="minorHAnsi"/>
        </w:rPr>
      </w:pPr>
      <w:r w:rsidRPr="005A28B7">
        <w:rPr>
          <w:rFonts w:asciiTheme="majorHAnsi" w:hAnsiTheme="majorHAnsi"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20" w:history="1">
        <w:r w:rsidRPr="005A28B7">
          <w:rPr>
            <w:rStyle w:val="Hyperlink"/>
            <w:rFonts w:asciiTheme="majorHAnsi" w:hAnsiTheme="majorHAnsi" w:cstheme="minorHAnsi"/>
          </w:rPr>
          <w:t>www.tga.gov.au/reporting-problems</w:t>
        </w:r>
      </w:hyperlink>
      <w:r w:rsidRPr="005A28B7">
        <w:rPr>
          <w:rFonts w:asciiTheme="majorHAnsi" w:hAnsiTheme="majorHAnsi" w:cstheme="minorHAnsi"/>
        </w:rPr>
        <w:t>.</w:t>
      </w:r>
    </w:p>
    <w:p w14:paraId="3CA1160D" w14:textId="77777777" w:rsidR="001A3992" w:rsidRPr="005A28B7" w:rsidRDefault="001A3992" w:rsidP="001A3992">
      <w:pPr>
        <w:pStyle w:val="Heading2"/>
        <w:keepNext/>
        <w:keepLines/>
        <w:spacing w:before="0" w:after="120"/>
        <w:rPr>
          <w:rFonts w:cstheme="minorHAnsi"/>
        </w:rPr>
      </w:pPr>
      <w:r w:rsidRPr="005A28B7">
        <w:rPr>
          <w:rFonts w:cstheme="minorHAnsi"/>
        </w:rPr>
        <w:t>Overdose</w:t>
      </w:r>
    </w:p>
    <w:p w14:paraId="0AD7BCB4" w14:textId="77777777" w:rsidR="005D492F" w:rsidRPr="005A28B7" w:rsidRDefault="005D492F" w:rsidP="005D492F">
      <w:pPr>
        <w:autoSpaceDE w:val="0"/>
        <w:autoSpaceDN w:val="0"/>
        <w:adjustRightInd w:val="0"/>
        <w:contextualSpacing/>
        <w:rPr>
          <w:rFonts w:asciiTheme="majorHAnsi" w:hAnsiTheme="majorHAnsi"/>
        </w:rPr>
      </w:pPr>
      <w:r w:rsidRPr="005A28B7">
        <w:rPr>
          <w:rFonts w:asciiTheme="majorHAnsi" w:hAnsiTheme="majorHAnsi"/>
        </w:rPr>
        <w:t>There are no data available on symptoms or treatment of overdose with afamelanotide.</w:t>
      </w:r>
    </w:p>
    <w:p w14:paraId="116EFFEA" w14:textId="77777777" w:rsidR="00497C85" w:rsidRPr="005A28B7" w:rsidRDefault="00497C85" w:rsidP="00497C85">
      <w:pPr>
        <w:rPr>
          <w:rFonts w:asciiTheme="majorHAnsi" w:hAnsiTheme="majorHAnsi" w:cstheme="minorHAnsi"/>
        </w:rPr>
      </w:pPr>
      <w:r w:rsidRPr="005A28B7">
        <w:rPr>
          <w:rFonts w:asciiTheme="majorHAnsi" w:hAnsiTheme="majorHAnsi" w:cstheme="minorHAnsi"/>
        </w:rPr>
        <w:t>For information on the management of overdose, contact the Poisons Information Centre on 13 11 26 (Australia).</w:t>
      </w:r>
    </w:p>
    <w:p w14:paraId="6A5C6229" w14:textId="77777777" w:rsidR="001A3992" w:rsidRPr="005A28B7" w:rsidRDefault="001A3992" w:rsidP="001A3992">
      <w:pPr>
        <w:pStyle w:val="Heading1"/>
        <w:spacing w:before="0" w:after="120"/>
        <w:rPr>
          <w:rFonts w:cstheme="minorHAnsi"/>
        </w:rPr>
      </w:pPr>
      <w:r w:rsidRPr="005A28B7">
        <w:rPr>
          <w:rFonts w:cstheme="minorHAnsi"/>
        </w:rPr>
        <w:t>Pharmacological properties</w:t>
      </w:r>
    </w:p>
    <w:p w14:paraId="752EBAE6" w14:textId="557C3EFE" w:rsidR="001A3992" w:rsidRPr="005A28B7" w:rsidRDefault="001A3992" w:rsidP="001A3992">
      <w:pPr>
        <w:pStyle w:val="Heading2"/>
        <w:spacing w:before="0" w:after="120"/>
        <w:rPr>
          <w:rFonts w:cstheme="minorHAnsi"/>
        </w:rPr>
      </w:pPr>
      <w:proofErr w:type="spellStart"/>
      <w:r w:rsidRPr="005A28B7">
        <w:rPr>
          <w:rFonts w:cstheme="minorHAnsi"/>
        </w:rPr>
        <w:t>Pharmacodynamic</w:t>
      </w:r>
      <w:proofErr w:type="spellEnd"/>
      <w:r w:rsidRPr="005A28B7">
        <w:rPr>
          <w:rFonts w:cstheme="minorHAnsi"/>
        </w:rPr>
        <w:t xml:space="preserve"> pro</w:t>
      </w:r>
      <w:r w:rsidR="00EE7AEE">
        <w:rPr>
          <w:rFonts w:cstheme="minorHAnsi"/>
        </w:rPr>
        <w:t>perties</w:t>
      </w:r>
    </w:p>
    <w:p w14:paraId="59EA54E9" w14:textId="0DC850E1" w:rsidR="00D61CA6" w:rsidRPr="005A28B7" w:rsidRDefault="00D61CA6" w:rsidP="00D61CA6">
      <w:pPr>
        <w:autoSpaceDE w:val="0"/>
        <w:autoSpaceDN w:val="0"/>
        <w:adjustRightInd w:val="0"/>
        <w:contextualSpacing/>
        <w:rPr>
          <w:rFonts w:asciiTheme="majorHAnsi" w:hAnsiTheme="majorHAnsi"/>
        </w:rPr>
      </w:pPr>
      <w:r w:rsidRPr="005A28B7">
        <w:rPr>
          <w:rFonts w:asciiTheme="majorHAnsi" w:hAnsiTheme="majorHAnsi"/>
        </w:rPr>
        <w:t>Pharmacotherapeutic group: Emollients and protectives, protectives against UV-radiation for systemic use, ATC code: D02BB02</w:t>
      </w:r>
    </w:p>
    <w:p w14:paraId="1CC4FB00" w14:textId="0546B927" w:rsidR="001A3992" w:rsidRPr="005A28B7" w:rsidRDefault="001A3992" w:rsidP="001A3992">
      <w:pPr>
        <w:pStyle w:val="Heading3"/>
        <w:spacing w:before="0" w:after="120"/>
        <w:rPr>
          <w:rFonts w:cstheme="minorHAnsi"/>
        </w:rPr>
      </w:pPr>
      <w:r w:rsidRPr="005A28B7">
        <w:rPr>
          <w:rFonts w:cstheme="minorHAnsi"/>
        </w:rPr>
        <w:t>Mechanism of action</w:t>
      </w:r>
    </w:p>
    <w:p w14:paraId="037AA9CA" w14:textId="681D312F" w:rsidR="00E52851" w:rsidRPr="005A28B7" w:rsidRDefault="00D61CA6" w:rsidP="00E20F1A">
      <w:pPr>
        <w:rPr>
          <w:rFonts w:asciiTheme="majorHAnsi" w:hAnsiTheme="majorHAnsi" w:cstheme="minorHAnsi"/>
        </w:rPr>
      </w:pPr>
      <w:r w:rsidRPr="005A28B7">
        <w:rPr>
          <w:rFonts w:asciiTheme="majorHAnsi" w:hAnsiTheme="majorHAnsi" w:cstheme="minorHAnsi"/>
        </w:rPr>
        <w:t>Afamelanotide is a synthetic tridecapeptide and a structural analogue of α-melanocyte stimulating hormone (α</w:t>
      </w:r>
      <w:r w:rsidRPr="005A28B7">
        <w:rPr>
          <w:rFonts w:asciiTheme="majorHAnsi" w:hAnsiTheme="majorHAnsi" w:cstheme="minorHAnsi"/>
        </w:rPr>
        <w:noBreakHyphen/>
        <w:t>MSH). Afamelanotide is a melanocortin receptor agonist and binds predominantly to the melanocortin-1 receptor (MC1</w:t>
      </w:r>
      <w:r w:rsidR="001A339F">
        <w:rPr>
          <w:rFonts w:asciiTheme="majorHAnsi" w:hAnsiTheme="majorHAnsi" w:cstheme="minorHAnsi"/>
        </w:rPr>
        <w:t>-</w:t>
      </w:r>
      <w:r w:rsidRPr="005A28B7">
        <w:rPr>
          <w:rFonts w:asciiTheme="majorHAnsi" w:hAnsiTheme="majorHAnsi" w:cstheme="minorHAnsi"/>
        </w:rPr>
        <w:t>R).</w:t>
      </w:r>
      <w:r w:rsidR="001A339F" w:rsidRPr="001A339F">
        <w:t xml:space="preserve"> </w:t>
      </w:r>
      <w:r w:rsidR="001A339F" w:rsidRPr="001A339F">
        <w:rPr>
          <w:rFonts w:asciiTheme="majorHAnsi" w:hAnsiTheme="majorHAnsi" w:cstheme="minorHAnsi"/>
        </w:rPr>
        <w:t xml:space="preserve">It acts with 4-fold greater potency than </w:t>
      </w:r>
      <w:r w:rsidR="001A339F" w:rsidRPr="001A339F">
        <w:rPr>
          <w:rFonts w:asciiTheme="majorHAnsi" w:hAnsiTheme="majorHAnsi" w:cstheme="minorHAnsi"/>
        </w:rPr>
        <w:lastRenderedPageBreak/>
        <w:t xml:space="preserve">α-MSH </w:t>
      </w:r>
      <w:r w:rsidR="001A339F" w:rsidRPr="001A339F">
        <w:rPr>
          <w:rFonts w:asciiTheme="majorHAnsi" w:hAnsiTheme="majorHAnsi" w:cstheme="minorHAnsi"/>
          <w:i/>
          <w:iCs/>
        </w:rPr>
        <w:t>in vitro</w:t>
      </w:r>
      <w:r w:rsidR="001A339F" w:rsidRPr="001A339F">
        <w:rPr>
          <w:rFonts w:asciiTheme="majorHAnsi" w:hAnsiTheme="majorHAnsi" w:cstheme="minorHAnsi"/>
        </w:rPr>
        <w:t xml:space="preserve"> and, due to increased resistance to proteolysis, has a longer duration of action</w:t>
      </w:r>
      <w:r w:rsidR="001A339F" w:rsidRPr="001A339F">
        <w:rPr>
          <w:rFonts w:asciiTheme="majorHAnsi" w:hAnsiTheme="majorHAnsi" w:cstheme="minorHAnsi"/>
          <w:i/>
          <w:iCs/>
        </w:rPr>
        <w:t xml:space="preserve"> in vivo</w:t>
      </w:r>
      <w:r w:rsidR="001A339F" w:rsidRPr="001A339F">
        <w:rPr>
          <w:rFonts w:asciiTheme="majorHAnsi" w:hAnsiTheme="majorHAnsi" w:cstheme="minorHAnsi"/>
        </w:rPr>
        <w:t>.</w:t>
      </w:r>
    </w:p>
    <w:p w14:paraId="3D2061E9" w14:textId="7AB32B60" w:rsidR="00E52851" w:rsidRPr="005A28B7" w:rsidRDefault="001A339F" w:rsidP="00E20F1A">
      <w:pPr>
        <w:rPr>
          <w:rFonts w:asciiTheme="majorHAnsi" w:hAnsiTheme="majorHAnsi" w:cstheme="minorHAnsi"/>
        </w:rPr>
      </w:pPr>
      <w:r w:rsidRPr="001A339F">
        <w:t xml:space="preserve"> </w:t>
      </w:r>
      <w:r w:rsidRPr="001A339F">
        <w:rPr>
          <w:rFonts w:asciiTheme="majorHAnsi" w:hAnsiTheme="majorHAnsi" w:cstheme="minorHAnsi"/>
        </w:rPr>
        <w:t>Activation of the MC1-R receptor by afamelanotide stimulates the synthesis of eumelanin in melanocytes.</w:t>
      </w:r>
    </w:p>
    <w:p w14:paraId="79F0D6A0" w14:textId="13D06787" w:rsidR="00D61CA6" w:rsidRPr="005A28B7" w:rsidRDefault="00D61CA6" w:rsidP="00E20F1A">
      <w:pPr>
        <w:rPr>
          <w:rFonts w:asciiTheme="majorHAnsi" w:hAnsiTheme="majorHAnsi" w:cstheme="minorHAnsi"/>
        </w:rPr>
      </w:pPr>
      <w:r w:rsidRPr="005A28B7">
        <w:rPr>
          <w:rFonts w:asciiTheme="majorHAnsi" w:hAnsiTheme="majorHAnsi" w:cstheme="minorHAnsi"/>
        </w:rPr>
        <w:t>Eumelanin contributes to photoprotection through different mechanisms including:</w:t>
      </w:r>
    </w:p>
    <w:p w14:paraId="2766B2EF" w14:textId="77777777" w:rsidR="00D61CA6" w:rsidRPr="005A28B7" w:rsidRDefault="00D61CA6" w:rsidP="00D61CA6">
      <w:pPr>
        <w:numPr>
          <w:ilvl w:val="0"/>
          <w:numId w:val="11"/>
        </w:numPr>
        <w:autoSpaceDE w:val="0"/>
        <w:autoSpaceDN w:val="0"/>
        <w:adjustRightInd w:val="0"/>
        <w:spacing w:after="0" w:line="240" w:lineRule="auto"/>
        <w:ind w:left="567" w:hanging="567"/>
        <w:rPr>
          <w:rFonts w:asciiTheme="majorHAnsi" w:hAnsiTheme="majorHAnsi"/>
        </w:rPr>
      </w:pPr>
      <w:r w:rsidRPr="005A28B7">
        <w:rPr>
          <w:rFonts w:asciiTheme="majorHAnsi" w:hAnsiTheme="majorHAnsi"/>
        </w:rPr>
        <w:t>strong broadband absorption of UV and visible light, where eumelanin acts as a filter</w:t>
      </w:r>
    </w:p>
    <w:p w14:paraId="29EB4993" w14:textId="77777777" w:rsidR="00D61CA6" w:rsidRPr="005A28B7" w:rsidRDefault="00D61CA6" w:rsidP="00D61CA6">
      <w:pPr>
        <w:numPr>
          <w:ilvl w:val="0"/>
          <w:numId w:val="11"/>
        </w:numPr>
        <w:autoSpaceDE w:val="0"/>
        <w:autoSpaceDN w:val="0"/>
        <w:adjustRightInd w:val="0"/>
        <w:spacing w:after="0" w:line="240" w:lineRule="auto"/>
        <w:ind w:left="567" w:hanging="567"/>
        <w:rPr>
          <w:rFonts w:asciiTheme="majorHAnsi" w:hAnsiTheme="majorHAnsi"/>
        </w:rPr>
      </w:pPr>
      <w:r w:rsidRPr="005A28B7">
        <w:rPr>
          <w:rFonts w:asciiTheme="majorHAnsi" w:hAnsiTheme="majorHAnsi"/>
        </w:rPr>
        <w:t>antioxidant activity through scavenging of free radicals; and</w:t>
      </w:r>
    </w:p>
    <w:p w14:paraId="42726292" w14:textId="77777777" w:rsidR="00D61CA6" w:rsidRPr="005A28B7" w:rsidRDefault="00D61CA6" w:rsidP="00D61CA6">
      <w:pPr>
        <w:numPr>
          <w:ilvl w:val="0"/>
          <w:numId w:val="11"/>
        </w:numPr>
        <w:autoSpaceDE w:val="0"/>
        <w:autoSpaceDN w:val="0"/>
        <w:adjustRightInd w:val="0"/>
        <w:spacing w:after="0" w:line="240" w:lineRule="auto"/>
        <w:ind w:left="567" w:hanging="567"/>
        <w:rPr>
          <w:rFonts w:asciiTheme="majorHAnsi" w:hAnsiTheme="majorHAnsi"/>
        </w:rPr>
      </w:pPr>
      <w:r w:rsidRPr="005A28B7">
        <w:rPr>
          <w:rFonts w:asciiTheme="majorHAnsi" w:hAnsiTheme="majorHAnsi"/>
        </w:rPr>
        <w:t>inactivation of the superoxide anion and increased availability of superoxide dismutase to reduce oxidative stress.</w:t>
      </w:r>
    </w:p>
    <w:p w14:paraId="1A3138CC" w14:textId="77777777" w:rsidR="001A3992" w:rsidRPr="005A28B7" w:rsidRDefault="001A3992" w:rsidP="00EE7AEE">
      <w:pPr>
        <w:pStyle w:val="Heading3"/>
        <w:spacing w:before="360" w:after="120"/>
        <w:rPr>
          <w:rFonts w:cstheme="minorHAnsi"/>
        </w:rPr>
      </w:pPr>
      <w:r w:rsidRPr="005A28B7">
        <w:rPr>
          <w:rFonts w:cstheme="minorHAnsi"/>
        </w:rPr>
        <w:t>Clinical trials</w:t>
      </w:r>
    </w:p>
    <w:p w14:paraId="18F3128B" w14:textId="159DFABA" w:rsidR="008C0B5B" w:rsidRPr="005A28B7" w:rsidRDefault="008C0B5B" w:rsidP="008C0B5B">
      <w:pPr>
        <w:rPr>
          <w:rFonts w:asciiTheme="majorHAnsi" w:hAnsiTheme="majorHAnsi"/>
        </w:rPr>
      </w:pPr>
      <w:r w:rsidRPr="005A28B7">
        <w:rPr>
          <w:rFonts w:asciiTheme="majorHAnsi" w:hAnsiTheme="majorHAnsi"/>
        </w:rPr>
        <w:t>Five clinical studies were undertaken to establish the safety and effectiveness of SCENESSE</w:t>
      </w:r>
      <w:r w:rsidRPr="005A28B7">
        <w:rPr>
          <w:rFonts w:asciiTheme="majorHAnsi" w:hAnsiTheme="majorHAnsi"/>
          <w:vertAlign w:val="superscript"/>
        </w:rPr>
        <w:t>®</w:t>
      </w:r>
      <w:r w:rsidRPr="005A28B7">
        <w:rPr>
          <w:rFonts w:asciiTheme="majorHAnsi" w:hAnsiTheme="majorHAnsi"/>
        </w:rPr>
        <w:t xml:space="preserve"> in patients with EPP. These included a pilot study, a study involving a multiple crossover (alternating active and placebo) design and three placebo-controlled studies.</w:t>
      </w:r>
    </w:p>
    <w:p w14:paraId="7BEB8DCA" w14:textId="6F2364DB" w:rsidR="00E52851" w:rsidRPr="005A28B7" w:rsidRDefault="008C0B5B" w:rsidP="00E52851">
      <w:pPr>
        <w:rPr>
          <w:rFonts w:asciiTheme="majorHAnsi" w:hAnsiTheme="majorHAnsi"/>
        </w:rPr>
      </w:pPr>
      <w:r w:rsidRPr="005A28B7">
        <w:rPr>
          <w:rFonts w:asciiTheme="majorHAnsi" w:hAnsiTheme="majorHAnsi"/>
        </w:rPr>
        <w:t>The t</w:t>
      </w:r>
      <w:r w:rsidR="00E52851" w:rsidRPr="005A28B7">
        <w:rPr>
          <w:rFonts w:asciiTheme="majorHAnsi" w:hAnsiTheme="majorHAnsi"/>
        </w:rPr>
        <w:t xml:space="preserve">hree </w:t>
      </w:r>
      <w:r w:rsidRPr="005A28B7">
        <w:rPr>
          <w:rFonts w:asciiTheme="majorHAnsi" w:hAnsiTheme="majorHAnsi"/>
        </w:rPr>
        <w:t>placebo</w:t>
      </w:r>
      <w:r w:rsidR="00E52851" w:rsidRPr="005A28B7">
        <w:rPr>
          <w:rFonts w:asciiTheme="majorHAnsi" w:hAnsiTheme="majorHAnsi"/>
        </w:rPr>
        <w:t>-controlled trials of SCENESSE</w:t>
      </w:r>
      <w:r w:rsidR="00E52851" w:rsidRPr="005A28B7">
        <w:rPr>
          <w:rFonts w:asciiTheme="majorHAnsi" w:hAnsiTheme="majorHAnsi"/>
          <w:vertAlign w:val="superscript"/>
        </w:rPr>
        <w:t>®</w:t>
      </w:r>
      <w:r w:rsidR="00E52851" w:rsidRPr="005A28B7">
        <w:rPr>
          <w:rFonts w:asciiTheme="majorHAnsi" w:hAnsiTheme="majorHAnsi"/>
        </w:rPr>
        <w:t xml:space="preserve"> were conducted in subjects with EPP. Of these trials, two trials (Study CUV039 and Study CUV029) were designed to assess exposure to direct sunlight on days with no phototoxic pain. The two trials differed in the number of days of follow-up, the time windows within a day in which time spent outdoors was recorded, and how the amount of time spent in direct sunlight on each day was characteri</w:t>
      </w:r>
      <w:r w:rsidR="00C677FB" w:rsidRPr="005A28B7">
        <w:rPr>
          <w:rFonts w:asciiTheme="majorHAnsi" w:hAnsiTheme="majorHAnsi"/>
        </w:rPr>
        <w:t>s</w:t>
      </w:r>
      <w:r w:rsidR="00E52851" w:rsidRPr="005A28B7">
        <w:rPr>
          <w:rFonts w:asciiTheme="majorHAnsi" w:hAnsiTheme="majorHAnsi"/>
        </w:rPr>
        <w:t>ed. The subjects enrolled in these trials were primarily Caucasian (98%), the mean age was 40 years (range 18 to 74 years), and 53% of subjects were male and 47% were female.</w:t>
      </w:r>
    </w:p>
    <w:p w14:paraId="16AB8675" w14:textId="75D66415" w:rsidR="00E52851" w:rsidRPr="005A28B7" w:rsidRDefault="00E52851" w:rsidP="00E52851">
      <w:pPr>
        <w:rPr>
          <w:rFonts w:asciiTheme="majorHAnsi" w:hAnsiTheme="majorHAnsi"/>
        </w:rPr>
      </w:pPr>
      <w:r w:rsidRPr="005A28B7">
        <w:rPr>
          <w:rFonts w:asciiTheme="majorHAnsi" w:hAnsiTheme="majorHAnsi"/>
        </w:rPr>
        <w:t>Study CUV039 enrolled 93 subjects, of whom 48 received SCENESSE</w:t>
      </w:r>
      <w:r w:rsidRPr="005A28B7">
        <w:rPr>
          <w:rFonts w:asciiTheme="majorHAnsi" w:hAnsiTheme="majorHAnsi"/>
          <w:vertAlign w:val="superscript"/>
        </w:rPr>
        <w:t>®</w:t>
      </w:r>
      <w:r w:rsidRPr="005A28B7">
        <w:rPr>
          <w:rFonts w:asciiTheme="majorHAnsi" w:hAnsiTheme="majorHAnsi"/>
        </w:rPr>
        <w:t xml:space="preserve"> (16 mg of afamelanotide administered subcutaneously every 2 months), 45 received vehicle. Subjects received three implants and were followed for 180 days.  On each study day, subjects recorded the number of hours spent in direct sunlight </w:t>
      </w:r>
      <w:r w:rsidR="004F5D43" w:rsidRPr="005A28B7">
        <w:rPr>
          <w:rFonts w:asciiTheme="majorHAnsi" w:hAnsiTheme="majorHAnsi"/>
        </w:rPr>
        <w:t>and</w:t>
      </w:r>
      <w:r w:rsidRPr="005A28B7">
        <w:rPr>
          <w:rFonts w:asciiTheme="majorHAnsi" w:hAnsiTheme="majorHAnsi"/>
        </w:rPr>
        <w:t xml:space="preserve"> in shade</w:t>
      </w:r>
      <w:r w:rsidR="00860461">
        <w:rPr>
          <w:rFonts w:asciiTheme="majorHAnsi" w:hAnsiTheme="majorHAnsi"/>
        </w:rPr>
        <w:t xml:space="preserve"> (between10am and 6pm)</w:t>
      </w:r>
      <w:r w:rsidRPr="005A28B7">
        <w:rPr>
          <w:rFonts w:asciiTheme="majorHAnsi" w:hAnsiTheme="majorHAnsi"/>
        </w:rPr>
        <w:t>, and whether they experienced any phototoxic pain that day. The primary endpoint was the total number of hours spent in direct sunlight on days with no pain</w:t>
      </w:r>
      <w:r w:rsidR="00860461">
        <w:rPr>
          <w:rFonts w:asciiTheme="majorHAnsi" w:hAnsiTheme="majorHAnsi"/>
        </w:rPr>
        <w:t>, over 180 days</w:t>
      </w:r>
      <w:r w:rsidRPr="005A28B7">
        <w:rPr>
          <w:rFonts w:asciiTheme="majorHAnsi" w:hAnsiTheme="majorHAnsi"/>
        </w:rPr>
        <w:t>. The median total number of hours spent in direct sunlight on days with no pain was 64.1 hours for subjects receiving SCENESSE</w:t>
      </w:r>
      <w:r w:rsidR="000119B8" w:rsidRPr="005A28B7">
        <w:rPr>
          <w:rFonts w:ascii="Cambria" w:hAnsi="Cambria"/>
          <w:noProof/>
          <w:vertAlign w:val="superscript"/>
        </w:rPr>
        <w:t>®</w:t>
      </w:r>
      <w:r w:rsidRPr="005A28B7">
        <w:rPr>
          <w:rFonts w:asciiTheme="majorHAnsi" w:hAnsiTheme="majorHAnsi"/>
        </w:rPr>
        <w:t xml:space="preserve"> and 40.5 hours for subjects receiving </w:t>
      </w:r>
      <w:r w:rsidR="004F5D43" w:rsidRPr="005A28B7">
        <w:rPr>
          <w:rFonts w:asciiTheme="majorHAnsi" w:hAnsiTheme="majorHAnsi"/>
        </w:rPr>
        <w:t>placebo</w:t>
      </w:r>
      <w:r w:rsidRPr="005A28B7">
        <w:rPr>
          <w:rFonts w:asciiTheme="majorHAnsi" w:hAnsiTheme="majorHAnsi"/>
        </w:rPr>
        <w:t>.</w:t>
      </w:r>
    </w:p>
    <w:p w14:paraId="6D5CA7C6" w14:textId="3F08BD63" w:rsidR="00224908" w:rsidRPr="005A28B7" w:rsidRDefault="00E52851" w:rsidP="00E52851">
      <w:pPr>
        <w:rPr>
          <w:rFonts w:asciiTheme="majorHAnsi" w:hAnsiTheme="majorHAnsi"/>
        </w:rPr>
      </w:pPr>
      <w:r w:rsidRPr="005A28B7">
        <w:rPr>
          <w:rFonts w:asciiTheme="majorHAnsi" w:hAnsiTheme="majorHAnsi"/>
        </w:rPr>
        <w:t>Study CUV029 enrolled 74 subjects, of whom 38 received SCENESSE</w:t>
      </w:r>
      <w:r w:rsidRPr="005A28B7">
        <w:rPr>
          <w:rFonts w:asciiTheme="majorHAnsi" w:hAnsiTheme="majorHAnsi"/>
          <w:vertAlign w:val="superscript"/>
        </w:rPr>
        <w:t>®</w:t>
      </w:r>
      <w:r w:rsidRPr="005A28B7">
        <w:rPr>
          <w:rFonts w:asciiTheme="majorHAnsi" w:hAnsiTheme="majorHAnsi"/>
        </w:rPr>
        <w:t xml:space="preserve"> (16 mg of afamelanotide administered subcutaneously every 2 months), 36 received vehicle. Subjects received five implants and were followed for 270 days. On each study day, subjects recorded the number of hours spent in direct sunlight, shade, or a combination of both</w:t>
      </w:r>
      <w:r w:rsidR="00860461">
        <w:rPr>
          <w:rFonts w:asciiTheme="majorHAnsi" w:hAnsiTheme="majorHAnsi"/>
        </w:rPr>
        <w:t xml:space="preserve"> (between 10am and 3pm)</w:t>
      </w:r>
      <w:r w:rsidRPr="005A28B7">
        <w:rPr>
          <w:rFonts w:asciiTheme="majorHAnsi" w:hAnsiTheme="majorHAnsi"/>
        </w:rPr>
        <w:t>, and whether they experienced any phototoxic pain that day.  The primary endpoint was the total number of hours over 270 days spent outdoors with no pain for which “most of the day” was spent in direct sunlight. The median total number of hours over 270 days spent outdoors on days with no pain for which “most of the day” was spent in direct sunlight was 6.0 hours for subjects in the SCENESSE</w:t>
      </w:r>
      <w:r w:rsidRPr="005A28B7">
        <w:rPr>
          <w:rFonts w:asciiTheme="majorHAnsi" w:hAnsiTheme="majorHAnsi"/>
          <w:vertAlign w:val="superscript"/>
        </w:rPr>
        <w:t>®</w:t>
      </w:r>
      <w:r w:rsidRPr="005A28B7">
        <w:rPr>
          <w:rFonts w:asciiTheme="majorHAnsi" w:hAnsiTheme="majorHAnsi"/>
        </w:rPr>
        <w:t xml:space="preserve"> group and 0.75 hours for subjects in the </w:t>
      </w:r>
      <w:r w:rsidR="003033A9" w:rsidRPr="005A28B7">
        <w:rPr>
          <w:rFonts w:asciiTheme="majorHAnsi" w:hAnsiTheme="majorHAnsi"/>
        </w:rPr>
        <w:t xml:space="preserve">placebo </w:t>
      </w:r>
      <w:r w:rsidRPr="005A28B7">
        <w:rPr>
          <w:rFonts w:asciiTheme="majorHAnsi" w:hAnsiTheme="majorHAnsi"/>
        </w:rPr>
        <w:t>group.</w:t>
      </w:r>
    </w:p>
    <w:p w14:paraId="179131F5" w14:textId="4152FB8C" w:rsidR="00224908" w:rsidRDefault="00813A80" w:rsidP="00224908">
      <w:pPr>
        <w:rPr>
          <w:rFonts w:asciiTheme="majorHAnsi" w:hAnsiTheme="majorHAnsi"/>
        </w:rPr>
      </w:pPr>
      <w:r w:rsidRPr="00813A80">
        <w:rPr>
          <w:rFonts w:asciiTheme="majorHAnsi" w:hAnsiTheme="majorHAnsi"/>
        </w:rPr>
        <w:lastRenderedPageBreak/>
        <w:t xml:space="preserve">There is no clinical evidence to determine whether SCENESSE is protective against </w:t>
      </w:r>
      <w:proofErr w:type="gramStart"/>
      <w:r w:rsidRPr="00813A80">
        <w:rPr>
          <w:rFonts w:asciiTheme="majorHAnsi" w:hAnsiTheme="majorHAnsi"/>
        </w:rPr>
        <w:t>long term</w:t>
      </w:r>
      <w:proofErr w:type="gramEnd"/>
      <w:r>
        <w:rPr>
          <w:rFonts w:asciiTheme="majorHAnsi" w:hAnsiTheme="majorHAnsi"/>
        </w:rPr>
        <w:t xml:space="preserve"> </w:t>
      </w:r>
      <w:r w:rsidRPr="00813A80">
        <w:rPr>
          <w:rFonts w:asciiTheme="majorHAnsi" w:hAnsiTheme="majorHAnsi"/>
        </w:rPr>
        <w:t>effects of phototoxicity such as scarring or skin changes resulting from exposure to light</w:t>
      </w:r>
      <w:r w:rsidR="00EE7AEE">
        <w:rPr>
          <w:rFonts w:asciiTheme="majorHAnsi" w:hAnsiTheme="majorHAnsi"/>
        </w:rPr>
        <w:t>.</w:t>
      </w:r>
    </w:p>
    <w:p w14:paraId="383654DA" w14:textId="75AF0559" w:rsidR="001A3992" w:rsidRPr="005A28B7" w:rsidRDefault="00EE7AEE" w:rsidP="001A3992">
      <w:pPr>
        <w:pStyle w:val="Heading2"/>
        <w:keepNext/>
        <w:spacing w:before="0" w:after="120"/>
        <w:rPr>
          <w:rFonts w:cstheme="minorHAnsi"/>
        </w:rPr>
      </w:pPr>
      <w:r>
        <w:rPr>
          <w:rFonts w:cstheme="minorHAnsi"/>
        </w:rPr>
        <w:t>Pharmacokinetic properties</w:t>
      </w:r>
    </w:p>
    <w:p w14:paraId="13ABFD8B" w14:textId="1C48F9DE" w:rsidR="0047480F" w:rsidRPr="005A28B7" w:rsidRDefault="0047480F" w:rsidP="00261CE4">
      <w:pPr>
        <w:rPr>
          <w:rFonts w:asciiTheme="majorHAnsi" w:hAnsiTheme="majorHAnsi"/>
        </w:rPr>
      </w:pPr>
      <w:r w:rsidRPr="005A28B7">
        <w:rPr>
          <w:rFonts w:asciiTheme="majorHAnsi" w:hAnsiTheme="majorHAnsi"/>
        </w:rPr>
        <w:t>The pharmacokinetics of afamelanotide following administration of a single subcutaneous implant of SCENESSE</w:t>
      </w:r>
      <w:r w:rsidR="000119B8" w:rsidRPr="005A28B7">
        <w:rPr>
          <w:rFonts w:ascii="Cambria" w:hAnsi="Cambria"/>
          <w:noProof/>
          <w:vertAlign w:val="superscript"/>
        </w:rPr>
        <w:t>®</w:t>
      </w:r>
      <w:r w:rsidRPr="005A28B7">
        <w:rPr>
          <w:rFonts w:asciiTheme="majorHAnsi" w:hAnsiTheme="majorHAnsi"/>
        </w:rPr>
        <w:t xml:space="preserve"> </w:t>
      </w:r>
      <w:proofErr w:type="gramStart"/>
      <w:r w:rsidRPr="005A28B7">
        <w:rPr>
          <w:rFonts w:asciiTheme="majorHAnsi" w:hAnsiTheme="majorHAnsi"/>
        </w:rPr>
        <w:t>were evaluated</w:t>
      </w:r>
      <w:proofErr w:type="gramEnd"/>
      <w:r w:rsidRPr="005A28B7">
        <w:rPr>
          <w:rFonts w:asciiTheme="majorHAnsi" w:hAnsiTheme="majorHAnsi"/>
        </w:rPr>
        <w:t xml:space="preserve"> in 12 healthy adults. High variability was observed in the plasma concentrations of afamelanotide and for most subjects (9 out of 12), the last measurable afamelanotide concentration was at 96 hours post-dose. The mean ± SD C</w:t>
      </w:r>
      <w:r w:rsidRPr="005A28B7">
        <w:rPr>
          <w:rFonts w:asciiTheme="majorHAnsi" w:hAnsiTheme="majorHAnsi"/>
          <w:vertAlign w:val="subscript"/>
        </w:rPr>
        <w:t>max</w:t>
      </w:r>
      <w:r w:rsidRPr="005A28B7">
        <w:rPr>
          <w:rFonts w:asciiTheme="majorHAnsi" w:hAnsiTheme="majorHAnsi"/>
        </w:rPr>
        <w:t xml:space="preserve"> and AUC</w:t>
      </w:r>
      <w:r w:rsidRPr="005A28B7">
        <w:rPr>
          <w:rFonts w:asciiTheme="majorHAnsi" w:hAnsiTheme="majorHAnsi"/>
          <w:vertAlign w:val="subscript"/>
        </w:rPr>
        <w:t>0-inf</w:t>
      </w:r>
      <w:r w:rsidRPr="005A28B7">
        <w:rPr>
          <w:rFonts w:asciiTheme="majorHAnsi" w:hAnsiTheme="majorHAnsi"/>
        </w:rPr>
        <w:t xml:space="preserve"> were 3.7 ± 1.3 ng/mL and 138.9 ± 42.6 hr*ng/mL, respectively.</w:t>
      </w:r>
    </w:p>
    <w:p w14:paraId="55D0387C" w14:textId="3CE69AD1" w:rsidR="001A3992" w:rsidRPr="005A28B7" w:rsidRDefault="001A3992" w:rsidP="001A3992">
      <w:pPr>
        <w:pStyle w:val="Heading3"/>
        <w:spacing w:before="0" w:after="120"/>
        <w:rPr>
          <w:rFonts w:cstheme="minorHAnsi"/>
          <w:b w:val="0"/>
        </w:rPr>
      </w:pPr>
      <w:r w:rsidRPr="005A28B7">
        <w:rPr>
          <w:rFonts w:cstheme="minorHAnsi"/>
        </w:rPr>
        <w:t>Absorption</w:t>
      </w:r>
    </w:p>
    <w:p w14:paraId="3013DFC3" w14:textId="229EAACB" w:rsidR="00261CE4" w:rsidRPr="005A28B7" w:rsidRDefault="0047480F" w:rsidP="00261CE4">
      <w:pPr>
        <w:rPr>
          <w:rFonts w:asciiTheme="majorHAnsi" w:hAnsiTheme="majorHAnsi"/>
        </w:rPr>
      </w:pPr>
      <w:r w:rsidRPr="005A28B7">
        <w:rPr>
          <w:rFonts w:asciiTheme="majorHAnsi" w:hAnsiTheme="majorHAnsi"/>
        </w:rPr>
        <w:t>The median T</w:t>
      </w:r>
      <w:r w:rsidRPr="005A28B7">
        <w:rPr>
          <w:rFonts w:asciiTheme="majorHAnsi" w:hAnsiTheme="majorHAnsi"/>
          <w:vertAlign w:val="subscript"/>
        </w:rPr>
        <w:t>max</w:t>
      </w:r>
      <w:r w:rsidRPr="005A28B7">
        <w:rPr>
          <w:rFonts w:asciiTheme="majorHAnsi" w:hAnsiTheme="majorHAnsi"/>
        </w:rPr>
        <w:t xml:space="preserve"> </w:t>
      </w:r>
      <w:r w:rsidR="003033A9" w:rsidRPr="005A28B7">
        <w:rPr>
          <w:rFonts w:asciiTheme="majorHAnsi" w:hAnsiTheme="majorHAnsi"/>
        </w:rPr>
        <w:t xml:space="preserve">following implant administration </w:t>
      </w:r>
      <w:r w:rsidRPr="005A28B7">
        <w:rPr>
          <w:rFonts w:asciiTheme="majorHAnsi" w:hAnsiTheme="majorHAnsi"/>
        </w:rPr>
        <w:t>was 36 hr.</w:t>
      </w:r>
    </w:p>
    <w:p w14:paraId="1BA28E19" w14:textId="5A4B8608" w:rsidR="001A3992" w:rsidRPr="005A28B7" w:rsidRDefault="001A3992" w:rsidP="001A3992">
      <w:pPr>
        <w:pStyle w:val="Heading3"/>
        <w:spacing w:before="0" w:after="120"/>
        <w:rPr>
          <w:rFonts w:cstheme="minorHAnsi"/>
          <w:b w:val="0"/>
        </w:rPr>
      </w:pPr>
      <w:r w:rsidRPr="005A28B7">
        <w:rPr>
          <w:rFonts w:cstheme="minorHAnsi"/>
        </w:rPr>
        <w:t>Metabolism</w:t>
      </w:r>
    </w:p>
    <w:p w14:paraId="40E5F505" w14:textId="1B1CE1E6" w:rsidR="0047480F" w:rsidRPr="005A28B7" w:rsidRDefault="0003450F" w:rsidP="00E20F1A">
      <w:pPr>
        <w:rPr>
          <w:rFonts w:asciiTheme="majorHAnsi" w:hAnsiTheme="majorHAnsi"/>
        </w:rPr>
      </w:pPr>
      <w:proofErr w:type="spellStart"/>
      <w:r w:rsidRPr="0003450F">
        <w:rPr>
          <w:rFonts w:asciiTheme="majorHAnsi" w:hAnsiTheme="majorHAnsi"/>
        </w:rPr>
        <w:t>Afamelanotide</w:t>
      </w:r>
      <w:proofErr w:type="spellEnd"/>
      <w:r w:rsidRPr="0003450F">
        <w:rPr>
          <w:rFonts w:asciiTheme="majorHAnsi" w:hAnsiTheme="majorHAnsi"/>
        </w:rPr>
        <w:t xml:space="preserve"> </w:t>
      </w:r>
      <w:proofErr w:type="gramStart"/>
      <w:r w:rsidRPr="0003450F">
        <w:rPr>
          <w:rFonts w:asciiTheme="majorHAnsi" w:hAnsiTheme="majorHAnsi"/>
        </w:rPr>
        <w:t>is degraded</w:t>
      </w:r>
      <w:proofErr w:type="gramEnd"/>
      <w:r w:rsidRPr="0003450F">
        <w:rPr>
          <w:rFonts w:asciiTheme="majorHAnsi" w:hAnsiTheme="majorHAnsi"/>
        </w:rPr>
        <w:t xml:space="preserve"> into smaller peptide fragments by hydrolysis and not via oxidative metabolism by CYP enzymes.</w:t>
      </w:r>
    </w:p>
    <w:p w14:paraId="14AF6611" w14:textId="79F09980" w:rsidR="001A3992" w:rsidRPr="005A28B7" w:rsidRDefault="001A3992" w:rsidP="001A3992">
      <w:pPr>
        <w:pStyle w:val="Heading3"/>
        <w:spacing w:before="0" w:after="120"/>
        <w:rPr>
          <w:rFonts w:cstheme="minorHAnsi"/>
          <w:b w:val="0"/>
        </w:rPr>
      </w:pPr>
      <w:r w:rsidRPr="005A28B7">
        <w:rPr>
          <w:rFonts w:cstheme="minorHAnsi"/>
        </w:rPr>
        <w:t>Excretion</w:t>
      </w:r>
    </w:p>
    <w:p w14:paraId="27EB675B" w14:textId="17126642" w:rsidR="00261CE4" w:rsidRPr="005A28B7" w:rsidRDefault="0047480F" w:rsidP="00261CE4">
      <w:pPr>
        <w:rPr>
          <w:rFonts w:asciiTheme="majorHAnsi" w:hAnsiTheme="majorHAnsi"/>
        </w:rPr>
      </w:pPr>
      <w:r w:rsidRPr="005A28B7">
        <w:rPr>
          <w:rFonts w:asciiTheme="majorHAnsi" w:hAnsiTheme="majorHAnsi"/>
        </w:rPr>
        <w:t>The apparent half-life of afamelanotide is approximately 15 hr when administered subcutaneously in a controlled release implant.</w:t>
      </w:r>
      <w:r w:rsidR="0003450F">
        <w:rPr>
          <w:rFonts w:asciiTheme="majorHAnsi" w:hAnsiTheme="majorHAnsi"/>
        </w:rPr>
        <w:t xml:space="preserve"> </w:t>
      </w:r>
      <w:r w:rsidR="0003450F" w:rsidRPr="0003450F">
        <w:rPr>
          <w:rFonts w:asciiTheme="majorHAnsi" w:hAnsiTheme="majorHAnsi"/>
        </w:rPr>
        <w:t>Peptide fragments of afamelanotide are excreted renally.</w:t>
      </w:r>
    </w:p>
    <w:p w14:paraId="58D9B07E" w14:textId="77777777" w:rsidR="001A3992" w:rsidRPr="005A28B7" w:rsidRDefault="001A3992" w:rsidP="001A3992">
      <w:pPr>
        <w:pStyle w:val="Heading2"/>
        <w:spacing w:before="0" w:after="120"/>
        <w:rPr>
          <w:rFonts w:cstheme="minorHAnsi"/>
        </w:rPr>
      </w:pPr>
      <w:r w:rsidRPr="005A28B7">
        <w:rPr>
          <w:rFonts w:cstheme="minorHAnsi"/>
        </w:rPr>
        <w:t>Preclinical safety data</w:t>
      </w:r>
    </w:p>
    <w:p w14:paraId="3254AD69" w14:textId="77777777" w:rsidR="001A3992" w:rsidRPr="005A28B7" w:rsidRDefault="001A3992" w:rsidP="001A3992">
      <w:pPr>
        <w:pStyle w:val="Heading3"/>
        <w:spacing w:before="0" w:after="120"/>
        <w:rPr>
          <w:rFonts w:cstheme="minorHAnsi"/>
        </w:rPr>
      </w:pPr>
      <w:r w:rsidRPr="005A28B7">
        <w:rPr>
          <w:rFonts w:cstheme="minorHAnsi"/>
        </w:rPr>
        <w:t>Genotoxicity</w:t>
      </w:r>
    </w:p>
    <w:p w14:paraId="1575C29C" w14:textId="67443802" w:rsidR="00261CE4" w:rsidRPr="005A28B7" w:rsidRDefault="00413BD2" w:rsidP="00261CE4">
      <w:pPr>
        <w:rPr>
          <w:rFonts w:asciiTheme="majorHAnsi" w:hAnsiTheme="majorHAnsi"/>
        </w:rPr>
      </w:pPr>
      <w:r w:rsidRPr="005A28B7">
        <w:rPr>
          <w:rFonts w:asciiTheme="majorHAnsi" w:hAnsiTheme="majorHAnsi"/>
        </w:rPr>
        <w:t>Afamelanotide was negative</w:t>
      </w:r>
      <w:r w:rsidR="00C826FE">
        <w:rPr>
          <w:rFonts w:asciiTheme="majorHAnsi" w:hAnsiTheme="majorHAnsi"/>
        </w:rPr>
        <w:t xml:space="preserve"> for genotoxicity</w:t>
      </w:r>
      <w:r w:rsidRPr="005A28B7">
        <w:rPr>
          <w:rFonts w:asciiTheme="majorHAnsi" w:hAnsiTheme="majorHAnsi"/>
        </w:rPr>
        <w:t xml:space="preserve"> in the </w:t>
      </w:r>
      <w:r w:rsidR="00C826FE">
        <w:rPr>
          <w:rFonts w:asciiTheme="majorHAnsi" w:hAnsiTheme="majorHAnsi"/>
        </w:rPr>
        <w:t>bacterial reverse mutation assay (</w:t>
      </w:r>
      <w:r w:rsidRPr="005A28B7">
        <w:rPr>
          <w:rFonts w:asciiTheme="majorHAnsi" w:hAnsiTheme="majorHAnsi"/>
        </w:rPr>
        <w:t>Ames test</w:t>
      </w:r>
      <w:r w:rsidR="00C826FE">
        <w:rPr>
          <w:rFonts w:asciiTheme="majorHAnsi" w:hAnsiTheme="majorHAnsi"/>
        </w:rPr>
        <w:t>)</w:t>
      </w:r>
      <w:r w:rsidRPr="005A28B7">
        <w:rPr>
          <w:rFonts w:asciiTheme="majorHAnsi" w:hAnsiTheme="majorHAnsi"/>
        </w:rPr>
        <w:t xml:space="preserve">, </w:t>
      </w:r>
      <w:r w:rsidRPr="00C826FE">
        <w:rPr>
          <w:rFonts w:asciiTheme="majorHAnsi" w:hAnsiTheme="majorHAnsi"/>
          <w:i/>
          <w:iCs/>
        </w:rPr>
        <w:t>in vitro</w:t>
      </w:r>
      <w:r w:rsidRPr="005A28B7">
        <w:rPr>
          <w:rFonts w:asciiTheme="majorHAnsi" w:hAnsiTheme="majorHAnsi"/>
        </w:rPr>
        <w:t xml:space="preserve"> mouse lymphoma assay, and </w:t>
      </w:r>
      <w:r w:rsidRPr="00C826FE">
        <w:rPr>
          <w:rFonts w:asciiTheme="majorHAnsi" w:hAnsiTheme="majorHAnsi"/>
          <w:i/>
          <w:iCs/>
        </w:rPr>
        <w:t>in vivo</w:t>
      </w:r>
      <w:r w:rsidRPr="005A28B7">
        <w:rPr>
          <w:rFonts w:asciiTheme="majorHAnsi" w:hAnsiTheme="majorHAnsi"/>
        </w:rPr>
        <w:t xml:space="preserve"> mouse bone marrow micronucleus assay.</w:t>
      </w:r>
    </w:p>
    <w:p w14:paraId="61B7A599" w14:textId="77777777" w:rsidR="001A3992" w:rsidRPr="005A28B7" w:rsidRDefault="001A3992" w:rsidP="001A3992">
      <w:pPr>
        <w:pStyle w:val="Heading3"/>
        <w:spacing w:before="0" w:after="120"/>
        <w:rPr>
          <w:rFonts w:cstheme="minorHAnsi"/>
        </w:rPr>
      </w:pPr>
      <w:r w:rsidRPr="005A28B7">
        <w:rPr>
          <w:rFonts w:cstheme="minorHAnsi"/>
        </w:rPr>
        <w:t>Carcinogenicity</w:t>
      </w:r>
    </w:p>
    <w:p w14:paraId="5D58D0FF" w14:textId="12E0C69E" w:rsidR="00261CE4" w:rsidRPr="005A28B7" w:rsidRDefault="00413BD2" w:rsidP="00261CE4">
      <w:pPr>
        <w:rPr>
          <w:rFonts w:asciiTheme="majorHAnsi" w:hAnsiTheme="majorHAnsi"/>
        </w:rPr>
      </w:pPr>
      <w:r w:rsidRPr="005A28B7">
        <w:rPr>
          <w:rFonts w:asciiTheme="majorHAnsi" w:hAnsiTheme="majorHAnsi"/>
        </w:rPr>
        <w:t xml:space="preserve">Carcinogenicity studies have not been conducted with </w:t>
      </w:r>
      <w:r w:rsidR="007133F3" w:rsidRPr="007133F3">
        <w:rPr>
          <w:rFonts w:ascii="Cambria" w:hAnsi="Cambria"/>
          <w:noProof/>
        </w:rPr>
        <w:t>afamelanotide</w:t>
      </w:r>
      <w:r w:rsidRPr="005A28B7">
        <w:rPr>
          <w:rFonts w:asciiTheme="majorHAnsi" w:hAnsiTheme="majorHAnsi"/>
        </w:rPr>
        <w:t>.</w:t>
      </w:r>
      <w:r w:rsidR="007133F3">
        <w:rPr>
          <w:rFonts w:asciiTheme="majorHAnsi" w:hAnsiTheme="majorHAnsi"/>
        </w:rPr>
        <w:t xml:space="preserve"> </w:t>
      </w:r>
      <w:r w:rsidR="007133F3" w:rsidRPr="007133F3">
        <w:rPr>
          <w:rFonts w:asciiTheme="majorHAnsi" w:hAnsiTheme="majorHAnsi"/>
          <w:i/>
          <w:iCs/>
        </w:rPr>
        <w:t>In vitro</w:t>
      </w:r>
      <w:r w:rsidR="007133F3" w:rsidRPr="007133F3">
        <w:rPr>
          <w:rFonts w:asciiTheme="majorHAnsi" w:hAnsiTheme="majorHAnsi"/>
        </w:rPr>
        <w:t>, afamelanotide was shown not to stimulate cell proliferation in cultured human melanoma cells expressing MC1-R.</w:t>
      </w:r>
    </w:p>
    <w:p w14:paraId="1F70C1CF" w14:textId="77777777" w:rsidR="001A3992" w:rsidRPr="005A28B7" w:rsidRDefault="001A3992" w:rsidP="001A3992">
      <w:pPr>
        <w:pStyle w:val="Heading1"/>
        <w:spacing w:before="0" w:after="120"/>
        <w:rPr>
          <w:rFonts w:cstheme="minorHAnsi"/>
        </w:rPr>
      </w:pPr>
      <w:r w:rsidRPr="005A28B7">
        <w:rPr>
          <w:rFonts w:cstheme="minorHAnsi"/>
        </w:rPr>
        <w:t>Pharmaceutical particulars</w:t>
      </w:r>
    </w:p>
    <w:p w14:paraId="43C7F838" w14:textId="40D5BC16" w:rsidR="001A3992" w:rsidRPr="005A28B7" w:rsidRDefault="001A3992" w:rsidP="001A3992">
      <w:pPr>
        <w:pStyle w:val="Heading2"/>
        <w:spacing w:before="0" w:after="120"/>
        <w:rPr>
          <w:rFonts w:cstheme="minorHAnsi"/>
        </w:rPr>
      </w:pPr>
      <w:r w:rsidRPr="005A28B7">
        <w:rPr>
          <w:rFonts w:cstheme="minorHAnsi"/>
        </w:rPr>
        <w:t>List of e</w:t>
      </w:r>
      <w:r w:rsidR="00201465">
        <w:rPr>
          <w:rFonts w:cstheme="minorHAnsi"/>
        </w:rPr>
        <w:t>xcipients</w:t>
      </w:r>
    </w:p>
    <w:p w14:paraId="698A43E6" w14:textId="6E2169B0" w:rsidR="00261CE4" w:rsidRPr="005A28B7" w:rsidRDefault="00634B8E" w:rsidP="00497C85">
      <w:pPr>
        <w:rPr>
          <w:rFonts w:asciiTheme="majorHAnsi" w:hAnsiTheme="majorHAnsi" w:cstheme="minorHAnsi"/>
        </w:rPr>
      </w:pPr>
      <w:r w:rsidRPr="005A28B7">
        <w:rPr>
          <w:rFonts w:asciiTheme="majorHAnsi" w:hAnsiTheme="majorHAnsi" w:cstheme="minorHAnsi"/>
        </w:rPr>
        <w:t>Polyglactin</w:t>
      </w:r>
    </w:p>
    <w:p w14:paraId="67072DFA" w14:textId="3CE8A004" w:rsidR="001A3992" w:rsidRPr="005A28B7" w:rsidRDefault="00201465" w:rsidP="001A3992">
      <w:pPr>
        <w:pStyle w:val="Heading2"/>
        <w:keepNext/>
        <w:keepLines/>
        <w:spacing w:before="0" w:after="120"/>
        <w:rPr>
          <w:rFonts w:cstheme="minorHAnsi"/>
        </w:rPr>
      </w:pPr>
      <w:r>
        <w:rPr>
          <w:rFonts w:cstheme="minorHAnsi"/>
        </w:rPr>
        <w:t>Incompatibilities</w:t>
      </w:r>
    </w:p>
    <w:p w14:paraId="505E1698" w14:textId="64C56C3E" w:rsidR="00497C85" w:rsidRPr="005A28B7" w:rsidRDefault="00497C85" w:rsidP="00497C85">
      <w:pPr>
        <w:rPr>
          <w:rFonts w:asciiTheme="majorHAnsi" w:hAnsiTheme="majorHAnsi" w:cstheme="minorHAnsi"/>
        </w:rPr>
      </w:pPr>
      <w:r w:rsidRPr="005A28B7">
        <w:rPr>
          <w:rFonts w:asciiTheme="majorHAnsi" w:hAnsiTheme="majorHAnsi" w:cstheme="minorHAnsi"/>
        </w:rPr>
        <w:t xml:space="preserve">Incompatibilities </w:t>
      </w:r>
      <w:proofErr w:type="gramStart"/>
      <w:r w:rsidRPr="005A28B7">
        <w:rPr>
          <w:rFonts w:asciiTheme="majorHAnsi" w:hAnsiTheme="majorHAnsi" w:cstheme="minorHAnsi"/>
        </w:rPr>
        <w:t>were either not assessed or not identified as part of the registration of this medicine</w:t>
      </w:r>
      <w:proofErr w:type="gramEnd"/>
      <w:r w:rsidRPr="005A28B7">
        <w:rPr>
          <w:rFonts w:asciiTheme="majorHAnsi" w:hAnsiTheme="majorHAnsi" w:cstheme="minorHAnsi"/>
        </w:rPr>
        <w:t>.</w:t>
      </w:r>
    </w:p>
    <w:p w14:paraId="4495B397" w14:textId="091873CC" w:rsidR="001A3992" w:rsidRPr="005A28B7" w:rsidRDefault="00201465" w:rsidP="00201465">
      <w:pPr>
        <w:pStyle w:val="Heading2"/>
        <w:keepNext/>
        <w:spacing w:before="0" w:after="120"/>
        <w:rPr>
          <w:rFonts w:cstheme="minorHAnsi"/>
        </w:rPr>
      </w:pPr>
      <w:r>
        <w:rPr>
          <w:rFonts w:cstheme="minorHAnsi"/>
        </w:rPr>
        <w:lastRenderedPageBreak/>
        <w:t>Shelf life</w:t>
      </w:r>
    </w:p>
    <w:p w14:paraId="3E1770B0" w14:textId="12BC33F0" w:rsidR="00497C85" w:rsidRPr="005A28B7" w:rsidRDefault="00497C85" w:rsidP="00497C85">
      <w:pPr>
        <w:rPr>
          <w:rFonts w:asciiTheme="majorHAnsi" w:hAnsiTheme="majorHAnsi" w:cstheme="minorHAnsi"/>
        </w:rPr>
      </w:pPr>
      <w:r w:rsidRPr="005A28B7">
        <w:rPr>
          <w:rFonts w:asciiTheme="majorHAnsi" w:hAnsiTheme="majorHAnsi" w:cstheme="minorHAnsi"/>
        </w:rPr>
        <w:t xml:space="preserve">In Australia, information on the shelf life </w:t>
      </w:r>
      <w:proofErr w:type="gramStart"/>
      <w:r w:rsidRPr="005A28B7">
        <w:rPr>
          <w:rFonts w:asciiTheme="majorHAnsi" w:hAnsiTheme="majorHAnsi" w:cstheme="minorHAnsi"/>
        </w:rPr>
        <w:t>can be found</w:t>
      </w:r>
      <w:proofErr w:type="gramEnd"/>
      <w:r w:rsidRPr="005A28B7">
        <w:rPr>
          <w:rFonts w:asciiTheme="majorHAnsi" w:hAnsiTheme="majorHAnsi" w:cstheme="minorHAnsi"/>
        </w:rPr>
        <w:t xml:space="preserve"> on the public summary of the Australian Register of Therapeutic Goods (ARTG). The expiry date can be found on the packaging.</w:t>
      </w:r>
    </w:p>
    <w:p w14:paraId="244AD8B2" w14:textId="3C065E7F" w:rsidR="001A3992" w:rsidRPr="005A28B7" w:rsidRDefault="00201465" w:rsidP="001A3992">
      <w:pPr>
        <w:pStyle w:val="Heading2"/>
        <w:keepNext/>
        <w:keepLines/>
        <w:spacing w:before="0" w:after="120"/>
        <w:rPr>
          <w:rFonts w:cstheme="minorHAnsi"/>
        </w:rPr>
      </w:pPr>
      <w:r>
        <w:rPr>
          <w:rFonts w:cstheme="minorHAnsi"/>
        </w:rPr>
        <w:t>Special precautions for storage</w:t>
      </w:r>
    </w:p>
    <w:p w14:paraId="3B00B60D" w14:textId="26AA0D51" w:rsidR="00261CE4" w:rsidRPr="005A28B7" w:rsidRDefault="00A03985" w:rsidP="00261CE4">
      <w:pPr>
        <w:rPr>
          <w:rFonts w:asciiTheme="majorHAnsi" w:hAnsiTheme="majorHAnsi"/>
        </w:rPr>
      </w:pPr>
      <w:r w:rsidRPr="005A28B7">
        <w:rPr>
          <w:rFonts w:asciiTheme="majorHAnsi" w:hAnsiTheme="majorHAnsi"/>
        </w:rPr>
        <w:t>Store in a refrigerator at 2°C – 8°C. Protect from light.</w:t>
      </w:r>
    </w:p>
    <w:p w14:paraId="42AC6B08" w14:textId="55B94B03" w:rsidR="001A3992" w:rsidRPr="005A28B7" w:rsidRDefault="001A3992" w:rsidP="00972D3F">
      <w:pPr>
        <w:pStyle w:val="Heading2"/>
        <w:keepNext/>
        <w:keepLines/>
        <w:spacing w:before="0" w:after="120"/>
        <w:rPr>
          <w:rFonts w:cstheme="minorHAnsi"/>
        </w:rPr>
      </w:pPr>
      <w:r w:rsidRPr="005A28B7">
        <w:rPr>
          <w:rFonts w:cstheme="minorHAnsi"/>
        </w:rPr>
        <w:t>N</w:t>
      </w:r>
      <w:r w:rsidR="00201465">
        <w:rPr>
          <w:rFonts w:cstheme="minorHAnsi"/>
        </w:rPr>
        <w:t>ature and contents of container</w:t>
      </w:r>
    </w:p>
    <w:p w14:paraId="6B92EF90" w14:textId="386C6F80" w:rsidR="00261CE4" w:rsidRPr="005A28B7" w:rsidRDefault="00A03985" w:rsidP="00972D3F">
      <w:pPr>
        <w:keepNext/>
        <w:keepLines/>
        <w:rPr>
          <w:rFonts w:asciiTheme="majorHAnsi" w:hAnsiTheme="majorHAnsi"/>
        </w:rPr>
      </w:pPr>
      <w:r w:rsidRPr="005A28B7">
        <w:rPr>
          <w:rFonts w:asciiTheme="majorHAnsi" w:hAnsiTheme="majorHAnsi"/>
        </w:rPr>
        <w:t>SCENESSE</w:t>
      </w:r>
      <w:r w:rsidRPr="005A28B7">
        <w:rPr>
          <w:rFonts w:asciiTheme="majorHAnsi" w:hAnsiTheme="majorHAnsi"/>
          <w:vertAlign w:val="superscript"/>
        </w:rPr>
        <w:t>®</w:t>
      </w:r>
      <w:r w:rsidRPr="005A28B7">
        <w:rPr>
          <w:rFonts w:asciiTheme="majorHAnsi" w:hAnsiTheme="majorHAnsi"/>
        </w:rPr>
        <w:t xml:space="preserve"> (afamelanotide) implant, 16 mg, for subcutaneous administration </w:t>
      </w:r>
      <w:proofErr w:type="gramStart"/>
      <w:r w:rsidRPr="005A28B7">
        <w:rPr>
          <w:rFonts w:asciiTheme="majorHAnsi" w:hAnsiTheme="majorHAnsi"/>
        </w:rPr>
        <w:t>is supplied</w:t>
      </w:r>
      <w:proofErr w:type="gramEnd"/>
      <w:r w:rsidRPr="005A28B7">
        <w:rPr>
          <w:rFonts w:asciiTheme="majorHAnsi" w:hAnsiTheme="majorHAnsi"/>
        </w:rPr>
        <w:t xml:space="preserve"> in a Type I amber glass vial sealed with a PTFE coated rubber stopper. Each vial contains one afamelanotide implant and is packaged individually in a cardboard box.</w:t>
      </w:r>
    </w:p>
    <w:p w14:paraId="32FE54E5" w14:textId="2DC5C77B" w:rsidR="00A03985" w:rsidRPr="005A28B7" w:rsidRDefault="00A03985" w:rsidP="00261CE4">
      <w:pPr>
        <w:rPr>
          <w:rFonts w:asciiTheme="majorHAnsi" w:hAnsiTheme="majorHAnsi"/>
        </w:rPr>
      </w:pPr>
      <w:r w:rsidRPr="005A28B7">
        <w:rPr>
          <w:rFonts w:asciiTheme="majorHAnsi" w:hAnsiTheme="majorHAnsi"/>
        </w:rPr>
        <w:t>SCENESSE</w:t>
      </w:r>
      <w:r w:rsidR="000119B8" w:rsidRPr="005A28B7">
        <w:rPr>
          <w:rFonts w:ascii="Cambria" w:hAnsi="Cambria"/>
          <w:noProof/>
          <w:vertAlign w:val="superscript"/>
        </w:rPr>
        <w:t>®</w:t>
      </w:r>
      <w:r w:rsidRPr="005A28B7">
        <w:rPr>
          <w:rFonts w:asciiTheme="majorHAnsi" w:hAnsiTheme="majorHAnsi"/>
        </w:rPr>
        <w:t xml:space="preserve"> implants are not supplied with an implantation device for subcutaneous administration [see </w:t>
      </w:r>
      <w:r w:rsidRPr="005A28B7">
        <w:rPr>
          <w:rFonts w:asciiTheme="majorHAnsi" w:hAnsiTheme="majorHAnsi"/>
          <w:i/>
          <w:iCs/>
        </w:rPr>
        <w:t>Dosage and Administration</w:t>
      </w:r>
      <w:r w:rsidRPr="005A28B7">
        <w:rPr>
          <w:rFonts w:asciiTheme="majorHAnsi" w:hAnsiTheme="majorHAnsi"/>
        </w:rPr>
        <w:t>].</w:t>
      </w:r>
    </w:p>
    <w:p w14:paraId="22DCE89F" w14:textId="18DC9679" w:rsidR="001A3992" w:rsidRPr="005A28B7" w:rsidRDefault="001A3992" w:rsidP="001A3992">
      <w:pPr>
        <w:pStyle w:val="Heading2"/>
        <w:spacing w:before="0" w:after="120"/>
        <w:rPr>
          <w:rFonts w:cstheme="minorHAnsi"/>
        </w:rPr>
      </w:pPr>
      <w:r w:rsidRPr="005A28B7">
        <w:rPr>
          <w:rFonts w:cstheme="minorHAnsi"/>
        </w:rPr>
        <w:t>S</w:t>
      </w:r>
      <w:r w:rsidR="00201465">
        <w:rPr>
          <w:rFonts w:cstheme="minorHAnsi"/>
        </w:rPr>
        <w:t>pecial precautions for disposal</w:t>
      </w:r>
    </w:p>
    <w:p w14:paraId="22DEF9C4" w14:textId="77777777" w:rsidR="00A03985" w:rsidRPr="005A28B7" w:rsidRDefault="00A03985" w:rsidP="00A03985">
      <w:pPr>
        <w:rPr>
          <w:rFonts w:asciiTheme="majorHAnsi" w:hAnsiTheme="majorHAnsi" w:cstheme="minorHAnsi"/>
        </w:rPr>
      </w:pPr>
      <w:r w:rsidRPr="005A28B7">
        <w:rPr>
          <w:rFonts w:asciiTheme="majorHAnsi" w:hAnsiTheme="majorHAnsi" w:cstheme="minorHAnsi"/>
        </w:rPr>
        <w:t xml:space="preserve">For instructions on correct administration and </w:t>
      </w:r>
      <w:proofErr w:type="gramStart"/>
      <w:r w:rsidRPr="005A28B7">
        <w:rPr>
          <w:rFonts w:asciiTheme="majorHAnsi" w:hAnsiTheme="majorHAnsi" w:cstheme="minorHAnsi"/>
        </w:rPr>
        <w:t>preparation</w:t>
      </w:r>
      <w:proofErr w:type="gramEnd"/>
      <w:r w:rsidRPr="005A28B7">
        <w:rPr>
          <w:rFonts w:asciiTheme="majorHAnsi" w:hAnsiTheme="majorHAnsi" w:cstheme="minorHAnsi"/>
        </w:rPr>
        <w:t xml:space="preserve"> see section 4.2.</w:t>
      </w:r>
    </w:p>
    <w:p w14:paraId="4A01AD59" w14:textId="13432EAC" w:rsidR="002B424E" w:rsidRPr="005A28B7" w:rsidRDefault="002B424E" w:rsidP="00497C85">
      <w:pPr>
        <w:rPr>
          <w:rFonts w:asciiTheme="majorHAnsi" w:hAnsiTheme="majorHAnsi" w:cstheme="minorHAnsi"/>
        </w:rPr>
      </w:pPr>
      <w:r w:rsidRPr="005A28B7">
        <w:rPr>
          <w:rFonts w:asciiTheme="majorHAnsi" w:hAnsiTheme="majorHAnsi" w:cstheme="minorHAnsi"/>
        </w:rPr>
        <w:t>In Australia, any unused medicine or waste material should be disposed of in accordance with local requirements.</w:t>
      </w:r>
    </w:p>
    <w:p w14:paraId="3D640294" w14:textId="77777777" w:rsidR="001A3992" w:rsidRPr="005A28B7" w:rsidRDefault="001A3992" w:rsidP="001A3992">
      <w:pPr>
        <w:pStyle w:val="Heading2"/>
        <w:spacing w:before="0" w:after="120"/>
        <w:rPr>
          <w:rFonts w:cstheme="minorHAnsi"/>
        </w:rPr>
      </w:pPr>
      <w:r w:rsidRPr="005A28B7">
        <w:rPr>
          <w:rFonts w:cstheme="minorHAnsi"/>
        </w:rPr>
        <w:t>Physicochemical properties</w:t>
      </w:r>
    </w:p>
    <w:p w14:paraId="40C3BA0A" w14:textId="77777777" w:rsidR="001A3992" w:rsidRPr="005A28B7" w:rsidRDefault="001A3992" w:rsidP="001A3992">
      <w:pPr>
        <w:pStyle w:val="Heading3"/>
        <w:spacing w:before="0" w:after="120"/>
        <w:rPr>
          <w:rFonts w:cstheme="minorHAnsi"/>
        </w:rPr>
      </w:pPr>
      <w:r w:rsidRPr="005A28B7">
        <w:rPr>
          <w:rFonts w:cstheme="minorHAnsi"/>
        </w:rPr>
        <w:t>Chemical structure</w:t>
      </w:r>
    </w:p>
    <w:p w14:paraId="5EFC0F70" w14:textId="77777777" w:rsidR="00A76A82" w:rsidRPr="005A28B7" w:rsidRDefault="00A76A82" w:rsidP="00A76A82">
      <w:pPr>
        <w:pStyle w:val="NormalIndent"/>
        <w:rPr>
          <w:b/>
          <w:vertAlign w:val="subscript"/>
        </w:rPr>
      </w:pPr>
      <w:r w:rsidRPr="005A28B7">
        <w:rPr>
          <w:b/>
        </w:rPr>
        <w:t>Ac-</w:t>
      </w:r>
      <w:proofErr w:type="spellStart"/>
      <w:r w:rsidRPr="005A28B7">
        <w:rPr>
          <w:b/>
        </w:rPr>
        <w:t>Ser</w:t>
      </w:r>
      <w:proofErr w:type="spellEnd"/>
      <w:r w:rsidRPr="005A28B7">
        <w:rPr>
          <w:b/>
        </w:rPr>
        <w:t>-Tyr-</w:t>
      </w:r>
      <w:proofErr w:type="spellStart"/>
      <w:r w:rsidRPr="005A28B7">
        <w:rPr>
          <w:b/>
        </w:rPr>
        <w:t>Ser</w:t>
      </w:r>
      <w:proofErr w:type="spellEnd"/>
      <w:r w:rsidRPr="005A28B7">
        <w:rPr>
          <w:b/>
        </w:rPr>
        <w:t>-</w:t>
      </w:r>
      <w:proofErr w:type="spellStart"/>
      <w:r w:rsidRPr="005A28B7">
        <w:rPr>
          <w:b/>
        </w:rPr>
        <w:t>Nle</w:t>
      </w:r>
      <w:proofErr w:type="spellEnd"/>
      <w:r w:rsidRPr="005A28B7">
        <w:rPr>
          <w:b/>
        </w:rPr>
        <w:t>-</w:t>
      </w:r>
      <w:proofErr w:type="spellStart"/>
      <w:r w:rsidRPr="005A28B7">
        <w:rPr>
          <w:b/>
        </w:rPr>
        <w:t>Glu</w:t>
      </w:r>
      <w:proofErr w:type="spellEnd"/>
      <w:r w:rsidRPr="005A28B7">
        <w:rPr>
          <w:b/>
        </w:rPr>
        <w:t>-His-(D</w:t>
      </w:r>
      <w:proofErr w:type="gramStart"/>
      <w:r w:rsidRPr="005A28B7">
        <w:rPr>
          <w:b/>
        </w:rPr>
        <w:t>)Phe</w:t>
      </w:r>
      <w:proofErr w:type="gramEnd"/>
      <w:r w:rsidRPr="005A28B7">
        <w:rPr>
          <w:b/>
        </w:rPr>
        <w:t>-Arg-Trp-Gly-Lys-Pro-Val-NH</w:t>
      </w:r>
      <w:r w:rsidRPr="005A28B7">
        <w:rPr>
          <w:b/>
          <w:vertAlign w:val="subscript"/>
        </w:rPr>
        <w:t>2</w:t>
      </w:r>
    </w:p>
    <w:p w14:paraId="06E92291" w14:textId="77777777" w:rsidR="00A76A82" w:rsidRPr="005A28B7" w:rsidRDefault="00A76A82" w:rsidP="00A76A82">
      <w:pPr>
        <w:pStyle w:val="NormalIndent"/>
      </w:pPr>
      <w:r w:rsidRPr="005A28B7">
        <w:t xml:space="preserve">        1      2     3      4      5     6         7        8      9    10    11   12    13</w:t>
      </w:r>
    </w:p>
    <w:p w14:paraId="2FC4D60B" w14:textId="38DFD736" w:rsidR="00261CE4" w:rsidRPr="005A28B7" w:rsidRDefault="00A76A82" w:rsidP="00A76A82">
      <w:pPr>
        <w:rPr>
          <w:rFonts w:asciiTheme="majorHAnsi" w:hAnsiTheme="majorHAnsi"/>
        </w:rPr>
      </w:pPr>
      <w:r w:rsidRPr="005A28B7">
        <w:object w:dxaOrig="10512" w:dyaOrig="3840" w14:anchorId="4A9A4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9pt;height:181.5pt" o:ole="">
            <v:imagedata r:id="rId21" o:title=""/>
          </v:shape>
          <o:OLEObject Type="Embed" ProgID="ACD.ChemSketch.20" ShapeID="_x0000_i1025" DrawAspect="Content" ObjectID="_1677655569" r:id="rId22"/>
        </w:object>
      </w:r>
    </w:p>
    <w:p w14:paraId="169610C9" w14:textId="77777777" w:rsidR="001A3992" w:rsidRPr="005A28B7" w:rsidRDefault="001A3992" w:rsidP="001A3992">
      <w:pPr>
        <w:pStyle w:val="Heading3"/>
        <w:spacing w:before="0" w:after="120"/>
        <w:rPr>
          <w:rFonts w:cstheme="minorHAnsi"/>
        </w:rPr>
      </w:pPr>
      <w:r w:rsidRPr="005A28B7">
        <w:rPr>
          <w:rFonts w:cstheme="minorHAnsi"/>
        </w:rPr>
        <w:t>CAS number</w:t>
      </w:r>
    </w:p>
    <w:p w14:paraId="160EAAE4" w14:textId="3645B5AF" w:rsidR="00261CE4" w:rsidRPr="005A28B7" w:rsidRDefault="00A76A82" w:rsidP="00261CE4">
      <w:pPr>
        <w:rPr>
          <w:rFonts w:asciiTheme="majorHAnsi" w:hAnsiTheme="majorHAnsi"/>
        </w:rPr>
      </w:pPr>
      <w:r w:rsidRPr="005A28B7">
        <w:rPr>
          <w:rFonts w:asciiTheme="majorHAnsi" w:hAnsiTheme="majorHAnsi"/>
        </w:rPr>
        <w:t>75921-69-6</w:t>
      </w:r>
    </w:p>
    <w:p w14:paraId="6BD93957" w14:textId="7C652788" w:rsidR="001A3992" w:rsidRPr="005A28B7" w:rsidRDefault="001A3992" w:rsidP="001A3992">
      <w:pPr>
        <w:pStyle w:val="Heading1"/>
        <w:spacing w:before="0" w:after="120"/>
        <w:rPr>
          <w:rFonts w:cstheme="minorHAnsi"/>
        </w:rPr>
      </w:pPr>
      <w:r w:rsidRPr="005A28B7">
        <w:rPr>
          <w:rFonts w:cstheme="minorHAnsi"/>
        </w:rPr>
        <w:lastRenderedPageBreak/>
        <w:t>Medicine schedule (Poisons Standard)</w:t>
      </w:r>
    </w:p>
    <w:p w14:paraId="0779B6CB" w14:textId="77777777" w:rsidR="00261CE4" w:rsidRPr="005A28B7" w:rsidRDefault="00261CE4" w:rsidP="00261CE4">
      <w:pPr>
        <w:rPr>
          <w:rFonts w:asciiTheme="majorHAnsi" w:hAnsiTheme="majorHAnsi"/>
        </w:rPr>
      </w:pPr>
      <w:r w:rsidRPr="005A28B7">
        <w:rPr>
          <w:rFonts w:asciiTheme="majorHAnsi" w:hAnsiTheme="majorHAnsi"/>
        </w:rPr>
        <w:t>Schedule 4 – Prescription Only Medicine</w:t>
      </w:r>
    </w:p>
    <w:p w14:paraId="664CEE19" w14:textId="77777777" w:rsidR="001A3992" w:rsidRPr="005A28B7" w:rsidRDefault="001A3992" w:rsidP="00972D3F">
      <w:pPr>
        <w:pStyle w:val="Heading1"/>
        <w:spacing w:before="0" w:after="120"/>
        <w:rPr>
          <w:rFonts w:cstheme="minorHAnsi"/>
        </w:rPr>
      </w:pPr>
      <w:r w:rsidRPr="005A28B7">
        <w:rPr>
          <w:rFonts w:cstheme="minorHAnsi"/>
        </w:rPr>
        <w:t>Sponsor</w:t>
      </w:r>
    </w:p>
    <w:p w14:paraId="305727F3" w14:textId="3A017FAE" w:rsidR="00261CE4" w:rsidRPr="005A28B7" w:rsidRDefault="00A76A82" w:rsidP="00972D3F">
      <w:pPr>
        <w:keepNext/>
        <w:keepLines/>
        <w:rPr>
          <w:rFonts w:asciiTheme="majorHAnsi" w:hAnsiTheme="majorHAnsi"/>
        </w:rPr>
      </w:pPr>
      <w:bookmarkStart w:id="4" w:name="_GoBack"/>
      <w:r w:rsidRPr="005A28B7">
        <w:rPr>
          <w:rFonts w:asciiTheme="majorHAnsi" w:hAnsiTheme="majorHAnsi"/>
        </w:rPr>
        <w:t>CLINUVEL PHARMACEUTICALS LTD</w:t>
      </w:r>
    </w:p>
    <w:bookmarkEnd w:id="4"/>
    <w:p w14:paraId="33200804" w14:textId="31518FF4" w:rsidR="00A76A82" w:rsidRPr="005A28B7" w:rsidRDefault="00A76A82" w:rsidP="00972D3F">
      <w:pPr>
        <w:keepNext/>
        <w:keepLines/>
        <w:rPr>
          <w:rFonts w:asciiTheme="majorHAnsi" w:hAnsiTheme="majorHAnsi"/>
        </w:rPr>
      </w:pPr>
      <w:r w:rsidRPr="005A28B7">
        <w:rPr>
          <w:rFonts w:asciiTheme="majorHAnsi" w:hAnsiTheme="majorHAnsi"/>
        </w:rPr>
        <w:t>Level 11, 535 Bourke Street</w:t>
      </w:r>
    </w:p>
    <w:p w14:paraId="668C1358" w14:textId="6C0BCD5A" w:rsidR="00A76A82" w:rsidRPr="005A28B7" w:rsidRDefault="00A76A82" w:rsidP="00972D3F">
      <w:pPr>
        <w:keepNext/>
        <w:keepLines/>
        <w:rPr>
          <w:rFonts w:asciiTheme="majorHAnsi" w:hAnsiTheme="majorHAnsi"/>
        </w:rPr>
      </w:pPr>
      <w:r w:rsidRPr="005A28B7">
        <w:rPr>
          <w:rFonts w:asciiTheme="majorHAnsi" w:hAnsiTheme="majorHAnsi"/>
        </w:rPr>
        <w:t>Melbourne VIC 3000</w:t>
      </w:r>
    </w:p>
    <w:p w14:paraId="56EA005F" w14:textId="6C0581FF" w:rsidR="00BC4F85" w:rsidRPr="005A28B7" w:rsidRDefault="00BC4F85" w:rsidP="00972D3F">
      <w:pPr>
        <w:keepNext/>
        <w:keepLines/>
        <w:rPr>
          <w:rFonts w:asciiTheme="majorHAnsi" w:hAnsiTheme="majorHAnsi"/>
        </w:rPr>
      </w:pPr>
      <w:r w:rsidRPr="005A28B7">
        <w:rPr>
          <w:rFonts w:asciiTheme="majorHAnsi" w:hAnsiTheme="majorHAnsi"/>
        </w:rPr>
        <w:t>Phone: 03 9660 4900</w:t>
      </w:r>
    </w:p>
    <w:p w14:paraId="1BD1EF75" w14:textId="085C45AF" w:rsidR="00BC4F85" w:rsidRPr="005A28B7" w:rsidRDefault="00BC4F85" w:rsidP="00972D3F">
      <w:pPr>
        <w:keepNext/>
        <w:keepLines/>
        <w:rPr>
          <w:rFonts w:asciiTheme="majorHAnsi" w:hAnsiTheme="majorHAnsi"/>
        </w:rPr>
      </w:pPr>
      <w:r w:rsidRPr="005A28B7">
        <w:rPr>
          <w:rFonts w:asciiTheme="majorHAnsi" w:hAnsiTheme="majorHAnsi"/>
        </w:rPr>
        <w:t>www.clinuvel.com.au</w:t>
      </w:r>
    </w:p>
    <w:p w14:paraId="759D89EE" w14:textId="00F3D01C" w:rsidR="001A3992" w:rsidRPr="005A28B7" w:rsidRDefault="001A3992" w:rsidP="001A3992">
      <w:pPr>
        <w:pStyle w:val="Heading1"/>
        <w:spacing w:before="0" w:after="120"/>
        <w:rPr>
          <w:rFonts w:cstheme="minorHAnsi"/>
        </w:rPr>
      </w:pPr>
      <w:r w:rsidRPr="005A28B7">
        <w:rPr>
          <w:rFonts w:cstheme="minorHAnsi"/>
        </w:rPr>
        <w:t>D</w:t>
      </w:r>
      <w:r w:rsidR="00201465">
        <w:rPr>
          <w:rFonts w:cstheme="minorHAnsi"/>
        </w:rPr>
        <w:t>ate of first approval</w:t>
      </w:r>
    </w:p>
    <w:p w14:paraId="37C16E9D" w14:textId="408E519E" w:rsidR="00261CE4" w:rsidRPr="005A28B7" w:rsidRDefault="009E4A26" w:rsidP="00261CE4">
      <w:pPr>
        <w:rPr>
          <w:rFonts w:asciiTheme="majorHAnsi" w:hAnsiTheme="majorHAnsi"/>
        </w:rPr>
      </w:pPr>
      <w:r>
        <w:rPr>
          <w:rFonts w:asciiTheme="majorHAnsi" w:hAnsiTheme="majorHAnsi"/>
        </w:rPr>
        <w:t>22 October 2020</w:t>
      </w:r>
    </w:p>
    <w:p w14:paraId="0624D0C1" w14:textId="41B8DEFF" w:rsidR="001A3992" w:rsidRPr="005A28B7" w:rsidRDefault="00201465" w:rsidP="001A3992">
      <w:pPr>
        <w:pStyle w:val="Heading1"/>
        <w:spacing w:before="0" w:after="120"/>
        <w:rPr>
          <w:rFonts w:cstheme="minorHAnsi"/>
        </w:rPr>
      </w:pPr>
      <w:r>
        <w:rPr>
          <w:rFonts w:cstheme="minorHAnsi"/>
        </w:rPr>
        <w:t>Date of revision</w:t>
      </w:r>
    </w:p>
    <w:p w14:paraId="4D6940F9" w14:textId="77777777" w:rsidR="00261CE4" w:rsidRPr="005A28B7" w:rsidRDefault="00261CE4" w:rsidP="00261CE4">
      <w:pPr>
        <w:rPr>
          <w:rFonts w:asciiTheme="majorHAnsi" w:hAnsiTheme="majorHAnsi"/>
        </w:rPr>
      </w:pPr>
      <w:r w:rsidRPr="005A28B7">
        <w:rPr>
          <w:rFonts w:asciiTheme="majorHAnsi" w:hAnsiTheme="majorHAnsi"/>
        </w:rPr>
        <w:t>N/A</w:t>
      </w:r>
    </w:p>
    <w:p w14:paraId="0D7D1796" w14:textId="77777777" w:rsidR="001A3992" w:rsidRPr="005A28B7" w:rsidRDefault="001A3992" w:rsidP="001A3992">
      <w:pPr>
        <w:pStyle w:val="Heading2"/>
        <w:numPr>
          <w:ilvl w:val="0"/>
          <w:numId w:val="0"/>
        </w:numPr>
        <w:spacing w:before="0" w:after="120"/>
        <w:rPr>
          <w:rFonts w:cstheme="minorHAnsi"/>
        </w:rPr>
      </w:pPr>
      <w:r w:rsidRPr="005A28B7">
        <w:rPr>
          <w:rFonts w:cstheme="minorHAnsi"/>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5A28B7" w14:paraId="29F563F4" w14:textId="77777777" w:rsidTr="005F3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2FE8A18" w14:textId="77777777" w:rsidR="00ED0937" w:rsidRPr="005A28B7" w:rsidRDefault="00ED0937" w:rsidP="005F3198">
            <w:pPr>
              <w:rPr>
                <w:rFonts w:cstheme="minorHAnsi"/>
                <w:sz w:val="20"/>
              </w:rPr>
            </w:pPr>
            <w:r w:rsidRPr="005A28B7">
              <w:rPr>
                <w:rFonts w:cstheme="minorHAnsi"/>
                <w:sz w:val="20"/>
              </w:rPr>
              <w:t>Section Changed</w:t>
            </w:r>
          </w:p>
        </w:tc>
        <w:tc>
          <w:tcPr>
            <w:tcW w:w="7858" w:type="dxa"/>
            <w:shd w:val="clear" w:color="auto" w:fill="F2F2F2" w:themeFill="background1" w:themeFillShade="F2"/>
            <w:vAlign w:val="center"/>
          </w:tcPr>
          <w:p w14:paraId="4A0481D3" w14:textId="77777777" w:rsidR="00ED0937" w:rsidRPr="005A28B7" w:rsidRDefault="00ED0937" w:rsidP="005F3198">
            <w:pPr>
              <w:cnfStyle w:val="100000000000" w:firstRow="1" w:lastRow="0" w:firstColumn="0" w:lastColumn="0" w:oddVBand="0" w:evenVBand="0" w:oddHBand="0" w:evenHBand="0" w:firstRowFirstColumn="0" w:firstRowLastColumn="0" w:lastRowFirstColumn="0" w:lastRowLastColumn="0"/>
              <w:rPr>
                <w:rFonts w:cstheme="minorHAnsi"/>
                <w:sz w:val="20"/>
              </w:rPr>
            </w:pPr>
            <w:r w:rsidRPr="005A28B7">
              <w:rPr>
                <w:rFonts w:cstheme="minorHAnsi"/>
                <w:sz w:val="20"/>
              </w:rPr>
              <w:t>Summary of new information</w:t>
            </w:r>
          </w:p>
        </w:tc>
      </w:tr>
      <w:tr w:rsidR="00ED0937" w:rsidRPr="005A28B7" w14:paraId="2E24CE32" w14:textId="77777777" w:rsidTr="005F3198">
        <w:tc>
          <w:tcPr>
            <w:cnfStyle w:val="001000000000" w:firstRow="0" w:lastRow="0" w:firstColumn="1" w:lastColumn="0" w:oddVBand="0" w:evenVBand="0" w:oddHBand="0" w:evenHBand="0" w:firstRowFirstColumn="0" w:firstRowLastColumn="0" w:lastRowFirstColumn="0" w:lastRowLastColumn="0"/>
            <w:tcW w:w="1384" w:type="dxa"/>
            <w:vAlign w:val="center"/>
          </w:tcPr>
          <w:p w14:paraId="46085B7C" w14:textId="2981B390" w:rsidR="00ED0937" w:rsidRPr="005A28B7" w:rsidRDefault="00A76A82" w:rsidP="005F3198">
            <w:pPr>
              <w:rPr>
                <w:rFonts w:cstheme="minorHAnsi"/>
              </w:rPr>
            </w:pPr>
            <w:r w:rsidRPr="005A28B7">
              <w:rPr>
                <w:rFonts w:cstheme="minorHAnsi"/>
              </w:rPr>
              <w:t>n/a</w:t>
            </w:r>
          </w:p>
        </w:tc>
        <w:tc>
          <w:tcPr>
            <w:tcW w:w="7858" w:type="dxa"/>
            <w:vAlign w:val="center"/>
          </w:tcPr>
          <w:p w14:paraId="49AA87B4" w14:textId="0FE8FE29" w:rsidR="00ED0937" w:rsidRPr="005A28B7" w:rsidRDefault="00ED0937" w:rsidP="005F319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rPr>
            </w:pPr>
          </w:p>
        </w:tc>
      </w:tr>
      <w:tr w:rsidR="00ED0937" w:rsidRPr="005A28B7" w14:paraId="37599F5C" w14:textId="77777777" w:rsidTr="005F3198">
        <w:tc>
          <w:tcPr>
            <w:cnfStyle w:val="001000000000" w:firstRow="0" w:lastRow="0" w:firstColumn="1" w:lastColumn="0" w:oddVBand="0" w:evenVBand="0" w:oddHBand="0" w:evenHBand="0" w:firstRowFirstColumn="0" w:firstRowLastColumn="0" w:lastRowFirstColumn="0" w:lastRowLastColumn="0"/>
            <w:tcW w:w="1384" w:type="dxa"/>
            <w:vAlign w:val="center"/>
          </w:tcPr>
          <w:p w14:paraId="55072AC8" w14:textId="77777777" w:rsidR="00ED0937" w:rsidRPr="005A28B7" w:rsidRDefault="00ED0937" w:rsidP="005F3198">
            <w:pPr>
              <w:rPr>
                <w:rFonts w:cstheme="minorHAnsi"/>
              </w:rPr>
            </w:pPr>
          </w:p>
        </w:tc>
        <w:tc>
          <w:tcPr>
            <w:tcW w:w="7858" w:type="dxa"/>
            <w:vAlign w:val="center"/>
          </w:tcPr>
          <w:p w14:paraId="0F011399" w14:textId="77777777" w:rsidR="00ED0937" w:rsidRPr="005A28B7" w:rsidRDefault="00ED0937" w:rsidP="005F319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rPr>
            </w:pPr>
          </w:p>
        </w:tc>
      </w:tr>
      <w:tr w:rsidR="00ED0937" w:rsidRPr="005A28B7" w14:paraId="374B0AF4" w14:textId="77777777" w:rsidTr="005F3198">
        <w:tc>
          <w:tcPr>
            <w:cnfStyle w:val="001000000000" w:firstRow="0" w:lastRow="0" w:firstColumn="1" w:lastColumn="0" w:oddVBand="0" w:evenVBand="0" w:oddHBand="0" w:evenHBand="0" w:firstRowFirstColumn="0" w:firstRowLastColumn="0" w:lastRowFirstColumn="0" w:lastRowLastColumn="0"/>
            <w:tcW w:w="1384" w:type="dxa"/>
            <w:vAlign w:val="center"/>
          </w:tcPr>
          <w:p w14:paraId="044370E8" w14:textId="77777777" w:rsidR="00ED0937" w:rsidRPr="005A28B7" w:rsidRDefault="00ED0937" w:rsidP="005F3198">
            <w:pPr>
              <w:rPr>
                <w:rFonts w:cstheme="minorHAnsi"/>
              </w:rPr>
            </w:pPr>
          </w:p>
        </w:tc>
        <w:tc>
          <w:tcPr>
            <w:tcW w:w="7858" w:type="dxa"/>
            <w:vAlign w:val="center"/>
          </w:tcPr>
          <w:p w14:paraId="2A4F17A6" w14:textId="77777777" w:rsidR="00ED0937" w:rsidRPr="005A28B7" w:rsidRDefault="00ED0937" w:rsidP="005F319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rPr>
            </w:pPr>
          </w:p>
        </w:tc>
      </w:tr>
    </w:tbl>
    <w:p w14:paraId="189736CC" w14:textId="77777777" w:rsidR="00960CD5" w:rsidRPr="005A28B7" w:rsidRDefault="00960CD5" w:rsidP="00201465">
      <w:pPr>
        <w:spacing w:after="120"/>
        <w:rPr>
          <w:rFonts w:asciiTheme="majorHAnsi" w:hAnsiTheme="majorHAnsi" w:cstheme="minorHAnsi"/>
        </w:rPr>
      </w:pPr>
    </w:p>
    <w:sectPr w:rsidR="00960CD5" w:rsidRPr="005A28B7">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BBC9" w14:textId="77777777" w:rsidR="00F13B4B" w:rsidRDefault="00F13B4B" w:rsidP="001A3992">
      <w:pPr>
        <w:spacing w:after="0" w:line="240" w:lineRule="auto"/>
      </w:pPr>
      <w:r>
        <w:separator/>
      </w:r>
    </w:p>
  </w:endnote>
  <w:endnote w:type="continuationSeparator" w:id="0">
    <w:p w14:paraId="4933A505" w14:textId="77777777" w:rsidR="00F13B4B" w:rsidRDefault="00F13B4B"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36896DDE" w14:textId="2FE6CC35" w:rsidR="00F13B4B" w:rsidRPr="00B8074A" w:rsidRDefault="00F13B4B" w:rsidP="00224908">
        <w:pPr>
          <w:pStyle w:val="Footer"/>
          <w:jc w:val="both"/>
          <w:rPr>
            <w:sz w:val="20"/>
          </w:rPr>
        </w:pPr>
        <w:r>
          <w:tab/>
        </w:r>
        <w:r>
          <w:tab/>
        </w:r>
        <w:r w:rsidRPr="00B8074A">
          <w:rPr>
            <w:sz w:val="20"/>
          </w:rPr>
          <w:fldChar w:fldCharType="begin"/>
        </w:r>
        <w:r w:rsidRPr="00B8074A">
          <w:rPr>
            <w:sz w:val="20"/>
          </w:rPr>
          <w:instrText xml:space="preserve"> PAGE   \* MERGEFORMAT </w:instrText>
        </w:r>
        <w:r w:rsidRPr="00B8074A">
          <w:rPr>
            <w:sz w:val="20"/>
          </w:rPr>
          <w:fldChar w:fldCharType="separate"/>
        </w:r>
        <w:r w:rsidR="002330F0">
          <w:rPr>
            <w:noProof/>
            <w:sz w:val="20"/>
          </w:rPr>
          <w:t>16</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3767" w14:textId="77777777" w:rsidR="00F13B4B" w:rsidRDefault="00F13B4B" w:rsidP="001A3992">
      <w:pPr>
        <w:spacing w:after="0" w:line="240" w:lineRule="auto"/>
      </w:pPr>
      <w:r>
        <w:separator/>
      </w:r>
    </w:p>
  </w:footnote>
  <w:footnote w:type="continuationSeparator" w:id="0">
    <w:p w14:paraId="20037110" w14:textId="77777777" w:rsidR="00F13B4B" w:rsidRDefault="00F13B4B"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F13B4B" w14:paraId="0AB4DC0D" w14:textId="77777777" w:rsidTr="00F13B4B">
      <w:tc>
        <w:tcPr>
          <w:tcW w:w="8720" w:type="dxa"/>
          <w:shd w:val="clear" w:color="auto" w:fill="E4F2E0"/>
        </w:tcPr>
        <w:p w14:paraId="582B2846" w14:textId="00606131" w:rsidR="00F13B4B" w:rsidRPr="00FB03BD" w:rsidRDefault="00F13B4B" w:rsidP="008425C9">
          <w:r w:rsidRPr="00D361CA">
            <w:rPr>
              <w:b/>
            </w:rPr>
            <w:t xml:space="preserve">Attachment 1: Product information for </w:t>
          </w:r>
          <w:proofErr w:type="spellStart"/>
          <w:r w:rsidRPr="008425C9">
            <w:rPr>
              <w:b/>
            </w:rPr>
            <w:t>AusPAR</w:t>
          </w:r>
          <w:proofErr w:type="spellEnd"/>
          <w:r w:rsidRPr="008425C9">
            <w:rPr>
              <w:b/>
            </w:rPr>
            <w:t xml:space="preserve"> – </w:t>
          </w:r>
          <w:proofErr w:type="spellStart"/>
          <w:r w:rsidRPr="008425C9">
            <w:rPr>
              <w:b/>
            </w:rPr>
            <w:t>Scenesse</w:t>
          </w:r>
          <w:proofErr w:type="spellEnd"/>
          <w:r w:rsidRPr="008425C9">
            <w:rPr>
              <w:b/>
            </w:rPr>
            <w:t xml:space="preserve">– </w:t>
          </w:r>
          <w:proofErr w:type="spellStart"/>
          <w:r w:rsidRPr="008425C9">
            <w:rPr>
              <w:b/>
            </w:rPr>
            <w:t>afamelanotide</w:t>
          </w:r>
          <w:proofErr w:type="spellEnd"/>
          <w:r w:rsidRPr="008425C9">
            <w:rPr>
              <w:b/>
            </w:rPr>
            <w:t xml:space="preserve"> – </w:t>
          </w:r>
          <w:proofErr w:type="spellStart"/>
          <w:r w:rsidRPr="008425C9">
            <w:rPr>
              <w:b/>
            </w:rPr>
            <w:t>Clinuvel</w:t>
          </w:r>
          <w:proofErr w:type="spellEnd"/>
          <w:r w:rsidRPr="008425C9">
            <w:rPr>
              <w:b/>
            </w:rPr>
            <w:t xml:space="preserve"> Pharmaceuticals Ltd PM-2019-05977-1-6</w:t>
          </w:r>
          <w:r>
            <w:rPr>
              <w:b/>
            </w:rPr>
            <w:t xml:space="preserve"> final</w:t>
          </w:r>
          <w:r w:rsidRPr="008425C9">
            <w:rPr>
              <w:b/>
            </w:rPr>
            <w:t xml:space="preserve"> 11 March 2021</w:t>
          </w:r>
          <w:r w:rsidRPr="00D361CA">
            <w:rPr>
              <w:b/>
            </w:rPr>
            <w:t xml:space="preserve">. </w:t>
          </w:r>
          <w:r w:rsidRPr="006918A5">
            <w:rPr>
              <w:b/>
              <w:sz w:val="18"/>
              <w:szCs w:val="18"/>
            </w:rPr>
            <w:t xml:space="preserve">This is the Product Information that </w:t>
          </w:r>
          <w:proofErr w:type="gramStart"/>
          <w:r w:rsidRPr="006918A5">
            <w:rPr>
              <w:b/>
              <w:sz w:val="18"/>
              <w:szCs w:val="18"/>
            </w:rPr>
            <w:t>was approved</w:t>
          </w:r>
          <w:proofErr w:type="gramEnd"/>
          <w:r w:rsidRPr="006918A5">
            <w:rPr>
              <w:b/>
              <w:sz w:val="18"/>
              <w:szCs w:val="18"/>
            </w:rPr>
            <w:t xml:space="preserve"> with the submission described in this </w:t>
          </w:r>
          <w:proofErr w:type="spellStart"/>
          <w:r w:rsidRPr="006918A5">
            <w:rPr>
              <w:b/>
              <w:sz w:val="18"/>
              <w:szCs w:val="18"/>
            </w:rPr>
            <w:t>AusPAR</w:t>
          </w:r>
          <w:proofErr w:type="spellEnd"/>
          <w:r w:rsidRPr="006918A5">
            <w:rPr>
              <w:b/>
              <w:sz w:val="18"/>
              <w:szCs w:val="18"/>
            </w:rPr>
            <w:t xml:space="preserve">. It </w:t>
          </w:r>
          <w:proofErr w:type="gramStart"/>
          <w:r w:rsidRPr="006918A5">
            <w:rPr>
              <w:b/>
              <w:sz w:val="18"/>
              <w:szCs w:val="18"/>
            </w:rPr>
            <w:t>may have been superseded</w:t>
          </w:r>
          <w:proofErr w:type="gramEnd"/>
          <w:r w:rsidRPr="006918A5">
            <w:rPr>
              <w:b/>
              <w:sz w:val="18"/>
              <w:szCs w:val="18"/>
            </w:rPr>
            <w:t>.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B03BD">
            <w:rPr>
              <w:rStyle w:val="Hyperlink"/>
              <w:sz w:val="18"/>
              <w:szCs w:val="18"/>
            </w:rPr>
            <w:t>&gt;</w:t>
          </w:r>
        </w:p>
      </w:tc>
    </w:tr>
  </w:tbl>
  <w:p w14:paraId="1C8ED603" w14:textId="77777777" w:rsidR="00F13B4B" w:rsidRDefault="00F13B4B">
    <w:pPr>
      <w:pStyle w:val="Header"/>
      <w:rPr>
        <w:rFonts w:asciiTheme="majorHAnsi" w:hAnsiTheme="majorHAnsi"/>
        <w:i/>
        <w:iCs/>
        <w:sz w:val="20"/>
        <w:szCs w:val="20"/>
      </w:rPr>
    </w:pPr>
  </w:p>
  <w:p w14:paraId="1BF3D7B1" w14:textId="4B3DCA83" w:rsidR="00F13B4B" w:rsidRPr="00D000AD" w:rsidRDefault="00F13B4B">
    <w:pPr>
      <w:pStyle w:val="Header"/>
      <w:rPr>
        <w:rFonts w:asciiTheme="majorHAnsi" w:hAnsiTheme="majorHAnsi"/>
        <w:i/>
        <w:iCs/>
        <w:sz w:val="20"/>
        <w:szCs w:val="20"/>
      </w:rPr>
    </w:pPr>
    <w:r w:rsidRPr="00D000AD">
      <w:rPr>
        <w:rFonts w:asciiTheme="majorHAnsi" w:hAnsiTheme="majorHAnsi"/>
        <w:i/>
        <w:iCs/>
        <w:sz w:val="20"/>
        <w:szCs w:val="20"/>
      </w:rPr>
      <w:t>Product Information</w:t>
    </w:r>
  </w:p>
  <w:p w14:paraId="442855E2" w14:textId="073F7CD8" w:rsidR="00F13B4B" w:rsidRPr="008425C9" w:rsidRDefault="00F13B4B">
    <w:pPr>
      <w:pStyle w:val="Header"/>
      <w:rPr>
        <w:rFonts w:asciiTheme="majorHAnsi" w:hAnsiTheme="majorHAnsi"/>
        <w:i/>
        <w:iCs/>
        <w:sz w:val="20"/>
        <w:szCs w:val="20"/>
        <w:vertAlign w:val="superscript"/>
      </w:rPr>
    </w:pPr>
    <w:r>
      <w:rPr>
        <w:rFonts w:asciiTheme="majorHAnsi" w:hAnsiTheme="majorHAnsi"/>
        <w:i/>
        <w:iCs/>
        <w:sz w:val="20"/>
        <w:szCs w:val="20"/>
      </w:rPr>
      <w:t>SCENESSE</w:t>
    </w:r>
    <w:r w:rsidRPr="000119B8">
      <w:rPr>
        <w:rFonts w:asciiTheme="majorHAnsi" w:hAnsiTheme="majorHAnsi"/>
        <w:i/>
        <w:iCs/>
        <w:sz w:val="20"/>
        <w:szCs w:val="20"/>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46E31"/>
    <w:multiLevelType w:val="hybridMultilevel"/>
    <w:tmpl w:val="181A0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883503"/>
    <w:multiLevelType w:val="hybridMultilevel"/>
    <w:tmpl w:val="FC90DE6A"/>
    <w:lvl w:ilvl="0" w:tplc="0D5612F4">
      <w:start w:val="1"/>
      <w:numFmt w:val="bullet"/>
      <w:lvlText w:val="-"/>
      <w:lvlJc w:val="left"/>
      <w:pPr>
        <w:ind w:left="720" w:hanging="360"/>
      </w:pPr>
    </w:lvl>
    <w:lvl w:ilvl="1" w:tplc="6B4CBE74" w:tentative="1">
      <w:start w:val="1"/>
      <w:numFmt w:val="bullet"/>
      <w:lvlText w:val="o"/>
      <w:lvlJc w:val="left"/>
      <w:pPr>
        <w:ind w:left="1440" w:hanging="360"/>
      </w:pPr>
      <w:rPr>
        <w:rFonts w:ascii="Courier New" w:hAnsi="Courier New" w:cs="Courier New" w:hint="default"/>
      </w:rPr>
    </w:lvl>
    <w:lvl w:ilvl="2" w:tplc="088EA9A8" w:tentative="1">
      <w:start w:val="1"/>
      <w:numFmt w:val="bullet"/>
      <w:lvlText w:val=""/>
      <w:lvlJc w:val="left"/>
      <w:pPr>
        <w:ind w:left="2160" w:hanging="360"/>
      </w:pPr>
      <w:rPr>
        <w:rFonts w:ascii="Wingdings" w:hAnsi="Wingdings" w:hint="default"/>
      </w:rPr>
    </w:lvl>
    <w:lvl w:ilvl="3" w:tplc="3A68F1AA" w:tentative="1">
      <w:start w:val="1"/>
      <w:numFmt w:val="bullet"/>
      <w:lvlText w:val=""/>
      <w:lvlJc w:val="left"/>
      <w:pPr>
        <w:ind w:left="2880" w:hanging="360"/>
      </w:pPr>
      <w:rPr>
        <w:rFonts w:ascii="Symbol" w:hAnsi="Symbol" w:hint="default"/>
      </w:rPr>
    </w:lvl>
    <w:lvl w:ilvl="4" w:tplc="B290B724" w:tentative="1">
      <w:start w:val="1"/>
      <w:numFmt w:val="bullet"/>
      <w:lvlText w:val="o"/>
      <w:lvlJc w:val="left"/>
      <w:pPr>
        <w:ind w:left="3600" w:hanging="360"/>
      </w:pPr>
      <w:rPr>
        <w:rFonts w:ascii="Courier New" w:hAnsi="Courier New" w:cs="Courier New" w:hint="default"/>
      </w:rPr>
    </w:lvl>
    <w:lvl w:ilvl="5" w:tplc="8A86BAFE" w:tentative="1">
      <w:start w:val="1"/>
      <w:numFmt w:val="bullet"/>
      <w:lvlText w:val=""/>
      <w:lvlJc w:val="left"/>
      <w:pPr>
        <w:ind w:left="4320" w:hanging="360"/>
      </w:pPr>
      <w:rPr>
        <w:rFonts w:ascii="Wingdings" w:hAnsi="Wingdings" w:hint="default"/>
      </w:rPr>
    </w:lvl>
    <w:lvl w:ilvl="6" w:tplc="5B428764" w:tentative="1">
      <w:start w:val="1"/>
      <w:numFmt w:val="bullet"/>
      <w:lvlText w:val=""/>
      <w:lvlJc w:val="left"/>
      <w:pPr>
        <w:ind w:left="5040" w:hanging="360"/>
      </w:pPr>
      <w:rPr>
        <w:rFonts w:ascii="Symbol" w:hAnsi="Symbol" w:hint="default"/>
      </w:rPr>
    </w:lvl>
    <w:lvl w:ilvl="7" w:tplc="8B6C28D6" w:tentative="1">
      <w:start w:val="1"/>
      <w:numFmt w:val="bullet"/>
      <w:lvlText w:val="o"/>
      <w:lvlJc w:val="left"/>
      <w:pPr>
        <w:ind w:left="5760" w:hanging="360"/>
      </w:pPr>
      <w:rPr>
        <w:rFonts w:ascii="Courier New" w:hAnsi="Courier New" w:cs="Courier New" w:hint="default"/>
      </w:rPr>
    </w:lvl>
    <w:lvl w:ilvl="8" w:tplc="E996C92E" w:tentative="1">
      <w:start w:val="1"/>
      <w:numFmt w:val="bullet"/>
      <w:lvlText w:val=""/>
      <w:lvlJc w:val="left"/>
      <w:pPr>
        <w:ind w:left="6480" w:hanging="360"/>
      </w:pPr>
      <w:rPr>
        <w:rFonts w:ascii="Wingdings" w:hAnsi="Wingdings" w:hint="default"/>
      </w:rPr>
    </w:lvl>
  </w:abstractNum>
  <w:abstractNum w:abstractNumId="5" w15:restartNumberingAfterBreak="0">
    <w:nsid w:val="44EE18C6"/>
    <w:multiLevelType w:val="hybridMultilevel"/>
    <w:tmpl w:val="2BC0B916"/>
    <w:lvl w:ilvl="0" w:tplc="7B5AAB28">
      <w:start w:val="19"/>
      <w:numFmt w:val="bullet"/>
      <w:lvlText w:val="-"/>
      <w:lvlJc w:val="left"/>
      <w:pPr>
        <w:ind w:left="720" w:hanging="360"/>
      </w:pPr>
      <w:rPr>
        <w:rFonts w:ascii="Times New Roman" w:eastAsia="Times New Roman" w:hAnsi="Times New Roman" w:cs="Times New Roman" w:hint="default"/>
      </w:rPr>
    </w:lvl>
    <w:lvl w:ilvl="1" w:tplc="C0AC1C94" w:tentative="1">
      <w:start w:val="1"/>
      <w:numFmt w:val="bullet"/>
      <w:lvlText w:val="o"/>
      <w:lvlJc w:val="left"/>
      <w:pPr>
        <w:ind w:left="1440" w:hanging="360"/>
      </w:pPr>
      <w:rPr>
        <w:rFonts w:ascii="Courier New" w:hAnsi="Courier New" w:cs="Courier New" w:hint="default"/>
      </w:rPr>
    </w:lvl>
    <w:lvl w:ilvl="2" w:tplc="AB9E7084" w:tentative="1">
      <w:start w:val="1"/>
      <w:numFmt w:val="bullet"/>
      <w:lvlText w:val=""/>
      <w:lvlJc w:val="left"/>
      <w:pPr>
        <w:ind w:left="2160" w:hanging="360"/>
      </w:pPr>
      <w:rPr>
        <w:rFonts w:ascii="Wingdings" w:hAnsi="Wingdings" w:hint="default"/>
      </w:rPr>
    </w:lvl>
    <w:lvl w:ilvl="3" w:tplc="E9B4389A" w:tentative="1">
      <w:start w:val="1"/>
      <w:numFmt w:val="bullet"/>
      <w:lvlText w:val=""/>
      <w:lvlJc w:val="left"/>
      <w:pPr>
        <w:ind w:left="2880" w:hanging="360"/>
      </w:pPr>
      <w:rPr>
        <w:rFonts w:ascii="Symbol" w:hAnsi="Symbol" w:hint="default"/>
      </w:rPr>
    </w:lvl>
    <w:lvl w:ilvl="4" w:tplc="C94AA48E" w:tentative="1">
      <w:start w:val="1"/>
      <w:numFmt w:val="bullet"/>
      <w:lvlText w:val="o"/>
      <w:lvlJc w:val="left"/>
      <w:pPr>
        <w:ind w:left="3600" w:hanging="360"/>
      </w:pPr>
      <w:rPr>
        <w:rFonts w:ascii="Courier New" w:hAnsi="Courier New" w:cs="Courier New" w:hint="default"/>
      </w:rPr>
    </w:lvl>
    <w:lvl w:ilvl="5" w:tplc="516E4624" w:tentative="1">
      <w:start w:val="1"/>
      <w:numFmt w:val="bullet"/>
      <w:lvlText w:val=""/>
      <w:lvlJc w:val="left"/>
      <w:pPr>
        <w:ind w:left="4320" w:hanging="360"/>
      </w:pPr>
      <w:rPr>
        <w:rFonts w:ascii="Wingdings" w:hAnsi="Wingdings" w:hint="default"/>
      </w:rPr>
    </w:lvl>
    <w:lvl w:ilvl="6" w:tplc="4976AC30" w:tentative="1">
      <w:start w:val="1"/>
      <w:numFmt w:val="bullet"/>
      <w:lvlText w:val=""/>
      <w:lvlJc w:val="left"/>
      <w:pPr>
        <w:ind w:left="5040" w:hanging="360"/>
      </w:pPr>
      <w:rPr>
        <w:rFonts w:ascii="Symbol" w:hAnsi="Symbol" w:hint="default"/>
      </w:rPr>
    </w:lvl>
    <w:lvl w:ilvl="7" w:tplc="2756650E" w:tentative="1">
      <w:start w:val="1"/>
      <w:numFmt w:val="bullet"/>
      <w:lvlText w:val="o"/>
      <w:lvlJc w:val="left"/>
      <w:pPr>
        <w:ind w:left="5760" w:hanging="360"/>
      </w:pPr>
      <w:rPr>
        <w:rFonts w:ascii="Courier New" w:hAnsi="Courier New" w:cs="Courier New" w:hint="default"/>
      </w:rPr>
    </w:lvl>
    <w:lvl w:ilvl="8" w:tplc="3518273E" w:tentative="1">
      <w:start w:val="1"/>
      <w:numFmt w:val="bullet"/>
      <w:lvlText w:val=""/>
      <w:lvlJc w:val="left"/>
      <w:pPr>
        <w:ind w:left="6480" w:hanging="360"/>
      </w:pPr>
      <w:rPr>
        <w:rFonts w:ascii="Wingdings" w:hAnsi="Wingdings" w:hint="default"/>
      </w:rPr>
    </w:lvl>
  </w:abstractNum>
  <w:abstractNum w:abstractNumId="6" w15:restartNumberingAfterBreak="0">
    <w:nsid w:val="47B47870"/>
    <w:multiLevelType w:val="hybridMultilevel"/>
    <w:tmpl w:val="425E6F38"/>
    <w:lvl w:ilvl="0" w:tplc="04090001">
      <w:start w:val="1"/>
      <w:numFmt w:val="bullet"/>
      <w:lvlText w:val=""/>
      <w:lvlJc w:val="left"/>
      <w:pPr>
        <w:ind w:left="5256" w:hanging="360"/>
      </w:pPr>
      <w:rPr>
        <w:rFonts w:ascii="Symbol" w:hAnsi="Symbol" w:hint="default"/>
      </w:rPr>
    </w:lvl>
    <w:lvl w:ilvl="1" w:tplc="0C090003" w:tentative="1">
      <w:start w:val="1"/>
      <w:numFmt w:val="bullet"/>
      <w:lvlText w:val="o"/>
      <w:lvlJc w:val="left"/>
      <w:pPr>
        <w:ind w:left="5976" w:hanging="360"/>
      </w:pPr>
      <w:rPr>
        <w:rFonts w:ascii="Courier New" w:hAnsi="Courier New" w:cs="Courier New" w:hint="default"/>
      </w:rPr>
    </w:lvl>
    <w:lvl w:ilvl="2" w:tplc="0C090005" w:tentative="1">
      <w:start w:val="1"/>
      <w:numFmt w:val="bullet"/>
      <w:lvlText w:val=""/>
      <w:lvlJc w:val="left"/>
      <w:pPr>
        <w:ind w:left="6696" w:hanging="360"/>
      </w:pPr>
      <w:rPr>
        <w:rFonts w:ascii="Wingdings" w:hAnsi="Wingdings" w:hint="default"/>
      </w:rPr>
    </w:lvl>
    <w:lvl w:ilvl="3" w:tplc="0C090001" w:tentative="1">
      <w:start w:val="1"/>
      <w:numFmt w:val="bullet"/>
      <w:lvlText w:val=""/>
      <w:lvlJc w:val="left"/>
      <w:pPr>
        <w:ind w:left="7416" w:hanging="360"/>
      </w:pPr>
      <w:rPr>
        <w:rFonts w:ascii="Symbol" w:hAnsi="Symbol" w:hint="default"/>
      </w:rPr>
    </w:lvl>
    <w:lvl w:ilvl="4" w:tplc="0C090003" w:tentative="1">
      <w:start w:val="1"/>
      <w:numFmt w:val="bullet"/>
      <w:lvlText w:val="o"/>
      <w:lvlJc w:val="left"/>
      <w:pPr>
        <w:ind w:left="8136" w:hanging="360"/>
      </w:pPr>
      <w:rPr>
        <w:rFonts w:ascii="Courier New" w:hAnsi="Courier New" w:cs="Courier New" w:hint="default"/>
      </w:rPr>
    </w:lvl>
    <w:lvl w:ilvl="5" w:tplc="0C090005" w:tentative="1">
      <w:start w:val="1"/>
      <w:numFmt w:val="bullet"/>
      <w:lvlText w:val=""/>
      <w:lvlJc w:val="left"/>
      <w:pPr>
        <w:ind w:left="8856" w:hanging="360"/>
      </w:pPr>
      <w:rPr>
        <w:rFonts w:ascii="Wingdings" w:hAnsi="Wingdings" w:hint="default"/>
      </w:rPr>
    </w:lvl>
    <w:lvl w:ilvl="6" w:tplc="0C090001" w:tentative="1">
      <w:start w:val="1"/>
      <w:numFmt w:val="bullet"/>
      <w:lvlText w:val=""/>
      <w:lvlJc w:val="left"/>
      <w:pPr>
        <w:ind w:left="9576" w:hanging="360"/>
      </w:pPr>
      <w:rPr>
        <w:rFonts w:ascii="Symbol" w:hAnsi="Symbol" w:hint="default"/>
      </w:rPr>
    </w:lvl>
    <w:lvl w:ilvl="7" w:tplc="0C090003" w:tentative="1">
      <w:start w:val="1"/>
      <w:numFmt w:val="bullet"/>
      <w:lvlText w:val="o"/>
      <w:lvlJc w:val="left"/>
      <w:pPr>
        <w:ind w:left="10296" w:hanging="360"/>
      </w:pPr>
      <w:rPr>
        <w:rFonts w:ascii="Courier New" w:hAnsi="Courier New" w:cs="Courier New" w:hint="default"/>
      </w:rPr>
    </w:lvl>
    <w:lvl w:ilvl="8" w:tplc="0C090005" w:tentative="1">
      <w:start w:val="1"/>
      <w:numFmt w:val="bullet"/>
      <w:lvlText w:val=""/>
      <w:lvlJc w:val="left"/>
      <w:pPr>
        <w:ind w:left="11016" w:hanging="360"/>
      </w:pPr>
      <w:rPr>
        <w:rFonts w:ascii="Wingdings" w:hAnsi="Wingdings" w:hint="default"/>
      </w:rPr>
    </w:lvl>
  </w:abstractNum>
  <w:abstractNum w:abstractNumId="7" w15:restartNumberingAfterBreak="0">
    <w:nsid w:val="56426BE5"/>
    <w:multiLevelType w:val="hybridMultilevel"/>
    <w:tmpl w:val="3B4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A93C08"/>
    <w:multiLevelType w:val="hybridMultilevel"/>
    <w:tmpl w:val="894475B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8"/>
  </w:num>
  <w:num w:numId="5">
    <w:abstractNumId w:val="15"/>
  </w:num>
  <w:num w:numId="6">
    <w:abstractNumId w:val="13"/>
  </w:num>
  <w:num w:numId="7">
    <w:abstractNumId w:val="11"/>
  </w:num>
  <w:num w:numId="8">
    <w:abstractNumId w:val="14"/>
  </w:num>
  <w:num w:numId="9">
    <w:abstractNumId w:val="3"/>
  </w:num>
  <w:num w:numId="10">
    <w:abstractNumId w:val="10"/>
  </w:num>
  <w:num w:numId="11">
    <w:abstractNumId w:val="5"/>
  </w:num>
  <w:num w:numId="12">
    <w:abstractNumId w:val="4"/>
  </w:num>
  <w:num w:numId="13">
    <w:abstractNumId w:val="12"/>
  </w:num>
  <w:num w:numId="14">
    <w:abstractNumId w:val="6"/>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yNDIwMjIzNjA0MbFQ0lEKTi0uzszPAykwrAUAfi+fdywAAAA="/>
  </w:docVars>
  <w:rsids>
    <w:rsidRoot w:val="00BC601D"/>
    <w:rsid w:val="000119B8"/>
    <w:rsid w:val="00017143"/>
    <w:rsid w:val="0003450F"/>
    <w:rsid w:val="00037458"/>
    <w:rsid w:val="0005230B"/>
    <w:rsid w:val="00071789"/>
    <w:rsid w:val="0009647D"/>
    <w:rsid w:val="000C56F4"/>
    <w:rsid w:val="000D57C3"/>
    <w:rsid w:val="000F7515"/>
    <w:rsid w:val="000F7674"/>
    <w:rsid w:val="000F7FA7"/>
    <w:rsid w:val="00155592"/>
    <w:rsid w:val="00173121"/>
    <w:rsid w:val="00177A49"/>
    <w:rsid w:val="00182BFE"/>
    <w:rsid w:val="0018499F"/>
    <w:rsid w:val="001A339F"/>
    <w:rsid w:val="001A3992"/>
    <w:rsid w:val="001C2A22"/>
    <w:rsid w:val="001C6317"/>
    <w:rsid w:val="001E365F"/>
    <w:rsid w:val="001F4605"/>
    <w:rsid w:val="00201465"/>
    <w:rsid w:val="00222A8D"/>
    <w:rsid w:val="00224908"/>
    <w:rsid w:val="002330F0"/>
    <w:rsid w:val="0024004C"/>
    <w:rsid w:val="0024532D"/>
    <w:rsid w:val="00261CE4"/>
    <w:rsid w:val="002716CB"/>
    <w:rsid w:val="0027614A"/>
    <w:rsid w:val="00284146"/>
    <w:rsid w:val="002B424E"/>
    <w:rsid w:val="002B5349"/>
    <w:rsid w:val="002E0BF1"/>
    <w:rsid w:val="002E277D"/>
    <w:rsid w:val="003033A9"/>
    <w:rsid w:val="00336CB1"/>
    <w:rsid w:val="003763D2"/>
    <w:rsid w:val="003B0E81"/>
    <w:rsid w:val="003C0597"/>
    <w:rsid w:val="003C7A41"/>
    <w:rsid w:val="003D3213"/>
    <w:rsid w:val="003F374D"/>
    <w:rsid w:val="003F3B7D"/>
    <w:rsid w:val="004032BD"/>
    <w:rsid w:val="00413BD2"/>
    <w:rsid w:val="00414E9A"/>
    <w:rsid w:val="00431ACD"/>
    <w:rsid w:val="00443D53"/>
    <w:rsid w:val="0044595F"/>
    <w:rsid w:val="00452379"/>
    <w:rsid w:val="004624E9"/>
    <w:rsid w:val="0047480F"/>
    <w:rsid w:val="004958F4"/>
    <w:rsid w:val="00497C85"/>
    <w:rsid w:val="004A01BD"/>
    <w:rsid w:val="004F5D43"/>
    <w:rsid w:val="0051243C"/>
    <w:rsid w:val="00512BA0"/>
    <w:rsid w:val="005545EA"/>
    <w:rsid w:val="005636F8"/>
    <w:rsid w:val="005704DB"/>
    <w:rsid w:val="00574F96"/>
    <w:rsid w:val="005A28B7"/>
    <w:rsid w:val="005D0864"/>
    <w:rsid w:val="005D492F"/>
    <w:rsid w:val="005E2A22"/>
    <w:rsid w:val="005F007D"/>
    <w:rsid w:val="005F3198"/>
    <w:rsid w:val="0062320D"/>
    <w:rsid w:val="0062624A"/>
    <w:rsid w:val="0062789C"/>
    <w:rsid w:val="00634B8E"/>
    <w:rsid w:val="00677840"/>
    <w:rsid w:val="006959E5"/>
    <w:rsid w:val="006B540E"/>
    <w:rsid w:val="006C384C"/>
    <w:rsid w:val="006F23A1"/>
    <w:rsid w:val="007133F3"/>
    <w:rsid w:val="007170F5"/>
    <w:rsid w:val="00750DF1"/>
    <w:rsid w:val="007846DE"/>
    <w:rsid w:val="007B1F9C"/>
    <w:rsid w:val="007C62ED"/>
    <w:rsid w:val="007D59A0"/>
    <w:rsid w:val="007E693C"/>
    <w:rsid w:val="00812FAE"/>
    <w:rsid w:val="00813A80"/>
    <w:rsid w:val="00827A51"/>
    <w:rsid w:val="008425C9"/>
    <w:rsid w:val="008461E4"/>
    <w:rsid w:val="00850417"/>
    <w:rsid w:val="00855280"/>
    <w:rsid w:val="00857ADF"/>
    <w:rsid w:val="00860461"/>
    <w:rsid w:val="0088666E"/>
    <w:rsid w:val="00890367"/>
    <w:rsid w:val="008A15D5"/>
    <w:rsid w:val="008A499F"/>
    <w:rsid w:val="008C0B5B"/>
    <w:rsid w:val="008C28C5"/>
    <w:rsid w:val="00906B5E"/>
    <w:rsid w:val="00913E8A"/>
    <w:rsid w:val="009157A6"/>
    <w:rsid w:val="00960CD5"/>
    <w:rsid w:val="00972D3F"/>
    <w:rsid w:val="009743DD"/>
    <w:rsid w:val="009755F3"/>
    <w:rsid w:val="009757A4"/>
    <w:rsid w:val="009E4A26"/>
    <w:rsid w:val="009E73D4"/>
    <w:rsid w:val="00A03985"/>
    <w:rsid w:val="00A03F05"/>
    <w:rsid w:val="00A250B9"/>
    <w:rsid w:val="00A76A82"/>
    <w:rsid w:val="00AD38A5"/>
    <w:rsid w:val="00B00C88"/>
    <w:rsid w:val="00B26660"/>
    <w:rsid w:val="00B271FA"/>
    <w:rsid w:val="00B51307"/>
    <w:rsid w:val="00B51B92"/>
    <w:rsid w:val="00B71FC4"/>
    <w:rsid w:val="00B94BDF"/>
    <w:rsid w:val="00BB7A82"/>
    <w:rsid w:val="00BC4F85"/>
    <w:rsid w:val="00BC601D"/>
    <w:rsid w:val="00BF0927"/>
    <w:rsid w:val="00C03B73"/>
    <w:rsid w:val="00C04B4C"/>
    <w:rsid w:val="00C150FA"/>
    <w:rsid w:val="00C37706"/>
    <w:rsid w:val="00C520AD"/>
    <w:rsid w:val="00C64825"/>
    <w:rsid w:val="00C66BBE"/>
    <w:rsid w:val="00C677FB"/>
    <w:rsid w:val="00C826FE"/>
    <w:rsid w:val="00C83BC1"/>
    <w:rsid w:val="00C909FD"/>
    <w:rsid w:val="00CA6CCF"/>
    <w:rsid w:val="00CC1DDB"/>
    <w:rsid w:val="00D000AD"/>
    <w:rsid w:val="00D1575C"/>
    <w:rsid w:val="00D20D7C"/>
    <w:rsid w:val="00D276DF"/>
    <w:rsid w:val="00D44BA0"/>
    <w:rsid w:val="00D5153A"/>
    <w:rsid w:val="00D53E37"/>
    <w:rsid w:val="00D61CA6"/>
    <w:rsid w:val="00D717F3"/>
    <w:rsid w:val="00D7286B"/>
    <w:rsid w:val="00D802B0"/>
    <w:rsid w:val="00D86233"/>
    <w:rsid w:val="00DC5450"/>
    <w:rsid w:val="00DC634B"/>
    <w:rsid w:val="00DD3FAB"/>
    <w:rsid w:val="00DE2AF2"/>
    <w:rsid w:val="00DF5E99"/>
    <w:rsid w:val="00DF7119"/>
    <w:rsid w:val="00E20F1A"/>
    <w:rsid w:val="00E23CDA"/>
    <w:rsid w:val="00E52851"/>
    <w:rsid w:val="00E72F9A"/>
    <w:rsid w:val="00E74A56"/>
    <w:rsid w:val="00E83094"/>
    <w:rsid w:val="00E95BC5"/>
    <w:rsid w:val="00EA2B7A"/>
    <w:rsid w:val="00EB503C"/>
    <w:rsid w:val="00ED0937"/>
    <w:rsid w:val="00ED4812"/>
    <w:rsid w:val="00EE7AEE"/>
    <w:rsid w:val="00F13B4B"/>
    <w:rsid w:val="00F20AC0"/>
    <w:rsid w:val="00F81D00"/>
    <w:rsid w:val="00F91248"/>
    <w:rsid w:val="00FD1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B172F"/>
  <w15:docId w15:val="{944BCC7B-5995-4C71-8B87-4838FC83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NoSpacing">
    <w:name w:val="No Spacing"/>
    <w:uiPriority w:val="1"/>
    <w:qFormat/>
    <w:rsid w:val="001F4605"/>
    <w:pPr>
      <w:spacing w:after="0" w:line="240" w:lineRule="auto"/>
    </w:pPr>
  </w:style>
  <w:style w:type="character" w:customStyle="1" w:styleId="mim-number">
    <w:name w:val="mim-number"/>
    <w:rsid w:val="0051243C"/>
  </w:style>
  <w:style w:type="character" w:customStyle="1" w:styleId="prefix">
    <w:name w:val="prefix"/>
    <w:rsid w:val="0051243C"/>
  </w:style>
  <w:style w:type="paragraph" w:styleId="CommentSubject">
    <w:name w:val="annotation subject"/>
    <w:basedOn w:val="CommentText"/>
    <w:next w:val="CommentText"/>
    <w:link w:val="CommentSubjectChar"/>
    <w:uiPriority w:val="99"/>
    <w:semiHidden/>
    <w:unhideWhenUsed/>
    <w:rsid w:val="000F7674"/>
    <w:rPr>
      <w:rFonts w:asciiTheme="minorHAnsi" w:hAnsiTheme="minorHAnsi"/>
      <w:b/>
      <w:bCs/>
    </w:rPr>
  </w:style>
  <w:style w:type="character" w:customStyle="1" w:styleId="CommentSubjectChar">
    <w:name w:val="Comment Subject Char"/>
    <w:basedOn w:val="CommentTextChar"/>
    <w:link w:val="CommentSubject"/>
    <w:uiPriority w:val="99"/>
    <w:semiHidden/>
    <w:rsid w:val="000F7674"/>
    <w:rPr>
      <w:rFonts w:ascii="Cambria" w:hAnsi="Cambria"/>
      <w:b/>
      <w:bCs/>
      <w:sz w:val="20"/>
      <w:szCs w:val="20"/>
    </w:rPr>
  </w:style>
  <w:style w:type="paragraph" w:styleId="BodyText">
    <w:name w:val="Body Text"/>
    <w:basedOn w:val="Normal"/>
    <w:link w:val="BodyTextChar"/>
    <w:uiPriority w:val="1"/>
    <w:qFormat/>
    <w:rsid w:val="00D61CA6"/>
    <w:pPr>
      <w:spacing w:after="0" w:line="240" w:lineRule="auto"/>
    </w:pPr>
    <w:rPr>
      <w:rFonts w:ascii="Times New Roman" w:eastAsia="Times New Roman" w:hAnsi="Times New Roman" w:cs="Times New Roman"/>
      <w:i/>
      <w:color w:val="008000"/>
      <w:szCs w:val="20"/>
    </w:rPr>
  </w:style>
  <w:style w:type="character" w:customStyle="1" w:styleId="BodyTextChar">
    <w:name w:val="Body Text Char"/>
    <w:basedOn w:val="DefaultParagraphFont"/>
    <w:link w:val="BodyText"/>
    <w:uiPriority w:val="1"/>
    <w:rsid w:val="00D61CA6"/>
    <w:rPr>
      <w:rFonts w:ascii="Times New Roman" w:eastAsia="Times New Roman" w:hAnsi="Times New Roman" w:cs="Times New Roman"/>
      <w:i/>
      <w:color w:val="008000"/>
      <w:szCs w:val="20"/>
      <w:lang w:val="en-GB"/>
    </w:rPr>
  </w:style>
  <w:style w:type="paragraph" w:customStyle="1" w:styleId="NormalIndent">
    <w:name w:val="NormalIndent"/>
    <w:basedOn w:val="Normal"/>
    <w:rsid w:val="00A76A82"/>
    <w:pPr>
      <w:suppressAutoHyphens/>
      <w:spacing w:after="120" w:line="240" w:lineRule="auto"/>
      <w:ind w:left="1417"/>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320D"/>
    <w:rPr>
      <w:color w:val="800080" w:themeColor="followedHyperlink"/>
      <w:u w:val="single"/>
    </w:rPr>
  </w:style>
  <w:style w:type="character" w:customStyle="1" w:styleId="UnresolvedMention">
    <w:name w:val="Unresolved Mention"/>
    <w:basedOn w:val="DefaultParagraphFont"/>
    <w:uiPriority w:val="99"/>
    <w:semiHidden/>
    <w:unhideWhenUsed/>
    <w:rsid w:val="0062320D"/>
    <w:rPr>
      <w:color w:val="605E5C"/>
      <w:shd w:val="clear" w:color="auto" w:fill="E1DFDD"/>
    </w:rPr>
  </w:style>
  <w:style w:type="table" w:styleId="TableGrid">
    <w:name w:val="Table Grid"/>
    <w:basedOn w:val="TableNormal"/>
    <w:uiPriority w:val="59"/>
    <w:rsid w:val="000F7FA7"/>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1FA"/>
    <w:pPr>
      <w:autoSpaceDE w:val="0"/>
      <w:autoSpaceDN w:val="0"/>
      <w:adjustRightInd w:val="0"/>
      <w:spacing w:after="0" w:line="240" w:lineRule="auto"/>
    </w:pPr>
    <w:rPr>
      <w:rFonts w:ascii="Cambria" w:hAnsi="Cambria" w:cs="Cambria"/>
      <w:color w:val="000000"/>
      <w:sz w:val="24"/>
      <w:szCs w:val="24"/>
    </w:rPr>
  </w:style>
  <w:style w:type="paragraph" w:styleId="Caption">
    <w:name w:val="caption"/>
    <w:basedOn w:val="Normal"/>
    <w:next w:val="Normal"/>
    <w:uiPriority w:val="35"/>
    <w:unhideWhenUsed/>
    <w:qFormat/>
    <w:rsid w:val="00336CB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2.png@01D578F9.787DD540" TargetMode="External"/><Relationship Id="rId20" Type="http://schemas.openxmlformats.org/officeDocument/2006/relationships/hyperlink" Target="http://www.tga.gov.au/reporting-proble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hyperlink" Target="http://www.tga.gov.au/reporting-problems"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cid:image004.png@01D5E802.84FA4330" TargetMode="External"/><Relationship Id="rId14" Type="http://schemas.openxmlformats.org/officeDocument/2006/relationships/image" Target="media/image5.png"/><Relationship Id="rId22"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AppData\Local\Temp\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CFF2-0347-428C-82BB-92FA0694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pi-template-new-format.dotx</Template>
  <TotalTime>167</TotalTime>
  <Pages>16</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AusPAR Attachment 1: Product Information for Afamelanotide </vt:lpstr>
    </vt:vector>
  </TitlesOfParts>
  <Company>ERA</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Afamelanotide </dc:title>
  <dc:subject>prescription medicine regulation</dc:subject>
  <dc:creator>Clinuvel Pharmaceuticals Ltd</dc:creator>
  <cp:keywords>AusPARs</cp:keywords>
  <cp:lastPrinted>2017-09-05T05:25:00Z</cp:lastPrinted>
  <dcterms:created xsi:type="dcterms:W3CDTF">2020-06-04T04:14:00Z</dcterms:created>
  <dcterms:modified xsi:type="dcterms:W3CDTF">2021-03-18T23:40:00Z</dcterms:modified>
</cp:coreProperties>
</file>