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0683A" w:rsidP="00096AA7">
            <w:pPr>
              <w:rPr>
                <w:rFonts w:ascii="Arial" w:hAnsi="Arial" w:cs="Arial"/>
                <w:b/>
                <w:color w:val="002C47"/>
                <w:sz w:val="36"/>
                <w:szCs w:val="36"/>
              </w:rPr>
            </w:pPr>
            <w:r>
              <w:rPr>
                <w:rFonts w:ascii="Arial" w:hAnsi="Arial" w:cs="Arial"/>
                <w:b/>
                <w:color w:val="002C47"/>
                <w:sz w:val="36"/>
                <w:szCs w:val="36"/>
              </w:rPr>
              <w:t xml:space="preserve">July </w:t>
            </w:r>
            <w:r w:rsidR="003A3DB7">
              <w:rPr>
                <w:rFonts w:ascii="Arial" w:hAnsi="Arial" w:cs="Arial"/>
                <w:b/>
                <w:color w:val="002C47"/>
                <w:sz w:val="36"/>
                <w:szCs w:val="36"/>
              </w:rPr>
              <w:t>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1D2BD6">
            <w:pPr>
              <w:pStyle w:val="Title"/>
              <w:rPr>
                <w:color w:val="FFFFFF" w:themeColor="background1"/>
              </w:rPr>
            </w:pPr>
            <w:r w:rsidRPr="00A964D1">
              <w:rPr>
                <w:color w:val="FFFFFF" w:themeColor="background1"/>
              </w:rPr>
              <w:t xml:space="preserve">Australian Public Assessment Report for </w:t>
            </w:r>
            <w:r w:rsidR="001D2BD6">
              <w:rPr>
                <w:color w:val="FFFFFF" w:themeColor="background1"/>
              </w:rPr>
              <w:t>Adalimumab</w:t>
            </w:r>
            <w:r w:rsidR="00391BFA">
              <w:rPr>
                <w:color w:val="FFFFFF" w:themeColor="background1"/>
              </w:rPr>
              <w:t xml:space="preserve"> (</w:t>
            </w:r>
            <w:proofErr w:type="spellStart"/>
            <w:r w:rsidR="00391BFA">
              <w:rPr>
                <w:color w:val="FFFFFF" w:themeColor="background1"/>
              </w:rPr>
              <w:t>rch</w:t>
            </w:r>
            <w:proofErr w:type="spellEnd"/>
            <w:r w:rsidR="00391BFA">
              <w:rPr>
                <w:color w:val="FFFFFF" w:themeColor="background1"/>
              </w:rPr>
              <w:t>)</w:t>
            </w:r>
          </w:p>
        </w:tc>
      </w:tr>
      <w:tr w:rsidR="0032583B" w:rsidRPr="00B64760" w:rsidTr="0032583B">
        <w:tc>
          <w:tcPr>
            <w:tcW w:w="9079" w:type="dxa"/>
          </w:tcPr>
          <w:p w:rsidR="0032583B" w:rsidRPr="008E7846" w:rsidRDefault="001D2BD6" w:rsidP="0032583B">
            <w:pPr>
              <w:pStyle w:val="Subtitle"/>
              <w:rPr>
                <w:color w:val="FFFFFF" w:themeColor="background1"/>
              </w:rPr>
            </w:pPr>
            <w:r>
              <w:rPr>
                <w:color w:val="FFFFFF" w:themeColor="background1"/>
              </w:rPr>
              <w:t xml:space="preserve">Proprietary Product Name: </w:t>
            </w:r>
            <w:proofErr w:type="spellStart"/>
            <w:r>
              <w:rPr>
                <w:color w:val="FFFFFF" w:themeColor="background1"/>
              </w:rPr>
              <w:t>Humira</w:t>
            </w:r>
            <w:proofErr w:type="spellEnd"/>
            <w:r w:rsidR="0032583B" w:rsidRPr="008E7846">
              <w:rPr>
                <w:color w:val="FFFFFF" w:themeColor="background1"/>
              </w:rPr>
              <w:t xml:space="preserve"> </w:t>
            </w:r>
          </w:p>
        </w:tc>
      </w:tr>
      <w:tr w:rsidR="0032583B" w:rsidRPr="00B64760" w:rsidTr="0032583B">
        <w:trPr>
          <w:trHeight w:val="486"/>
        </w:trPr>
        <w:tc>
          <w:tcPr>
            <w:tcW w:w="9079" w:type="dxa"/>
          </w:tcPr>
          <w:p w:rsidR="0032583B" w:rsidRPr="008E7846" w:rsidRDefault="00F677D4" w:rsidP="008668DE">
            <w:pPr>
              <w:pStyle w:val="Subtitle"/>
              <w:rPr>
                <w:color w:val="FFFFFF" w:themeColor="background1"/>
              </w:rPr>
            </w:pPr>
            <w:r>
              <w:rPr>
                <w:color w:val="FFFFFF" w:themeColor="background1"/>
              </w:rPr>
              <w:t xml:space="preserve">Sponsor: </w:t>
            </w:r>
            <w:r w:rsidR="00565C05">
              <w:rPr>
                <w:color w:val="FFFFFF" w:themeColor="background1"/>
              </w:rPr>
              <w:t>Abb</w:t>
            </w:r>
            <w:r w:rsidR="008668DE">
              <w:rPr>
                <w:color w:val="FFFFFF" w:themeColor="background1"/>
              </w:rPr>
              <w:t>V</w:t>
            </w:r>
            <w:r w:rsidR="00565C05">
              <w:rPr>
                <w:color w:val="FFFFFF" w:themeColor="background1"/>
              </w:rPr>
              <w:t>ie</w:t>
            </w:r>
            <w:r w:rsidR="003C5170">
              <w:rPr>
                <w:color w:val="FFFFFF" w:themeColor="background1"/>
              </w:rPr>
              <w:t xml:space="preserv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FA691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FA691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w:t>
      </w:r>
      <w:proofErr w:type="gramStart"/>
      <w:r w:rsidR="008E7846">
        <w:t>management</w:t>
      </w:r>
      <w:proofErr w:type="gramEnd"/>
      <w:r w:rsidR="008E7846">
        <w:t xml:space="preserve"> approach designed to ensure therapeutic goods supplied in Australia meet acceptable standards of quality, safety and efficacy (performance) when necessary.</w:t>
      </w:r>
    </w:p>
    <w:p w:rsidR="008E7846" w:rsidRDefault="008E7846" w:rsidP="00FA691A">
      <w:pPr>
        <w:pStyle w:val="ListBullet"/>
        <w:numPr>
          <w:ilvl w:val="0"/>
          <w:numId w:val="1"/>
        </w:numPr>
        <w:ind w:left="357" w:hanging="357"/>
      </w:pPr>
      <w:r>
        <w:t>The work of the TGA is based on applying scientific and clinical expertise to decision</w:t>
      </w:r>
      <w:r w:rsidR="000C2FFA">
        <w:t>–</w:t>
      </w:r>
      <w:r>
        <w:t>making, to ensure that the benefits to consumers outweigh any risks associated with the use of medicines and medical devices.</w:t>
      </w:r>
    </w:p>
    <w:p w:rsidR="008E7846" w:rsidRDefault="008E7846" w:rsidP="00FA691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FA691A">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FA691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FA691A">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FA691A">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FA691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A691A">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A075F0">
          <w:headerReference w:type="default" r:id="rId11"/>
          <w:footerReference w:type="default" r:id="rId12"/>
          <w:headerReference w:type="first" r:id="rId13"/>
          <w:pgSz w:w="11906" w:h="16838" w:code="9"/>
          <w:pgMar w:top="425"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E64B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6951137" w:history="1">
            <w:r w:rsidR="00FE64BA" w:rsidRPr="008347B8">
              <w:rPr>
                <w:rStyle w:val="Hyperlink"/>
                <w:noProof/>
              </w:rPr>
              <w:t>Common abbreviations</w:t>
            </w:r>
            <w:r w:rsidR="00FE64BA">
              <w:rPr>
                <w:noProof/>
                <w:webHidden/>
              </w:rPr>
              <w:tab/>
            </w:r>
            <w:r w:rsidR="00FE64BA">
              <w:rPr>
                <w:noProof/>
                <w:webHidden/>
              </w:rPr>
              <w:fldChar w:fldCharType="begin"/>
            </w:r>
            <w:r w:rsidR="00FE64BA">
              <w:rPr>
                <w:noProof/>
                <w:webHidden/>
              </w:rPr>
              <w:instrText xml:space="preserve"> PAGEREF _Toc456951137 \h </w:instrText>
            </w:r>
            <w:r w:rsidR="00FE64BA">
              <w:rPr>
                <w:noProof/>
                <w:webHidden/>
              </w:rPr>
            </w:r>
            <w:r w:rsidR="00FE64BA">
              <w:rPr>
                <w:noProof/>
                <w:webHidden/>
              </w:rPr>
              <w:fldChar w:fldCharType="separate"/>
            </w:r>
            <w:r w:rsidR="00FE64BA">
              <w:rPr>
                <w:noProof/>
                <w:webHidden/>
              </w:rPr>
              <w:t>4</w:t>
            </w:r>
            <w:r w:rsidR="00FE64BA">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38" w:history="1">
            <w:r w:rsidRPr="008347B8">
              <w:rPr>
                <w:rStyle w:val="Hyperlink"/>
                <w:noProof/>
              </w:rPr>
              <w:t>I. Introduction to product submission</w:t>
            </w:r>
            <w:r>
              <w:rPr>
                <w:noProof/>
                <w:webHidden/>
              </w:rPr>
              <w:tab/>
            </w:r>
            <w:r>
              <w:rPr>
                <w:noProof/>
                <w:webHidden/>
              </w:rPr>
              <w:fldChar w:fldCharType="begin"/>
            </w:r>
            <w:r>
              <w:rPr>
                <w:noProof/>
                <w:webHidden/>
              </w:rPr>
              <w:instrText xml:space="preserve"> PAGEREF _Toc456951138 \h </w:instrText>
            </w:r>
            <w:r>
              <w:rPr>
                <w:noProof/>
                <w:webHidden/>
              </w:rPr>
            </w:r>
            <w:r>
              <w:rPr>
                <w:noProof/>
                <w:webHidden/>
              </w:rPr>
              <w:fldChar w:fldCharType="separate"/>
            </w:r>
            <w:r>
              <w:rPr>
                <w:noProof/>
                <w:webHidden/>
              </w:rPr>
              <w:t>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39" w:history="1">
            <w:r w:rsidRPr="008347B8">
              <w:rPr>
                <w:rStyle w:val="Hyperlink"/>
                <w:noProof/>
                <w:lang w:eastAsia="en-AU"/>
              </w:rPr>
              <w:t>Submission details</w:t>
            </w:r>
            <w:r>
              <w:rPr>
                <w:noProof/>
                <w:webHidden/>
              </w:rPr>
              <w:tab/>
            </w:r>
            <w:r>
              <w:rPr>
                <w:noProof/>
                <w:webHidden/>
              </w:rPr>
              <w:fldChar w:fldCharType="begin"/>
            </w:r>
            <w:r>
              <w:rPr>
                <w:noProof/>
                <w:webHidden/>
              </w:rPr>
              <w:instrText xml:space="preserve"> PAGEREF _Toc456951139 \h </w:instrText>
            </w:r>
            <w:r>
              <w:rPr>
                <w:noProof/>
                <w:webHidden/>
              </w:rPr>
            </w:r>
            <w:r>
              <w:rPr>
                <w:noProof/>
                <w:webHidden/>
              </w:rPr>
              <w:fldChar w:fldCharType="separate"/>
            </w:r>
            <w:r>
              <w:rPr>
                <w:noProof/>
                <w:webHidden/>
              </w:rPr>
              <w:t>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40" w:history="1">
            <w:r w:rsidRPr="008347B8">
              <w:rPr>
                <w:rStyle w:val="Hyperlink"/>
                <w:noProof/>
              </w:rPr>
              <w:t>Product background</w:t>
            </w:r>
            <w:r>
              <w:rPr>
                <w:noProof/>
                <w:webHidden/>
              </w:rPr>
              <w:tab/>
            </w:r>
            <w:r>
              <w:rPr>
                <w:noProof/>
                <w:webHidden/>
              </w:rPr>
              <w:fldChar w:fldCharType="begin"/>
            </w:r>
            <w:r>
              <w:rPr>
                <w:noProof/>
                <w:webHidden/>
              </w:rPr>
              <w:instrText xml:space="preserve"> PAGEREF _Toc456951140 \h </w:instrText>
            </w:r>
            <w:r>
              <w:rPr>
                <w:noProof/>
                <w:webHidden/>
              </w:rPr>
            </w:r>
            <w:r>
              <w:rPr>
                <w:noProof/>
                <w:webHidden/>
              </w:rPr>
              <w:fldChar w:fldCharType="separate"/>
            </w:r>
            <w:r>
              <w:rPr>
                <w:noProof/>
                <w:webHidden/>
              </w:rPr>
              <w:t>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41" w:history="1">
            <w:r w:rsidRPr="008347B8">
              <w:rPr>
                <w:rStyle w:val="Hyperlink"/>
                <w:noProof/>
              </w:rPr>
              <w:t>Regulatory status</w:t>
            </w:r>
            <w:r>
              <w:rPr>
                <w:noProof/>
                <w:webHidden/>
              </w:rPr>
              <w:tab/>
            </w:r>
            <w:r>
              <w:rPr>
                <w:noProof/>
                <w:webHidden/>
              </w:rPr>
              <w:fldChar w:fldCharType="begin"/>
            </w:r>
            <w:r>
              <w:rPr>
                <w:noProof/>
                <w:webHidden/>
              </w:rPr>
              <w:instrText xml:space="preserve"> PAGEREF _Toc456951141 \h </w:instrText>
            </w:r>
            <w:r>
              <w:rPr>
                <w:noProof/>
                <w:webHidden/>
              </w:rPr>
            </w:r>
            <w:r>
              <w:rPr>
                <w:noProof/>
                <w:webHidden/>
              </w:rPr>
              <w:fldChar w:fldCharType="separate"/>
            </w:r>
            <w:r>
              <w:rPr>
                <w:noProof/>
                <w:webHidden/>
              </w:rPr>
              <w:t>9</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42" w:history="1">
            <w:r w:rsidRPr="008347B8">
              <w:rPr>
                <w:rStyle w:val="Hyperlink"/>
                <w:noProof/>
              </w:rPr>
              <w:t>Product Information</w:t>
            </w:r>
            <w:r>
              <w:rPr>
                <w:noProof/>
                <w:webHidden/>
              </w:rPr>
              <w:tab/>
            </w:r>
            <w:r>
              <w:rPr>
                <w:noProof/>
                <w:webHidden/>
              </w:rPr>
              <w:fldChar w:fldCharType="begin"/>
            </w:r>
            <w:r>
              <w:rPr>
                <w:noProof/>
                <w:webHidden/>
              </w:rPr>
              <w:instrText xml:space="preserve"> PAGEREF _Toc456951142 \h </w:instrText>
            </w:r>
            <w:r>
              <w:rPr>
                <w:noProof/>
                <w:webHidden/>
              </w:rPr>
            </w:r>
            <w:r>
              <w:rPr>
                <w:noProof/>
                <w:webHidden/>
              </w:rPr>
              <w:fldChar w:fldCharType="separate"/>
            </w:r>
            <w:r>
              <w:rPr>
                <w:noProof/>
                <w:webHidden/>
              </w:rPr>
              <w:t>10</w:t>
            </w:r>
            <w:r>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43" w:history="1">
            <w:r w:rsidRPr="008347B8">
              <w:rPr>
                <w:rStyle w:val="Hyperlink"/>
                <w:noProof/>
              </w:rPr>
              <w:t>II. Quality findings</w:t>
            </w:r>
            <w:r>
              <w:rPr>
                <w:noProof/>
                <w:webHidden/>
              </w:rPr>
              <w:tab/>
            </w:r>
            <w:r>
              <w:rPr>
                <w:noProof/>
                <w:webHidden/>
              </w:rPr>
              <w:fldChar w:fldCharType="begin"/>
            </w:r>
            <w:r>
              <w:rPr>
                <w:noProof/>
                <w:webHidden/>
              </w:rPr>
              <w:instrText xml:space="preserve"> PAGEREF _Toc456951143 \h </w:instrText>
            </w:r>
            <w:r>
              <w:rPr>
                <w:noProof/>
                <w:webHidden/>
              </w:rPr>
            </w:r>
            <w:r>
              <w:rPr>
                <w:noProof/>
                <w:webHidden/>
              </w:rPr>
              <w:fldChar w:fldCharType="separate"/>
            </w:r>
            <w:r>
              <w:rPr>
                <w:noProof/>
                <w:webHidden/>
              </w:rPr>
              <w:t>10</w:t>
            </w:r>
            <w:r>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44" w:history="1">
            <w:r w:rsidRPr="008347B8">
              <w:rPr>
                <w:rStyle w:val="Hyperlink"/>
                <w:noProof/>
              </w:rPr>
              <w:t>III. Nonclinical findings</w:t>
            </w:r>
            <w:r>
              <w:rPr>
                <w:noProof/>
                <w:webHidden/>
              </w:rPr>
              <w:tab/>
            </w:r>
            <w:r>
              <w:rPr>
                <w:noProof/>
                <w:webHidden/>
              </w:rPr>
              <w:fldChar w:fldCharType="begin"/>
            </w:r>
            <w:r>
              <w:rPr>
                <w:noProof/>
                <w:webHidden/>
              </w:rPr>
              <w:instrText xml:space="preserve"> PAGEREF _Toc456951144 \h </w:instrText>
            </w:r>
            <w:r>
              <w:rPr>
                <w:noProof/>
                <w:webHidden/>
              </w:rPr>
            </w:r>
            <w:r>
              <w:rPr>
                <w:noProof/>
                <w:webHidden/>
              </w:rPr>
              <w:fldChar w:fldCharType="separate"/>
            </w:r>
            <w:r>
              <w:rPr>
                <w:noProof/>
                <w:webHidden/>
              </w:rPr>
              <w:t>10</w:t>
            </w:r>
            <w:r>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45" w:history="1">
            <w:r w:rsidRPr="008347B8">
              <w:rPr>
                <w:rStyle w:val="Hyperlink"/>
                <w:noProof/>
              </w:rPr>
              <w:t>IV. Clinical findings</w:t>
            </w:r>
            <w:r>
              <w:rPr>
                <w:noProof/>
                <w:webHidden/>
              </w:rPr>
              <w:tab/>
            </w:r>
            <w:r>
              <w:rPr>
                <w:noProof/>
                <w:webHidden/>
              </w:rPr>
              <w:fldChar w:fldCharType="begin"/>
            </w:r>
            <w:r>
              <w:rPr>
                <w:noProof/>
                <w:webHidden/>
              </w:rPr>
              <w:instrText xml:space="preserve"> PAGEREF _Toc456951145 \h </w:instrText>
            </w:r>
            <w:r>
              <w:rPr>
                <w:noProof/>
                <w:webHidden/>
              </w:rPr>
            </w:r>
            <w:r>
              <w:rPr>
                <w:noProof/>
                <w:webHidden/>
              </w:rPr>
              <w:fldChar w:fldCharType="separate"/>
            </w:r>
            <w:r>
              <w:rPr>
                <w:noProof/>
                <w:webHidden/>
              </w:rPr>
              <w:t>10</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46" w:history="1">
            <w:r w:rsidRPr="008347B8">
              <w:rPr>
                <w:rStyle w:val="Hyperlink"/>
                <w:noProof/>
              </w:rPr>
              <w:t>Clinical rationale</w:t>
            </w:r>
            <w:r>
              <w:rPr>
                <w:noProof/>
                <w:webHidden/>
              </w:rPr>
              <w:tab/>
            </w:r>
            <w:r>
              <w:rPr>
                <w:noProof/>
                <w:webHidden/>
              </w:rPr>
              <w:fldChar w:fldCharType="begin"/>
            </w:r>
            <w:r>
              <w:rPr>
                <w:noProof/>
                <w:webHidden/>
              </w:rPr>
              <w:instrText xml:space="preserve"> PAGEREF _Toc456951146 \h </w:instrText>
            </w:r>
            <w:r>
              <w:rPr>
                <w:noProof/>
                <w:webHidden/>
              </w:rPr>
            </w:r>
            <w:r>
              <w:rPr>
                <w:noProof/>
                <w:webHidden/>
              </w:rPr>
              <w:fldChar w:fldCharType="separate"/>
            </w:r>
            <w:r>
              <w:rPr>
                <w:noProof/>
                <w:webHidden/>
              </w:rPr>
              <w:t>10</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47" w:history="1">
            <w:r w:rsidRPr="008347B8">
              <w:rPr>
                <w:rStyle w:val="Hyperlink"/>
                <w:noProof/>
              </w:rPr>
              <w:t>Pharmacokinetics (PK)</w:t>
            </w:r>
            <w:r>
              <w:rPr>
                <w:noProof/>
                <w:webHidden/>
              </w:rPr>
              <w:tab/>
            </w:r>
            <w:r>
              <w:rPr>
                <w:noProof/>
                <w:webHidden/>
              </w:rPr>
              <w:fldChar w:fldCharType="begin"/>
            </w:r>
            <w:r>
              <w:rPr>
                <w:noProof/>
                <w:webHidden/>
              </w:rPr>
              <w:instrText xml:space="preserve"> PAGEREF _Toc456951147 \h </w:instrText>
            </w:r>
            <w:r>
              <w:rPr>
                <w:noProof/>
                <w:webHidden/>
              </w:rPr>
            </w:r>
            <w:r>
              <w:rPr>
                <w:noProof/>
                <w:webHidden/>
              </w:rPr>
              <w:fldChar w:fldCharType="separate"/>
            </w:r>
            <w:r>
              <w:rPr>
                <w:noProof/>
                <w:webHidden/>
              </w:rPr>
              <w:t>12</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48" w:history="1">
            <w:r w:rsidRPr="008347B8">
              <w:rPr>
                <w:rStyle w:val="Hyperlink"/>
                <w:noProof/>
              </w:rPr>
              <w:t>Pharmacodynamics</w:t>
            </w:r>
            <w:r>
              <w:rPr>
                <w:noProof/>
                <w:webHidden/>
              </w:rPr>
              <w:tab/>
            </w:r>
            <w:r>
              <w:rPr>
                <w:noProof/>
                <w:webHidden/>
              </w:rPr>
              <w:fldChar w:fldCharType="begin"/>
            </w:r>
            <w:r>
              <w:rPr>
                <w:noProof/>
                <w:webHidden/>
              </w:rPr>
              <w:instrText xml:space="preserve"> PAGEREF _Toc456951148 \h </w:instrText>
            </w:r>
            <w:r>
              <w:rPr>
                <w:noProof/>
                <w:webHidden/>
              </w:rPr>
            </w:r>
            <w:r>
              <w:rPr>
                <w:noProof/>
                <w:webHidden/>
              </w:rPr>
              <w:fldChar w:fldCharType="separate"/>
            </w:r>
            <w:r>
              <w:rPr>
                <w:noProof/>
                <w:webHidden/>
              </w:rPr>
              <w:t>13</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49" w:history="1">
            <w:r w:rsidRPr="008347B8">
              <w:rPr>
                <w:rStyle w:val="Hyperlink"/>
                <w:noProof/>
              </w:rPr>
              <w:t>Dosage selection for the pivotal studies</w:t>
            </w:r>
            <w:r>
              <w:rPr>
                <w:noProof/>
                <w:webHidden/>
              </w:rPr>
              <w:tab/>
            </w:r>
            <w:r>
              <w:rPr>
                <w:noProof/>
                <w:webHidden/>
              </w:rPr>
              <w:fldChar w:fldCharType="begin"/>
            </w:r>
            <w:r>
              <w:rPr>
                <w:noProof/>
                <w:webHidden/>
              </w:rPr>
              <w:instrText xml:space="preserve"> PAGEREF _Toc456951149 \h </w:instrText>
            </w:r>
            <w:r>
              <w:rPr>
                <w:noProof/>
                <w:webHidden/>
              </w:rPr>
            </w:r>
            <w:r>
              <w:rPr>
                <w:noProof/>
                <w:webHidden/>
              </w:rPr>
              <w:fldChar w:fldCharType="separate"/>
            </w:r>
            <w:r>
              <w:rPr>
                <w:noProof/>
                <w:webHidden/>
              </w:rPr>
              <w:t>13</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0" w:history="1">
            <w:r w:rsidRPr="008347B8">
              <w:rPr>
                <w:rStyle w:val="Hyperlink"/>
                <w:noProof/>
              </w:rPr>
              <w:t>Efficacy</w:t>
            </w:r>
            <w:r>
              <w:rPr>
                <w:noProof/>
                <w:webHidden/>
              </w:rPr>
              <w:tab/>
            </w:r>
            <w:r>
              <w:rPr>
                <w:noProof/>
                <w:webHidden/>
              </w:rPr>
              <w:fldChar w:fldCharType="begin"/>
            </w:r>
            <w:r>
              <w:rPr>
                <w:noProof/>
                <w:webHidden/>
              </w:rPr>
              <w:instrText xml:space="preserve"> PAGEREF _Toc456951150 \h </w:instrText>
            </w:r>
            <w:r>
              <w:rPr>
                <w:noProof/>
                <w:webHidden/>
              </w:rPr>
            </w:r>
            <w:r>
              <w:rPr>
                <w:noProof/>
                <w:webHidden/>
              </w:rPr>
              <w:fldChar w:fldCharType="separate"/>
            </w:r>
            <w:r>
              <w:rPr>
                <w:noProof/>
                <w:webHidden/>
              </w:rPr>
              <w:t>14</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1" w:history="1">
            <w:r w:rsidRPr="008347B8">
              <w:rPr>
                <w:rStyle w:val="Hyperlink"/>
                <w:noProof/>
              </w:rPr>
              <w:t>Safety</w:t>
            </w:r>
            <w:r>
              <w:rPr>
                <w:noProof/>
                <w:webHidden/>
              </w:rPr>
              <w:tab/>
            </w:r>
            <w:r>
              <w:rPr>
                <w:noProof/>
                <w:webHidden/>
              </w:rPr>
              <w:fldChar w:fldCharType="begin"/>
            </w:r>
            <w:r>
              <w:rPr>
                <w:noProof/>
                <w:webHidden/>
              </w:rPr>
              <w:instrText xml:space="preserve"> PAGEREF _Toc456951151 \h </w:instrText>
            </w:r>
            <w:r>
              <w:rPr>
                <w:noProof/>
                <w:webHidden/>
              </w:rPr>
            </w:r>
            <w:r>
              <w:rPr>
                <w:noProof/>
                <w:webHidden/>
              </w:rPr>
              <w:fldChar w:fldCharType="separate"/>
            </w:r>
            <w:r>
              <w:rPr>
                <w:noProof/>
                <w:webHidden/>
              </w:rPr>
              <w:t>15</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2" w:history="1">
            <w:r w:rsidRPr="008347B8">
              <w:rPr>
                <w:rStyle w:val="Hyperlink"/>
                <w:noProof/>
              </w:rPr>
              <w:t>First round benefit–risk assessment</w:t>
            </w:r>
            <w:r>
              <w:rPr>
                <w:noProof/>
                <w:webHidden/>
              </w:rPr>
              <w:tab/>
            </w:r>
            <w:r>
              <w:rPr>
                <w:noProof/>
                <w:webHidden/>
              </w:rPr>
              <w:fldChar w:fldCharType="begin"/>
            </w:r>
            <w:r>
              <w:rPr>
                <w:noProof/>
                <w:webHidden/>
              </w:rPr>
              <w:instrText xml:space="preserve"> PAGEREF _Toc456951152 \h </w:instrText>
            </w:r>
            <w:r>
              <w:rPr>
                <w:noProof/>
                <w:webHidden/>
              </w:rPr>
            </w:r>
            <w:r>
              <w:rPr>
                <w:noProof/>
                <w:webHidden/>
              </w:rPr>
              <w:fldChar w:fldCharType="separate"/>
            </w:r>
            <w:r>
              <w:rPr>
                <w:noProof/>
                <w:webHidden/>
              </w:rPr>
              <w:t>17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3" w:history="1">
            <w:r w:rsidRPr="008347B8">
              <w:rPr>
                <w:rStyle w:val="Hyperlink"/>
                <w:noProof/>
              </w:rPr>
              <w:t>First round recommendation regarding authorisation</w:t>
            </w:r>
            <w:r>
              <w:rPr>
                <w:noProof/>
                <w:webHidden/>
              </w:rPr>
              <w:tab/>
            </w:r>
            <w:r>
              <w:rPr>
                <w:noProof/>
                <w:webHidden/>
              </w:rPr>
              <w:fldChar w:fldCharType="begin"/>
            </w:r>
            <w:r>
              <w:rPr>
                <w:noProof/>
                <w:webHidden/>
              </w:rPr>
              <w:instrText xml:space="preserve"> PAGEREF _Toc456951153 \h </w:instrText>
            </w:r>
            <w:r>
              <w:rPr>
                <w:noProof/>
                <w:webHidden/>
              </w:rPr>
            </w:r>
            <w:r>
              <w:rPr>
                <w:noProof/>
                <w:webHidden/>
              </w:rPr>
              <w:fldChar w:fldCharType="separate"/>
            </w:r>
            <w:r>
              <w:rPr>
                <w:noProof/>
                <w:webHidden/>
              </w:rPr>
              <w:t>18</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4" w:history="1">
            <w:r w:rsidRPr="008347B8">
              <w:rPr>
                <w:rStyle w:val="Hyperlink"/>
                <w:noProof/>
              </w:rPr>
              <w:t>Clinical questions</w:t>
            </w:r>
            <w:r>
              <w:rPr>
                <w:noProof/>
                <w:webHidden/>
              </w:rPr>
              <w:tab/>
            </w:r>
            <w:r>
              <w:rPr>
                <w:noProof/>
                <w:webHidden/>
              </w:rPr>
              <w:fldChar w:fldCharType="begin"/>
            </w:r>
            <w:r>
              <w:rPr>
                <w:noProof/>
                <w:webHidden/>
              </w:rPr>
              <w:instrText xml:space="preserve"> PAGEREF _Toc456951154 \h </w:instrText>
            </w:r>
            <w:r>
              <w:rPr>
                <w:noProof/>
                <w:webHidden/>
              </w:rPr>
            </w:r>
            <w:r>
              <w:rPr>
                <w:noProof/>
                <w:webHidden/>
              </w:rPr>
              <w:fldChar w:fldCharType="separate"/>
            </w:r>
            <w:r>
              <w:rPr>
                <w:noProof/>
                <w:webHidden/>
              </w:rPr>
              <w:t>18</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5" w:history="1">
            <w:r w:rsidRPr="008347B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_Toc456951155 \h </w:instrText>
            </w:r>
            <w:r>
              <w:rPr>
                <w:noProof/>
                <w:webHidden/>
              </w:rPr>
            </w:r>
            <w:r>
              <w:rPr>
                <w:noProof/>
                <w:webHidden/>
              </w:rPr>
              <w:fldChar w:fldCharType="separate"/>
            </w:r>
            <w:r>
              <w:rPr>
                <w:noProof/>
                <w:webHidden/>
              </w:rPr>
              <w:t>18</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6" w:history="1">
            <w:r w:rsidRPr="008347B8">
              <w:rPr>
                <w:rStyle w:val="Hyperlink"/>
                <w:noProof/>
              </w:rPr>
              <w:t>Second round benefit–risk assessment</w:t>
            </w:r>
            <w:r>
              <w:rPr>
                <w:noProof/>
                <w:webHidden/>
              </w:rPr>
              <w:tab/>
            </w:r>
            <w:r>
              <w:rPr>
                <w:noProof/>
                <w:webHidden/>
              </w:rPr>
              <w:fldChar w:fldCharType="begin"/>
            </w:r>
            <w:r>
              <w:rPr>
                <w:noProof/>
                <w:webHidden/>
              </w:rPr>
              <w:instrText xml:space="preserve"> PAGEREF _Toc456951156 \h </w:instrText>
            </w:r>
            <w:r>
              <w:rPr>
                <w:noProof/>
                <w:webHidden/>
              </w:rPr>
            </w:r>
            <w:r>
              <w:rPr>
                <w:noProof/>
                <w:webHidden/>
              </w:rPr>
              <w:fldChar w:fldCharType="separate"/>
            </w:r>
            <w:r>
              <w:rPr>
                <w:noProof/>
                <w:webHidden/>
              </w:rPr>
              <w:t>20</w:t>
            </w:r>
            <w:r>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57" w:history="1">
            <w:r w:rsidRPr="008347B8">
              <w:rPr>
                <w:rStyle w:val="Hyperlink"/>
                <w:noProof/>
              </w:rPr>
              <w:t>V. Pharmacovigilance findings</w:t>
            </w:r>
            <w:r>
              <w:rPr>
                <w:noProof/>
                <w:webHidden/>
              </w:rPr>
              <w:tab/>
            </w:r>
            <w:r>
              <w:rPr>
                <w:noProof/>
                <w:webHidden/>
              </w:rPr>
              <w:fldChar w:fldCharType="begin"/>
            </w:r>
            <w:r>
              <w:rPr>
                <w:noProof/>
                <w:webHidden/>
              </w:rPr>
              <w:instrText xml:space="preserve"> PAGEREF _Toc456951157 \h </w:instrText>
            </w:r>
            <w:r>
              <w:rPr>
                <w:noProof/>
                <w:webHidden/>
              </w:rPr>
            </w:r>
            <w:r>
              <w:rPr>
                <w:noProof/>
                <w:webHidden/>
              </w:rPr>
              <w:fldChar w:fldCharType="separate"/>
            </w:r>
            <w:r>
              <w:rPr>
                <w:noProof/>
                <w:webHidden/>
              </w:rPr>
              <w:t>21</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58" w:history="1">
            <w:r w:rsidRPr="008347B8">
              <w:rPr>
                <w:rStyle w:val="Hyperlink"/>
                <w:noProof/>
                <w:lang w:eastAsia="en-AU"/>
              </w:rPr>
              <w:t>Risk management plan</w:t>
            </w:r>
            <w:r>
              <w:rPr>
                <w:noProof/>
                <w:webHidden/>
              </w:rPr>
              <w:tab/>
            </w:r>
            <w:r>
              <w:rPr>
                <w:noProof/>
                <w:webHidden/>
              </w:rPr>
              <w:fldChar w:fldCharType="begin"/>
            </w:r>
            <w:r>
              <w:rPr>
                <w:noProof/>
                <w:webHidden/>
              </w:rPr>
              <w:instrText xml:space="preserve"> PAGEREF _Toc456951158 \h </w:instrText>
            </w:r>
            <w:r>
              <w:rPr>
                <w:noProof/>
                <w:webHidden/>
              </w:rPr>
            </w:r>
            <w:r>
              <w:rPr>
                <w:noProof/>
                <w:webHidden/>
              </w:rPr>
              <w:fldChar w:fldCharType="separate"/>
            </w:r>
            <w:r>
              <w:rPr>
                <w:noProof/>
                <w:webHidden/>
              </w:rPr>
              <w:t>21</w:t>
            </w:r>
            <w:r>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59" w:history="1">
            <w:r w:rsidRPr="008347B8">
              <w:rPr>
                <w:rStyle w:val="Hyperlink"/>
                <w:noProof/>
              </w:rPr>
              <w:t>VI. Overall conclusion and risk/benefit assessment</w:t>
            </w:r>
            <w:r>
              <w:rPr>
                <w:noProof/>
                <w:webHidden/>
              </w:rPr>
              <w:tab/>
            </w:r>
            <w:r>
              <w:rPr>
                <w:noProof/>
                <w:webHidden/>
              </w:rPr>
              <w:fldChar w:fldCharType="begin"/>
            </w:r>
            <w:r>
              <w:rPr>
                <w:noProof/>
                <w:webHidden/>
              </w:rPr>
              <w:instrText xml:space="preserve"> PAGEREF _Toc456951159 \h </w:instrText>
            </w:r>
            <w:r>
              <w:rPr>
                <w:noProof/>
                <w:webHidden/>
              </w:rPr>
            </w:r>
            <w:r>
              <w:rPr>
                <w:noProof/>
                <w:webHidden/>
              </w:rPr>
              <w:fldChar w:fldCharType="separate"/>
            </w:r>
            <w:r>
              <w:rPr>
                <w:noProof/>
                <w:webHidden/>
              </w:rPr>
              <w:t>27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60" w:history="1">
            <w:r w:rsidRPr="008347B8">
              <w:rPr>
                <w:rStyle w:val="Hyperlink"/>
                <w:noProof/>
              </w:rPr>
              <w:t>Introduction</w:t>
            </w:r>
            <w:r>
              <w:rPr>
                <w:noProof/>
                <w:webHidden/>
              </w:rPr>
              <w:tab/>
            </w:r>
            <w:r>
              <w:rPr>
                <w:noProof/>
                <w:webHidden/>
              </w:rPr>
              <w:fldChar w:fldCharType="begin"/>
            </w:r>
            <w:r>
              <w:rPr>
                <w:noProof/>
                <w:webHidden/>
              </w:rPr>
              <w:instrText xml:space="preserve"> PAGEREF _Toc456951160 \h </w:instrText>
            </w:r>
            <w:r>
              <w:rPr>
                <w:noProof/>
                <w:webHidden/>
              </w:rPr>
            </w:r>
            <w:r>
              <w:rPr>
                <w:noProof/>
                <w:webHidden/>
              </w:rPr>
              <w:fldChar w:fldCharType="separate"/>
            </w:r>
            <w:r>
              <w:rPr>
                <w:noProof/>
                <w:webHidden/>
              </w:rPr>
              <w:t>27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61" w:history="1">
            <w:r w:rsidRPr="008347B8">
              <w:rPr>
                <w:rStyle w:val="Hyperlink"/>
                <w:noProof/>
              </w:rPr>
              <w:t>Quality</w:t>
            </w:r>
            <w:r>
              <w:rPr>
                <w:noProof/>
                <w:webHidden/>
              </w:rPr>
              <w:tab/>
            </w:r>
            <w:r>
              <w:rPr>
                <w:noProof/>
                <w:webHidden/>
              </w:rPr>
              <w:fldChar w:fldCharType="begin"/>
            </w:r>
            <w:r>
              <w:rPr>
                <w:noProof/>
                <w:webHidden/>
              </w:rPr>
              <w:instrText xml:space="preserve"> PAGEREF _Toc456951161 \h </w:instrText>
            </w:r>
            <w:r>
              <w:rPr>
                <w:noProof/>
                <w:webHidden/>
              </w:rPr>
            </w:r>
            <w:r>
              <w:rPr>
                <w:noProof/>
                <w:webHidden/>
              </w:rPr>
              <w:fldChar w:fldCharType="separate"/>
            </w:r>
            <w:r>
              <w:rPr>
                <w:noProof/>
                <w:webHidden/>
              </w:rPr>
              <w:t>27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62" w:history="1">
            <w:r w:rsidRPr="008347B8">
              <w:rPr>
                <w:rStyle w:val="Hyperlink"/>
                <w:noProof/>
              </w:rPr>
              <w:t>Nonclinical</w:t>
            </w:r>
            <w:r>
              <w:rPr>
                <w:noProof/>
                <w:webHidden/>
              </w:rPr>
              <w:tab/>
            </w:r>
            <w:r>
              <w:rPr>
                <w:noProof/>
                <w:webHidden/>
              </w:rPr>
              <w:fldChar w:fldCharType="begin"/>
            </w:r>
            <w:r>
              <w:rPr>
                <w:noProof/>
                <w:webHidden/>
              </w:rPr>
              <w:instrText xml:space="preserve"> PAGEREF _Toc456951162 \h </w:instrText>
            </w:r>
            <w:r>
              <w:rPr>
                <w:noProof/>
                <w:webHidden/>
              </w:rPr>
            </w:r>
            <w:r>
              <w:rPr>
                <w:noProof/>
                <w:webHidden/>
              </w:rPr>
              <w:fldChar w:fldCharType="separate"/>
            </w:r>
            <w:r>
              <w:rPr>
                <w:noProof/>
                <w:webHidden/>
              </w:rPr>
              <w:t>27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63" w:history="1">
            <w:r w:rsidRPr="008347B8">
              <w:rPr>
                <w:rStyle w:val="Hyperlink"/>
                <w:noProof/>
              </w:rPr>
              <w:t>Clinical</w:t>
            </w:r>
            <w:r>
              <w:rPr>
                <w:noProof/>
                <w:webHidden/>
              </w:rPr>
              <w:tab/>
            </w:r>
            <w:r>
              <w:rPr>
                <w:noProof/>
                <w:webHidden/>
              </w:rPr>
              <w:fldChar w:fldCharType="begin"/>
            </w:r>
            <w:r>
              <w:rPr>
                <w:noProof/>
                <w:webHidden/>
              </w:rPr>
              <w:instrText xml:space="preserve"> PAGEREF _Toc456951163 \h </w:instrText>
            </w:r>
            <w:r>
              <w:rPr>
                <w:noProof/>
                <w:webHidden/>
              </w:rPr>
            </w:r>
            <w:r>
              <w:rPr>
                <w:noProof/>
                <w:webHidden/>
              </w:rPr>
              <w:fldChar w:fldCharType="separate"/>
            </w:r>
            <w:r>
              <w:rPr>
                <w:noProof/>
                <w:webHidden/>
              </w:rPr>
              <w:t>27</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64" w:history="1">
            <w:r w:rsidRPr="008347B8">
              <w:rPr>
                <w:rStyle w:val="Hyperlink"/>
                <w:noProof/>
                <w:lang w:eastAsia="en-AU"/>
              </w:rPr>
              <w:t>Risk management plan</w:t>
            </w:r>
            <w:r>
              <w:rPr>
                <w:noProof/>
                <w:webHidden/>
              </w:rPr>
              <w:tab/>
            </w:r>
            <w:r>
              <w:rPr>
                <w:noProof/>
                <w:webHidden/>
              </w:rPr>
              <w:fldChar w:fldCharType="begin"/>
            </w:r>
            <w:r>
              <w:rPr>
                <w:noProof/>
                <w:webHidden/>
              </w:rPr>
              <w:instrText xml:space="preserve"> PAGEREF _Toc456951164 \h </w:instrText>
            </w:r>
            <w:r>
              <w:rPr>
                <w:noProof/>
                <w:webHidden/>
              </w:rPr>
            </w:r>
            <w:r>
              <w:rPr>
                <w:noProof/>
                <w:webHidden/>
              </w:rPr>
              <w:fldChar w:fldCharType="separate"/>
            </w:r>
            <w:r>
              <w:rPr>
                <w:noProof/>
                <w:webHidden/>
              </w:rPr>
              <w:t>31</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65" w:history="1">
            <w:r w:rsidRPr="008347B8">
              <w:rPr>
                <w:rStyle w:val="Hyperlink"/>
                <w:noProof/>
              </w:rPr>
              <w:t>Risk-benefit analysis</w:t>
            </w:r>
            <w:r>
              <w:rPr>
                <w:noProof/>
                <w:webHidden/>
              </w:rPr>
              <w:tab/>
            </w:r>
            <w:r>
              <w:rPr>
                <w:noProof/>
                <w:webHidden/>
              </w:rPr>
              <w:fldChar w:fldCharType="begin"/>
            </w:r>
            <w:r>
              <w:rPr>
                <w:noProof/>
                <w:webHidden/>
              </w:rPr>
              <w:instrText xml:space="preserve"> PAGEREF _Toc456951165 \h </w:instrText>
            </w:r>
            <w:r>
              <w:rPr>
                <w:noProof/>
                <w:webHidden/>
              </w:rPr>
            </w:r>
            <w:r>
              <w:rPr>
                <w:noProof/>
                <w:webHidden/>
              </w:rPr>
              <w:fldChar w:fldCharType="separate"/>
            </w:r>
            <w:r>
              <w:rPr>
                <w:noProof/>
                <w:webHidden/>
              </w:rPr>
              <w:t>32</w:t>
            </w:r>
            <w:r>
              <w:rPr>
                <w:noProof/>
                <w:webHidden/>
              </w:rPr>
              <w:fldChar w:fldCharType="end"/>
            </w:r>
          </w:hyperlink>
        </w:p>
        <w:p w:rsidR="00FE64BA" w:rsidRDefault="00FE64BA">
          <w:pPr>
            <w:pStyle w:val="TOC3"/>
            <w:rPr>
              <w:rFonts w:asciiTheme="minorHAnsi" w:eastAsiaTheme="minorEastAsia" w:hAnsiTheme="minorHAnsi" w:cstheme="minorBidi"/>
              <w:noProof/>
              <w:lang w:eastAsia="en-AU"/>
            </w:rPr>
          </w:pPr>
          <w:hyperlink w:anchor="_Toc456951166" w:history="1">
            <w:r w:rsidRPr="008347B8">
              <w:rPr>
                <w:rStyle w:val="Hyperlink"/>
                <w:noProof/>
              </w:rPr>
              <w:t>Outcome</w:t>
            </w:r>
            <w:r>
              <w:rPr>
                <w:noProof/>
                <w:webHidden/>
              </w:rPr>
              <w:tab/>
            </w:r>
            <w:r>
              <w:rPr>
                <w:noProof/>
                <w:webHidden/>
              </w:rPr>
              <w:fldChar w:fldCharType="begin"/>
            </w:r>
            <w:r>
              <w:rPr>
                <w:noProof/>
                <w:webHidden/>
              </w:rPr>
              <w:instrText xml:space="preserve"> PAGEREF _Toc456951166 \h </w:instrText>
            </w:r>
            <w:r>
              <w:rPr>
                <w:noProof/>
                <w:webHidden/>
              </w:rPr>
            </w:r>
            <w:r>
              <w:rPr>
                <w:noProof/>
                <w:webHidden/>
              </w:rPr>
              <w:fldChar w:fldCharType="separate"/>
            </w:r>
            <w:r>
              <w:rPr>
                <w:noProof/>
                <w:webHidden/>
              </w:rPr>
              <w:t>38</w:t>
            </w:r>
            <w:r>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67" w:history="1">
            <w:r w:rsidRPr="008347B8">
              <w:rPr>
                <w:rStyle w:val="Hyperlink"/>
                <w:noProof/>
              </w:rPr>
              <w:t>Attachment 1. Product Information</w:t>
            </w:r>
            <w:r>
              <w:rPr>
                <w:noProof/>
                <w:webHidden/>
              </w:rPr>
              <w:tab/>
            </w:r>
            <w:r>
              <w:rPr>
                <w:noProof/>
                <w:webHidden/>
              </w:rPr>
              <w:fldChar w:fldCharType="begin"/>
            </w:r>
            <w:r>
              <w:rPr>
                <w:noProof/>
                <w:webHidden/>
              </w:rPr>
              <w:instrText xml:space="preserve"> PAGEREF _Toc456951167 \h </w:instrText>
            </w:r>
            <w:r>
              <w:rPr>
                <w:noProof/>
                <w:webHidden/>
              </w:rPr>
            </w:r>
            <w:r>
              <w:rPr>
                <w:noProof/>
                <w:webHidden/>
              </w:rPr>
              <w:fldChar w:fldCharType="separate"/>
            </w:r>
            <w:r>
              <w:rPr>
                <w:noProof/>
                <w:webHidden/>
              </w:rPr>
              <w:t>38</w:t>
            </w:r>
            <w:r>
              <w:rPr>
                <w:noProof/>
                <w:webHidden/>
              </w:rPr>
              <w:fldChar w:fldCharType="end"/>
            </w:r>
          </w:hyperlink>
        </w:p>
        <w:p w:rsidR="00FE64BA" w:rsidRDefault="00FE64BA">
          <w:pPr>
            <w:pStyle w:val="TOC2"/>
            <w:rPr>
              <w:rFonts w:asciiTheme="minorHAnsi" w:eastAsiaTheme="minorEastAsia" w:hAnsiTheme="minorHAnsi" w:cstheme="minorBidi"/>
              <w:b w:val="0"/>
              <w:noProof/>
              <w:sz w:val="22"/>
              <w:lang w:eastAsia="en-AU"/>
            </w:rPr>
          </w:pPr>
          <w:hyperlink w:anchor="_Toc456951168" w:history="1">
            <w:r w:rsidRPr="008347B8">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_Toc456951168 \h </w:instrText>
            </w:r>
            <w:r>
              <w:rPr>
                <w:noProof/>
                <w:webHidden/>
              </w:rPr>
            </w:r>
            <w:r>
              <w:rPr>
                <w:noProof/>
                <w:webHidden/>
              </w:rPr>
              <w:fldChar w:fldCharType="separate"/>
            </w:r>
            <w:r>
              <w:rPr>
                <w:noProof/>
                <w:webHidden/>
              </w:rPr>
              <w:t>38</w:t>
            </w:r>
            <w:r>
              <w:rPr>
                <w:noProof/>
                <w:webHidden/>
              </w:rPr>
              <w:fldChar w:fldCharType="end"/>
            </w:r>
          </w:hyperlink>
        </w:p>
        <w:p w:rsidR="003A7F6C" w:rsidRPr="00B811C6" w:rsidRDefault="00DB6124" w:rsidP="00B33A3B">
          <w:pPr>
            <w:pStyle w:val="TOC2"/>
            <w:ind w:left="0"/>
          </w:pPr>
          <w:r>
            <w:fldChar w:fldCharType="end"/>
          </w:r>
        </w:p>
      </w:sdtContent>
    </w:sdt>
    <w:bookmarkStart w:id="2" w:name="_Toc314842482" w:displacedByCustomXml="prev"/>
    <w:p w:rsidR="00167B04" w:rsidRDefault="00FD119B">
      <w:pPr>
        <w:spacing w:before="0" w:after="200" w:line="0" w:lineRule="auto"/>
      </w:pPr>
      <w:r>
        <w:br w:type="page"/>
      </w:r>
      <w:r w:rsidR="00167B04">
        <w:lastRenderedPageBreak/>
        <w:t>ADR</w:t>
      </w:r>
    </w:p>
    <w:p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56951137"/>
      <w:r>
        <w:t>Common</w:t>
      </w:r>
      <w:r w:rsidR="00FD119B" w:rsidRPr="00FD119B">
        <w:t xml:space="preserve"> abbreviations</w:t>
      </w:r>
      <w:bookmarkEnd w:id="3"/>
      <w:bookmarkEnd w:id="4"/>
      <w:bookmarkEnd w:id="5"/>
      <w:bookmarkEnd w:id="6"/>
      <w:bookmarkEnd w:id="7"/>
    </w:p>
    <w:tbl>
      <w:tblPr>
        <w:tblStyle w:val="TableTGAblue"/>
        <w:tblW w:w="9011" w:type="dxa"/>
        <w:tblLook w:val="04A0" w:firstRow="1" w:lastRow="0" w:firstColumn="1" w:lastColumn="0" w:noHBand="0" w:noVBand="1"/>
      </w:tblPr>
      <w:tblGrid>
        <w:gridCol w:w="1935"/>
        <w:gridCol w:w="7076"/>
      </w:tblGrid>
      <w:tr w:rsidR="00A055FD" w:rsidTr="00A31464">
        <w:trPr>
          <w:cnfStyle w:val="100000000000" w:firstRow="1" w:lastRow="0" w:firstColumn="0" w:lastColumn="0" w:oddVBand="0" w:evenVBand="0" w:oddHBand="0" w:evenHBand="0" w:firstRowFirstColumn="0" w:firstRowLastColumn="0" w:lastRowFirstColumn="0" w:lastRowLastColumn="0"/>
          <w:trHeight w:val="146"/>
        </w:trPr>
        <w:tc>
          <w:tcPr>
            <w:tcW w:w="1935" w:type="dxa"/>
          </w:tcPr>
          <w:p w:rsidR="00A055FD" w:rsidRDefault="00A055FD" w:rsidP="00A31464">
            <w:r>
              <w:t>Abbreviation</w:t>
            </w:r>
          </w:p>
        </w:tc>
        <w:tc>
          <w:tcPr>
            <w:tcW w:w="7076" w:type="dxa"/>
          </w:tcPr>
          <w:p w:rsidR="00A055FD" w:rsidRDefault="00A055FD" w:rsidP="00A31464">
            <w:r>
              <w:t>Meaning</w:t>
            </w:r>
          </w:p>
        </w:tc>
      </w:tr>
      <w:tr w:rsidR="00A055FD" w:rsidRPr="0068739E" w:rsidTr="00A31464">
        <w:trPr>
          <w:trHeight w:val="146"/>
        </w:trPr>
        <w:tc>
          <w:tcPr>
            <w:tcW w:w="1935" w:type="dxa"/>
          </w:tcPr>
          <w:p w:rsidR="00A055FD" w:rsidRPr="0068739E" w:rsidRDefault="00A055FD" w:rsidP="00A31464">
            <w:r w:rsidRPr="0068739E">
              <w:t>AAA</w:t>
            </w:r>
          </w:p>
        </w:tc>
        <w:tc>
          <w:tcPr>
            <w:tcW w:w="7076" w:type="dxa"/>
          </w:tcPr>
          <w:p w:rsidR="00A055FD" w:rsidRPr="0068739E" w:rsidRDefault="00FE64BA" w:rsidP="00A31464">
            <w:r w:rsidRPr="0068739E">
              <w:t>Anti</w:t>
            </w:r>
            <w:r>
              <w:t>-</w:t>
            </w:r>
            <w:r w:rsidRPr="0068739E">
              <w:t>adalimumab</w:t>
            </w:r>
            <w:bookmarkStart w:id="8" w:name="_GoBack"/>
            <w:bookmarkEnd w:id="8"/>
            <w:r w:rsidR="00A055FD" w:rsidRPr="0068739E">
              <w:t xml:space="preserve"> antibody</w:t>
            </w:r>
          </w:p>
        </w:tc>
      </w:tr>
      <w:tr w:rsidR="007353C8" w:rsidRPr="0068739E" w:rsidTr="00A31464">
        <w:trPr>
          <w:trHeight w:val="146"/>
        </w:trPr>
        <w:tc>
          <w:tcPr>
            <w:tcW w:w="1935" w:type="dxa"/>
          </w:tcPr>
          <w:p w:rsidR="007353C8" w:rsidRPr="0068739E" w:rsidRDefault="007353C8" w:rsidP="00A31464">
            <w:r>
              <w:t>ACPM</w:t>
            </w:r>
          </w:p>
        </w:tc>
        <w:tc>
          <w:tcPr>
            <w:tcW w:w="7076" w:type="dxa"/>
          </w:tcPr>
          <w:p w:rsidR="007353C8" w:rsidRPr="0068739E" w:rsidRDefault="007353C8" w:rsidP="00A31464">
            <w:r>
              <w:t>Advisory Committee on Prescription Medicines</w:t>
            </w:r>
          </w:p>
        </w:tc>
      </w:tr>
      <w:tr w:rsidR="00A055FD" w:rsidRPr="0068739E" w:rsidTr="00A31464">
        <w:trPr>
          <w:trHeight w:val="146"/>
        </w:trPr>
        <w:tc>
          <w:tcPr>
            <w:tcW w:w="1935" w:type="dxa"/>
          </w:tcPr>
          <w:p w:rsidR="00A055FD" w:rsidRPr="0068739E" w:rsidRDefault="00A055FD" w:rsidP="00A31464">
            <w:r w:rsidRPr="0068739E">
              <w:t>AE</w:t>
            </w:r>
          </w:p>
        </w:tc>
        <w:tc>
          <w:tcPr>
            <w:tcW w:w="7076" w:type="dxa"/>
          </w:tcPr>
          <w:p w:rsidR="00A055FD" w:rsidRPr="0068739E" w:rsidRDefault="00A055FD" w:rsidP="00A31464">
            <w:r w:rsidRPr="0068739E">
              <w:t>Adverse event</w:t>
            </w:r>
          </w:p>
        </w:tc>
      </w:tr>
      <w:tr w:rsidR="00A055FD" w:rsidRPr="0068739E" w:rsidTr="00A31464">
        <w:trPr>
          <w:trHeight w:val="146"/>
        </w:trPr>
        <w:tc>
          <w:tcPr>
            <w:tcW w:w="1935" w:type="dxa"/>
          </w:tcPr>
          <w:p w:rsidR="00A055FD" w:rsidRPr="0068739E" w:rsidRDefault="00A055FD" w:rsidP="00A31464">
            <w:r>
              <w:t>AESI</w:t>
            </w:r>
          </w:p>
        </w:tc>
        <w:tc>
          <w:tcPr>
            <w:tcW w:w="7076" w:type="dxa"/>
          </w:tcPr>
          <w:p w:rsidR="00A055FD" w:rsidRPr="0068739E" w:rsidRDefault="00A055FD" w:rsidP="00A31464">
            <w:r>
              <w:t>Adverse event of special interest</w:t>
            </w:r>
          </w:p>
        </w:tc>
      </w:tr>
      <w:tr w:rsidR="007D6928" w:rsidTr="00A31464">
        <w:trPr>
          <w:trHeight w:val="146"/>
        </w:trPr>
        <w:tc>
          <w:tcPr>
            <w:tcW w:w="1935" w:type="dxa"/>
          </w:tcPr>
          <w:p w:rsidR="007D6928" w:rsidRDefault="007D6928" w:rsidP="00A31464">
            <w:r w:rsidRPr="0068739E">
              <w:t>ALT/SGPT</w:t>
            </w:r>
          </w:p>
        </w:tc>
        <w:tc>
          <w:tcPr>
            <w:tcW w:w="7076" w:type="dxa"/>
          </w:tcPr>
          <w:p w:rsidR="007D6928" w:rsidRDefault="007D6928" w:rsidP="00A31464">
            <w:r w:rsidRPr="0068739E">
              <w:t>Alanine aminotransferase/serum glutamic</w:t>
            </w:r>
            <w:r w:rsidR="00746BFC">
              <w:t xml:space="preserve"> </w:t>
            </w:r>
            <w:r w:rsidRPr="0068739E">
              <w:t>pyruvic transaminase</w:t>
            </w:r>
          </w:p>
        </w:tc>
      </w:tr>
      <w:tr w:rsidR="00EB5837" w:rsidRPr="0068739E" w:rsidTr="00A31464">
        <w:trPr>
          <w:trHeight w:val="146"/>
        </w:trPr>
        <w:tc>
          <w:tcPr>
            <w:tcW w:w="1935" w:type="dxa"/>
          </w:tcPr>
          <w:p w:rsidR="00EB5837" w:rsidRPr="0068739E" w:rsidRDefault="005B72F2" w:rsidP="00A31464">
            <w:r>
              <w:t>ASA</w:t>
            </w:r>
          </w:p>
        </w:tc>
        <w:tc>
          <w:tcPr>
            <w:tcW w:w="7076" w:type="dxa"/>
          </w:tcPr>
          <w:p w:rsidR="00EB5837" w:rsidRPr="0068739E" w:rsidRDefault="00EB4780" w:rsidP="00A31464">
            <w:r>
              <w:t>Australian specific a</w:t>
            </w:r>
            <w:r w:rsidR="005B72F2">
              <w:t>nnex</w:t>
            </w:r>
          </w:p>
        </w:tc>
      </w:tr>
      <w:tr w:rsidR="00A055FD" w:rsidRPr="0068739E" w:rsidTr="00A31464">
        <w:trPr>
          <w:trHeight w:val="146"/>
        </w:trPr>
        <w:tc>
          <w:tcPr>
            <w:tcW w:w="1935" w:type="dxa"/>
          </w:tcPr>
          <w:p w:rsidR="00A055FD" w:rsidRPr="0068739E" w:rsidRDefault="00A055FD" w:rsidP="00A31464">
            <w:r w:rsidRPr="0068739E">
              <w:t>AN</w:t>
            </w:r>
          </w:p>
        </w:tc>
        <w:tc>
          <w:tcPr>
            <w:tcW w:w="7076" w:type="dxa"/>
          </w:tcPr>
          <w:p w:rsidR="00A055FD" w:rsidRPr="0068739E" w:rsidRDefault="00A055FD" w:rsidP="00A31464">
            <w:r w:rsidRPr="0068739E">
              <w:t>Abscess and inflammatory nodule</w:t>
            </w:r>
          </w:p>
        </w:tc>
      </w:tr>
      <w:tr w:rsidR="00A055FD" w:rsidRPr="0068739E" w:rsidTr="00A31464">
        <w:trPr>
          <w:trHeight w:val="146"/>
        </w:trPr>
        <w:tc>
          <w:tcPr>
            <w:tcW w:w="1935" w:type="dxa"/>
          </w:tcPr>
          <w:p w:rsidR="00A055FD" w:rsidRPr="0068739E" w:rsidRDefault="00A055FD" w:rsidP="00A31464">
            <w:r w:rsidRPr="0068739E">
              <w:t>AN25</w:t>
            </w:r>
          </w:p>
        </w:tc>
        <w:tc>
          <w:tcPr>
            <w:tcW w:w="7076" w:type="dxa"/>
          </w:tcPr>
          <w:p w:rsidR="00A055FD" w:rsidRPr="0068739E" w:rsidRDefault="00A055FD" w:rsidP="00A31464">
            <w:r w:rsidRPr="0068739E">
              <w:t xml:space="preserve">At least </w:t>
            </w:r>
            <w:r>
              <w:t>25</w:t>
            </w:r>
            <w:r w:rsidRPr="0068739E">
              <w:t>% reduction in abscess and inflammatory nodule count relative to Baseline</w:t>
            </w:r>
          </w:p>
        </w:tc>
      </w:tr>
      <w:tr w:rsidR="00A055FD" w:rsidRPr="0068739E" w:rsidTr="00A31464">
        <w:trPr>
          <w:trHeight w:val="146"/>
        </w:trPr>
        <w:tc>
          <w:tcPr>
            <w:tcW w:w="1935" w:type="dxa"/>
          </w:tcPr>
          <w:p w:rsidR="00A055FD" w:rsidRPr="0068739E" w:rsidRDefault="00A055FD" w:rsidP="00A31464">
            <w:r w:rsidRPr="0068739E">
              <w:t>AN50</w:t>
            </w:r>
          </w:p>
        </w:tc>
        <w:tc>
          <w:tcPr>
            <w:tcW w:w="7076" w:type="dxa"/>
          </w:tcPr>
          <w:p w:rsidR="00A055FD" w:rsidRPr="0068739E" w:rsidRDefault="00A055FD" w:rsidP="00A31464">
            <w:r w:rsidRPr="0068739E">
              <w:t>At least 50% reduction in abscess and inflammatory nodule count relative to Baseline</w:t>
            </w:r>
          </w:p>
        </w:tc>
      </w:tr>
      <w:tr w:rsidR="00A055FD" w:rsidRPr="0068739E" w:rsidTr="00A31464">
        <w:trPr>
          <w:trHeight w:val="146"/>
        </w:trPr>
        <w:tc>
          <w:tcPr>
            <w:tcW w:w="1935" w:type="dxa"/>
          </w:tcPr>
          <w:p w:rsidR="00A055FD" w:rsidRPr="0068739E" w:rsidRDefault="00A055FD" w:rsidP="00A31464">
            <w:r w:rsidRPr="0068739E">
              <w:t>AN75</w:t>
            </w:r>
          </w:p>
        </w:tc>
        <w:tc>
          <w:tcPr>
            <w:tcW w:w="7076" w:type="dxa"/>
          </w:tcPr>
          <w:p w:rsidR="00A055FD" w:rsidRPr="0068739E" w:rsidRDefault="00A055FD" w:rsidP="00A31464">
            <w:r w:rsidRPr="0068739E">
              <w:t>At least 75% reduction in abscess and inflammatory nodule count relative to Baseline</w:t>
            </w:r>
          </w:p>
        </w:tc>
      </w:tr>
      <w:tr w:rsidR="00A055FD" w:rsidRPr="0068739E" w:rsidTr="00A31464">
        <w:trPr>
          <w:trHeight w:val="146"/>
        </w:trPr>
        <w:tc>
          <w:tcPr>
            <w:tcW w:w="1935" w:type="dxa"/>
          </w:tcPr>
          <w:p w:rsidR="00A055FD" w:rsidRPr="0068739E" w:rsidRDefault="00A055FD" w:rsidP="00A31464">
            <w:r w:rsidRPr="0068739E">
              <w:t>AN100</w:t>
            </w:r>
          </w:p>
        </w:tc>
        <w:tc>
          <w:tcPr>
            <w:tcW w:w="7076" w:type="dxa"/>
          </w:tcPr>
          <w:p w:rsidR="00A055FD" w:rsidRPr="0068739E" w:rsidRDefault="00A055FD" w:rsidP="00A31464">
            <w:r w:rsidRPr="0068739E">
              <w:t>100% reduction in abscess and inflammatory nodule count relative to Baseline</w:t>
            </w:r>
          </w:p>
        </w:tc>
      </w:tr>
      <w:tr w:rsidR="00A055FD" w:rsidRPr="0068739E" w:rsidTr="00A31464">
        <w:trPr>
          <w:trHeight w:val="146"/>
        </w:trPr>
        <w:tc>
          <w:tcPr>
            <w:tcW w:w="1935" w:type="dxa"/>
          </w:tcPr>
          <w:p w:rsidR="00A055FD" w:rsidRPr="0068739E" w:rsidRDefault="00A055FD" w:rsidP="00A31464">
            <w:r>
              <w:t>AS</w:t>
            </w:r>
          </w:p>
        </w:tc>
        <w:tc>
          <w:tcPr>
            <w:tcW w:w="7076" w:type="dxa"/>
          </w:tcPr>
          <w:p w:rsidR="00A055FD" w:rsidRPr="0068739E" w:rsidRDefault="00A055FD" w:rsidP="00A31464">
            <w:r>
              <w:t>Ankylosing spondylitis</w:t>
            </w:r>
          </w:p>
        </w:tc>
      </w:tr>
      <w:tr w:rsidR="00A055FD" w:rsidRPr="0068739E" w:rsidTr="00A31464">
        <w:trPr>
          <w:trHeight w:val="146"/>
        </w:trPr>
        <w:tc>
          <w:tcPr>
            <w:tcW w:w="1935" w:type="dxa"/>
          </w:tcPr>
          <w:p w:rsidR="00A055FD" w:rsidRPr="0068739E" w:rsidRDefault="00A055FD" w:rsidP="00A31464">
            <w:r w:rsidRPr="0068739E">
              <w:t>BMI</w:t>
            </w:r>
          </w:p>
        </w:tc>
        <w:tc>
          <w:tcPr>
            <w:tcW w:w="7076" w:type="dxa"/>
          </w:tcPr>
          <w:p w:rsidR="00A055FD" w:rsidRPr="0068739E" w:rsidRDefault="00A055FD" w:rsidP="00A31464">
            <w:r w:rsidRPr="0068739E">
              <w:t>Body mass index</w:t>
            </w:r>
          </w:p>
        </w:tc>
      </w:tr>
      <w:tr w:rsidR="00A055FD" w:rsidRPr="0068739E" w:rsidTr="00A31464">
        <w:trPr>
          <w:trHeight w:val="146"/>
        </w:trPr>
        <w:tc>
          <w:tcPr>
            <w:tcW w:w="1935" w:type="dxa"/>
          </w:tcPr>
          <w:p w:rsidR="00A055FD" w:rsidRPr="0068739E" w:rsidRDefault="00A055FD" w:rsidP="00A31464">
            <w:r>
              <w:t>CD</w:t>
            </w:r>
          </w:p>
        </w:tc>
        <w:tc>
          <w:tcPr>
            <w:tcW w:w="7076" w:type="dxa"/>
          </w:tcPr>
          <w:p w:rsidR="00A055FD" w:rsidRPr="0068739E" w:rsidRDefault="00A055FD" w:rsidP="00A31464">
            <w:r>
              <w:t>Crohn’s disease</w:t>
            </w:r>
          </w:p>
        </w:tc>
      </w:tr>
      <w:tr w:rsidR="007D6928" w:rsidRPr="0068739E" w:rsidTr="00A31464">
        <w:trPr>
          <w:trHeight w:val="146"/>
        </w:trPr>
        <w:tc>
          <w:tcPr>
            <w:tcW w:w="1935" w:type="dxa"/>
          </w:tcPr>
          <w:p w:rsidR="007D6928" w:rsidRDefault="007D6928" w:rsidP="00A31464">
            <w:r>
              <w:t>CMH</w:t>
            </w:r>
          </w:p>
        </w:tc>
        <w:tc>
          <w:tcPr>
            <w:tcW w:w="7076" w:type="dxa"/>
          </w:tcPr>
          <w:p w:rsidR="007D6928" w:rsidRDefault="007D6928" w:rsidP="00A31464">
            <w:r w:rsidRPr="004A2385">
              <w:t>Cochran</w:t>
            </w:r>
            <w:r w:rsidR="00746BFC">
              <w:t xml:space="preserve"> </w:t>
            </w:r>
            <w:r w:rsidRPr="004A2385">
              <w:t>Mantel</w:t>
            </w:r>
            <w:r w:rsidR="00746BFC">
              <w:t xml:space="preserve"> </w:t>
            </w:r>
            <w:proofErr w:type="spellStart"/>
            <w:r w:rsidRPr="004A2385">
              <w:t>Haenszel</w:t>
            </w:r>
            <w:proofErr w:type="spellEnd"/>
          </w:p>
        </w:tc>
      </w:tr>
      <w:tr w:rsidR="00E27DBD" w:rsidRPr="0068739E" w:rsidTr="00A31464">
        <w:trPr>
          <w:trHeight w:val="146"/>
        </w:trPr>
        <w:tc>
          <w:tcPr>
            <w:tcW w:w="1935" w:type="dxa"/>
          </w:tcPr>
          <w:p w:rsidR="00E27DBD" w:rsidRDefault="00E27DBD" w:rsidP="00A31464">
            <w:r>
              <w:t>CMI</w:t>
            </w:r>
          </w:p>
        </w:tc>
        <w:tc>
          <w:tcPr>
            <w:tcW w:w="7076" w:type="dxa"/>
          </w:tcPr>
          <w:p w:rsidR="00E27DBD" w:rsidRPr="004A2385" w:rsidRDefault="008011F9" w:rsidP="00A31464">
            <w:r>
              <w:rPr>
                <w:rFonts w:cs="Arial"/>
              </w:rPr>
              <w:t>Consumer Medicine I</w:t>
            </w:r>
            <w:r w:rsidR="00E27DBD" w:rsidRPr="00A27420">
              <w:rPr>
                <w:rFonts w:cs="Arial"/>
              </w:rPr>
              <w:t>nformation</w:t>
            </w:r>
          </w:p>
        </w:tc>
      </w:tr>
      <w:tr w:rsidR="00A055FD" w:rsidRPr="0068739E" w:rsidTr="00A31464">
        <w:trPr>
          <w:trHeight w:val="146"/>
        </w:trPr>
        <w:tc>
          <w:tcPr>
            <w:tcW w:w="1935" w:type="dxa"/>
          </w:tcPr>
          <w:p w:rsidR="00A055FD" w:rsidRPr="0068739E" w:rsidRDefault="00A055FD" w:rsidP="00A31464">
            <w:r w:rsidRPr="0068739E">
              <w:t>DLQI</w:t>
            </w:r>
          </w:p>
        </w:tc>
        <w:tc>
          <w:tcPr>
            <w:tcW w:w="7076" w:type="dxa"/>
          </w:tcPr>
          <w:p w:rsidR="00A055FD" w:rsidRPr="0068739E" w:rsidRDefault="00A055FD" w:rsidP="00A31464">
            <w:r w:rsidRPr="0068739E">
              <w:t>Dermatology Life Quality Index</w:t>
            </w:r>
          </w:p>
        </w:tc>
      </w:tr>
      <w:tr w:rsidR="00A055FD" w:rsidRPr="0068739E" w:rsidTr="00A31464">
        <w:trPr>
          <w:trHeight w:val="146"/>
        </w:trPr>
        <w:tc>
          <w:tcPr>
            <w:tcW w:w="1935" w:type="dxa"/>
          </w:tcPr>
          <w:p w:rsidR="00A055FD" w:rsidRPr="0068739E" w:rsidRDefault="00A055FD" w:rsidP="00A31464">
            <w:r w:rsidRPr="0068739E">
              <w:t>EU</w:t>
            </w:r>
          </w:p>
        </w:tc>
        <w:tc>
          <w:tcPr>
            <w:tcW w:w="7076" w:type="dxa"/>
          </w:tcPr>
          <w:p w:rsidR="00A055FD" w:rsidRPr="0068739E" w:rsidRDefault="00A055FD" w:rsidP="00A31464">
            <w:r w:rsidRPr="0068739E">
              <w:t>European Union</w:t>
            </w:r>
          </w:p>
        </w:tc>
      </w:tr>
      <w:tr w:rsidR="00A055FD" w:rsidRPr="0068739E" w:rsidTr="00A31464">
        <w:trPr>
          <w:trHeight w:val="146"/>
        </w:trPr>
        <w:tc>
          <w:tcPr>
            <w:tcW w:w="1935" w:type="dxa"/>
          </w:tcPr>
          <w:p w:rsidR="00A055FD" w:rsidRPr="0068739E" w:rsidRDefault="00A055FD" w:rsidP="00A31464">
            <w:proofErr w:type="spellStart"/>
            <w:r w:rsidRPr="0068739E">
              <w:t>HiSCR</w:t>
            </w:r>
            <w:proofErr w:type="spellEnd"/>
          </w:p>
        </w:tc>
        <w:tc>
          <w:tcPr>
            <w:tcW w:w="7076" w:type="dxa"/>
          </w:tcPr>
          <w:p w:rsidR="00A055FD" w:rsidRPr="0068739E" w:rsidRDefault="00A055FD" w:rsidP="00A31464">
            <w:r w:rsidRPr="0068739E">
              <w:t xml:space="preserve">Hidradenitis </w:t>
            </w:r>
            <w:proofErr w:type="spellStart"/>
            <w:r w:rsidRPr="0068739E">
              <w:t>Suppurativa</w:t>
            </w:r>
            <w:proofErr w:type="spellEnd"/>
            <w:r w:rsidRPr="0068739E">
              <w:t xml:space="preserve"> Clinical Response</w:t>
            </w:r>
          </w:p>
        </w:tc>
      </w:tr>
      <w:tr w:rsidR="007D6928" w:rsidRPr="0068739E" w:rsidTr="00A31464">
        <w:trPr>
          <w:trHeight w:val="146"/>
        </w:trPr>
        <w:tc>
          <w:tcPr>
            <w:tcW w:w="1935" w:type="dxa"/>
          </w:tcPr>
          <w:p w:rsidR="007D6928" w:rsidRPr="0068739E" w:rsidRDefault="007D6928" w:rsidP="00A31464">
            <w:r>
              <w:t>HIV</w:t>
            </w:r>
          </w:p>
        </w:tc>
        <w:tc>
          <w:tcPr>
            <w:tcW w:w="7076" w:type="dxa"/>
          </w:tcPr>
          <w:p w:rsidR="007D6928" w:rsidRPr="0068739E" w:rsidRDefault="007D6928" w:rsidP="00A31464">
            <w:r>
              <w:t>Human immunodeficiency virus</w:t>
            </w:r>
          </w:p>
        </w:tc>
      </w:tr>
      <w:tr w:rsidR="00A055FD" w:rsidRPr="0068739E" w:rsidTr="00A31464">
        <w:trPr>
          <w:trHeight w:val="146"/>
        </w:trPr>
        <w:tc>
          <w:tcPr>
            <w:tcW w:w="1935" w:type="dxa"/>
          </w:tcPr>
          <w:p w:rsidR="00A055FD" w:rsidRPr="0068739E" w:rsidRDefault="00A055FD" w:rsidP="00A31464">
            <w:r w:rsidRPr="0068739E">
              <w:t>HS</w:t>
            </w:r>
          </w:p>
        </w:tc>
        <w:tc>
          <w:tcPr>
            <w:tcW w:w="7076" w:type="dxa"/>
          </w:tcPr>
          <w:p w:rsidR="00A055FD" w:rsidRPr="0068739E" w:rsidRDefault="00A055FD" w:rsidP="00A31464">
            <w:r w:rsidRPr="0068739E">
              <w:t xml:space="preserve">Hidradenitis </w:t>
            </w:r>
            <w:proofErr w:type="spellStart"/>
            <w:r w:rsidRPr="0068739E">
              <w:t>suppurativa</w:t>
            </w:r>
            <w:proofErr w:type="spellEnd"/>
          </w:p>
        </w:tc>
      </w:tr>
      <w:tr w:rsidR="007D6928" w:rsidRPr="0068739E" w:rsidTr="00A31464">
        <w:trPr>
          <w:trHeight w:val="146"/>
        </w:trPr>
        <w:tc>
          <w:tcPr>
            <w:tcW w:w="1935" w:type="dxa"/>
          </w:tcPr>
          <w:p w:rsidR="007D6928" w:rsidRPr="0068739E" w:rsidRDefault="007D6928" w:rsidP="00A31464">
            <w:r>
              <w:t>HS</w:t>
            </w:r>
            <w:r w:rsidR="000C2FFA">
              <w:t>–</w:t>
            </w:r>
            <w:r>
              <w:t>PGA</w:t>
            </w:r>
          </w:p>
        </w:tc>
        <w:tc>
          <w:tcPr>
            <w:tcW w:w="7076" w:type="dxa"/>
          </w:tcPr>
          <w:p w:rsidR="007D6928" w:rsidRPr="0068739E" w:rsidRDefault="007D6928" w:rsidP="00A31464">
            <w:proofErr w:type="spellStart"/>
            <w:r>
              <w:t>Hydradenitis</w:t>
            </w:r>
            <w:proofErr w:type="spellEnd"/>
            <w:r>
              <w:t xml:space="preserve"> </w:t>
            </w:r>
            <w:proofErr w:type="spellStart"/>
            <w:r>
              <w:t>suppurative</w:t>
            </w:r>
            <w:proofErr w:type="spellEnd"/>
            <w:r>
              <w:t xml:space="preserve"> Physician`s Global Assessment</w:t>
            </w:r>
          </w:p>
        </w:tc>
      </w:tr>
      <w:tr w:rsidR="007D6928" w:rsidRPr="0068739E" w:rsidTr="00A31464">
        <w:trPr>
          <w:trHeight w:val="146"/>
        </w:trPr>
        <w:tc>
          <w:tcPr>
            <w:tcW w:w="1935" w:type="dxa"/>
          </w:tcPr>
          <w:p w:rsidR="007D6928" w:rsidRPr="0068739E" w:rsidRDefault="007D6928" w:rsidP="00A31464">
            <w:r w:rsidRPr="003C25ED">
              <w:lastRenderedPageBreak/>
              <w:t>HSTCL</w:t>
            </w:r>
          </w:p>
        </w:tc>
        <w:tc>
          <w:tcPr>
            <w:tcW w:w="7076" w:type="dxa"/>
          </w:tcPr>
          <w:p w:rsidR="007D6928" w:rsidRPr="0068739E" w:rsidRDefault="007D6928" w:rsidP="00A31464">
            <w:proofErr w:type="spellStart"/>
            <w:r>
              <w:t>H</w:t>
            </w:r>
            <w:r w:rsidRPr="003C25ED">
              <w:t>epatosplenic</w:t>
            </w:r>
            <w:proofErr w:type="spellEnd"/>
            <w:r w:rsidRPr="003C25ED">
              <w:t xml:space="preserve"> T</w:t>
            </w:r>
            <w:r w:rsidR="000C2FFA">
              <w:t>–</w:t>
            </w:r>
            <w:r w:rsidRPr="003C25ED">
              <w:t>cell lymphoma</w:t>
            </w:r>
          </w:p>
        </w:tc>
      </w:tr>
      <w:tr w:rsidR="00A055FD" w:rsidRPr="0068739E" w:rsidTr="00A31464">
        <w:trPr>
          <w:trHeight w:val="146"/>
        </w:trPr>
        <w:tc>
          <w:tcPr>
            <w:tcW w:w="1935" w:type="dxa"/>
          </w:tcPr>
          <w:p w:rsidR="00A055FD" w:rsidRDefault="00A055FD" w:rsidP="00A31464">
            <w:r>
              <w:t>IBD</w:t>
            </w:r>
          </w:p>
        </w:tc>
        <w:tc>
          <w:tcPr>
            <w:tcW w:w="7076" w:type="dxa"/>
          </w:tcPr>
          <w:p w:rsidR="00A055FD" w:rsidRPr="0068739E" w:rsidRDefault="00A055FD" w:rsidP="00A31464">
            <w:r>
              <w:t>International birth date</w:t>
            </w:r>
          </w:p>
        </w:tc>
      </w:tr>
      <w:tr w:rsidR="00A055FD" w:rsidRPr="0068739E" w:rsidTr="00A31464">
        <w:trPr>
          <w:trHeight w:val="146"/>
        </w:trPr>
        <w:tc>
          <w:tcPr>
            <w:tcW w:w="1935" w:type="dxa"/>
          </w:tcPr>
          <w:p w:rsidR="00A055FD" w:rsidRPr="0068739E" w:rsidRDefault="00A055FD" w:rsidP="00A31464">
            <w:r>
              <w:t>ITT</w:t>
            </w:r>
          </w:p>
        </w:tc>
        <w:tc>
          <w:tcPr>
            <w:tcW w:w="7076" w:type="dxa"/>
          </w:tcPr>
          <w:p w:rsidR="00A055FD" w:rsidRPr="0068739E" w:rsidRDefault="00A055FD" w:rsidP="00A31464">
            <w:r>
              <w:t>Intent to treat</w:t>
            </w:r>
          </w:p>
        </w:tc>
      </w:tr>
      <w:tr w:rsidR="00A055FD" w:rsidRPr="0068739E" w:rsidTr="00A31464">
        <w:trPr>
          <w:trHeight w:val="146"/>
        </w:trPr>
        <w:tc>
          <w:tcPr>
            <w:tcW w:w="1935" w:type="dxa"/>
          </w:tcPr>
          <w:p w:rsidR="00A055FD" w:rsidRPr="0068739E" w:rsidRDefault="00A055FD" w:rsidP="00A31464">
            <w:r>
              <w:t>JIA</w:t>
            </w:r>
          </w:p>
        </w:tc>
        <w:tc>
          <w:tcPr>
            <w:tcW w:w="7076" w:type="dxa"/>
          </w:tcPr>
          <w:p w:rsidR="00A055FD" w:rsidRPr="0068739E" w:rsidRDefault="00A055FD" w:rsidP="00A31464">
            <w:r>
              <w:t>Juvenile idiopathic arthritis</w:t>
            </w:r>
          </w:p>
        </w:tc>
      </w:tr>
      <w:tr w:rsidR="00A055FD" w:rsidRPr="0068739E" w:rsidTr="00A31464">
        <w:trPr>
          <w:trHeight w:val="146"/>
        </w:trPr>
        <w:tc>
          <w:tcPr>
            <w:tcW w:w="1935" w:type="dxa"/>
          </w:tcPr>
          <w:p w:rsidR="00A055FD" w:rsidRPr="0068739E" w:rsidRDefault="00A055FD" w:rsidP="00A31464">
            <w:r w:rsidRPr="0068739E">
              <w:t>LOCF</w:t>
            </w:r>
          </w:p>
        </w:tc>
        <w:tc>
          <w:tcPr>
            <w:tcW w:w="7076" w:type="dxa"/>
          </w:tcPr>
          <w:p w:rsidR="00A055FD" w:rsidRPr="0068739E" w:rsidRDefault="00A055FD" w:rsidP="00A31464">
            <w:r w:rsidRPr="0068739E">
              <w:t>Last observation carried forward</w:t>
            </w:r>
          </w:p>
        </w:tc>
      </w:tr>
      <w:tr w:rsidR="00A055FD" w:rsidRPr="0068739E" w:rsidTr="00A31464">
        <w:trPr>
          <w:trHeight w:val="146"/>
        </w:trPr>
        <w:tc>
          <w:tcPr>
            <w:tcW w:w="1935" w:type="dxa"/>
          </w:tcPr>
          <w:p w:rsidR="00A055FD" w:rsidRPr="0068739E" w:rsidRDefault="00A055FD" w:rsidP="00A31464">
            <w:r w:rsidRPr="0068739E">
              <w:t>LOR</w:t>
            </w:r>
          </w:p>
        </w:tc>
        <w:tc>
          <w:tcPr>
            <w:tcW w:w="7076" w:type="dxa"/>
          </w:tcPr>
          <w:p w:rsidR="00A055FD" w:rsidRPr="0068739E" w:rsidRDefault="00A055FD" w:rsidP="00A31464">
            <w:r w:rsidRPr="0068739E">
              <w:t>Loss of response</w:t>
            </w:r>
          </w:p>
        </w:tc>
      </w:tr>
      <w:tr w:rsidR="00A055FD" w:rsidTr="00A31464">
        <w:trPr>
          <w:trHeight w:val="146"/>
        </w:trPr>
        <w:tc>
          <w:tcPr>
            <w:tcW w:w="1935" w:type="dxa"/>
          </w:tcPr>
          <w:p w:rsidR="00A055FD" w:rsidRDefault="00A055FD" w:rsidP="00A31464">
            <w:r>
              <w:t>NMSC</w:t>
            </w:r>
          </w:p>
        </w:tc>
        <w:tc>
          <w:tcPr>
            <w:tcW w:w="7076" w:type="dxa"/>
          </w:tcPr>
          <w:p w:rsidR="00A055FD" w:rsidRDefault="00A055FD" w:rsidP="00A31464">
            <w:r>
              <w:t>Non</w:t>
            </w:r>
            <w:r w:rsidR="000C2FFA">
              <w:t>–</w:t>
            </w:r>
            <w:r>
              <w:t>melanoma skin cancer</w:t>
            </w:r>
          </w:p>
        </w:tc>
      </w:tr>
      <w:tr w:rsidR="00A055FD" w:rsidTr="00A31464">
        <w:trPr>
          <w:trHeight w:val="146"/>
        </w:trPr>
        <w:tc>
          <w:tcPr>
            <w:tcW w:w="1935" w:type="dxa"/>
          </w:tcPr>
          <w:p w:rsidR="00A055FD" w:rsidRDefault="00A055FD" w:rsidP="00A31464">
            <w:r>
              <w:t>NR</w:t>
            </w:r>
          </w:p>
        </w:tc>
        <w:tc>
          <w:tcPr>
            <w:tcW w:w="7076" w:type="dxa"/>
          </w:tcPr>
          <w:p w:rsidR="00A055FD" w:rsidRDefault="00A055FD" w:rsidP="00A31464">
            <w:r>
              <w:t>Non</w:t>
            </w:r>
            <w:r w:rsidR="000C2FFA">
              <w:t>–</w:t>
            </w:r>
            <w:r>
              <w:t>responder</w:t>
            </w:r>
          </w:p>
        </w:tc>
      </w:tr>
      <w:tr w:rsidR="00A055FD" w:rsidRPr="0068739E" w:rsidTr="00A31464">
        <w:trPr>
          <w:trHeight w:val="146"/>
        </w:trPr>
        <w:tc>
          <w:tcPr>
            <w:tcW w:w="1935" w:type="dxa"/>
          </w:tcPr>
          <w:p w:rsidR="00A055FD" w:rsidRPr="0068739E" w:rsidRDefault="00A055FD" w:rsidP="00A31464">
            <w:r w:rsidRPr="0068739E">
              <w:t>NRI</w:t>
            </w:r>
          </w:p>
        </w:tc>
        <w:tc>
          <w:tcPr>
            <w:tcW w:w="7076" w:type="dxa"/>
          </w:tcPr>
          <w:p w:rsidR="00A055FD" w:rsidRPr="0068739E" w:rsidRDefault="00A055FD" w:rsidP="00A31464">
            <w:r w:rsidRPr="0068739E">
              <w:t>Non</w:t>
            </w:r>
            <w:r w:rsidR="000C2FFA">
              <w:t>–</w:t>
            </w:r>
            <w:r w:rsidRPr="0068739E">
              <w:t>responder imputation</w:t>
            </w:r>
          </w:p>
        </w:tc>
      </w:tr>
      <w:tr w:rsidR="00A055FD" w:rsidTr="00A31464">
        <w:trPr>
          <w:trHeight w:val="146"/>
        </w:trPr>
        <w:tc>
          <w:tcPr>
            <w:tcW w:w="1935" w:type="dxa"/>
          </w:tcPr>
          <w:p w:rsidR="00A055FD" w:rsidRDefault="00A055FD" w:rsidP="00A31464">
            <w:proofErr w:type="spellStart"/>
            <w:r>
              <w:t>Nr</w:t>
            </w:r>
            <w:proofErr w:type="spellEnd"/>
            <w:r w:rsidR="000C2FFA">
              <w:t>–</w:t>
            </w:r>
            <w:proofErr w:type="spellStart"/>
            <w:r>
              <w:t>ax</w:t>
            </w:r>
            <w:proofErr w:type="spellEnd"/>
            <w:r>
              <w:t xml:space="preserve"> </w:t>
            </w:r>
            <w:proofErr w:type="spellStart"/>
            <w:r>
              <w:t>SpA</w:t>
            </w:r>
            <w:proofErr w:type="spellEnd"/>
          </w:p>
        </w:tc>
        <w:tc>
          <w:tcPr>
            <w:tcW w:w="7076" w:type="dxa"/>
          </w:tcPr>
          <w:p w:rsidR="00A055FD" w:rsidRDefault="00A055FD" w:rsidP="00A31464">
            <w:r>
              <w:t>Non</w:t>
            </w:r>
            <w:r w:rsidR="000C2FFA">
              <w:t>–</w:t>
            </w:r>
            <w:r>
              <w:t xml:space="preserve">radiographic axial </w:t>
            </w:r>
            <w:proofErr w:type="spellStart"/>
            <w:r>
              <w:t>spondylarthritis</w:t>
            </w:r>
            <w:proofErr w:type="spellEnd"/>
          </w:p>
        </w:tc>
      </w:tr>
      <w:tr w:rsidR="00A055FD" w:rsidRPr="0068739E" w:rsidTr="00A31464">
        <w:trPr>
          <w:trHeight w:val="146"/>
        </w:trPr>
        <w:tc>
          <w:tcPr>
            <w:tcW w:w="1935" w:type="dxa"/>
          </w:tcPr>
          <w:p w:rsidR="00A055FD" w:rsidRPr="0068739E" w:rsidRDefault="00A055FD" w:rsidP="00A31464">
            <w:r>
              <w:t>PBO</w:t>
            </w:r>
          </w:p>
        </w:tc>
        <w:tc>
          <w:tcPr>
            <w:tcW w:w="7076" w:type="dxa"/>
          </w:tcPr>
          <w:p w:rsidR="00A055FD" w:rsidRPr="0068739E" w:rsidRDefault="00A055FD" w:rsidP="00A31464">
            <w:r>
              <w:t>Placebo</w:t>
            </w:r>
          </w:p>
        </w:tc>
      </w:tr>
      <w:tr w:rsidR="007C4ABC" w:rsidRPr="0068739E" w:rsidTr="00A31464">
        <w:trPr>
          <w:trHeight w:val="146"/>
        </w:trPr>
        <w:tc>
          <w:tcPr>
            <w:tcW w:w="1935" w:type="dxa"/>
          </w:tcPr>
          <w:p w:rsidR="007C4ABC" w:rsidRDefault="007C4ABC" w:rsidP="00A31464">
            <w:proofErr w:type="spellStart"/>
            <w:r>
              <w:t>PedERA</w:t>
            </w:r>
            <w:proofErr w:type="spellEnd"/>
          </w:p>
        </w:tc>
        <w:tc>
          <w:tcPr>
            <w:tcW w:w="7076" w:type="dxa"/>
          </w:tcPr>
          <w:p w:rsidR="007C4ABC" w:rsidRDefault="007C4ABC" w:rsidP="00A31464">
            <w:r>
              <w:t xml:space="preserve">Paediatric </w:t>
            </w:r>
            <w:proofErr w:type="spellStart"/>
            <w:r>
              <w:t>enthesitis</w:t>
            </w:r>
            <w:proofErr w:type="spellEnd"/>
            <w:r>
              <w:t xml:space="preserve"> related arthritis</w:t>
            </w:r>
          </w:p>
        </w:tc>
      </w:tr>
      <w:tr w:rsidR="00A055FD" w:rsidRPr="0068739E" w:rsidTr="00A31464">
        <w:trPr>
          <w:trHeight w:val="146"/>
        </w:trPr>
        <w:tc>
          <w:tcPr>
            <w:tcW w:w="1935" w:type="dxa"/>
          </w:tcPr>
          <w:p w:rsidR="00A055FD" w:rsidRPr="0068739E" w:rsidRDefault="00A055FD" w:rsidP="00A31464">
            <w:r w:rsidRPr="0068739E">
              <w:t>PGA</w:t>
            </w:r>
          </w:p>
        </w:tc>
        <w:tc>
          <w:tcPr>
            <w:tcW w:w="7076" w:type="dxa"/>
          </w:tcPr>
          <w:p w:rsidR="00A055FD" w:rsidRPr="0068739E" w:rsidRDefault="00A055FD" w:rsidP="00A31464">
            <w:r w:rsidRPr="0068739E">
              <w:t>Physician's Global Assessment</w:t>
            </w:r>
          </w:p>
        </w:tc>
      </w:tr>
      <w:tr w:rsidR="00A055FD" w:rsidRPr="0068739E" w:rsidTr="00A31464">
        <w:trPr>
          <w:trHeight w:val="146"/>
        </w:trPr>
        <w:tc>
          <w:tcPr>
            <w:tcW w:w="1935" w:type="dxa"/>
          </w:tcPr>
          <w:p w:rsidR="00A055FD" w:rsidRPr="0068739E" w:rsidRDefault="00A055FD" w:rsidP="00A31464">
            <w:r>
              <w:t>PI</w:t>
            </w:r>
          </w:p>
        </w:tc>
        <w:tc>
          <w:tcPr>
            <w:tcW w:w="7076" w:type="dxa"/>
          </w:tcPr>
          <w:p w:rsidR="00A055FD" w:rsidRPr="0068739E" w:rsidRDefault="00A055FD" w:rsidP="00A31464">
            <w:r>
              <w:t>Product Information</w:t>
            </w:r>
          </w:p>
        </w:tc>
      </w:tr>
      <w:tr w:rsidR="00A055FD" w:rsidRPr="0068739E" w:rsidTr="00A31464">
        <w:trPr>
          <w:trHeight w:val="146"/>
        </w:trPr>
        <w:tc>
          <w:tcPr>
            <w:tcW w:w="1935" w:type="dxa"/>
          </w:tcPr>
          <w:p w:rsidR="00A055FD" w:rsidRPr="0068739E" w:rsidRDefault="00A055FD" w:rsidP="00A31464">
            <w:r w:rsidRPr="0068739E">
              <w:t xml:space="preserve">PK </w:t>
            </w:r>
          </w:p>
        </w:tc>
        <w:tc>
          <w:tcPr>
            <w:tcW w:w="7076" w:type="dxa"/>
          </w:tcPr>
          <w:p w:rsidR="00A055FD" w:rsidRPr="0068739E" w:rsidRDefault="00A055FD" w:rsidP="00A31464">
            <w:r w:rsidRPr="0068739E">
              <w:t>Pharmacokinetic</w:t>
            </w:r>
          </w:p>
        </w:tc>
      </w:tr>
      <w:tr w:rsidR="00A055FD" w:rsidRPr="0068739E" w:rsidTr="00A31464">
        <w:trPr>
          <w:trHeight w:val="547"/>
        </w:trPr>
        <w:tc>
          <w:tcPr>
            <w:tcW w:w="1935" w:type="dxa"/>
          </w:tcPr>
          <w:p w:rsidR="00A055FD" w:rsidRPr="0068739E" w:rsidRDefault="00A055FD" w:rsidP="00A31464">
            <w:r>
              <w:t>Ps</w:t>
            </w:r>
          </w:p>
        </w:tc>
        <w:tc>
          <w:tcPr>
            <w:tcW w:w="7076" w:type="dxa"/>
          </w:tcPr>
          <w:p w:rsidR="00A055FD" w:rsidRPr="0068739E" w:rsidRDefault="00A055FD" w:rsidP="00A31464">
            <w:r>
              <w:t>Psoriasis</w:t>
            </w:r>
          </w:p>
        </w:tc>
      </w:tr>
      <w:tr w:rsidR="00A055FD" w:rsidTr="00A31464">
        <w:trPr>
          <w:trHeight w:val="547"/>
        </w:trPr>
        <w:tc>
          <w:tcPr>
            <w:tcW w:w="1935" w:type="dxa"/>
          </w:tcPr>
          <w:p w:rsidR="00A055FD" w:rsidRDefault="00A055FD" w:rsidP="00A31464">
            <w:proofErr w:type="spellStart"/>
            <w:r>
              <w:t>PsA</w:t>
            </w:r>
            <w:proofErr w:type="spellEnd"/>
          </w:p>
        </w:tc>
        <w:tc>
          <w:tcPr>
            <w:tcW w:w="7076" w:type="dxa"/>
          </w:tcPr>
          <w:p w:rsidR="00A055FD" w:rsidRDefault="00A055FD" w:rsidP="00A31464">
            <w:r>
              <w:t>Psoriatic arthritis</w:t>
            </w:r>
          </w:p>
        </w:tc>
      </w:tr>
      <w:tr w:rsidR="00A055FD" w:rsidRPr="0068739E" w:rsidTr="00A31464">
        <w:trPr>
          <w:trHeight w:val="537"/>
        </w:trPr>
        <w:tc>
          <w:tcPr>
            <w:tcW w:w="1935" w:type="dxa"/>
          </w:tcPr>
          <w:p w:rsidR="00A055FD" w:rsidRPr="0068739E" w:rsidRDefault="00A055FD" w:rsidP="00A31464">
            <w:r>
              <w:t>PY</w:t>
            </w:r>
          </w:p>
        </w:tc>
        <w:tc>
          <w:tcPr>
            <w:tcW w:w="7076" w:type="dxa"/>
          </w:tcPr>
          <w:p w:rsidR="00A055FD" w:rsidRPr="0068739E" w:rsidRDefault="00A055FD" w:rsidP="00A31464">
            <w:r>
              <w:t>Patient year</w:t>
            </w:r>
          </w:p>
        </w:tc>
      </w:tr>
      <w:tr w:rsidR="00167B04" w:rsidRPr="0068739E" w:rsidTr="00A31464">
        <w:trPr>
          <w:trHeight w:val="537"/>
        </w:trPr>
        <w:tc>
          <w:tcPr>
            <w:tcW w:w="1935" w:type="dxa"/>
          </w:tcPr>
          <w:p w:rsidR="00167B04" w:rsidRDefault="00167B04" w:rsidP="00A31464">
            <w:proofErr w:type="spellStart"/>
            <w:r>
              <w:t>qw</w:t>
            </w:r>
            <w:proofErr w:type="spellEnd"/>
          </w:p>
        </w:tc>
        <w:tc>
          <w:tcPr>
            <w:tcW w:w="7076" w:type="dxa"/>
          </w:tcPr>
          <w:p w:rsidR="00167B04" w:rsidRDefault="00167B04" w:rsidP="00A31464">
            <w:r>
              <w:t>Weekly</w:t>
            </w:r>
          </w:p>
        </w:tc>
      </w:tr>
      <w:tr w:rsidR="00167B04" w:rsidRPr="0068739E" w:rsidTr="00A31464">
        <w:trPr>
          <w:trHeight w:val="537"/>
        </w:trPr>
        <w:tc>
          <w:tcPr>
            <w:tcW w:w="1935" w:type="dxa"/>
          </w:tcPr>
          <w:p w:rsidR="00167B04" w:rsidRDefault="00167B04" w:rsidP="00A31464">
            <w:r>
              <w:t>Q2w</w:t>
            </w:r>
          </w:p>
        </w:tc>
        <w:tc>
          <w:tcPr>
            <w:tcW w:w="7076" w:type="dxa"/>
          </w:tcPr>
          <w:p w:rsidR="00167B04" w:rsidRDefault="00167B04" w:rsidP="00A31464">
            <w:r>
              <w:t>Every other week</w:t>
            </w:r>
          </w:p>
        </w:tc>
      </w:tr>
      <w:tr w:rsidR="00A055FD" w:rsidTr="00A31464">
        <w:trPr>
          <w:trHeight w:val="537"/>
        </w:trPr>
        <w:tc>
          <w:tcPr>
            <w:tcW w:w="1935" w:type="dxa"/>
          </w:tcPr>
          <w:p w:rsidR="00A055FD" w:rsidRDefault="00A055FD" w:rsidP="00A31464">
            <w:r>
              <w:t>RA</w:t>
            </w:r>
          </w:p>
        </w:tc>
        <w:tc>
          <w:tcPr>
            <w:tcW w:w="7076" w:type="dxa"/>
          </w:tcPr>
          <w:p w:rsidR="00A055FD" w:rsidRDefault="00A055FD" w:rsidP="00A31464">
            <w:r>
              <w:t>Rheumatoid arthritis</w:t>
            </w:r>
          </w:p>
        </w:tc>
      </w:tr>
      <w:tr w:rsidR="00A055FD" w:rsidRPr="0068739E" w:rsidTr="00A31464">
        <w:trPr>
          <w:trHeight w:val="547"/>
        </w:trPr>
        <w:tc>
          <w:tcPr>
            <w:tcW w:w="1935" w:type="dxa"/>
          </w:tcPr>
          <w:p w:rsidR="00A055FD" w:rsidRPr="0068739E" w:rsidRDefault="00A055FD" w:rsidP="00A31464">
            <w:r w:rsidRPr="0068739E">
              <w:t>SAE</w:t>
            </w:r>
          </w:p>
        </w:tc>
        <w:tc>
          <w:tcPr>
            <w:tcW w:w="7076" w:type="dxa"/>
          </w:tcPr>
          <w:p w:rsidR="00A055FD" w:rsidRPr="0068739E" w:rsidRDefault="00A055FD" w:rsidP="00A31464">
            <w:r w:rsidRPr="0068739E">
              <w:t>Serious adverse event</w:t>
            </w:r>
          </w:p>
        </w:tc>
      </w:tr>
      <w:tr w:rsidR="00B868C3" w:rsidRPr="0068739E" w:rsidTr="00A31464">
        <w:trPr>
          <w:trHeight w:val="547"/>
        </w:trPr>
        <w:tc>
          <w:tcPr>
            <w:tcW w:w="1935" w:type="dxa"/>
          </w:tcPr>
          <w:p w:rsidR="00B868C3" w:rsidRDefault="00B868C3" w:rsidP="00A31464">
            <w:proofErr w:type="spellStart"/>
            <w:r>
              <w:t>SmPC</w:t>
            </w:r>
            <w:proofErr w:type="spellEnd"/>
          </w:p>
        </w:tc>
        <w:tc>
          <w:tcPr>
            <w:tcW w:w="7076" w:type="dxa"/>
          </w:tcPr>
          <w:p w:rsidR="00B868C3" w:rsidRDefault="00B868C3" w:rsidP="00A31464">
            <w:r>
              <w:t>Summary of product characteristic</w:t>
            </w:r>
            <w:r w:rsidR="004E7A18">
              <w:t>s</w:t>
            </w:r>
          </w:p>
        </w:tc>
      </w:tr>
      <w:tr w:rsidR="00A055FD" w:rsidRPr="0068739E" w:rsidTr="00A31464">
        <w:trPr>
          <w:trHeight w:val="547"/>
        </w:trPr>
        <w:tc>
          <w:tcPr>
            <w:tcW w:w="1935" w:type="dxa"/>
          </w:tcPr>
          <w:p w:rsidR="00A055FD" w:rsidRPr="0068739E" w:rsidRDefault="00A055FD" w:rsidP="00A31464">
            <w:proofErr w:type="spellStart"/>
            <w:r>
              <w:t>SpA</w:t>
            </w:r>
            <w:proofErr w:type="spellEnd"/>
          </w:p>
        </w:tc>
        <w:tc>
          <w:tcPr>
            <w:tcW w:w="7076" w:type="dxa"/>
          </w:tcPr>
          <w:p w:rsidR="00A055FD" w:rsidRPr="0068739E" w:rsidRDefault="00A055FD" w:rsidP="00A31464">
            <w:proofErr w:type="spellStart"/>
            <w:r>
              <w:t>Spondylarthritis</w:t>
            </w:r>
            <w:proofErr w:type="spellEnd"/>
          </w:p>
        </w:tc>
      </w:tr>
      <w:tr w:rsidR="00A055FD" w:rsidRPr="0068739E" w:rsidTr="00A31464">
        <w:trPr>
          <w:trHeight w:val="547"/>
        </w:trPr>
        <w:tc>
          <w:tcPr>
            <w:tcW w:w="1935" w:type="dxa"/>
          </w:tcPr>
          <w:p w:rsidR="00A055FD" w:rsidRPr="0068739E" w:rsidRDefault="00A055FD" w:rsidP="00A31464">
            <w:r w:rsidRPr="0068739E">
              <w:t>TEAE</w:t>
            </w:r>
          </w:p>
        </w:tc>
        <w:tc>
          <w:tcPr>
            <w:tcW w:w="7076" w:type="dxa"/>
          </w:tcPr>
          <w:p w:rsidR="00A055FD" w:rsidRPr="0068739E" w:rsidRDefault="00A055FD" w:rsidP="00A31464">
            <w:r w:rsidRPr="0068739E">
              <w:t>Treatment</w:t>
            </w:r>
            <w:r w:rsidR="0095258E">
              <w:t xml:space="preserve"> </w:t>
            </w:r>
            <w:r w:rsidRPr="0068739E">
              <w:t>emergent adverse event</w:t>
            </w:r>
          </w:p>
        </w:tc>
      </w:tr>
      <w:tr w:rsidR="00A055FD" w:rsidRPr="0068739E" w:rsidTr="00A31464">
        <w:trPr>
          <w:trHeight w:val="547"/>
        </w:trPr>
        <w:tc>
          <w:tcPr>
            <w:tcW w:w="1935" w:type="dxa"/>
          </w:tcPr>
          <w:p w:rsidR="00A055FD" w:rsidRPr="0068739E" w:rsidRDefault="00A055FD" w:rsidP="00A31464">
            <w:r>
              <w:lastRenderedPageBreak/>
              <w:t>TESAE</w:t>
            </w:r>
          </w:p>
        </w:tc>
        <w:tc>
          <w:tcPr>
            <w:tcW w:w="7076" w:type="dxa"/>
          </w:tcPr>
          <w:p w:rsidR="00A055FD" w:rsidRPr="0068739E" w:rsidRDefault="00A055FD" w:rsidP="00A31464">
            <w:r w:rsidRPr="0068739E">
              <w:t>Treatment</w:t>
            </w:r>
            <w:r w:rsidR="0095258E">
              <w:t xml:space="preserve"> </w:t>
            </w:r>
            <w:r w:rsidRPr="0068739E">
              <w:t xml:space="preserve">emergent </w:t>
            </w:r>
            <w:r>
              <w:t xml:space="preserve">serious </w:t>
            </w:r>
            <w:r w:rsidRPr="0068739E">
              <w:t>adverse event</w:t>
            </w:r>
          </w:p>
        </w:tc>
      </w:tr>
      <w:tr w:rsidR="00A055FD" w:rsidRPr="0068739E" w:rsidTr="00A31464">
        <w:trPr>
          <w:trHeight w:val="547"/>
        </w:trPr>
        <w:tc>
          <w:tcPr>
            <w:tcW w:w="1935" w:type="dxa"/>
          </w:tcPr>
          <w:p w:rsidR="00A055FD" w:rsidRPr="0068739E" w:rsidRDefault="00A055FD" w:rsidP="00A31464">
            <w:r w:rsidRPr="0068739E">
              <w:t>TNF</w:t>
            </w:r>
          </w:p>
        </w:tc>
        <w:tc>
          <w:tcPr>
            <w:tcW w:w="7076" w:type="dxa"/>
          </w:tcPr>
          <w:p w:rsidR="00A055FD" w:rsidRPr="0068739E" w:rsidRDefault="00A055FD" w:rsidP="00A31464">
            <w:proofErr w:type="spellStart"/>
            <w:r w:rsidRPr="0068739E">
              <w:t>Tumor</w:t>
            </w:r>
            <w:proofErr w:type="spellEnd"/>
            <w:r w:rsidRPr="0068739E">
              <w:t xml:space="preserve"> necrosis factor</w:t>
            </w:r>
          </w:p>
        </w:tc>
      </w:tr>
      <w:tr w:rsidR="00A055FD" w:rsidRPr="0068739E" w:rsidTr="00A31464">
        <w:trPr>
          <w:trHeight w:val="547"/>
        </w:trPr>
        <w:tc>
          <w:tcPr>
            <w:tcW w:w="1935" w:type="dxa"/>
          </w:tcPr>
          <w:p w:rsidR="00A055FD" w:rsidRPr="0068739E" w:rsidRDefault="00A055FD" w:rsidP="00A31464">
            <w:r>
              <w:t>UC</w:t>
            </w:r>
          </w:p>
        </w:tc>
        <w:tc>
          <w:tcPr>
            <w:tcW w:w="7076" w:type="dxa"/>
          </w:tcPr>
          <w:p w:rsidR="00A055FD" w:rsidRPr="0068739E" w:rsidRDefault="00A055FD" w:rsidP="00A31464">
            <w:r>
              <w:t>U</w:t>
            </w:r>
            <w:r w:rsidRPr="00F75DCE">
              <w:t>lcerative co</w:t>
            </w:r>
            <w:r>
              <w:t>litis</w:t>
            </w:r>
          </w:p>
        </w:tc>
      </w:tr>
      <w:tr w:rsidR="00A055FD" w:rsidRPr="0068739E" w:rsidTr="00A31464">
        <w:trPr>
          <w:trHeight w:val="547"/>
        </w:trPr>
        <w:tc>
          <w:tcPr>
            <w:tcW w:w="1935" w:type="dxa"/>
          </w:tcPr>
          <w:p w:rsidR="00A055FD" w:rsidRPr="0068739E" w:rsidRDefault="00A055FD" w:rsidP="00A31464">
            <w:r w:rsidRPr="0068739E">
              <w:t>US</w:t>
            </w:r>
          </w:p>
        </w:tc>
        <w:tc>
          <w:tcPr>
            <w:tcW w:w="7076" w:type="dxa"/>
          </w:tcPr>
          <w:p w:rsidR="00A055FD" w:rsidRPr="0068739E" w:rsidRDefault="00A055FD" w:rsidP="00A31464">
            <w:r w:rsidRPr="0068739E">
              <w:t>United States</w:t>
            </w:r>
          </w:p>
        </w:tc>
      </w:tr>
      <w:tr w:rsidR="00A055FD" w:rsidRPr="0068739E" w:rsidTr="00A31464">
        <w:trPr>
          <w:trHeight w:val="547"/>
        </w:trPr>
        <w:tc>
          <w:tcPr>
            <w:tcW w:w="1935" w:type="dxa"/>
          </w:tcPr>
          <w:p w:rsidR="00A055FD" w:rsidRPr="0068739E" w:rsidRDefault="00A055FD" w:rsidP="00A31464">
            <w:proofErr w:type="spellStart"/>
            <w:r w:rsidRPr="0068739E">
              <w:t>Wk</w:t>
            </w:r>
            <w:proofErr w:type="spellEnd"/>
          </w:p>
        </w:tc>
        <w:tc>
          <w:tcPr>
            <w:tcW w:w="7076" w:type="dxa"/>
          </w:tcPr>
          <w:p w:rsidR="00A055FD" w:rsidRPr="0068739E" w:rsidRDefault="00A055FD" w:rsidP="00A31464">
            <w:r w:rsidRPr="0068739E">
              <w:t>Week</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Ref450810727"/>
      <w:bookmarkStart w:id="10" w:name="_Toc456951138"/>
      <w:r>
        <w:lastRenderedPageBreak/>
        <w:t>I.</w:t>
      </w:r>
      <w:r w:rsidR="008E7846">
        <w:t xml:space="preserve"> Introduction to product submission</w:t>
      </w:r>
      <w:bookmarkEnd w:id="9"/>
      <w:bookmarkEnd w:id="0"/>
      <w:bookmarkEnd w:id="2"/>
      <w:bookmarkEnd w:id="10"/>
    </w:p>
    <w:p w:rsidR="008E7846" w:rsidRDefault="008E7846" w:rsidP="008E7846">
      <w:pPr>
        <w:pStyle w:val="Heading3"/>
        <w:rPr>
          <w:lang w:eastAsia="en-AU"/>
        </w:rPr>
      </w:pPr>
      <w:bookmarkStart w:id="11" w:name="_Toc247691502"/>
      <w:bookmarkStart w:id="12" w:name="_Toc314842483"/>
      <w:bookmarkStart w:id="13" w:name="_Toc456951139"/>
      <w:r>
        <w:rPr>
          <w:lang w:eastAsia="en-AU"/>
        </w:rPr>
        <w:t>Submission 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rsidTr="00A31464">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90338" w:rsidP="001B5C90">
            <w:r>
              <w:t>Major variation; e</w:t>
            </w:r>
            <w:r w:rsidR="00D17561">
              <w:t>xtension of indications</w:t>
            </w:r>
          </w:p>
        </w:tc>
      </w:tr>
      <w:tr w:rsidR="008E7846" w:rsidRPr="003D1E62" w:rsidTr="00A31464">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D17561" w:rsidP="001B5C90">
            <w:r>
              <w:t>Approved</w:t>
            </w:r>
          </w:p>
        </w:tc>
      </w:tr>
      <w:tr w:rsidR="008E7846" w:rsidRPr="003D1E62" w:rsidTr="00A31464">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C97E5F" w:rsidP="001B5C90">
            <w:r>
              <w:t xml:space="preserve">06 April </w:t>
            </w:r>
            <w:r w:rsidR="00D17561" w:rsidRPr="003C5170">
              <w:t>2016</w:t>
            </w:r>
          </w:p>
        </w:tc>
      </w:tr>
      <w:tr w:rsidR="00ED2922" w:rsidRPr="003D1E62" w:rsidTr="00A31464">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C97E5F" w:rsidP="00EC463D">
            <w:pPr>
              <w:rPr>
                <w:i/>
              </w:rPr>
            </w:pPr>
            <w:r w:rsidRPr="003A0533">
              <w:t xml:space="preserve">08 April </w:t>
            </w:r>
            <w:r w:rsidR="003C5170" w:rsidRPr="003A0533">
              <w:t>2016</w:t>
            </w:r>
          </w:p>
        </w:tc>
      </w:tr>
      <w:tr w:rsidR="008E7846" w:rsidRPr="00487162" w:rsidTr="00A31464">
        <w:tc>
          <w:tcPr>
            <w:tcW w:w="2907" w:type="dxa"/>
          </w:tcPr>
          <w:p w:rsidR="008E7846" w:rsidRPr="00487162" w:rsidRDefault="001B5C90" w:rsidP="00E45619">
            <w:pPr>
              <w:rPr>
                <w:i/>
              </w:rPr>
            </w:pPr>
            <w:r>
              <w:rPr>
                <w:i/>
              </w:rPr>
              <w:t xml:space="preserve">Active </w:t>
            </w:r>
            <w:r w:rsidR="00383E89">
              <w:rPr>
                <w:i/>
              </w:rPr>
              <w:t>ingredient</w:t>
            </w:r>
            <w:r>
              <w:rPr>
                <w:i/>
              </w:rPr>
              <w:t>:</w:t>
            </w:r>
          </w:p>
        </w:tc>
        <w:tc>
          <w:tcPr>
            <w:tcW w:w="6307" w:type="dxa"/>
          </w:tcPr>
          <w:p w:rsidR="008E7846" w:rsidRPr="00487162" w:rsidRDefault="00565C05" w:rsidP="00E45619">
            <w:r>
              <w:t>A</w:t>
            </w:r>
            <w:r w:rsidR="00D17561">
              <w:t>dalimu</w:t>
            </w:r>
            <w:r w:rsidR="00ED417D">
              <w:t>mab</w:t>
            </w:r>
            <w:r w:rsidR="00CC401D">
              <w:t xml:space="preserve"> (</w:t>
            </w:r>
            <w:proofErr w:type="spellStart"/>
            <w:r w:rsidR="00CC401D">
              <w:t>r</w:t>
            </w:r>
            <w:r w:rsidR="009C42A6">
              <w:t>c</w:t>
            </w:r>
            <w:r w:rsidR="00CC401D">
              <w:t>h</w:t>
            </w:r>
            <w:proofErr w:type="spellEnd"/>
            <w:r w:rsidR="009C42A6">
              <w:t>)</w:t>
            </w:r>
          </w:p>
        </w:tc>
      </w:tr>
      <w:tr w:rsidR="008E7846" w:rsidRPr="00487162" w:rsidTr="00A31464">
        <w:tc>
          <w:tcPr>
            <w:tcW w:w="2907" w:type="dxa"/>
          </w:tcPr>
          <w:p w:rsidR="008E7846" w:rsidRPr="00487162" w:rsidRDefault="008E7846" w:rsidP="001B5C90">
            <w:pPr>
              <w:rPr>
                <w:i/>
              </w:rPr>
            </w:pPr>
            <w:r w:rsidRPr="00487162">
              <w:rPr>
                <w:i/>
              </w:rPr>
              <w:t>Product</w:t>
            </w:r>
            <w:r w:rsidR="00383E89">
              <w:rPr>
                <w:i/>
              </w:rPr>
              <w:t xml:space="preserve"> name</w:t>
            </w:r>
            <w:r w:rsidR="001B5C90">
              <w:rPr>
                <w:i/>
              </w:rPr>
              <w:t>:</w:t>
            </w:r>
          </w:p>
        </w:tc>
        <w:tc>
          <w:tcPr>
            <w:tcW w:w="6307" w:type="dxa"/>
          </w:tcPr>
          <w:p w:rsidR="008E7846" w:rsidRPr="00487162" w:rsidRDefault="00D17561" w:rsidP="00E45619">
            <w:proofErr w:type="spellStart"/>
            <w:r>
              <w:t>Humira</w:t>
            </w:r>
            <w:proofErr w:type="spellEnd"/>
          </w:p>
        </w:tc>
      </w:tr>
      <w:tr w:rsidR="008E7846" w:rsidRPr="00487162" w:rsidTr="00A31464">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565C05" w:rsidP="00E45619">
            <w:r>
              <w:t>AbbVie Pty Ltd</w:t>
            </w:r>
          </w:p>
          <w:p w:rsidR="00565C05" w:rsidRDefault="00A57AD7" w:rsidP="00E45619">
            <w:r>
              <w:t>Locked Bag 5029</w:t>
            </w:r>
          </w:p>
          <w:p w:rsidR="00565C05" w:rsidRPr="00487162" w:rsidRDefault="00A57AD7" w:rsidP="00E45619">
            <w:r>
              <w:t>Botany NSW 1455</w:t>
            </w:r>
          </w:p>
        </w:tc>
      </w:tr>
      <w:tr w:rsidR="008E7846" w:rsidRPr="00487162" w:rsidTr="00A31464">
        <w:tc>
          <w:tcPr>
            <w:tcW w:w="2907" w:type="dxa"/>
          </w:tcPr>
          <w:p w:rsidR="008E7846" w:rsidRPr="00487162" w:rsidRDefault="00383E89" w:rsidP="00E45619">
            <w:pPr>
              <w:rPr>
                <w:i/>
              </w:rPr>
            </w:pPr>
            <w:r>
              <w:rPr>
                <w:i/>
              </w:rPr>
              <w:t>Dose form</w:t>
            </w:r>
            <w:r w:rsidR="001B5C90">
              <w:rPr>
                <w:i/>
              </w:rPr>
              <w:t>:</w:t>
            </w:r>
          </w:p>
        </w:tc>
        <w:tc>
          <w:tcPr>
            <w:tcW w:w="6307" w:type="dxa"/>
          </w:tcPr>
          <w:p w:rsidR="008E7846" w:rsidRPr="00487162" w:rsidRDefault="00B14A48" w:rsidP="00E45619">
            <w:r>
              <w:t>Solution for injection</w:t>
            </w:r>
          </w:p>
        </w:tc>
      </w:tr>
      <w:tr w:rsidR="008E7846" w:rsidRPr="00487162" w:rsidTr="00A31464">
        <w:tc>
          <w:tcPr>
            <w:tcW w:w="2907" w:type="dxa"/>
          </w:tcPr>
          <w:p w:rsidR="008E7846" w:rsidRPr="00487162" w:rsidRDefault="00383E89" w:rsidP="00E45619">
            <w:pPr>
              <w:rPr>
                <w:i/>
              </w:rPr>
            </w:pPr>
            <w:r>
              <w:rPr>
                <w:i/>
              </w:rPr>
              <w:t>Strengths</w:t>
            </w:r>
            <w:r w:rsidR="008E7846" w:rsidRPr="00487162">
              <w:rPr>
                <w:i/>
              </w:rPr>
              <w:t xml:space="preserve">: </w:t>
            </w:r>
          </w:p>
        </w:tc>
        <w:tc>
          <w:tcPr>
            <w:tcW w:w="6307" w:type="dxa"/>
          </w:tcPr>
          <w:p w:rsidR="008E7846" w:rsidRPr="00487162" w:rsidRDefault="009C4A2B" w:rsidP="00E45619">
            <w:r>
              <w:t>10, 20 and 40 mg</w:t>
            </w:r>
          </w:p>
        </w:tc>
      </w:tr>
      <w:tr w:rsidR="008E7846" w:rsidRPr="00487162" w:rsidTr="00A31464">
        <w:tc>
          <w:tcPr>
            <w:tcW w:w="2907" w:type="dxa"/>
          </w:tcPr>
          <w:p w:rsidR="008E7846" w:rsidRPr="00487162" w:rsidRDefault="00383E89" w:rsidP="00E45619">
            <w:pPr>
              <w:rPr>
                <w:i/>
              </w:rPr>
            </w:pPr>
            <w:r>
              <w:rPr>
                <w:i/>
              </w:rPr>
              <w:t>Containers</w:t>
            </w:r>
            <w:r w:rsidR="008E7846" w:rsidRPr="00487162">
              <w:rPr>
                <w:i/>
              </w:rPr>
              <w:t>:</w:t>
            </w:r>
          </w:p>
        </w:tc>
        <w:tc>
          <w:tcPr>
            <w:tcW w:w="6307" w:type="dxa"/>
          </w:tcPr>
          <w:p w:rsidR="008E7846" w:rsidRPr="00487162" w:rsidRDefault="009C4A2B" w:rsidP="00E45619">
            <w:r>
              <w:t>Pre</w:t>
            </w:r>
            <w:r w:rsidR="000C2FFA">
              <w:t>–</w:t>
            </w:r>
            <w:r>
              <w:t>filled syringe</w:t>
            </w:r>
            <w:r w:rsidR="00391BFA">
              <w:t xml:space="preserve"> (10, 20 and 40</w:t>
            </w:r>
            <w:r w:rsidR="00173399">
              <w:t xml:space="preserve"> </w:t>
            </w:r>
            <w:r w:rsidR="00391BFA">
              <w:t>mg)</w:t>
            </w:r>
            <w:r>
              <w:t xml:space="preserve">, vial </w:t>
            </w:r>
            <w:r w:rsidR="00391BFA">
              <w:t>(40</w:t>
            </w:r>
            <w:r w:rsidR="00173399">
              <w:t xml:space="preserve"> </w:t>
            </w:r>
            <w:r w:rsidR="00391BFA">
              <w:t>mg) and pen (40 mg</w:t>
            </w:r>
            <w:r>
              <w:t>).</w:t>
            </w:r>
          </w:p>
        </w:tc>
      </w:tr>
      <w:tr w:rsidR="008E7846" w:rsidRPr="00487162" w:rsidTr="00A31464">
        <w:tc>
          <w:tcPr>
            <w:tcW w:w="2907" w:type="dxa"/>
          </w:tcPr>
          <w:p w:rsidR="008E7846" w:rsidRPr="00487162" w:rsidRDefault="00383E89" w:rsidP="00E45619">
            <w:pPr>
              <w:rPr>
                <w:i/>
              </w:rPr>
            </w:pPr>
            <w:r>
              <w:rPr>
                <w:i/>
              </w:rPr>
              <w:t>Pack sizes</w:t>
            </w:r>
            <w:r w:rsidR="008E7846" w:rsidRPr="00487162">
              <w:rPr>
                <w:i/>
              </w:rPr>
              <w:t>:</w:t>
            </w:r>
          </w:p>
        </w:tc>
        <w:tc>
          <w:tcPr>
            <w:tcW w:w="6307" w:type="dxa"/>
          </w:tcPr>
          <w:p w:rsidR="00E725F3" w:rsidRDefault="00391BFA" w:rsidP="00391BFA">
            <w:r>
              <w:t>Prefilled syringe 10</w:t>
            </w:r>
            <w:r w:rsidR="00206A1A">
              <w:t xml:space="preserve"> </w:t>
            </w:r>
            <w:r>
              <w:t>mg and 20</w:t>
            </w:r>
            <w:r w:rsidR="00206A1A">
              <w:t xml:space="preserve"> </w:t>
            </w:r>
            <w:r>
              <w:t>mg as a pack of 2 syringes; and 40</w:t>
            </w:r>
            <w:r w:rsidR="00173399">
              <w:t xml:space="preserve"> </w:t>
            </w:r>
            <w:r>
              <w:t>mg a</w:t>
            </w:r>
            <w:r w:rsidR="00173399">
              <w:t xml:space="preserve">s a pack containing </w:t>
            </w:r>
            <w:proofErr w:type="gramStart"/>
            <w:r w:rsidR="00173399">
              <w:t>either 1</w:t>
            </w:r>
            <w:proofErr w:type="gramEnd"/>
            <w:r w:rsidR="00173399">
              <w:t>, 2</w:t>
            </w:r>
            <w:r>
              <w:t>, 3, 4 or 6 syringes.</w:t>
            </w:r>
          </w:p>
          <w:p w:rsidR="00E725F3" w:rsidRDefault="00E725F3" w:rsidP="00E725F3">
            <w:proofErr w:type="spellStart"/>
            <w:r>
              <w:t>Humira</w:t>
            </w:r>
            <w:proofErr w:type="spellEnd"/>
            <w:r>
              <w:t xml:space="preserve"> 40 mg solution </w:t>
            </w:r>
            <w:r w:rsidR="00391BFA">
              <w:t xml:space="preserve">prefilled </w:t>
            </w:r>
            <w:r w:rsidR="009C42A6">
              <w:t>pen</w:t>
            </w:r>
            <w:r w:rsidR="00392235">
              <w:t>:</w:t>
            </w:r>
            <w:r w:rsidR="00391BFA">
              <w:t xml:space="preserve"> a pack containing either 1, 2 , 3, 4 or 6 syringes</w:t>
            </w:r>
          </w:p>
          <w:p w:rsidR="00E725F3" w:rsidRPr="00487162" w:rsidRDefault="00E725F3" w:rsidP="00890338">
            <w:proofErr w:type="spellStart"/>
            <w:r>
              <w:t>Humira</w:t>
            </w:r>
            <w:proofErr w:type="spellEnd"/>
            <w:r>
              <w:t xml:space="preserve"> 40 mg solution (vial)</w:t>
            </w:r>
            <w:r w:rsidR="00392235">
              <w:t>:</w:t>
            </w:r>
            <w:r w:rsidR="00890338">
              <w:t xml:space="preserve"> </w:t>
            </w:r>
            <w:r w:rsidR="00ED58BF">
              <w:t>Pack</w:t>
            </w:r>
            <w:r w:rsidR="001F4309">
              <w:t xml:space="preserve"> containing 1 vial</w:t>
            </w:r>
          </w:p>
        </w:tc>
      </w:tr>
      <w:tr w:rsidR="008E7846" w:rsidRPr="00487162" w:rsidTr="00A31464">
        <w:tc>
          <w:tcPr>
            <w:tcW w:w="2907" w:type="dxa"/>
          </w:tcPr>
          <w:p w:rsidR="008E7846" w:rsidRPr="00487162" w:rsidRDefault="007C54C1" w:rsidP="001B5C90">
            <w:pPr>
              <w:rPr>
                <w:i/>
              </w:rPr>
            </w:pPr>
            <w:r w:rsidRPr="00487162">
              <w:rPr>
                <w:i/>
              </w:rPr>
              <w:t xml:space="preserve">Approved </w:t>
            </w:r>
            <w:r>
              <w:rPr>
                <w:i/>
              </w:rPr>
              <w:t>t</w:t>
            </w:r>
            <w:r w:rsidRPr="00487162">
              <w:rPr>
                <w:i/>
              </w:rPr>
              <w:t>herapeutic use:</w:t>
            </w:r>
          </w:p>
        </w:tc>
        <w:tc>
          <w:tcPr>
            <w:tcW w:w="6307" w:type="dxa"/>
          </w:tcPr>
          <w:p w:rsidR="008E7846" w:rsidRPr="00890338" w:rsidRDefault="009926DE" w:rsidP="00890338">
            <w:pPr>
              <w:rPr>
                <w:i/>
              </w:rPr>
            </w:pPr>
            <w:proofErr w:type="spellStart"/>
            <w:r w:rsidRPr="00890338">
              <w:rPr>
                <w:i/>
              </w:rPr>
              <w:t>Humira</w:t>
            </w:r>
            <w:proofErr w:type="spellEnd"/>
            <w:r w:rsidRPr="00890338">
              <w:rPr>
                <w:i/>
              </w:rPr>
              <w:t xml:space="preserve"> is indicated </w:t>
            </w:r>
            <w:r w:rsidR="001A4AAD">
              <w:rPr>
                <w:i/>
              </w:rPr>
              <w:t>for</w:t>
            </w:r>
            <w:r w:rsidRPr="00890338">
              <w:rPr>
                <w:i/>
              </w:rPr>
              <w:t xml:space="preserve"> the treatment of moderate to severe hidradenitis </w:t>
            </w:r>
            <w:proofErr w:type="spellStart"/>
            <w:r w:rsidRPr="00890338">
              <w:rPr>
                <w:i/>
              </w:rPr>
              <w:t>suppurativa</w:t>
            </w:r>
            <w:proofErr w:type="spellEnd"/>
            <w:r w:rsidRPr="00890338">
              <w:rPr>
                <w:i/>
              </w:rPr>
              <w:t xml:space="preserve"> (acne </w:t>
            </w:r>
            <w:proofErr w:type="spellStart"/>
            <w:r w:rsidRPr="00890338">
              <w:rPr>
                <w:i/>
              </w:rPr>
              <w:t>inversa</w:t>
            </w:r>
            <w:proofErr w:type="spellEnd"/>
            <w:r w:rsidRPr="00890338">
              <w:rPr>
                <w:i/>
              </w:rPr>
              <w:t xml:space="preserve">) in </w:t>
            </w:r>
            <w:r w:rsidR="001A4AAD">
              <w:rPr>
                <w:i/>
              </w:rPr>
              <w:t xml:space="preserve">adult </w:t>
            </w:r>
            <w:r w:rsidRPr="00890338">
              <w:rPr>
                <w:i/>
              </w:rPr>
              <w:t>patients with an inadequate response to conventional systemic hi</w:t>
            </w:r>
            <w:r w:rsidR="00F73C0B" w:rsidRPr="00890338">
              <w:rPr>
                <w:i/>
              </w:rPr>
              <w:t xml:space="preserve">dradenitis </w:t>
            </w:r>
            <w:proofErr w:type="spellStart"/>
            <w:r w:rsidR="00F73C0B" w:rsidRPr="00890338">
              <w:rPr>
                <w:i/>
              </w:rPr>
              <w:t>suppurativa</w:t>
            </w:r>
            <w:proofErr w:type="spellEnd"/>
            <w:r w:rsidR="00F73C0B" w:rsidRPr="00890338">
              <w:rPr>
                <w:i/>
              </w:rPr>
              <w:t xml:space="preserve"> therapy.</w:t>
            </w:r>
          </w:p>
        </w:tc>
      </w:tr>
      <w:tr w:rsidR="008E7846" w:rsidRPr="00487162" w:rsidTr="00A31464">
        <w:tc>
          <w:tcPr>
            <w:tcW w:w="2907" w:type="dxa"/>
          </w:tcPr>
          <w:p w:rsidR="008E7846" w:rsidRPr="00487162" w:rsidRDefault="00383E89" w:rsidP="00E45619">
            <w:pPr>
              <w:rPr>
                <w:i/>
              </w:rPr>
            </w:pPr>
            <w:r>
              <w:rPr>
                <w:i/>
              </w:rPr>
              <w:t>Route</w:t>
            </w:r>
            <w:r w:rsidR="008E7846" w:rsidRPr="00487162">
              <w:rPr>
                <w:i/>
              </w:rPr>
              <w:t xml:space="preserve"> of administration:</w:t>
            </w:r>
          </w:p>
        </w:tc>
        <w:tc>
          <w:tcPr>
            <w:tcW w:w="6307" w:type="dxa"/>
          </w:tcPr>
          <w:p w:rsidR="008E7846" w:rsidRPr="00487162" w:rsidRDefault="00FD2A2C" w:rsidP="00E45619">
            <w:r>
              <w:t>Subcutaneous</w:t>
            </w:r>
            <w:r w:rsidR="00A66668">
              <w:t xml:space="preserve"> (SC)</w:t>
            </w:r>
          </w:p>
        </w:tc>
      </w:tr>
      <w:tr w:rsidR="008E7846" w:rsidRPr="00487162" w:rsidTr="00A31464">
        <w:tc>
          <w:tcPr>
            <w:tcW w:w="2907" w:type="dxa"/>
          </w:tcPr>
          <w:p w:rsidR="008E7846" w:rsidRPr="00487162" w:rsidRDefault="008E7846" w:rsidP="00E45619">
            <w:pPr>
              <w:rPr>
                <w:i/>
              </w:rPr>
            </w:pPr>
            <w:r w:rsidRPr="00487162">
              <w:rPr>
                <w:i/>
              </w:rPr>
              <w:t>Dosage:</w:t>
            </w:r>
          </w:p>
        </w:tc>
        <w:tc>
          <w:tcPr>
            <w:tcW w:w="6307" w:type="dxa"/>
          </w:tcPr>
          <w:p w:rsidR="008E7846" w:rsidRPr="00487162" w:rsidRDefault="00A66668" w:rsidP="00E45619">
            <w:r>
              <w:t>160 mg at D</w:t>
            </w:r>
            <w:r w:rsidR="005430EA">
              <w:t xml:space="preserve">ay 1 (given as 4 40 mg injections in one day or as two 40 mg </w:t>
            </w:r>
            <w:r w:rsidR="00402831">
              <w:t>injections</w:t>
            </w:r>
            <w:r w:rsidR="005430EA">
              <w:t xml:space="preserve"> per day for two consecutive days)</w:t>
            </w:r>
            <w:r w:rsidR="001A4AAD">
              <w:t xml:space="preserve"> followed by 80mg two weeks later at Day 15 (given as two 40mg injections in one day). Two weeks later (day 29)</w:t>
            </w:r>
            <w:r w:rsidR="005430EA">
              <w:t xml:space="preserve"> continued with a dose of 40 mg every week.</w:t>
            </w:r>
          </w:p>
        </w:tc>
      </w:tr>
      <w:tr w:rsidR="008E7846" w:rsidRPr="00487162" w:rsidTr="00A31464">
        <w:tc>
          <w:tcPr>
            <w:tcW w:w="2907" w:type="dxa"/>
          </w:tcPr>
          <w:p w:rsidR="008E7846" w:rsidRPr="00487162" w:rsidRDefault="008E7846" w:rsidP="001B5C90">
            <w:pPr>
              <w:rPr>
                <w:i/>
              </w:rPr>
            </w:pPr>
            <w:r w:rsidRPr="00487162">
              <w:rPr>
                <w:i/>
              </w:rPr>
              <w:t xml:space="preserve">ARTG </w:t>
            </w:r>
            <w:r w:rsidR="001B5C90">
              <w:rPr>
                <w:i/>
              </w:rPr>
              <w:t>n</w:t>
            </w:r>
            <w:r w:rsidR="00383E89">
              <w:rPr>
                <w:i/>
              </w:rPr>
              <w:t>umbers</w:t>
            </w:r>
            <w:r w:rsidR="001B5C90">
              <w:rPr>
                <w:i/>
              </w:rPr>
              <w:t>:</w:t>
            </w:r>
          </w:p>
        </w:tc>
        <w:tc>
          <w:tcPr>
            <w:tcW w:w="6307" w:type="dxa"/>
          </w:tcPr>
          <w:p w:rsidR="008E7846" w:rsidRPr="00487162" w:rsidRDefault="005430EA" w:rsidP="00E45619">
            <w:r>
              <w:t>238700, 216038, 199412, 199411, 199410, 95779</w:t>
            </w:r>
          </w:p>
        </w:tc>
      </w:tr>
    </w:tbl>
    <w:p w:rsidR="008E7846" w:rsidRPr="004960D6" w:rsidRDefault="008E7846" w:rsidP="008E7846">
      <w:pPr>
        <w:pStyle w:val="Heading3"/>
      </w:pPr>
      <w:bookmarkStart w:id="14" w:name="_Toc247691503"/>
      <w:bookmarkStart w:id="15" w:name="_Toc314842484"/>
      <w:bookmarkStart w:id="16" w:name="_Ref450810541"/>
      <w:bookmarkStart w:id="17" w:name="_Toc456951140"/>
      <w:r w:rsidRPr="004960D6">
        <w:t>Product background</w:t>
      </w:r>
      <w:bookmarkEnd w:id="14"/>
      <w:bookmarkEnd w:id="15"/>
      <w:bookmarkEnd w:id="16"/>
      <w:bookmarkEnd w:id="17"/>
    </w:p>
    <w:p w:rsidR="00890338" w:rsidRPr="00A07FF0" w:rsidRDefault="00940A89" w:rsidP="00890338">
      <w:r w:rsidRPr="004960D6">
        <w:t xml:space="preserve">This AusPAR describes the application by </w:t>
      </w:r>
      <w:proofErr w:type="spellStart"/>
      <w:r w:rsidR="00890338">
        <w:t>Abbvie</w:t>
      </w:r>
      <w:proofErr w:type="spellEnd"/>
      <w:r w:rsidR="00890338">
        <w:t xml:space="preserve"> Pty Ltd (</w:t>
      </w:r>
      <w:r w:rsidRPr="004960D6">
        <w:t>the sponsor</w:t>
      </w:r>
      <w:r w:rsidR="00890338">
        <w:t>)</w:t>
      </w:r>
      <w:r w:rsidRPr="004960D6">
        <w:t xml:space="preserve"> to register </w:t>
      </w:r>
      <w:proofErr w:type="spellStart"/>
      <w:r w:rsidR="004960D6" w:rsidRPr="004960D6">
        <w:t>Humira</w:t>
      </w:r>
      <w:proofErr w:type="spellEnd"/>
      <w:r w:rsidR="004960D6" w:rsidRPr="004960D6">
        <w:t xml:space="preserve"> </w:t>
      </w:r>
      <w:r w:rsidR="00A07FF0">
        <w:t>(</w:t>
      </w:r>
      <w:r w:rsidR="00A07FF0" w:rsidRPr="00A07FF0">
        <w:t>adalimu</w:t>
      </w:r>
      <w:r w:rsidR="00A07FF0">
        <w:t xml:space="preserve">mab </w:t>
      </w:r>
      <w:r w:rsidR="00383E89">
        <w:t>(</w:t>
      </w:r>
      <w:proofErr w:type="spellStart"/>
      <w:r w:rsidR="00383E89">
        <w:t>rch</w:t>
      </w:r>
      <w:proofErr w:type="spellEnd"/>
      <w:r w:rsidR="00383E89">
        <w:t>)</w:t>
      </w:r>
      <w:r w:rsidR="00367086">
        <w:t>)</w:t>
      </w:r>
      <w:r w:rsidR="00890338" w:rsidRPr="00A07FF0">
        <w:t xml:space="preserve"> </w:t>
      </w:r>
      <w:r w:rsidR="004960D6" w:rsidRPr="00A07FF0">
        <w:t>for the indication</w:t>
      </w:r>
      <w:r w:rsidR="00A07FF0" w:rsidRPr="00A07FF0">
        <w:t>:</w:t>
      </w:r>
    </w:p>
    <w:p w:rsidR="00A07FF0" w:rsidRPr="00A07FF0" w:rsidRDefault="00A07FF0" w:rsidP="00A07FF0">
      <w:pPr>
        <w:ind w:left="720"/>
        <w:rPr>
          <w:i/>
        </w:rPr>
      </w:pPr>
      <w:proofErr w:type="spellStart"/>
      <w:r w:rsidRPr="00A07FF0">
        <w:rPr>
          <w:i/>
        </w:rPr>
        <w:lastRenderedPageBreak/>
        <w:t>Humira</w:t>
      </w:r>
      <w:proofErr w:type="spellEnd"/>
      <w:r w:rsidRPr="00A07FF0">
        <w:rPr>
          <w:i/>
        </w:rPr>
        <w:t xml:space="preserve"> is indicated for the treatment of active moderate to severe hidradenitis</w:t>
      </w:r>
      <w:r w:rsidRPr="00A07FF0">
        <w:rPr>
          <w:b/>
          <w:i/>
        </w:rPr>
        <w:t xml:space="preserve"> </w:t>
      </w:r>
      <w:proofErr w:type="spellStart"/>
      <w:r w:rsidRPr="00A07FF0">
        <w:rPr>
          <w:i/>
        </w:rPr>
        <w:t>suppurativa</w:t>
      </w:r>
      <w:proofErr w:type="spellEnd"/>
      <w:r w:rsidRPr="00A07FF0">
        <w:rPr>
          <w:i/>
        </w:rPr>
        <w:t xml:space="preserve"> (acne </w:t>
      </w:r>
      <w:proofErr w:type="spellStart"/>
      <w:r w:rsidRPr="00A07FF0">
        <w:rPr>
          <w:i/>
        </w:rPr>
        <w:t>inversa</w:t>
      </w:r>
      <w:proofErr w:type="spellEnd"/>
      <w:r w:rsidRPr="00A07FF0">
        <w:rPr>
          <w:i/>
        </w:rPr>
        <w:t xml:space="preserve">) in adult patients, </w:t>
      </w:r>
      <w:r w:rsidR="00206A1A" w:rsidRPr="00A07FF0">
        <w:rPr>
          <w:i/>
        </w:rPr>
        <w:t>including</w:t>
      </w:r>
      <w:r w:rsidRPr="00A07FF0">
        <w:rPr>
          <w:i/>
        </w:rPr>
        <w:t xml:space="preserve"> treatment of inflammatory lesions and prevention of worsening of abscesses and draining fistulas.</w:t>
      </w:r>
    </w:p>
    <w:p w:rsidR="00570CFB" w:rsidRDefault="00A012EF" w:rsidP="00940A89">
      <w:proofErr w:type="spellStart"/>
      <w:r>
        <w:t>Humira</w:t>
      </w:r>
      <w:proofErr w:type="spellEnd"/>
      <w:r>
        <w:t xml:space="preserve"> (adalimumab </w:t>
      </w:r>
      <w:r w:rsidR="00383E89">
        <w:t>(</w:t>
      </w:r>
      <w:proofErr w:type="spellStart"/>
      <w:r w:rsidR="00383E89">
        <w:t>rch</w:t>
      </w:r>
      <w:proofErr w:type="spellEnd"/>
      <w:r w:rsidR="00383E89">
        <w:t>)</w:t>
      </w:r>
      <w:r w:rsidR="00367086">
        <w:t>)</w:t>
      </w:r>
      <w:r w:rsidR="00570CFB">
        <w:t xml:space="preserve"> is a fully human </w:t>
      </w:r>
      <w:r w:rsidR="00C82862">
        <w:t xml:space="preserve">immunoglobulin </w:t>
      </w:r>
      <w:proofErr w:type="gramStart"/>
      <w:r w:rsidR="00C82862">
        <w:t>G1(</w:t>
      </w:r>
      <w:proofErr w:type="gramEnd"/>
      <w:r w:rsidR="00570CFB">
        <w:t>IgG1</w:t>
      </w:r>
      <w:r w:rsidR="00C82862">
        <w:t>)</w:t>
      </w:r>
      <w:r w:rsidR="00570CFB">
        <w:t xml:space="preserve"> type recombinant monoclonal antibody agai</w:t>
      </w:r>
      <w:r w:rsidR="00226457">
        <w:t xml:space="preserve">nst </w:t>
      </w:r>
      <w:proofErr w:type="spellStart"/>
      <w:r w:rsidR="00226457">
        <w:t>t</w:t>
      </w:r>
      <w:r w:rsidR="00570CFB">
        <w:t>umor</w:t>
      </w:r>
      <w:proofErr w:type="spellEnd"/>
      <w:r w:rsidR="00570CFB">
        <w:t xml:space="preserve"> necrosis factor (TNF)</w:t>
      </w:r>
      <w:r w:rsidR="000C2FFA">
        <w:t>–</w:t>
      </w:r>
      <w:r w:rsidR="00570CFB" w:rsidRPr="00226457">
        <w:rPr>
          <w:rFonts w:ascii="Symbol" w:hAnsi="Symbol"/>
        </w:rPr>
        <w:t></w:t>
      </w:r>
      <w:r w:rsidR="00570CFB">
        <w:t xml:space="preserve">. It binds to TNF and neutralises the biologic function of TNF by blocking its interaction with the p55 and p75 cell surface receptors. </w:t>
      </w:r>
      <w:r w:rsidR="00367086" w:rsidRPr="00A82EAA">
        <w:t>Adalimumab also modulates biological responses that are induced or regulated by TNF.</w:t>
      </w:r>
      <w:r w:rsidR="00367086">
        <w:t xml:space="preserve"> </w:t>
      </w:r>
      <w:proofErr w:type="spellStart"/>
      <w:r w:rsidR="00570CFB">
        <w:t>Hu</w:t>
      </w:r>
      <w:r w:rsidR="000152F3">
        <w:t>mira</w:t>
      </w:r>
      <w:proofErr w:type="spellEnd"/>
      <w:r w:rsidR="000152F3">
        <w:t xml:space="preserve"> is produced in a </w:t>
      </w:r>
      <w:r w:rsidR="00F22D09">
        <w:t xml:space="preserve">Chinese hamster ovary (CHO) </w:t>
      </w:r>
      <w:r w:rsidR="000152F3">
        <w:t>cell expression system.</w:t>
      </w:r>
    </w:p>
    <w:p w:rsidR="00367086" w:rsidRPr="00367086" w:rsidRDefault="00367086" w:rsidP="00367086">
      <w:r w:rsidRPr="00A82EAA">
        <w:t xml:space="preserve">The </w:t>
      </w:r>
      <w:r w:rsidR="00C82862">
        <w:t xml:space="preserve">currently </w:t>
      </w:r>
      <w:r w:rsidRPr="00A82EAA">
        <w:t xml:space="preserve">approved indications </w:t>
      </w:r>
      <w:r w:rsidR="00C82862">
        <w:t xml:space="preserve">in Australia </w:t>
      </w:r>
      <w:r w:rsidRPr="00A82EAA">
        <w:t xml:space="preserve">are rheumatoid arthritis (RA), </w:t>
      </w:r>
      <w:proofErr w:type="spellStart"/>
      <w:r w:rsidRPr="00A82EAA">
        <w:t>polyarticular</w:t>
      </w:r>
      <w:proofErr w:type="spellEnd"/>
      <w:r w:rsidRPr="00A82EAA">
        <w:t xml:space="preserve"> juvenile idiopathic arthritis (JIA), psoriatic arthritis (</w:t>
      </w:r>
      <w:proofErr w:type="spellStart"/>
      <w:r w:rsidRPr="00A82EAA">
        <w:t>PsA</w:t>
      </w:r>
      <w:proofErr w:type="spellEnd"/>
      <w:r w:rsidRPr="00A82EAA">
        <w:t xml:space="preserve">), ankylosing spondylitis (AS), Crohn’s disease (CD), </w:t>
      </w:r>
      <w:r w:rsidRPr="00367086">
        <w:t>ulcerative colitis (UC) and psoriasis (Ps).</w:t>
      </w:r>
    </w:p>
    <w:p w:rsidR="00367086" w:rsidRPr="00367086" w:rsidRDefault="00337D6A" w:rsidP="00367086">
      <w:r>
        <w:t xml:space="preserve">Hidradenitis </w:t>
      </w:r>
      <w:proofErr w:type="spellStart"/>
      <w:r>
        <w:t>suppurativa</w:t>
      </w:r>
      <w:proofErr w:type="spellEnd"/>
      <w:r>
        <w:t xml:space="preserve"> (</w:t>
      </w:r>
      <w:r w:rsidR="00367086" w:rsidRPr="00367086">
        <w:t>HS</w:t>
      </w:r>
      <w:r>
        <w:t>)</w:t>
      </w:r>
      <w:r w:rsidR="00367086" w:rsidRPr="00367086">
        <w:t xml:space="preserve"> is a chronic follicular occlusive disease involving the follicular portion of </w:t>
      </w:r>
      <w:proofErr w:type="spellStart"/>
      <w:r w:rsidR="00367086" w:rsidRPr="00367086">
        <w:t>folliculo</w:t>
      </w:r>
      <w:proofErr w:type="spellEnd"/>
      <w:r w:rsidR="000C2FFA">
        <w:t>–</w:t>
      </w:r>
      <w:proofErr w:type="spellStart"/>
      <w:r w:rsidR="00367086" w:rsidRPr="00367086">
        <w:t>pilo</w:t>
      </w:r>
      <w:proofErr w:type="spellEnd"/>
      <w:r w:rsidR="000C2FFA">
        <w:t>–</w:t>
      </w:r>
      <w:r w:rsidR="00367086" w:rsidRPr="00367086">
        <w:t xml:space="preserve">sebaceous </w:t>
      </w:r>
      <w:r w:rsidRPr="00367086">
        <w:t>units</w:t>
      </w:r>
      <w:bookmarkStart w:id="18" w:name="_Ref450829488"/>
      <w:r w:rsidR="00C52458">
        <w:rPr>
          <w:rStyle w:val="FootnoteReference"/>
        </w:rPr>
        <w:footnoteReference w:id="1"/>
      </w:r>
      <w:bookmarkEnd w:id="18"/>
      <w:r w:rsidR="00C52458">
        <w:t xml:space="preserve">. </w:t>
      </w:r>
      <w:r w:rsidR="00367086" w:rsidRPr="00367086">
        <w:t xml:space="preserve">Primary sites are intertriginous skin areas of the axillary, groin, perianal, perineal and inframammary </w:t>
      </w:r>
      <w:r w:rsidR="00862659" w:rsidRPr="00367086">
        <w:t>regions</w:t>
      </w:r>
      <w:r w:rsidR="002A526A">
        <w:t xml:space="preserve">. </w:t>
      </w:r>
      <w:r w:rsidR="00367086" w:rsidRPr="00367086">
        <w:t xml:space="preserve">Clinical manifestations range from recurrent inflamed nodules and </w:t>
      </w:r>
      <w:r w:rsidR="00862659" w:rsidRPr="00367086">
        <w:t>abscesses</w:t>
      </w:r>
      <w:r w:rsidR="00367086" w:rsidRPr="00367086">
        <w:t xml:space="preserve"> through to draining sinus tracts</w:t>
      </w:r>
      <w:r w:rsidR="002A526A">
        <w:t xml:space="preserve"> and bands of severe scarring. </w:t>
      </w:r>
      <w:r w:rsidR="00367086" w:rsidRPr="00367086">
        <w:t>Pain, malodour, drainage and disfigurement contribute to a</w:t>
      </w:r>
      <w:r w:rsidR="002A526A">
        <w:t xml:space="preserve"> profound psychosocial impact. </w:t>
      </w:r>
      <w:r w:rsidR="00367086" w:rsidRPr="00367086">
        <w:t>Onset is usuall</w:t>
      </w:r>
      <w:r w:rsidR="002A526A">
        <w:t xml:space="preserve">y between puberty and 40 years. Incidence is higher in women. </w:t>
      </w:r>
      <w:r w:rsidR="00367086" w:rsidRPr="00367086">
        <w:t>There is a strong correlation with smoking, and a weaker correlation with obesity.</w:t>
      </w:r>
    </w:p>
    <w:p w:rsidR="00862659" w:rsidRDefault="005568BC" w:rsidP="00862659">
      <w:r w:rsidRPr="005568BC">
        <w:t xml:space="preserve">The Hurley staging system refers to three stages </w:t>
      </w:r>
      <w:r>
        <w:t>of severity based on the</w:t>
      </w:r>
      <w:r w:rsidR="00622387">
        <w:t xml:space="preserve"> presence and extent of sinu</w:t>
      </w:r>
      <w:r w:rsidRPr="005568BC">
        <w:t>s tracts and scarring</w:t>
      </w:r>
      <w:bookmarkStart w:id="19" w:name="_Ref450812138"/>
      <w:r w:rsidR="002D389A">
        <w:t xml:space="preserve"> </w:t>
      </w:r>
      <w:bookmarkEnd w:id="19"/>
      <w:r w:rsidR="004D5D4D">
        <w:t>(Table 1</w:t>
      </w:r>
      <w:r w:rsidR="002D389A">
        <w:t>)</w:t>
      </w:r>
      <w:r w:rsidR="00F168A2">
        <w:t>.</w:t>
      </w:r>
      <w:r w:rsidR="002D389A">
        <w:t xml:space="preserve"> The Hid</w:t>
      </w:r>
      <w:r w:rsidR="005E6721">
        <w:t xml:space="preserve">radenitis </w:t>
      </w:r>
      <w:proofErr w:type="spellStart"/>
      <w:r w:rsidR="005E6721">
        <w:t>Suppurativa</w:t>
      </w:r>
      <w:proofErr w:type="spellEnd"/>
      <w:r w:rsidR="005E6721">
        <w:t xml:space="preserve"> Physician</w:t>
      </w:r>
      <w:r w:rsidR="002D389A">
        <w:t>s Global Assessment scale (HS</w:t>
      </w:r>
      <w:r w:rsidR="000C2FFA">
        <w:t>–</w:t>
      </w:r>
      <w:r w:rsidR="002D389A">
        <w:t xml:space="preserve">PGA) refers to five stages (from </w:t>
      </w:r>
      <w:r w:rsidR="002C0B22">
        <w:t>no skin disease to very severe symptoms</w:t>
      </w:r>
      <w:r w:rsidR="002D389A">
        <w:t>) based on the presence or absence of abscesses, draining fistulas, inflammatory and non</w:t>
      </w:r>
      <w:r w:rsidR="000C2FFA">
        <w:t>–</w:t>
      </w:r>
      <w:r w:rsidR="002D389A">
        <w:t>inflammatory nodules</w:t>
      </w:r>
      <w:r w:rsidR="002D389A">
        <w:rPr>
          <w:rStyle w:val="FootnoteReference"/>
        </w:rPr>
        <w:t xml:space="preserve"> </w:t>
      </w:r>
      <w:r w:rsidR="004D5D4D">
        <w:t xml:space="preserve"> (Table 2</w:t>
      </w:r>
      <w:r w:rsidR="002C0B22">
        <w:t>)</w:t>
      </w:r>
      <w:r w:rsidR="00F168A2">
        <w:t>.</w:t>
      </w:r>
    </w:p>
    <w:p w:rsidR="002D389A" w:rsidRDefault="007117A0" w:rsidP="00A335B1">
      <w:pPr>
        <w:pStyle w:val="Tabletitle0"/>
      </w:pPr>
      <w:r>
        <w:t>Table 1:</w:t>
      </w:r>
      <w:r w:rsidR="002D389A">
        <w:t xml:space="preserve"> </w:t>
      </w:r>
      <w:r w:rsidR="00BD659C">
        <w:t>Hurley s</w:t>
      </w:r>
      <w:r w:rsidR="00A335B1">
        <w:t>tages</w:t>
      </w:r>
    </w:p>
    <w:tbl>
      <w:tblPr>
        <w:tblStyle w:val="TableTGAblue"/>
        <w:tblW w:w="0" w:type="auto"/>
        <w:tblLook w:val="04A0" w:firstRow="1" w:lastRow="0" w:firstColumn="1" w:lastColumn="0" w:noHBand="0" w:noVBand="1"/>
      </w:tblPr>
      <w:tblGrid>
        <w:gridCol w:w="1101"/>
        <w:gridCol w:w="7619"/>
      </w:tblGrid>
      <w:tr w:rsidR="00A335B1" w:rsidRPr="00963B84" w:rsidTr="00A31464">
        <w:trPr>
          <w:cnfStyle w:val="100000000000" w:firstRow="1" w:lastRow="0" w:firstColumn="0" w:lastColumn="0" w:oddVBand="0" w:evenVBand="0" w:oddHBand="0" w:evenHBand="0" w:firstRowFirstColumn="0" w:firstRowLastColumn="0" w:lastRowFirstColumn="0" w:lastRowLastColumn="0"/>
        </w:trPr>
        <w:tc>
          <w:tcPr>
            <w:tcW w:w="1101" w:type="dxa"/>
          </w:tcPr>
          <w:p w:rsidR="00A335B1" w:rsidRPr="00963B84" w:rsidRDefault="00A335B1" w:rsidP="00A31464">
            <w:r w:rsidRPr="00963B84">
              <w:t>Stage</w:t>
            </w:r>
          </w:p>
        </w:tc>
        <w:tc>
          <w:tcPr>
            <w:tcW w:w="7619" w:type="dxa"/>
          </w:tcPr>
          <w:p w:rsidR="00A335B1" w:rsidRPr="00963B84" w:rsidRDefault="00A335B1" w:rsidP="00A31464">
            <w:r w:rsidRPr="00963B84">
              <w:t>Description</w:t>
            </w:r>
          </w:p>
        </w:tc>
      </w:tr>
      <w:tr w:rsidR="00A335B1" w:rsidTr="00A31464">
        <w:tc>
          <w:tcPr>
            <w:tcW w:w="1101" w:type="dxa"/>
          </w:tcPr>
          <w:p w:rsidR="00A335B1" w:rsidRPr="00A335B1" w:rsidRDefault="00A335B1" w:rsidP="00A31464">
            <w:pPr>
              <w:rPr>
                <w:sz w:val="20"/>
                <w:szCs w:val="20"/>
              </w:rPr>
            </w:pPr>
            <w:r>
              <w:rPr>
                <w:sz w:val="20"/>
                <w:szCs w:val="20"/>
              </w:rPr>
              <w:t>I</w:t>
            </w:r>
          </w:p>
        </w:tc>
        <w:tc>
          <w:tcPr>
            <w:tcW w:w="7619" w:type="dxa"/>
          </w:tcPr>
          <w:p w:rsidR="00A335B1" w:rsidRPr="00A335B1" w:rsidRDefault="00A335B1" w:rsidP="00A31464">
            <w:pPr>
              <w:rPr>
                <w:sz w:val="20"/>
                <w:szCs w:val="20"/>
              </w:rPr>
            </w:pPr>
            <w:r>
              <w:rPr>
                <w:sz w:val="20"/>
                <w:szCs w:val="20"/>
              </w:rPr>
              <w:t>Abscess formation (single or multiple) without sinus tracts and cicatrisation.</w:t>
            </w:r>
          </w:p>
        </w:tc>
      </w:tr>
      <w:tr w:rsidR="00A335B1" w:rsidTr="00A31464">
        <w:tc>
          <w:tcPr>
            <w:tcW w:w="1101" w:type="dxa"/>
          </w:tcPr>
          <w:p w:rsidR="00A335B1" w:rsidRPr="00A335B1" w:rsidRDefault="00A335B1" w:rsidP="00A31464">
            <w:pPr>
              <w:rPr>
                <w:sz w:val="20"/>
                <w:szCs w:val="20"/>
              </w:rPr>
            </w:pPr>
            <w:r>
              <w:rPr>
                <w:sz w:val="20"/>
                <w:szCs w:val="20"/>
              </w:rPr>
              <w:t>II</w:t>
            </w:r>
          </w:p>
        </w:tc>
        <w:tc>
          <w:tcPr>
            <w:tcW w:w="7619" w:type="dxa"/>
          </w:tcPr>
          <w:p w:rsidR="00A335B1" w:rsidRPr="00A335B1" w:rsidRDefault="00A335B1" w:rsidP="00A31464">
            <w:pPr>
              <w:rPr>
                <w:sz w:val="20"/>
                <w:szCs w:val="20"/>
              </w:rPr>
            </w:pPr>
            <w:r>
              <w:rPr>
                <w:sz w:val="20"/>
                <w:szCs w:val="20"/>
              </w:rPr>
              <w:t>Recurrent abscesses with tract formation and cicatrisation; single or multiple, widely separated lesions.</w:t>
            </w:r>
          </w:p>
        </w:tc>
      </w:tr>
      <w:tr w:rsidR="00A335B1" w:rsidTr="00A31464">
        <w:tc>
          <w:tcPr>
            <w:tcW w:w="1101" w:type="dxa"/>
          </w:tcPr>
          <w:p w:rsidR="00A335B1" w:rsidRPr="00A335B1" w:rsidRDefault="00A335B1" w:rsidP="00A31464">
            <w:pPr>
              <w:rPr>
                <w:sz w:val="20"/>
                <w:szCs w:val="20"/>
              </w:rPr>
            </w:pPr>
            <w:r>
              <w:rPr>
                <w:sz w:val="20"/>
                <w:szCs w:val="20"/>
              </w:rPr>
              <w:t>III</w:t>
            </w:r>
          </w:p>
        </w:tc>
        <w:tc>
          <w:tcPr>
            <w:tcW w:w="7619" w:type="dxa"/>
          </w:tcPr>
          <w:p w:rsidR="00A335B1" w:rsidRPr="00A335B1" w:rsidRDefault="00A335B1" w:rsidP="00A31464">
            <w:pPr>
              <w:rPr>
                <w:sz w:val="20"/>
                <w:szCs w:val="20"/>
              </w:rPr>
            </w:pPr>
            <w:r>
              <w:rPr>
                <w:sz w:val="20"/>
                <w:szCs w:val="20"/>
              </w:rPr>
              <w:t>Diffuse or near</w:t>
            </w:r>
            <w:r w:rsidR="000C2FFA">
              <w:rPr>
                <w:sz w:val="20"/>
                <w:szCs w:val="20"/>
              </w:rPr>
              <w:t>–</w:t>
            </w:r>
            <w:r>
              <w:rPr>
                <w:sz w:val="20"/>
                <w:szCs w:val="20"/>
              </w:rPr>
              <w:t>diffuse involvement or multiple interconnected tracts and abscesses across entire areas</w:t>
            </w:r>
            <w:r w:rsidR="00963B84">
              <w:rPr>
                <w:sz w:val="20"/>
                <w:szCs w:val="20"/>
              </w:rPr>
              <w:t>.</w:t>
            </w:r>
          </w:p>
        </w:tc>
      </w:tr>
    </w:tbl>
    <w:p w:rsidR="00A335B1" w:rsidRDefault="00A335B1" w:rsidP="00A31464">
      <w:pPr>
        <w:pStyle w:val="TableDescription"/>
      </w:pPr>
      <w:r>
        <w:t>Annals of Internal Medicine, Vol. 157, No12, 18 Dec 2012</w:t>
      </w:r>
      <w:r w:rsidR="00963B84">
        <w:t>.</w:t>
      </w:r>
    </w:p>
    <w:p w:rsidR="00963B84" w:rsidRDefault="007117A0" w:rsidP="00A31464">
      <w:pPr>
        <w:pStyle w:val="Tabletitle0"/>
      </w:pPr>
      <w:r>
        <w:t>Table 2:</w:t>
      </w:r>
      <w:r w:rsidR="00963B84">
        <w:t xml:space="preserve"> Hid</w:t>
      </w:r>
      <w:r w:rsidR="005E6721">
        <w:t xml:space="preserve">radenitis </w:t>
      </w:r>
      <w:proofErr w:type="spellStart"/>
      <w:r w:rsidR="00BD659C">
        <w:t>suppurativa</w:t>
      </w:r>
      <w:proofErr w:type="spellEnd"/>
      <w:r w:rsidR="00BD659C">
        <w:t xml:space="preserve"> </w:t>
      </w:r>
      <w:proofErr w:type="gramStart"/>
      <w:r w:rsidR="00BD659C">
        <w:t>p</w:t>
      </w:r>
      <w:r w:rsidR="005E6721">
        <w:t>hysician</w:t>
      </w:r>
      <w:r w:rsidR="00BD659C">
        <w:t>s</w:t>
      </w:r>
      <w:proofErr w:type="gramEnd"/>
      <w:r w:rsidR="00BD659C">
        <w:t xml:space="preserve"> global assessment s</w:t>
      </w:r>
      <w:r w:rsidR="00963B84">
        <w:t>cale</w:t>
      </w:r>
    </w:p>
    <w:tbl>
      <w:tblPr>
        <w:tblStyle w:val="TableTGAblue"/>
        <w:tblW w:w="0" w:type="auto"/>
        <w:tblLook w:val="04A0" w:firstRow="1" w:lastRow="0" w:firstColumn="1" w:lastColumn="0" w:noHBand="0" w:noVBand="1"/>
      </w:tblPr>
      <w:tblGrid>
        <w:gridCol w:w="1668"/>
        <w:gridCol w:w="7052"/>
      </w:tblGrid>
      <w:tr w:rsidR="00963B84" w:rsidRPr="00963B84" w:rsidTr="008C58BA">
        <w:trPr>
          <w:cnfStyle w:val="100000000000" w:firstRow="1" w:lastRow="0" w:firstColumn="0" w:lastColumn="0" w:oddVBand="0" w:evenVBand="0" w:oddHBand="0" w:evenHBand="0" w:firstRowFirstColumn="0" w:firstRowLastColumn="0" w:lastRowFirstColumn="0" w:lastRowLastColumn="0"/>
        </w:trPr>
        <w:tc>
          <w:tcPr>
            <w:tcW w:w="1668" w:type="dxa"/>
          </w:tcPr>
          <w:p w:rsidR="00963B84" w:rsidRPr="00963B84" w:rsidRDefault="00963B84" w:rsidP="00A31464">
            <w:r w:rsidRPr="00963B84">
              <w:t>Rating</w:t>
            </w:r>
          </w:p>
        </w:tc>
        <w:tc>
          <w:tcPr>
            <w:tcW w:w="7052" w:type="dxa"/>
          </w:tcPr>
          <w:p w:rsidR="00963B84" w:rsidRPr="00963B84" w:rsidRDefault="00963B84" w:rsidP="00A31464">
            <w:r w:rsidRPr="00963B84">
              <w:t>Description</w:t>
            </w:r>
          </w:p>
        </w:tc>
      </w:tr>
      <w:tr w:rsidR="00963B84" w:rsidTr="008C58BA">
        <w:tc>
          <w:tcPr>
            <w:tcW w:w="1668" w:type="dxa"/>
          </w:tcPr>
          <w:p w:rsidR="00963B84" w:rsidRPr="005457DC" w:rsidRDefault="00963B84" w:rsidP="00A31464">
            <w:pPr>
              <w:rPr>
                <w:sz w:val="20"/>
                <w:szCs w:val="20"/>
              </w:rPr>
            </w:pPr>
            <w:r w:rsidRPr="005457DC">
              <w:rPr>
                <w:sz w:val="20"/>
                <w:szCs w:val="20"/>
              </w:rPr>
              <w:t>Clear</w:t>
            </w:r>
          </w:p>
        </w:tc>
        <w:tc>
          <w:tcPr>
            <w:tcW w:w="7052" w:type="dxa"/>
          </w:tcPr>
          <w:p w:rsidR="00963B84" w:rsidRPr="005457DC" w:rsidRDefault="00963B84" w:rsidP="00A31464">
            <w:pPr>
              <w:rPr>
                <w:sz w:val="20"/>
                <w:szCs w:val="20"/>
              </w:rPr>
            </w:pPr>
            <w:r w:rsidRPr="005457DC">
              <w:rPr>
                <w:sz w:val="20"/>
                <w:szCs w:val="20"/>
              </w:rPr>
              <w:t>0 abscesses, 0 draining fistulas, 0 inflammatory nodules and 0 non</w:t>
            </w:r>
            <w:r w:rsidR="0025254B">
              <w:rPr>
                <w:sz w:val="20"/>
                <w:szCs w:val="20"/>
              </w:rPr>
              <w:noBreakHyphen/>
            </w:r>
            <w:r w:rsidRPr="005457DC">
              <w:rPr>
                <w:sz w:val="20"/>
                <w:szCs w:val="20"/>
              </w:rPr>
              <w:t>inflammatory nodules</w:t>
            </w:r>
          </w:p>
        </w:tc>
      </w:tr>
      <w:tr w:rsidR="00963B84" w:rsidTr="008C58BA">
        <w:tc>
          <w:tcPr>
            <w:tcW w:w="1668" w:type="dxa"/>
          </w:tcPr>
          <w:p w:rsidR="00963B84" w:rsidRPr="005457DC" w:rsidRDefault="00963B84" w:rsidP="00A31464">
            <w:pPr>
              <w:rPr>
                <w:sz w:val="20"/>
                <w:szCs w:val="20"/>
              </w:rPr>
            </w:pPr>
            <w:r w:rsidRPr="005457DC">
              <w:rPr>
                <w:sz w:val="20"/>
                <w:szCs w:val="20"/>
              </w:rPr>
              <w:t>Minimal</w:t>
            </w:r>
          </w:p>
        </w:tc>
        <w:tc>
          <w:tcPr>
            <w:tcW w:w="7052" w:type="dxa"/>
          </w:tcPr>
          <w:p w:rsidR="00963B84" w:rsidRPr="005457DC" w:rsidRDefault="008C58BA" w:rsidP="00A31464">
            <w:pPr>
              <w:rPr>
                <w:sz w:val="20"/>
                <w:szCs w:val="20"/>
              </w:rPr>
            </w:pPr>
            <w:r w:rsidRPr="005457DC">
              <w:rPr>
                <w:sz w:val="20"/>
                <w:szCs w:val="20"/>
              </w:rPr>
              <w:t>0 a</w:t>
            </w:r>
            <w:r w:rsidR="00963B84" w:rsidRPr="005457DC">
              <w:rPr>
                <w:sz w:val="20"/>
                <w:szCs w:val="20"/>
              </w:rPr>
              <w:t>bscesses, 0 draining fistulas, 0 inflammatory nodules, and presence of non</w:t>
            </w:r>
            <w:r w:rsidR="000C2FFA">
              <w:rPr>
                <w:sz w:val="20"/>
                <w:szCs w:val="20"/>
              </w:rPr>
              <w:t>–</w:t>
            </w:r>
            <w:r w:rsidR="00963B84" w:rsidRPr="005457DC">
              <w:rPr>
                <w:sz w:val="20"/>
                <w:szCs w:val="20"/>
              </w:rPr>
              <w:t>inflammatory nodules</w:t>
            </w:r>
          </w:p>
        </w:tc>
      </w:tr>
      <w:tr w:rsidR="00963B84" w:rsidTr="008C58BA">
        <w:tc>
          <w:tcPr>
            <w:tcW w:w="1668" w:type="dxa"/>
          </w:tcPr>
          <w:p w:rsidR="00963B84" w:rsidRPr="005457DC" w:rsidRDefault="00963B84" w:rsidP="00A31464">
            <w:pPr>
              <w:rPr>
                <w:sz w:val="20"/>
                <w:szCs w:val="20"/>
              </w:rPr>
            </w:pPr>
            <w:r w:rsidRPr="005457DC">
              <w:rPr>
                <w:sz w:val="20"/>
                <w:szCs w:val="20"/>
              </w:rPr>
              <w:lastRenderedPageBreak/>
              <w:t>Mild</w:t>
            </w:r>
          </w:p>
        </w:tc>
        <w:tc>
          <w:tcPr>
            <w:tcW w:w="7052" w:type="dxa"/>
          </w:tcPr>
          <w:p w:rsidR="008C58BA" w:rsidRPr="005457DC" w:rsidRDefault="008C58BA" w:rsidP="00A31464">
            <w:pPr>
              <w:rPr>
                <w:sz w:val="20"/>
                <w:szCs w:val="20"/>
              </w:rPr>
            </w:pPr>
            <w:r w:rsidRPr="005457DC">
              <w:rPr>
                <w:sz w:val="20"/>
                <w:szCs w:val="20"/>
              </w:rPr>
              <w:t>0 abscesses, 0 draining fistulas, and 1 to4 inflammatory nodules</w:t>
            </w:r>
            <w:r w:rsidR="005457DC" w:rsidRPr="005457DC">
              <w:rPr>
                <w:sz w:val="20"/>
                <w:szCs w:val="20"/>
              </w:rPr>
              <w:t xml:space="preserve"> </w:t>
            </w:r>
            <w:r w:rsidRPr="005457DC">
              <w:rPr>
                <w:i/>
                <w:sz w:val="20"/>
                <w:szCs w:val="20"/>
              </w:rPr>
              <w:t>or</w:t>
            </w:r>
          </w:p>
          <w:p w:rsidR="008C58BA" w:rsidRPr="005457DC" w:rsidRDefault="008C58BA" w:rsidP="00A31464">
            <w:pPr>
              <w:rPr>
                <w:sz w:val="20"/>
                <w:szCs w:val="20"/>
              </w:rPr>
            </w:pPr>
            <w:r w:rsidRPr="005457DC">
              <w:rPr>
                <w:sz w:val="20"/>
                <w:szCs w:val="20"/>
              </w:rPr>
              <w:t>1 abscess or draining fistula and 0 inflammatory nodule</w:t>
            </w:r>
          </w:p>
        </w:tc>
      </w:tr>
      <w:tr w:rsidR="00963B84" w:rsidTr="008C58BA">
        <w:tc>
          <w:tcPr>
            <w:tcW w:w="1668" w:type="dxa"/>
          </w:tcPr>
          <w:p w:rsidR="00963B84" w:rsidRPr="005457DC" w:rsidRDefault="008C58BA" w:rsidP="00A31464">
            <w:pPr>
              <w:rPr>
                <w:sz w:val="20"/>
                <w:szCs w:val="20"/>
              </w:rPr>
            </w:pPr>
            <w:r w:rsidRPr="005457DC">
              <w:rPr>
                <w:sz w:val="20"/>
                <w:szCs w:val="20"/>
              </w:rPr>
              <w:t>Moderate</w:t>
            </w:r>
          </w:p>
        </w:tc>
        <w:tc>
          <w:tcPr>
            <w:tcW w:w="7052" w:type="dxa"/>
          </w:tcPr>
          <w:p w:rsidR="008C58BA" w:rsidRPr="005457DC" w:rsidRDefault="008C58BA" w:rsidP="00A31464">
            <w:pPr>
              <w:rPr>
                <w:sz w:val="20"/>
                <w:szCs w:val="20"/>
              </w:rPr>
            </w:pPr>
            <w:r w:rsidRPr="005457DC">
              <w:rPr>
                <w:sz w:val="20"/>
                <w:szCs w:val="20"/>
              </w:rPr>
              <w:t>0 abscesses, 0 drain</w:t>
            </w:r>
            <w:r w:rsidR="00DF05D7">
              <w:rPr>
                <w:sz w:val="20"/>
                <w:szCs w:val="20"/>
              </w:rPr>
              <w:t xml:space="preserve">ing fistulas, and ≥ 5 </w:t>
            </w:r>
            <w:r w:rsidRPr="005457DC">
              <w:rPr>
                <w:sz w:val="20"/>
                <w:szCs w:val="20"/>
              </w:rPr>
              <w:t>inflammatory nodules</w:t>
            </w:r>
            <w:r w:rsidR="005457DC" w:rsidRPr="005457DC">
              <w:rPr>
                <w:sz w:val="20"/>
                <w:szCs w:val="20"/>
              </w:rPr>
              <w:t xml:space="preserve"> </w:t>
            </w:r>
            <w:r w:rsidR="005457DC" w:rsidRPr="005457DC">
              <w:rPr>
                <w:i/>
                <w:sz w:val="20"/>
                <w:szCs w:val="20"/>
              </w:rPr>
              <w:t>or</w:t>
            </w:r>
          </w:p>
          <w:p w:rsidR="008C58BA" w:rsidRPr="005457DC" w:rsidRDefault="008C58BA" w:rsidP="00A31464">
            <w:pPr>
              <w:rPr>
                <w:sz w:val="20"/>
                <w:szCs w:val="20"/>
              </w:rPr>
            </w:pPr>
            <w:r w:rsidRPr="005457DC">
              <w:rPr>
                <w:sz w:val="20"/>
                <w:szCs w:val="20"/>
              </w:rPr>
              <w:t>1 abscess or draining fistula ≥ 1 inflammatory nodule</w:t>
            </w:r>
            <w:r w:rsidR="005457DC" w:rsidRPr="005457DC">
              <w:rPr>
                <w:sz w:val="20"/>
                <w:szCs w:val="20"/>
              </w:rPr>
              <w:t xml:space="preserve"> </w:t>
            </w:r>
            <w:r w:rsidR="005457DC" w:rsidRPr="005457DC">
              <w:rPr>
                <w:i/>
                <w:sz w:val="20"/>
                <w:szCs w:val="20"/>
              </w:rPr>
              <w:t>or</w:t>
            </w:r>
          </w:p>
          <w:p w:rsidR="008C58BA" w:rsidRPr="005457DC" w:rsidRDefault="008C58BA" w:rsidP="00A31464">
            <w:pPr>
              <w:rPr>
                <w:sz w:val="20"/>
                <w:szCs w:val="20"/>
              </w:rPr>
            </w:pPr>
            <w:r w:rsidRPr="005457DC">
              <w:rPr>
                <w:sz w:val="20"/>
                <w:szCs w:val="20"/>
              </w:rPr>
              <w:t>2 to 5 abscesses or draining fistulas and ≤ 10 inflammatory nodules</w:t>
            </w:r>
          </w:p>
        </w:tc>
      </w:tr>
      <w:tr w:rsidR="00963B84" w:rsidTr="008C58BA">
        <w:tc>
          <w:tcPr>
            <w:tcW w:w="1668" w:type="dxa"/>
          </w:tcPr>
          <w:p w:rsidR="00963B84" w:rsidRPr="005457DC" w:rsidRDefault="008C58BA" w:rsidP="00A31464">
            <w:pPr>
              <w:rPr>
                <w:sz w:val="20"/>
                <w:szCs w:val="20"/>
              </w:rPr>
            </w:pPr>
            <w:r w:rsidRPr="005457DC">
              <w:rPr>
                <w:sz w:val="20"/>
                <w:szCs w:val="20"/>
              </w:rPr>
              <w:t>Severe</w:t>
            </w:r>
          </w:p>
        </w:tc>
        <w:tc>
          <w:tcPr>
            <w:tcW w:w="7052" w:type="dxa"/>
          </w:tcPr>
          <w:p w:rsidR="00963B84" w:rsidRPr="005457DC" w:rsidRDefault="008C58BA" w:rsidP="00A31464">
            <w:pPr>
              <w:rPr>
                <w:sz w:val="20"/>
                <w:szCs w:val="20"/>
              </w:rPr>
            </w:pPr>
            <w:r w:rsidRPr="005457DC">
              <w:rPr>
                <w:sz w:val="20"/>
                <w:szCs w:val="20"/>
              </w:rPr>
              <w:t>2 to 5 abscesses or draining fistulas and ≥ 10 inflammatory nodules</w:t>
            </w:r>
          </w:p>
        </w:tc>
      </w:tr>
      <w:tr w:rsidR="00963B84" w:rsidTr="008C58BA">
        <w:tc>
          <w:tcPr>
            <w:tcW w:w="1668" w:type="dxa"/>
          </w:tcPr>
          <w:p w:rsidR="00963B84" w:rsidRPr="005457DC" w:rsidRDefault="008C58BA" w:rsidP="00A31464">
            <w:pPr>
              <w:rPr>
                <w:sz w:val="20"/>
                <w:szCs w:val="20"/>
              </w:rPr>
            </w:pPr>
            <w:r w:rsidRPr="005457DC">
              <w:rPr>
                <w:sz w:val="20"/>
                <w:szCs w:val="20"/>
              </w:rPr>
              <w:t>Very severe</w:t>
            </w:r>
          </w:p>
        </w:tc>
        <w:tc>
          <w:tcPr>
            <w:tcW w:w="7052" w:type="dxa"/>
          </w:tcPr>
          <w:p w:rsidR="00963B84" w:rsidRPr="005457DC" w:rsidRDefault="008C58BA" w:rsidP="00A31464">
            <w:pPr>
              <w:rPr>
                <w:sz w:val="20"/>
                <w:szCs w:val="20"/>
              </w:rPr>
            </w:pPr>
            <w:r w:rsidRPr="005457DC">
              <w:rPr>
                <w:sz w:val="20"/>
                <w:szCs w:val="20"/>
              </w:rPr>
              <w:t>≥ 5 abscesses or draining fistulas</w:t>
            </w:r>
          </w:p>
        </w:tc>
      </w:tr>
    </w:tbl>
    <w:p w:rsidR="002D389A" w:rsidRPr="005568BC" w:rsidRDefault="00963B84" w:rsidP="005457DC">
      <w:pPr>
        <w:pStyle w:val="TableDescription"/>
      </w:pPr>
      <w:r>
        <w:t>Annals of Internal Medicine, Vol. 157, No12, 18 Dec 2012</w:t>
      </w:r>
      <w:r w:rsidR="005457DC">
        <w:t>.</w:t>
      </w:r>
    </w:p>
    <w:p w:rsidR="00337D6A" w:rsidRPr="00337D6A" w:rsidRDefault="00337D6A" w:rsidP="00337D6A">
      <w:r w:rsidRPr="00337D6A">
        <w:t>Goals of treatment include:</w:t>
      </w:r>
    </w:p>
    <w:p w:rsidR="00337D6A" w:rsidRPr="00337D6A" w:rsidRDefault="00337D6A" w:rsidP="00337D6A">
      <w:pPr>
        <w:pStyle w:val="ListBullet"/>
      </w:pPr>
      <w:r w:rsidRPr="00337D6A">
        <w:t>To prevent the formation of new lesions and thus reduce the extent and progression of the disease</w:t>
      </w:r>
      <w:r w:rsidR="002C0B22">
        <w:t>.</w:t>
      </w:r>
    </w:p>
    <w:p w:rsidR="00337D6A" w:rsidRPr="00337D6A" w:rsidRDefault="00337D6A" w:rsidP="00337D6A">
      <w:pPr>
        <w:pStyle w:val="ListBullet"/>
      </w:pPr>
      <w:r w:rsidRPr="00337D6A">
        <w:t>To treat new lesions quickly and effectively to prevent</w:t>
      </w:r>
      <w:r w:rsidR="002C0B22">
        <w:t xml:space="preserve"> development of chronic sinuses.</w:t>
      </w:r>
    </w:p>
    <w:p w:rsidR="00337D6A" w:rsidRPr="00337D6A" w:rsidRDefault="00337D6A" w:rsidP="00337D6A">
      <w:pPr>
        <w:pStyle w:val="ListBullet"/>
      </w:pPr>
      <w:r w:rsidRPr="00337D6A">
        <w:t>To eliminate existing nodules and sinus tracts to limit or prevent scar formation</w:t>
      </w:r>
      <w:r w:rsidR="002C0B22">
        <w:t>.</w:t>
      </w:r>
    </w:p>
    <w:p w:rsidR="00367086" w:rsidRPr="00337D6A" w:rsidRDefault="005E6721" w:rsidP="00337D6A">
      <w:r>
        <w:t>Current t</w:t>
      </w:r>
      <w:r w:rsidR="00337D6A" w:rsidRPr="00337D6A">
        <w:t>reatment</w:t>
      </w:r>
      <w:r>
        <w:t>s</w:t>
      </w:r>
      <w:r w:rsidR="00337D6A" w:rsidRPr="00337D6A">
        <w:t xml:space="preserve"> can involve topical and systemic medication, surgery (</w:t>
      </w:r>
      <w:r w:rsidR="00E9121C">
        <w:t>for example</w:t>
      </w:r>
      <w:r w:rsidR="00337D6A" w:rsidRPr="00337D6A">
        <w:t xml:space="preserve"> for nodules, sinus tracts and scarring) and behaviou</w:t>
      </w:r>
      <w:r w:rsidR="00C00B10">
        <w:t>ral/</w:t>
      </w:r>
      <w:r w:rsidR="00E9121C">
        <w:t>lifestyle approaches (for example</w:t>
      </w:r>
      <w:r w:rsidR="00337D6A" w:rsidRPr="00337D6A">
        <w:t xml:space="preserve"> smoking cessation and weight management).</w:t>
      </w:r>
      <w:r w:rsidR="00337D6A">
        <w:t xml:space="preserve"> </w:t>
      </w:r>
      <w:r w:rsidR="00337D6A" w:rsidRPr="00337D6A">
        <w:t xml:space="preserve">Medicines include antibiotics and hormonal therapies; in those who do not respond to these approaches, biological therapies and oral </w:t>
      </w:r>
      <w:proofErr w:type="spellStart"/>
      <w:r w:rsidR="00337D6A" w:rsidRPr="00337D6A">
        <w:t>retinoids</w:t>
      </w:r>
      <w:proofErr w:type="spellEnd"/>
      <w:r w:rsidR="00337D6A" w:rsidRPr="00337D6A">
        <w:t xml:space="preserve"> can be considered.</w:t>
      </w:r>
    </w:p>
    <w:p w:rsidR="008E7846" w:rsidRPr="003F31A2" w:rsidRDefault="00386150" w:rsidP="008E7846">
      <w:pPr>
        <w:pStyle w:val="Heading3"/>
      </w:pPr>
      <w:bookmarkStart w:id="20" w:name="_Toc314842485"/>
      <w:bookmarkStart w:id="21" w:name="_Toc247691504"/>
      <w:bookmarkStart w:id="22" w:name="_Toc456951141"/>
      <w:r>
        <w:t>Regulatory s</w:t>
      </w:r>
      <w:r w:rsidR="008E7846">
        <w:t>tatus</w:t>
      </w:r>
      <w:bookmarkEnd w:id="20"/>
      <w:bookmarkEnd w:id="21"/>
      <w:bookmarkEnd w:id="22"/>
    </w:p>
    <w:p w:rsidR="00940A89" w:rsidRPr="00940A89" w:rsidRDefault="00940A89" w:rsidP="00940A89">
      <w:bookmarkStart w:id="23" w:name="_Toc247691505"/>
      <w:bookmarkStart w:id="24" w:name="_Toc314842486"/>
      <w:r w:rsidRPr="00940A89">
        <w:t>The product received initial registration on the Australian Register</w:t>
      </w:r>
      <w:r w:rsidR="003367A5">
        <w:t xml:space="preserve"> of Therapeutic Goods (ARTG) </w:t>
      </w:r>
      <w:r w:rsidR="003367A5" w:rsidRPr="00EC43EB">
        <w:t>on 10 December 2003.</w:t>
      </w:r>
    </w:p>
    <w:p w:rsidR="00F22D09" w:rsidRDefault="00940A89" w:rsidP="00940A89">
      <w:pPr>
        <w:rPr>
          <w:rFonts w:asciiTheme="minorHAnsi" w:hAnsiTheme="minorHAnsi"/>
        </w:rPr>
      </w:pPr>
      <w:r w:rsidRPr="0011302C">
        <w:rPr>
          <w:rFonts w:asciiTheme="minorHAnsi" w:hAnsiTheme="minorHAnsi"/>
        </w:rPr>
        <w:t xml:space="preserve">At the time the TGA considered this application, a similar application had been approved </w:t>
      </w:r>
      <w:r w:rsidR="0011302C">
        <w:rPr>
          <w:rFonts w:asciiTheme="minorHAnsi" w:hAnsiTheme="minorHAnsi"/>
        </w:rPr>
        <w:t>in</w:t>
      </w:r>
      <w:r w:rsidR="00EC43EB" w:rsidRPr="0011302C">
        <w:rPr>
          <w:rFonts w:asciiTheme="minorHAnsi" w:hAnsiTheme="minorHAnsi"/>
        </w:rPr>
        <w:t xml:space="preserve"> the </w:t>
      </w:r>
      <w:r w:rsidR="002105A6">
        <w:rPr>
          <w:rFonts w:asciiTheme="minorHAnsi" w:hAnsiTheme="minorHAnsi"/>
        </w:rPr>
        <w:t>European Union (</w:t>
      </w:r>
      <w:r w:rsidR="00EC43EB" w:rsidRPr="0011302C">
        <w:rPr>
          <w:rFonts w:asciiTheme="minorHAnsi" w:hAnsiTheme="minorHAnsi"/>
        </w:rPr>
        <w:t>EU</w:t>
      </w:r>
      <w:r w:rsidR="002105A6">
        <w:rPr>
          <w:rFonts w:asciiTheme="minorHAnsi" w:hAnsiTheme="minorHAnsi"/>
        </w:rPr>
        <w:t>)</w:t>
      </w:r>
      <w:r w:rsidR="00EC43EB" w:rsidRPr="0011302C">
        <w:rPr>
          <w:rFonts w:asciiTheme="minorHAnsi" w:hAnsiTheme="minorHAnsi"/>
        </w:rPr>
        <w:t xml:space="preserve"> in June, 201</w:t>
      </w:r>
      <w:r w:rsidR="0011302C">
        <w:rPr>
          <w:rFonts w:asciiTheme="minorHAnsi" w:hAnsiTheme="minorHAnsi"/>
        </w:rPr>
        <w:t>5 for</w:t>
      </w:r>
      <w:r w:rsidR="00383E89">
        <w:rPr>
          <w:rFonts w:asciiTheme="minorHAnsi" w:hAnsiTheme="minorHAnsi"/>
        </w:rPr>
        <w:t>:</w:t>
      </w:r>
    </w:p>
    <w:p w:rsidR="00EC43EB" w:rsidRDefault="00EC43EB" w:rsidP="00F22D09">
      <w:pPr>
        <w:ind w:left="720"/>
        <w:rPr>
          <w:rFonts w:asciiTheme="minorHAnsi" w:hAnsiTheme="minorHAnsi"/>
          <w:color w:val="000000"/>
          <w:shd w:val="clear" w:color="auto" w:fill="FFFFFF"/>
        </w:rPr>
      </w:pPr>
      <w:proofErr w:type="gramStart"/>
      <w:r w:rsidRPr="0072453E">
        <w:rPr>
          <w:rFonts w:asciiTheme="minorHAnsi" w:hAnsiTheme="minorHAnsi"/>
          <w:i/>
          <w:color w:val="000000"/>
          <w:shd w:val="clear" w:color="auto" w:fill="FFFFFF"/>
        </w:rPr>
        <w:t>adults</w:t>
      </w:r>
      <w:proofErr w:type="gramEnd"/>
      <w:r w:rsidRPr="0072453E">
        <w:rPr>
          <w:rFonts w:asciiTheme="minorHAnsi" w:hAnsiTheme="minorHAnsi"/>
          <w:i/>
          <w:color w:val="000000"/>
          <w:shd w:val="clear" w:color="auto" w:fill="FFFFFF"/>
        </w:rPr>
        <w:t xml:space="preserve"> with active moderate to severe hidradenitis </w:t>
      </w:r>
      <w:proofErr w:type="spellStart"/>
      <w:r w:rsidRPr="0072453E">
        <w:rPr>
          <w:rFonts w:asciiTheme="minorHAnsi" w:hAnsiTheme="minorHAnsi"/>
          <w:i/>
          <w:color w:val="000000"/>
          <w:shd w:val="clear" w:color="auto" w:fill="FFFFFF"/>
        </w:rPr>
        <w:t>suppurativa</w:t>
      </w:r>
      <w:proofErr w:type="spellEnd"/>
      <w:r w:rsidRPr="0072453E">
        <w:rPr>
          <w:rFonts w:asciiTheme="minorHAnsi" w:hAnsiTheme="minorHAnsi"/>
          <w:i/>
          <w:color w:val="000000"/>
          <w:shd w:val="clear" w:color="auto" w:fill="FFFFFF"/>
        </w:rPr>
        <w:t xml:space="preserve"> (acne </w:t>
      </w:r>
      <w:proofErr w:type="spellStart"/>
      <w:r w:rsidRPr="0072453E">
        <w:rPr>
          <w:rFonts w:asciiTheme="minorHAnsi" w:hAnsiTheme="minorHAnsi"/>
          <w:i/>
          <w:color w:val="000000"/>
          <w:shd w:val="clear" w:color="auto" w:fill="FFFFFF"/>
        </w:rPr>
        <w:t>inversa</w:t>
      </w:r>
      <w:proofErr w:type="spellEnd"/>
      <w:r w:rsidRPr="0072453E">
        <w:rPr>
          <w:rFonts w:asciiTheme="minorHAnsi" w:hAnsiTheme="minorHAnsi"/>
          <w:i/>
          <w:color w:val="000000"/>
          <w:shd w:val="clear" w:color="auto" w:fill="FFFFFF"/>
        </w:rPr>
        <w:t>), who have failed to respond to conventional systemic treatments</w:t>
      </w:r>
      <w:r w:rsidR="00F22D09">
        <w:rPr>
          <w:rFonts w:asciiTheme="minorHAnsi" w:hAnsiTheme="minorHAnsi"/>
          <w:color w:val="000000"/>
          <w:shd w:val="clear" w:color="auto" w:fill="FFFFFF"/>
        </w:rPr>
        <w:t>.</w:t>
      </w:r>
    </w:p>
    <w:p w:rsidR="00337D6A" w:rsidRDefault="00337D6A" w:rsidP="00337D6A">
      <w:r>
        <w:t xml:space="preserve">Submission dates for the HS dossier in </w:t>
      </w:r>
      <w:r w:rsidR="002A18A9">
        <w:t>EU, US and Canada</w:t>
      </w:r>
      <w:r w:rsidR="00B25E67">
        <w:t xml:space="preserve"> are included in Table 3</w:t>
      </w:r>
      <w:r>
        <w:t>.</w:t>
      </w:r>
    </w:p>
    <w:p w:rsidR="00217537" w:rsidRDefault="00B25E67" w:rsidP="00217537">
      <w:pPr>
        <w:pStyle w:val="Tabletitle0"/>
      </w:pPr>
      <w:r w:rsidRPr="00874227">
        <w:t>Table 3</w:t>
      </w:r>
      <w:r w:rsidR="007117A0">
        <w:t>:</w:t>
      </w:r>
      <w:r w:rsidR="00217537" w:rsidRPr="00874227">
        <w:t xml:space="preserve"> Submission and approval </w:t>
      </w:r>
      <w:r w:rsidR="004B291B" w:rsidRPr="00874227">
        <w:t xml:space="preserve">dates for HS dossier in </w:t>
      </w:r>
      <w:r w:rsidR="002A18A9" w:rsidRPr="00874227">
        <w:t>the EU, US and Canada.</w:t>
      </w:r>
    </w:p>
    <w:tbl>
      <w:tblPr>
        <w:tblStyle w:val="TableTGAblue"/>
        <w:tblW w:w="0" w:type="auto"/>
        <w:tblLayout w:type="fixed"/>
        <w:tblLook w:val="04A0" w:firstRow="1" w:lastRow="0" w:firstColumn="1" w:lastColumn="0" w:noHBand="0" w:noVBand="1"/>
      </w:tblPr>
      <w:tblGrid>
        <w:gridCol w:w="1242"/>
        <w:gridCol w:w="1701"/>
        <w:gridCol w:w="2268"/>
        <w:gridCol w:w="3509"/>
      </w:tblGrid>
      <w:tr w:rsidR="00217537" w:rsidRPr="00217537" w:rsidTr="00F13D95">
        <w:trPr>
          <w:cnfStyle w:val="100000000000" w:firstRow="1" w:lastRow="0" w:firstColumn="0" w:lastColumn="0" w:oddVBand="0" w:evenVBand="0" w:oddHBand="0" w:evenHBand="0" w:firstRowFirstColumn="0" w:firstRowLastColumn="0" w:lastRowFirstColumn="0" w:lastRowLastColumn="0"/>
        </w:trPr>
        <w:tc>
          <w:tcPr>
            <w:tcW w:w="1242" w:type="dxa"/>
          </w:tcPr>
          <w:p w:rsidR="00337D6A" w:rsidRPr="00B70104" w:rsidRDefault="00337D6A" w:rsidP="00BB5A93">
            <w:pPr>
              <w:ind w:left="0"/>
            </w:pPr>
            <w:r w:rsidRPr="00B70104">
              <w:t>Country or Region</w:t>
            </w:r>
          </w:p>
        </w:tc>
        <w:tc>
          <w:tcPr>
            <w:tcW w:w="1701" w:type="dxa"/>
          </w:tcPr>
          <w:p w:rsidR="00337D6A" w:rsidRPr="00B70104" w:rsidRDefault="00337D6A" w:rsidP="00BB5A93">
            <w:pPr>
              <w:ind w:left="0"/>
            </w:pPr>
            <w:r w:rsidRPr="00B70104">
              <w:t>Submission date</w:t>
            </w:r>
          </w:p>
        </w:tc>
        <w:tc>
          <w:tcPr>
            <w:tcW w:w="2268" w:type="dxa"/>
          </w:tcPr>
          <w:p w:rsidR="00337D6A" w:rsidRPr="00B70104" w:rsidRDefault="00337D6A" w:rsidP="00BB5A93">
            <w:pPr>
              <w:ind w:left="34"/>
            </w:pPr>
            <w:r w:rsidRPr="00B70104">
              <w:t>Status</w:t>
            </w:r>
          </w:p>
        </w:tc>
        <w:tc>
          <w:tcPr>
            <w:tcW w:w="3509" w:type="dxa"/>
          </w:tcPr>
          <w:p w:rsidR="00337D6A" w:rsidRPr="00B70104" w:rsidRDefault="00337D6A" w:rsidP="00BB5A93">
            <w:pPr>
              <w:ind w:left="34"/>
            </w:pPr>
            <w:r w:rsidRPr="00B70104">
              <w:t>Approved indications</w:t>
            </w:r>
          </w:p>
        </w:tc>
      </w:tr>
      <w:tr w:rsidR="00217537" w:rsidRPr="00217537" w:rsidTr="00F13D95">
        <w:tc>
          <w:tcPr>
            <w:tcW w:w="1242" w:type="dxa"/>
          </w:tcPr>
          <w:p w:rsidR="00337D6A" w:rsidRPr="00B70104" w:rsidRDefault="00337D6A" w:rsidP="00BB5A93">
            <w:pPr>
              <w:ind w:left="0"/>
            </w:pPr>
            <w:r w:rsidRPr="00B70104">
              <w:t>EU</w:t>
            </w:r>
          </w:p>
        </w:tc>
        <w:tc>
          <w:tcPr>
            <w:tcW w:w="1701" w:type="dxa"/>
          </w:tcPr>
          <w:p w:rsidR="00337D6A" w:rsidRPr="00B70104" w:rsidRDefault="00337D6A" w:rsidP="00BB5A93">
            <w:pPr>
              <w:ind w:left="0"/>
            </w:pPr>
            <w:r w:rsidRPr="00B70104">
              <w:t>11</w:t>
            </w:r>
            <w:r w:rsidR="00F13D95">
              <w:t xml:space="preserve"> November 20</w:t>
            </w:r>
            <w:r w:rsidR="00217537" w:rsidRPr="00B70104">
              <w:t>1</w:t>
            </w:r>
            <w:r w:rsidRPr="00B70104">
              <w:t>4</w:t>
            </w:r>
          </w:p>
        </w:tc>
        <w:tc>
          <w:tcPr>
            <w:tcW w:w="2268" w:type="dxa"/>
          </w:tcPr>
          <w:p w:rsidR="00337D6A" w:rsidRPr="00B70104" w:rsidRDefault="00337D6A" w:rsidP="00BB5A93">
            <w:pPr>
              <w:ind w:left="34"/>
            </w:pPr>
            <w:r w:rsidRPr="00B70104">
              <w:t xml:space="preserve">Approved </w:t>
            </w:r>
            <w:r w:rsidR="00217537" w:rsidRPr="00B70104">
              <w:t xml:space="preserve">on </w:t>
            </w:r>
            <w:r w:rsidRPr="00B70104">
              <w:t>29</w:t>
            </w:r>
            <w:r w:rsidR="00F13D95">
              <w:t xml:space="preserve"> July 20</w:t>
            </w:r>
            <w:r w:rsidR="00217537" w:rsidRPr="00B70104">
              <w:t>15</w:t>
            </w:r>
          </w:p>
        </w:tc>
        <w:tc>
          <w:tcPr>
            <w:tcW w:w="3509" w:type="dxa"/>
          </w:tcPr>
          <w:p w:rsidR="00337D6A" w:rsidRPr="00B70104" w:rsidRDefault="00217537" w:rsidP="00BB5A93">
            <w:pPr>
              <w:ind w:left="34"/>
            </w:pPr>
            <w:proofErr w:type="spellStart"/>
            <w:r w:rsidRPr="00B70104">
              <w:t>Humira</w:t>
            </w:r>
            <w:proofErr w:type="spellEnd"/>
            <w:r w:rsidRPr="00B70104">
              <w:t xml:space="preserve"> is indicated for the treatment of active moderate to severe hidradenitis </w:t>
            </w:r>
            <w:proofErr w:type="spellStart"/>
            <w:r w:rsidRPr="00B70104">
              <w:t>suppurativa</w:t>
            </w:r>
            <w:proofErr w:type="spellEnd"/>
            <w:r w:rsidRPr="00B70104">
              <w:t xml:space="preserve"> (acne </w:t>
            </w:r>
            <w:proofErr w:type="spellStart"/>
            <w:r w:rsidRPr="00B70104">
              <w:t>inversa</w:t>
            </w:r>
            <w:proofErr w:type="spellEnd"/>
            <w:r w:rsidRPr="00B70104">
              <w:t>) in adult patients with inadequate response to conventional systemic HS therapy.</w:t>
            </w:r>
          </w:p>
        </w:tc>
      </w:tr>
      <w:tr w:rsidR="00217537" w:rsidRPr="00217537" w:rsidTr="00F13D95">
        <w:tc>
          <w:tcPr>
            <w:tcW w:w="1242" w:type="dxa"/>
          </w:tcPr>
          <w:p w:rsidR="00337D6A" w:rsidRPr="00B70104" w:rsidRDefault="00337D6A" w:rsidP="00BB5A93">
            <w:pPr>
              <w:ind w:left="0"/>
            </w:pPr>
            <w:r w:rsidRPr="00B70104">
              <w:lastRenderedPageBreak/>
              <w:t>US</w:t>
            </w:r>
          </w:p>
        </w:tc>
        <w:tc>
          <w:tcPr>
            <w:tcW w:w="1701" w:type="dxa"/>
          </w:tcPr>
          <w:p w:rsidR="00337D6A" w:rsidRPr="00B70104" w:rsidRDefault="00F13D95" w:rsidP="00BB5A93">
            <w:pPr>
              <w:ind w:left="0"/>
            </w:pPr>
            <w:r>
              <w:t>10 November 20</w:t>
            </w:r>
            <w:r w:rsidR="002A18A9" w:rsidRPr="00B70104">
              <w:t>14</w:t>
            </w:r>
          </w:p>
        </w:tc>
        <w:tc>
          <w:tcPr>
            <w:tcW w:w="2268" w:type="dxa"/>
          </w:tcPr>
          <w:p w:rsidR="00337D6A" w:rsidRPr="00B70104" w:rsidRDefault="00F13D95" w:rsidP="00BB5A93">
            <w:pPr>
              <w:ind w:left="34"/>
            </w:pPr>
            <w:r>
              <w:t>Approved on 09 September 20</w:t>
            </w:r>
            <w:r w:rsidR="00217537" w:rsidRPr="00B70104">
              <w:t>15</w:t>
            </w:r>
          </w:p>
        </w:tc>
        <w:tc>
          <w:tcPr>
            <w:tcW w:w="3509" w:type="dxa"/>
          </w:tcPr>
          <w:p w:rsidR="00337D6A" w:rsidRPr="00B70104" w:rsidRDefault="00217537" w:rsidP="00BB5A93">
            <w:pPr>
              <w:ind w:left="34"/>
            </w:pPr>
            <w:proofErr w:type="spellStart"/>
            <w:r w:rsidRPr="00B70104">
              <w:t>Humira</w:t>
            </w:r>
            <w:proofErr w:type="spellEnd"/>
            <w:r w:rsidRPr="00B70104">
              <w:t xml:space="preserve"> is indicated for the treatment of moderate to severe hidradenitis </w:t>
            </w:r>
            <w:proofErr w:type="spellStart"/>
            <w:r w:rsidRPr="00B70104">
              <w:t>suppurativa</w:t>
            </w:r>
            <w:proofErr w:type="spellEnd"/>
            <w:r w:rsidRPr="00B70104">
              <w:t>.</w:t>
            </w:r>
          </w:p>
        </w:tc>
      </w:tr>
      <w:tr w:rsidR="00217537" w:rsidRPr="00217537" w:rsidTr="00F13D95">
        <w:tc>
          <w:tcPr>
            <w:tcW w:w="1242" w:type="dxa"/>
          </w:tcPr>
          <w:p w:rsidR="00337D6A" w:rsidRPr="00B70104" w:rsidRDefault="00337D6A" w:rsidP="00BB5A93">
            <w:pPr>
              <w:ind w:left="0"/>
            </w:pPr>
            <w:r w:rsidRPr="00B70104">
              <w:t>Canada</w:t>
            </w:r>
          </w:p>
        </w:tc>
        <w:tc>
          <w:tcPr>
            <w:tcW w:w="1701" w:type="dxa"/>
          </w:tcPr>
          <w:p w:rsidR="00337D6A" w:rsidRPr="00B70104" w:rsidRDefault="00F13D95" w:rsidP="00BB5A93">
            <w:pPr>
              <w:ind w:left="0"/>
            </w:pPr>
            <w:r>
              <w:t>14 January 20</w:t>
            </w:r>
            <w:r w:rsidR="002A18A9" w:rsidRPr="00B70104">
              <w:t>15</w:t>
            </w:r>
          </w:p>
        </w:tc>
        <w:tc>
          <w:tcPr>
            <w:tcW w:w="2268" w:type="dxa"/>
          </w:tcPr>
          <w:p w:rsidR="00337D6A" w:rsidRPr="00B70104" w:rsidRDefault="00217537" w:rsidP="00BB5A93">
            <w:pPr>
              <w:ind w:left="34"/>
            </w:pPr>
            <w:r w:rsidRPr="00B70104">
              <w:t xml:space="preserve">Approved on </w:t>
            </w:r>
            <w:r w:rsidR="00F13D95">
              <w:t>31 December 20</w:t>
            </w:r>
            <w:r w:rsidRPr="00B70104">
              <w:t>15</w:t>
            </w:r>
          </w:p>
        </w:tc>
        <w:tc>
          <w:tcPr>
            <w:tcW w:w="3509" w:type="dxa"/>
          </w:tcPr>
          <w:p w:rsidR="00337D6A" w:rsidRPr="00B70104" w:rsidRDefault="00217537" w:rsidP="00BB5A93">
            <w:pPr>
              <w:ind w:left="34"/>
            </w:pPr>
            <w:proofErr w:type="spellStart"/>
            <w:r w:rsidRPr="00B70104">
              <w:t>Humira</w:t>
            </w:r>
            <w:proofErr w:type="spellEnd"/>
            <w:r w:rsidRPr="00B70104">
              <w:t xml:space="preserve"> is indicated for the treatment of active moderate to severe hidradenitis </w:t>
            </w:r>
            <w:proofErr w:type="spellStart"/>
            <w:r w:rsidRPr="00B70104">
              <w:t>suppurativa</w:t>
            </w:r>
            <w:proofErr w:type="spellEnd"/>
            <w:r w:rsidRPr="00B70104">
              <w:t xml:space="preserve"> in adult patients, who have not responded to conventional therapy (including systemic antibiotics).</w:t>
            </w:r>
          </w:p>
        </w:tc>
      </w:tr>
    </w:tbl>
    <w:p w:rsidR="008E7846" w:rsidRDefault="008E7846" w:rsidP="00940A89">
      <w:pPr>
        <w:pStyle w:val="Heading3"/>
      </w:pPr>
      <w:bookmarkStart w:id="25" w:name="_Toc456951142"/>
      <w:r>
        <w:t>Product Information</w:t>
      </w:r>
      <w:bookmarkEnd w:id="23"/>
      <w:bookmarkEnd w:id="24"/>
      <w:bookmarkEnd w:id="25"/>
    </w:p>
    <w:p w:rsidR="00C75618" w:rsidRDefault="00C75618" w:rsidP="00C75618">
      <w:pPr>
        <w:rPr>
          <w:b/>
          <w:bCs/>
        </w:rPr>
      </w:pPr>
      <w:bookmarkStart w:id="26" w:name="_Toc247691506"/>
      <w:bookmarkStart w:id="27"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rsidR="008E7846" w:rsidRPr="003602A9" w:rsidRDefault="008E7846" w:rsidP="008E7846">
      <w:pPr>
        <w:pStyle w:val="Heading2"/>
        <w:ind w:left="-11"/>
      </w:pPr>
      <w:bookmarkStart w:id="28" w:name="_Toc456951143"/>
      <w:r>
        <w:t>II. Quality</w:t>
      </w:r>
      <w:bookmarkEnd w:id="1"/>
      <w:r>
        <w:t xml:space="preserve"> findings</w:t>
      </w:r>
      <w:bookmarkEnd w:id="26"/>
      <w:bookmarkEnd w:id="27"/>
      <w:bookmarkEnd w:id="28"/>
    </w:p>
    <w:p w:rsidR="008E7846" w:rsidRDefault="00940A89" w:rsidP="008E7846">
      <w:bookmarkStart w:id="29" w:name="_Toc247691507"/>
      <w:bookmarkStart w:id="30" w:name="_Toc314842488"/>
      <w:r w:rsidRPr="00940A89">
        <w:t>There was no requirement for a quality evaluation in a submission of this type.</w:t>
      </w:r>
      <w:bookmarkEnd w:id="29"/>
      <w:bookmarkEnd w:id="30"/>
    </w:p>
    <w:p w:rsidR="008E7846" w:rsidRDefault="008E7846" w:rsidP="008E7846">
      <w:pPr>
        <w:pStyle w:val="Heading2"/>
      </w:pPr>
      <w:bookmarkStart w:id="31" w:name="_Toc196046439"/>
      <w:bookmarkStart w:id="32" w:name="_Toc247691510"/>
      <w:bookmarkStart w:id="33" w:name="_Toc314842494"/>
      <w:bookmarkStart w:id="34" w:name="_Toc456951144"/>
      <w:r>
        <w:t>III. Nonclinical</w:t>
      </w:r>
      <w:bookmarkEnd w:id="31"/>
      <w:r>
        <w:t xml:space="preserve"> findings</w:t>
      </w:r>
      <w:bookmarkEnd w:id="32"/>
      <w:bookmarkEnd w:id="33"/>
      <w:bookmarkEnd w:id="34"/>
    </w:p>
    <w:p w:rsidR="00940A89" w:rsidRDefault="00940A89" w:rsidP="000E6196">
      <w:bookmarkStart w:id="35" w:name="_Toc247691511"/>
      <w:bookmarkStart w:id="36" w:name="_Toc314842495"/>
      <w:r>
        <w:t>There was no requirement for a nonclinical evaluation in a submission of this type.</w:t>
      </w:r>
    </w:p>
    <w:p w:rsidR="008E7846" w:rsidRPr="00254787" w:rsidRDefault="00BD584E" w:rsidP="008E7846">
      <w:pPr>
        <w:pStyle w:val="Heading2"/>
      </w:pPr>
      <w:bookmarkStart w:id="37" w:name="_Toc196046462"/>
      <w:bookmarkStart w:id="38" w:name="_Toc247691516"/>
      <w:bookmarkStart w:id="39" w:name="_Toc314842500"/>
      <w:bookmarkStart w:id="40" w:name="_Toc163441353"/>
      <w:bookmarkStart w:id="41" w:name="_Toc163441348"/>
      <w:bookmarkStart w:id="42" w:name="_Toc456951145"/>
      <w:bookmarkEnd w:id="35"/>
      <w:bookmarkEnd w:id="36"/>
      <w:r>
        <w:t xml:space="preserve">IV. </w:t>
      </w:r>
      <w:r w:rsidR="008E7846" w:rsidRPr="00254787">
        <w:t>Clinical</w:t>
      </w:r>
      <w:bookmarkEnd w:id="37"/>
      <w:r w:rsidR="008E7846">
        <w:t xml:space="preserve"> </w:t>
      </w:r>
      <w:r w:rsidR="003A7F6C">
        <w:t>f</w:t>
      </w:r>
      <w:r w:rsidR="008E7846">
        <w:t>indings</w:t>
      </w:r>
      <w:bookmarkEnd w:id="38"/>
      <w:bookmarkEnd w:id="39"/>
      <w:bookmarkEnd w:id="42"/>
    </w:p>
    <w:p w:rsidR="00C80137" w:rsidRDefault="00C80137" w:rsidP="00D425BB">
      <w:bookmarkStart w:id="4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Default="00605AD4" w:rsidP="00BB5A93">
      <w:pPr>
        <w:pStyle w:val="Heading3"/>
      </w:pPr>
      <w:bookmarkStart w:id="44" w:name="_Toc196046464"/>
      <w:bookmarkStart w:id="45" w:name="_Toc247691518"/>
      <w:bookmarkStart w:id="46" w:name="_Toc314842502"/>
      <w:bookmarkStart w:id="47" w:name="_Toc456951146"/>
      <w:bookmarkEnd w:id="43"/>
      <w:r w:rsidRPr="00605AD4">
        <w:t xml:space="preserve">Clinical </w:t>
      </w:r>
      <w:r w:rsidR="00EF59DC">
        <w:t>r</w:t>
      </w:r>
      <w:r w:rsidRPr="00605AD4">
        <w:t>ationale</w:t>
      </w:r>
      <w:bookmarkEnd w:id="47"/>
    </w:p>
    <w:p w:rsidR="00536732" w:rsidRPr="00A92CA6" w:rsidRDefault="00536732" w:rsidP="00536732">
      <w:r w:rsidRPr="00A92CA6">
        <w:t xml:space="preserve">Hidradenitis </w:t>
      </w:r>
      <w:proofErr w:type="spellStart"/>
      <w:r w:rsidRPr="00A92CA6">
        <w:t>suppurativa</w:t>
      </w:r>
      <w:proofErr w:type="spellEnd"/>
      <w:r w:rsidRPr="00A92CA6">
        <w:t xml:space="preserve"> (HS) is a debilitating, chronic inflammatory follicular disease characterised by the formation of recurrent abscesses, inflammatory nodules, and fistulas. It mainly involves skin regions with apocrine glands such as axillae, groins, perineal and perianal areas, and </w:t>
      </w:r>
      <w:proofErr w:type="spellStart"/>
      <w:r w:rsidRPr="00A92CA6">
        <w:t>submammary</w:t>
      </w:r>
      <w:proofErr w:type="spellEnd"/>
      <w:r w:rsidRPr="00A92CA6">
        <w:t xml:space="preserve"> areas. Lesions are often painful and result in malodorous discharge. Complications include excessive scarring and fibrosis potentially leading to contractures and limitations in mobility, as well as anal, urethral, and rectal strictures. Other comorbidities associated with HS include anaemia, secondary infection, malignancy (such as non</w:t>
      </w:r>
      <w:r w:rsidR="000C2FFA">
        <w:t>–</w:t>
      </w:r>
      <w:r w:rsidRPr="00A92CA6">
        <w:t>melanoma skin cancer</w:t>
      </w:r>
      <w:r>
        <w:t xml:space="preserve"> [NMSC]</w:t>
      </w:r>
      <w:r w:rsidRPr="00A92CA6">
        <w:t>), depression, and anxiety. These disease sequelae result in significant reduction of health</w:t>
      </w:r>
      <w:r w:rsidR="0095258E">
        <w:t xml:space="preserve"> </w:t>
      </w:r>
      <w:r w:rsidRPr="00A92CA6">
        <w:t>related quality of life in affected individuals.</w:t>
      </w:r>
    </w:p>
    <w:p w:rsidR="00536732" w:rsidRPr="00A92CA6" w:rsidRDefault="00536732" w:rsidP="00536732">
      <w:r w:rsidRPr="00A92CA6">
        <w:t xml:space="preserve">The estimated prevalence of HS is approximately 1%. The disease onset is typically in the second and third decade of life and is rare in </w:t>
      </w:r>
      <w:proofErr w:type="spellStart"/>
      <w:r w:rsidRPr="00A92CA6">
        <w:t>prepubertal</w:t>
      </w:r>
      <w:proofErr w:type="spellEnd"/>
      <w:r w:rsidRPr="00A92CA6">
        <w:t xml:space="preserve"> children. Women are affected </w:t>
      </w:r>
      <w:r w:rsidRPr="00A92CA6">
        <w:lastRenderedPageBreak/>
        <w:t>more commonly than men (</w:t>
      </w:r>
      <w:r>
        <w:t>f</w:t>
      </w:r>
      <w:r w:rsidR="00C17225">
        <w:t>emale/male ratio approximately 2</w:t>
      </w:r>
      <w:r>
        <w:t>:1)</w:t>
      </w:r>
      <w:r w:rsidRPr="00A92CA6">
        <w:t>. Predisposing factors include obesity and cigarette smoking. The diagnosis is usually established based on the clinical presentation. Several disease severity scores have been developed, with the most commonly used being the three</w:t>
      </w:r>
      <w:r w:rsidR="000C2FFA">
        <w:t>–</w:t>
      </w:r>
      <w:r w:rsidRPr="00A92CA6">
        <w:t>stage Hurley score</w:t>
      </w:r>
      <w:r w:rsidR="00F168A2">
        <w:t xml:space="preserve"> (</w:t>
      </w:r>
      <w:r w:rsidR="004D5D4D">
        <w:t>Table 1</w:t>
      </w:r>
      <w:r w:rsidR="00330DDB">
        <w:t>)</w:t>
      </w:r>
      <w:r w:rsidR="00F168A2">
        <w:t>.</w:t>
      </w:r>
    </w:p>
    <w:p w:rsidR="00536732" w:rsidRPr="00A92CA6" w:rsidRDefault="00536732" w:rsidP="00536732">
      <w:r w:rsidRPr="00A92CA6">
        <w:t>Regarding management, the general lack of large randomised controlled studies limits therapeutic options for HS, which include both medical and surgical treatments</w:t>
      </w:r>
      <w:r>
        <w:t xml:space="preserve">. </w:t>
      </w:r>
      <w:r w:rsidRPr="00A92CA6">
        <w:t xml:space="preserve">Medical treatment options include topical and systemic antibiotics (clindamycin and rifampicin alone or in combination, </w:t>
      </w:r>
      <w:proofErr w:type="spellStart"/>
      <w:r w:rsidRPr="00A92CA6">
        <w:t>tetracyclines</w:t>
      </w:r>
      <w:proofErr w:type="spellEnd"/>
      <w:r w:rsidRPr="00A92CA6">
        <w:t>), oral anti</w:t>
      </w:r>
      <w:r w:rsidR="00746BFC">
        <w:t xml:space="preserve"> </w:t>
      </w:r>
      <w:r w:rsidRPr="00A92CA6">
        <w:t xml:space="preserve">androgen agents in women, </w:t>
      </w:r>
      <w:proofErr w:type="spellStart"/>
      <w:r w:rsidRPr="00A92CA6">
        <w:t>dapsone</w:t>
      </w:r>
      <w:proofErr w:type="spellEnd"/>
      <w:r w:rsidRPr="00A92CA6">
        <w:t xml:space="preserve"> and/or isotretinoin. More recently, the use of systemic anti</w:t>
      </w:r>
      <w:r w:rsidR="00746BFC">
        <w:t xml:space="preserve"> </w:t>
      </w:r>
      <w:r w:rsidRPr="00A92CA6">
        <w:t xml:space="preserve">TNF therapy (infliximab, </w:t>
      </w:r>
      <w:proofErr w:type="spellStart"/>
      <w:r w:rsidRPr="00A92CA6">
        <w:t>etanercept</w:t>
      </w:r>
      <w:proofErr w:type="spellEnd"/>
      <w:r w:rsidRPr="00A92CA6">
        <w:t>, adali</w:t>
      </w:r>
      <w:r w:rsidR="00D6373E">
        <w:t>mumab) has</w:t>
      </w:r>
      <w:r w:rsidRPr="00A92CA6">
        <w:t xml:space="preserve"> shown promising results. Surgical options include radical excisions and </w:t>
      </w:r>
      <w:proofErr w:type="spellStart"/>
      <w:r w:rsidRPr="00A92CA6">
        <w:t>deroofing</w:t>
      </w:r>
      <w:proofErr w:type="spellEnd"/>
      <w:r w:rsidRPr="00A92CA6">
        <w:t xml:space="preserve"> as well as laser ablation (CO</w:t>
      </w:r>
      <w:r w:rsidRPr="006511E9">
        <w:rPr>
          <w:vertAlign w:val="subscript"/>
        </w:rPr>
        <w:t>2</w:t>
      </w:r>
      <w:r w:rsidRPr="00A92CA6">
        <w:t xml:space="preserve"> and </w:t>
      </w:r>
      <w:proofErr w:type="spellStart"/>
      <w:r w:rsidRPr="00A92CA6">
        <w:t>Nd</w:t>
      </w:r>
      <w:proofErr w:type="gramStart"/>
      <w:r w:rsidRPr="00A92CA6">
        <w:t>:YAG</w:t>
      </w:r>
      <w:proofErr w:type="spellEnd"/>
      <w:proofErr w:type="gramEnd"/>
      <w:r w:rsidRPr="00A92CA6">
        <w:t xml:space="preserve"> lasers).</w:t>
      </w:r>
      <w:r>
        <w:t xml:space="preserve"> </w:t>
      </w:r>
      <w:r w:rsidRPr="00A92CA6">
        <w:t>Most of the described treatments are based on small case series, and no widely accepted therapeutic guidelines are available for HS.</w:t>
      </w:r>
    </w:p>
    <w:p w:rsidR="00536732" w:rsidRDefault="00E92D16" w:rsidP="00536732">
      <w:r>
        <w:t>The sponsor</w:t>
      </w:r>
      <w:r w:rsidR="00536732">
        <w:t>s Clinical O</w:t>
      </w:r>
      <w:r w:rsidR="00D6373E">
        <w:t xml:space="preserve">verview states </w:t>
      </w:r>
      <w:r>
        <w:t>‘</w:t>
      </w:r>
      <w:r w:rsidR="00536732" w:rsidRPr="00D6373E">
        <w:rPr>
          <w:i/>
        </w:rPr>
        <w:t>Given that (a) the abscesses and inflammatory nodules of HS cause pain and malodour, and may culminate in scar formation; (b) there are no approved medical therapies for the abscesses and inflammatory nodules of HS; and (c) surgical and laser therapies can be associated with significant post</w:t>
      </w:r>
      <w:r w:rsidR="000C2FFA">
        <w:rPr>
          <w:i/>
        </w:rPr>
        <w:t>–</w:t>
      </w:r>
      <w:r w:rsidR="00536732" w:rsidRPr="00D6373E">
        <w:rPr>
          <w:i/>
        </w:rPr>
        <w:t>procedure morbidity and uncertain long</w:t>
      </w:r>
      <w:r w:rsidR="000C2FFA">
        <w:rPr>
          <w:i/>
        </w:rPr>
        <w:t>–</w:t>
      </w:r>
      <w:r w:rsidR="00536732" w:rsidRPr="00D6373E">
        <w:rPr>
          <w:i/>
        </w:rPr>
        <w:t>term disease control, there is a significant unmet medical need for therapies to treat this condition. Based on the current treatment options and unmet medical need, sponsor considers that adalimumab has the potential to provide safe and effective therapy for moderate to severe HS and thus conducted a clinical development program for this indication.</w:t>
      </w:r>
      <w:r>
        <w:t>’</w:t>
      </w:r>
    </w:p>
    <w:p w:rsidR="00605AD4" w:rsidRDefault="00605AD4" w:rsidP="00605AD4">
      <w:pPr>
        <w:pStyle w:val="Heading4"/>
      </w:pPr>
      <w:r w:rsidRPr="00605AD4">
        <w:t>Contents of the clinical dossier</w:t>
      </w:r>
    </w:p>
    <w:p w:rsidR="00536732" w:rsidRPr="0028414B" w:rsidRDefault="00536732" w:rsidP="00BB5A93">
      <w:pPr>
        <w:pStyle w:val="Heading5"/>
      </w:pPr>
      <w:bookmarkStart w:id="48" w:name="_Toc295131020"/>
      <w:r w:rsidRPr="0028414B">
        <w:t>For HS</w:t>
      </w:r>
      <w:bookmarkEnd w:id="48"/>
    </w:p>
    <w:p w:rsidR="00536732" w:rsidRPr="00536732" w:rsidRDefault="00536732" w:rsidP="00536732">
      <w:r w:rsidRPr="00536732">
        <w:t>The clinical dossier documented a development program of pharmacokinetic and immunogenicity, dose</w:t>
      </w:r>
      <w:r w:rsidR="000C2FFA">
        <w:t>–</w:t>
      </w:r>
      <w:r w:rsidRPr="00536732">
        <w:t>finding, pivotal and other clinical trials relating to the proposed extension of indications.</w:t>
      </w:r>
    </w:p>
    <w:p w:rsidR="00536732" w:rsidRPr="00536732" w:rsidRDefault="00536732" w:rsidP="00536732">
      <w:r w:rsidRPr="00536732">
        <w:t>The submission contained the following clinical information:</w:t>
      </w:r>
    </w:p>
    <w:p w:rsidR="00536732" w:rsidRPr="00536732" w:rsidRDefault="00636C8D" w:rsidP="00536732">
      <w:pPr>
        <w:pStyle w:val="ListBullet"/>
      </w:pPr>
      <w:r>
        <w:t>2</w:t>
      </w:r>
      <w:r w:rsidR="00A81356">
        <w:t xml:space="preserve"> </w:t>
      </w:r>
      <w:r w:rsidR="00536732" w:rsidRPr="00536732">
        <w:t>pivotal efficacy/safety studies</w:t>
      </w:r>
      <w:r w:rsidR="00B16D47">
        <w:t xml:space="preserve"> (M11</w:t>
      </w:r>
      <w:r w:rsidR="000C2FFA">
        <w:t>–</w:t>
      </w:r>
      <w:r w:rsidR="00B16D47">
        <w:t>313, M11</w:t>
      </w:r>
      <w:r w:rsidR="000C2FFA">
        <w:t>–</w:t>
      </w:r>
      <w:r w:rsidR="00B16D47">
        <w:t>810, M12</w:t>
      </w:r>
      <w:r w:rsidR="000C2FFA">
        <w:t>–</w:t>
      </w:r>
      <w:r w:rsidR="00B16D47">
        <w:t>555)</w:t>
      </w:r>
    </w:p>
    <w:p w:rsidR="00536732" w:rsidRPr="00536732" w:rsidRDefault="00536732" w:rsidP="00536732">
      <w:pPr>
        <w:pStyle w:val="ListBullet"/>
      </w:pPr>
      <w:r w:rsidRPr="00536732">
        <w:t>1 Phase II efficacy/safety study</w:t>
      </w:r>
      <w:r w:rsidR="00B16D47">
        <w:t xml:space="preserve"> (M10</w:t>
      </w:r>
      <w:r w:rsidR="000C2FFA">
        <w:t>–</w:t>
      </w:r>
      <w:r w:rsidR="00B16D47">
        <w:t>467)</w:t>
      </w:r>
    </w:p>
    <w:p w:rsidR="00536732" w:rsidRPr="00536732" w:rsidRDefault="00536732" w:rsidP="00536732">
      <w:pPr>
        <w:pStyle w:val="ListBullet"/>
      </w:pPr>
      <w:r w:rsidRPr="00536732">
        <w:t xml:space="preserve">3 separate pharmacokinetic reports derived from the </w:t>
      </w:r>
      <w:r w:rsidR="00383E89">
        <w:t>pivotal efficacy/safety studies</w:t>
      </w:r>
    </w:p>
    <w:p w:rsidR="00536732" w:rsidRPr="00536732" w:rsidRDefault="00536732" w:rsidP="00536732">
      <w:pPr>
        <w:pStyle w:val="ListBullet"/>
      </w:pPr>
      <w:r w:rsidRPr="00536732">
        <w:t>Integrated Summary of Efficacy and Integrated Summary of Safety</w:t>
      </w:r>
    </w:p>
    <w:p w:rsidR="00536732" w:rsidRPr="00536732" w:rsidRDefault="00536732" w:rsidP="00536732">
      <w:pPr>
        <w:pStyle w:val="ListBullet"/>
      </w:pPr>
      <w:r w:rsidRPr="00536732">
        <w:t xml:space="preserve">A measurement report for the use of the </w:t>
      </w:r>
      <w:r w:rsidRPr="0001580C">
        <w:t>HS Clinical Re</w:t>
      </w:r>
      <w:r w:rsidR="00080E26" w:rsidRPr="0001580C">
        <w:t>sponse (</w:t>
      </w:r>
      <w:proofErr w:type="spellStart"/>
      <w:r w:rsidR="00080E26" w:rsidRPr="0001580C">
        <w:t>HiSCR</w:t>
      </w:r>
      <w:proofErr w:type="spellEnd"/>
      <w:r w:rsidR="00080E26" w:rsidRPr="0001580C">
        <w:t>)</w:t>
      </w:r>
      <w:bookmarkStart w:id="49" w:name="_Ref450912456"/>
      <w:r w:rsidR="00987D9B" w:rsidRPr="0001580C">
        <w:rPr>
          <w:rStyle w:val="FootnoteReference"/>
        </w:rPr>
        <w:footnoteReference w:id="2"/>
      </w:r>
      <w:bookmarkEnd w:id="49"/>
      <w:r w:rsidR="00080E26" w:rsidRPr="0001580C">
        <w:t xml:space="preserve"> measure</w:t>
      </w:r>
    </w:p>
    <w:p w:rsidR="00536732" w:rsidRPr="00536732" w:rsidRDefault="00536732" w:rsidP="00536732">
      <w:pPr>
        <w:pStyle w:val="ListBullet"/>
      </w:pPr>
      <w:r w:rsidRPr="00536732">
        <w:t>2 Evidentiary Dossiers to Support the use of various quality of life measurements in HS patients</w:t>
      </w:r>
    </w:p>
    <w:p w:rsidR="00536732" w:rsidRPr="00536732" w:rsidRDefault="00536732" w:rsidP="00536732">
      <w:pPr>
        <w:pStyle w:val="ListBullet"/>
      </w:pPr>
      <w:r w:rsidRPr="00536732">
        <w:t>Literature references</w:t>
      </w:r>
      <w:r w:rsidR="00080E26">
        <w:t>.</w:t>
      </w:r>
    </w:p>
    <w:p w:rsidR="00605AD4" w:rsidRDefault="00605AD4" w:rsidP="00605AD4">
      <w:pPr>
        <w:pStyle w:val="Heading4"/>
      </w:pPr>
      <w:r w:rsidRPr="00605AD4">
        <w:t>Paediatric data</w:t>
      </w:r>
    </w:p>
    <w:p w:rsidR="00A31EEC" w:rsidRDefault="00A31EEC" w:rsidP="00A31EEC">
      <w:r w:rsidRPr="006D23A6">
        <w:t>The submission d</w:t>
      </w:r>
      <w:r>
        <w:t>id not include paediatric data.</w:t>
      </w:r>
    </w:p>
    <w:p w:rsidR="00A31EEC" w:rsidRPr="006D23A6" w:rsidRDefault="00A31EEC" w:rsidP="00A31EEC">
      <w:pPr>
        <w:pStyle w:val="Comment"/>
      </w:pPr>
      <w:r w:rsidRPr="00C31E22">
        <w:rPr>
          <w:b/>
        </w:rPr>
        <w:lastRenderedPageBreak/>
        <w:t>Comment:</w:t>
      </w:r>
      <w:r w:rsidRPr="006D23A6">
        <w:t xml:space="preserve"> The exclusion of paediatric patients is reasonable given the low incidence of HS in </w:t>
      </w:r>
      <w:proofErr w:type="spellStart"/>
      <w:r w:rsidRPr="006D23A6">
        <w:t>prepubertal</w:t>
      </w:r>
      <w:proofErr w:type="spellEnd"/>
      <w:r w:rsidRPr="006D23A6">
        <w:t xml:space="preserve"> children and lack of evidence for the use of adalim</w:t>
      </w:r>
      <w:r>
        <w:t>umab in adolescent HS patients.</w:t>
      </w:r>
    </w:p>
    <w:p w:rsidR="00605AD4" w:rsidRDefault="00605AD4" w:rsidP="00605AD4">
      <w:pPr>
        <w:pStyle w:val="Heading4"/>
      </w:pPr>
      <w:r w:rsidRPr="00605AD4">
        <w:t>Good clinical practice</w:t>
      </w:r>
    </w:p>
    <w:p w:rsidR="00305725" w:rsidRPr="00305725" w:rsidRDefault="00305725" w:rsidP="00305725">
      <w:r w:rsidRPr="00305725">
        <w:t>The sponsor declared that all individual studies in this application complied with the principles of Good Clinical Practice, and were conducted with the approval of Ethics Committees or Institutional Review Boards. Informed consent was reported to have occurred for all subjects, and the studies performed in accordance with the version of the Declaration of Helsinki that applied at the t</w:t>
      </w:r>
      <w:r w:rsidR="00226FF5">
        <w:t>ime the studies were conducted.</w:t>
      </w:r>
    </w:p>
    <w:p w:rsidR="00305725" w:rsidRPr="00305725" w:rsidRDefault="00305725" w:rsidP="00305725">
      <w:pPr>
        <w:ind w:left="1134" w:hanging="1134"/>
      </w:pPr>
      <w:r w:rsidRPr="00305725">
        <w:rPr>
          <w:b/>
        </w:rPr>
        <w:t>Comment:</w:t>
      </w:r>
      <w:r w:rsidRPr="00305725">
        <w:t xml:space="preserve"> No evidence was found by the evaluators to contradict this claim.</w:t>
      </w:r>
    </w:p>
    <w:p w:rsidR="008E7846" w:rsidRDefault="008E7846" w:rsidP="00605AD4">
      <w:pPr>
        <w:pStyle w:val="Heading3"/>
      </w:pPr>
      <w:bookmarkStart w:id="50" w:name="_Toc456951147"/>
      <w:r w:rsidRPr="00254787">
        <w:t>Pharmacokinetics</w:t>
      </w:r>
      <w:bookmarkEnd w:id="40"/>
      <w:bookmarkEnd w:id="44"/>
      <w:bookmarkEnd w:id="45"/>
      <w:bookmarkEnd w:id="46"/>
      <w:r w:rsidR="00BE2BCA">
        <w:t xml:space="preserve"> (PK)</w:t>
      </w:r>
      <w:bookmarkEnd w:id="50"/>
    </w:p>
    <w:p w:rsidR="00605AD4" w:rsidRDefault="00605AD4" w:rsidP="00605AD4">
      <w:pPr>
        <w:pStyle w:val="Heading4"/>
      </w:pPr>
      <w:r>
        <w:t>Studies</w:t>
      </w:r>
      <w:r w:rsidR="00D81A1C">
        <w:t xml:space="preserve"> providing pharmacokinetic data</w:t>
      </w:r>
    </w:p>
    <w:p w:rsidR="00D81A1C" w:rsidRPr="00D81A1C" w:rsidRDefault="00D81A1C" w:rsidP="00D81A1C">
      <w:pPr>
        <w:jc w:val="both"/>
        <w:rPr>
          <w:rFonts w:asciiTheme="minorHAnsi" w:hAnsiTheme="minorHAnsi"/>
        </w:rPr>
      </w:pPr>
      <w:r w:rsidRPr="00D81A1C">
        <w:rPr>
          <w:rFonts w:asciiTheme="minorHAnsi" w:hAnsiTheme="minorHAnsi"/>
        </w:rPr>
        <w:t xml:space="preserve">Summaries of the pharmacokinetic </w:t>
      </w:r>
      <w:r w:rsidR="00B25E67">
        <w:rPr>
          <w:rFonts w:asciiTheme="minorHAnsi" w:hAnsiTheme="minorHAnsi"/>
        </w:rPr>
        <w:t>studies are presented in Table 4</w:t>
      </w:r>
      <w:r w:rsidRPr="00D81A1C">
        <w:rPr>
          <w:rFonts w:asciiTheme="minorHAnsi" w:hAnsiTheme="minorHAnsi"/>
        </w:rPr>
        <w:t>.</w:t>
      </w:r>
    </w:p>
    <w:p w:rsidR="00D81A1C" w:rsidRPr="00D81A1C" w:rsidRDefault="00D81A1C" w:rsidP="00D81A1C">
      <w:pPr>
        <w:ind w:left="1134" w:hanging="1134"/>
      </w:pPr>
      <w:r w:rsidRPr="00D81A1C">
        <w:rPr>
          <w:b/>
        </w:rPr>
        <w:t>Comment:</w:t>
      </w:r>
      <w:r w:rsidRPr="00D81A1C">
        <w:t xml:space="preserve"> Adalimumab is a registered drug for various indications in Australia. Pharmacokinetic data are available in the approved PI. No separate pharmacokinetic studies were submitted in this application. Rather, the presented data were derived as part of the pivotal efficacy/safety studies. Population pharmacokinetics was also evaluated for HS subjects in this submission.</w:t>
      </w:r>
    </w:p>
    <w:p w:rsidR="00D81A1C" w:rsidRPr="00F45E06" w:rsidRDefault="00D81A1C" w:rsidP="00D81A1C">
      <w:pPr>
        <w:pStyle w:val="Tabletitle0"/>
      </w:pPr>
      <w:bookmarkStart w:id="51" w:name="_Ref272426277"/>
      <w:bookmarkStart w:id="52" w:name="_Toc295131140"/>
      <w:r w:rsidRPr="00F45E06">
        <w:t xml:space="preserve">Table </w:t>
      </w:r>
      <w:bookmarkEnd w:id="51"/>
      <w:r w:rsidR="00B25E67">
        <w:t>4</w:t>
      </w:r>
      <w:r w:rsidR="00ED69AA">
        <w:t>:</w:t>
      </w:r>
      <w:r w:rsidRPr="00F45E06">
        <w:t xml:space="preserve"> Submitted pharmacokinetic studies</w:t>
      </w:r>
      <w:bookmarkEnd w:id="52"/>
    </w:p>
    <w:tbl>
      <w:tblPr>
        <w:tblStyle w:val="TableTGAblue"/>
        <w:tblW w:w="7479" w:type="dxa"/>
        <w:tblLayout w:type="fixed"/>
        <w:tblLook w:val="04A0" w:firstRow="1" w:lastRow="0" w:firstColumn="1" w:lastColumn="0" w:noHBand="0" w:noVBand="1"/>
      </w:tblPr>
      <w:tblGrid>
        <w:gridCol w:w="1668"/>
        <w:gridCol w:w="3685"/>
        <w:gridCol w:w="2126"/>
      </w:tblGrid>
      <w:tr w:rsidR="00D81A1C" w:rsidRPr="00BB5A93" w:rsidTr="00BB5A93">
        <w:trPr>
          <w:cnfStyle w:val="100000000000" w:firstRow="1" w:lastRow="0" w:firstColumn="0" w:lastColumn="0" w:oddVBand="0" w:evenVBand="0" w:oddHBand="0" w:evenHBand="0" w:firstRowFirstColumn="0" w:firstRowLastColumn="0" w:lastRowFirstColumn="0" w:lastRowLastColumn="0"/>
        </w:trPr>
        <w:tc>
          <w:tcPr>
            <w:tcW w:w="1668" w:type="dxa"/>
          </w:tcPr>
          <w:p w:rsidR="00D81A1C" w:rsidRPr="00BB5A93" w:rsidRDefault="00D81A1C" w:rsidP="00BB5A93">
            <w:pPr>
              <w:ind w:left="0"/>
              <w:rPr>
                <w:szCs w:val="22"/>
              </w:rPr>
            </w:pPr>
            <w:r w:rsidRPr="00BB5A93">
              <w:rPr>
                <w:szCs w:val="22"/>
              </w:rPr>
              <w:t>PK topic</w:t>
            </w:r>
          </w:p>
        </w:tc>
        <w:tc>
          <w:tcPr>
            <w:tcW w:w="3685" w:type="dxa"/>
          </w:tcPr>
          <w:p w:rsidR="00D81A1C" w:rsidRPr="00BB5A93" w:rsidRDefault="00D81A1C" w:rsidP="00BB5A93">
            <w:pPr>
              <w:ind w:left="0"/>
              <w:rPr>
                <w:szCs w:val="22"/>
              </w:rPr>
            </w:pPr>
            <w:r w:rsidRPr="00BB5A93">
              <w:rPr>
                <w:szCs w:val="22"/>
              </w:rPr>
              <w:t>Subtopic</w:t>
            </w:r>
          </w:p>
        </w:tc>
        <w:tc>
          <w:tcPr>
            <w:tcW w:w="2126" w:type="dxa"/>
          </w:tcPr>
          <w:p w:rsidR="00D81A1C" w:rsidRPr="00BB5A93" w:rsidRDefault="00D81A1C" w:rsidP="00BB5A93">
            <w:pPr>
              <w:ind w:left="34"/>
              <w:rPr>
                <w:szCs w:val="22"/>
              </w:rPr>
            </w:pPr>
            <w:r w:rsidRPr="00BB5A93">
              <w:rPr>
                <w:szCs w:val="22"/>
              </w:rPr>
              <w:t>Study ID</w:t>
            </w:r>
          </w:p>
        </w:tc>
      </w:tr>
      <w:tr w:rsidR="00AB7C2D" w:rsidRPr="00BB5A93" w:rsidTr="00BB5A93">
        <w:trPr>
          <w:trHeight w:val="1340"/>
        </w:trPr>
        <w:tc>
          <w:tcPr>
            <w:tcW w:w="1668" w:type="dxa"/>
          </w:tcPr>
          <w:p w:rsidR="00AB7C2D" w:rsidRPr="00BB5A93" w:rsidRDefault="00AB7C2D" w:rsidP="00BB5A93">
            <w:pPr>
              <w:ind w:left="0"/>
              <w:rPr>
                <w:szCs w:val="22"/>
              </w:rPr>
            </w:pPr>
            <w:r w:rsidRPr="00BB5A93">
              <w:rPr>
                <w:szCs w:val="22"/>
              </w:rPr>
              <w:t>PK in special populations</w:t>
            </w:r>
          </w:p>
        </w:tc>
        <w:tc>
          <w:tcPr>
            <w:tcW w:w="3685" w:type="dxa"/>
          </w:tcPr>
          <w:p w:rsidR="00261F95" w:rsidRPr="00BB5A93" w:rsidRDefault="00261F95" w:rsidP="00BB5A93">
            <w:pPr>
              <w:ind w:left="0"/>
              <w:rPr>
                <w:szCs w:val="22"/>
              </w:rPr>
            </w:pPr>
            <w:r w:rsidRPr="00BB5A93">
              <w:rPr>
                <w:szCs w:val="22"/>
              </w:rPr>
              <w:t>Target population (HS) §</w:t>
            </w:r>
          </w:p>
          <w:p w:rsidR="00AB7C2D" w:rsidRPr="00BB5A93" w:rsidRDefault="00AB7C2D" w:rsidP="00BB5A93">
            <w:pPr>
              <w:ind w:left="0"/>
              <w:rPr>
                <w:szCs w:val="22"/>
              </w:rPr>
            </w:pPr>
            <w:r w:rsidRPr="00BB5A93">
              <w:rPr>
                <w:szCs w:val="22"/>
              </w:rPr>
              <w:t>Multi</w:t>
            </w:r>
            <w:r w:rsidR="000C2FFA" w:rsidRPr="00BB5A93">
              <w:rPr>
                <w:szCs w:val="22"/>
              </w:rPr>
              <w:t>–</w:t>
            </w:r>
            <w:r w:rsidRPr="00BB5A93">
              <w:rPr>
                <w:szCs w:val="22"/>
              </w:rPr>
              <w:t>dose</w:t>
            </w:r>
          </w:p>
        </w:tc>
        <w:tc>
          <w:tcPr>
            <w:tcW w:w="2126" w:type="dxa"/>
          </w:tcPr>
          <w:p w:rsidR="00AB7C2D" w:rsidRPr="00BB5A93" w:rsidRDefault="00AB7C2D" w:rsidP="00BB5A93">
            <w:pPr>
              <w:ind w:left="34"/>
              <w:rPr>
                <w:szCs w:val="22"/>
              </w:rPr>
            </w:pPr>
            <w:r w:rsidRPr="00BB5A93">
              <w:rPr>
                <w:szCs w:val="22"/>
              </w:rPr>
              <w:t>M10</w:t>
            </w:r>
            <w:r w:rsidR="000C2FFA" w:rsidRPr="00BB5A93">
              <w:rPr>
                <w:szCs w:val="22"/>
              </w:rPr>
              <w:t>–</w:t>
            </w:r>
            <w:r w:rsidRPr="00BB5A93">
              <w:rPr>
                <w:szCs w:val="22"/>
              </w:rPr>
              <w:t>467</w:t>
            </w:r>
          </w:p>
          <w:p w:rsidR="00AB7C2D" w:rsidRPr="00BB5A93" w:rsidRDefault="00AB7C2D" w:rsidP="00BB5A93">
            <w:pPr>
              <w:ind w:left="34"/>
              <w:rPr>
                <w:szCs w:val="22"/>
              </w:rPr>
            </w:pPr>
            <w:r w:rsidRPr="00BB5A93">
              <w:rPr>
                <w:szCs w:val="22"/>
              </w:rPr>
              <w:t>M11</w:t>
            </w:r>
            <w:r w:rsidR="000C2FFA" w:rsidRPr="00BB5A93">
              <w:rPr>
                <w:szCs w:val="22"/>
              </w:rPr>
              <w:t>–</w:t>
            </w:r>
            <w:r w:rsidRPr="00BB5A93">
              <w:rPr>
                <w:szCs w:val="22"/>
              </w:rPr>
              <w:t>313</w:t>
            </w:r>
          </w:p>
          <w:p w:rsidR="00AB7C2D" w:rsidRPr="00BB5A93" w:rsidRDefault="00AB7C2D" w:rsidP="00BB5A93">
            <w:pPr>
              <w:ind w:left="34"/>
              <w:rPr>
                <w:szCs w:val="22"/>
              </w:rPr>
            </w:pPr>
            <w:r w:rsidRPr="00BB5A93">
              <w:rPr>
                <w:szCs w:val="22"/>
              </w:rPr>
              <w:t>M11</w:t>
            </w:r>
            <w:r w:rsidR="000C2FFA" w:rsidRPr="00BB5A93">
              <w:rPr>
                <w:szCs w:val="22"/>
              </w:rPr>
              <w:t>–</w:t>
            </w:r>
            <w:r w:rsidRPr="00BB5A93">
              <w:rPr>
                <w:szCs w:val="22"/>
              </w:rPr>
              <w:t>810</w:t>
            </w:r>
          </w:p>
        </w:tc>
      </w:tr>
      <w:tr w:rsidR="00D81A1C" w:rsidRPr="00BB5A93" w:rsidTr="00BB5A93">
        <w:tc>
          <w:tcPr>
            <w:tcW w:w="1668" w:type="dxa"/>
            <w:vMerge w:val="restart"/>
          </w:tcPr>
          <w:p w:rsidR="00D81A1C" w:rsidRPr="00BB5A93" w:rsidRDefault="00D81A1C" w:rsidP="00BB5A93">
            <w:pPr>
              <w:ind w:left="0"/>
              <w:rPr>
                <w:szCs w:val="22"/>
              </w:rPr>
            </w:pPr>
            <w:r w:rsidRPr="00BB5A93">
              <w:rPr>
                <w:szCs w:val="22"/>
              </w:rPr>
              <w:t>Population PK analyses</w:t>
            </w:r>
          </w:p>
        </w:tc>
        <w:tc>
          <w:tcPr>
            <w:tcW w:w="3685" w:type="dxa"/>
          </w:tcPr>
          <w:p w:rsidR="00D81A1C" w:rsidRPr="00BB5A93" w:rsidRDefault="00D81A1C" w:rsidP="00BB5A93">
            <w:pPr>
              <w:ind w:left="0"/>
              <w:rPr>
                <w:szCs w:val="22"/>
              </w:rPr>
            </w:pPr>
            <w:r w:rsidRPr="00BB5A93">
              <w:rPr>
                <w:szCs w:val="22"/>
              </w:rPr>
              <w:t>Healthy subjects</w:t>
            </w:r>
          </w:p>
        </w:tc>
        <w:tc>
          <w:tcPr>
            <w:tcW w:w="2126" w:type="dxa"/>
          </w:tcPr>
          <w:p w:rsidR="00D81A1C" w:rsidRPr="00BB5A93" w:rsidRDefault="000C2FFA" w:rsidP="00BB5A93">
            <w:pPr>
              <w:ind w:left="34"/>
              <w:rPr>
                <w:szCs w:val="22"/>
              </w:rPr>
            </w:pPr>
            <w:r w:rsidRPr="00BB5A93">
              <w:rPr>
                <w:szCs w:val="22"/>
              </w:rPr>
              <w:t>–</w:t>
            </w:r>
          </w:p>
        </w:tc>
      </w:tr>
      <w:tr w:rsidR="00D81A1C" w:rsidRPr="00BB5A93" w:rsidTr="00BB5A93">
        <w:trPr>
          <w:trHeight w:val="449"/>
        </w:trPr>
        <w:tc>
          <w:tcPr>
            <w:tcW w:w="1668" w:type="dxa"/>
            <w:vMerge/>
          </w:tcPr>
          <w:p w:rsidR="00D81A1C" w:rsidRPr="00BB5A93" w:rsidRDefault="00D81A1C" w:rsidP="00BB5A93">
            <w:pPr>
              <w:ind w:left="0"/>
              <w:rPr>
                <w:szCs w:val="22"/>
              </w:rPr>
            </w:pPr>
          </w:p>
        </w:tc>
        <w:tc>
          <w:tcPr>
            <w:tcW w:w="3685" w:type="dxa"/>
          </w:tcPr>
          <w:p w:rsidR="00D81A1C" w:rsidRPr="00BB5A93" w:rsidRDefault="00D81A1C" w:rsidP="00BB5A93">
            <w:pPr>
              <w:ind w:left="0"/>
              <w:rPr>
                <w:szCs w:val="22"/>
              </w:rPr>
            </w:pPr>
            <w:r w:rsidRPr="00BB5A93">
              <w:rPr>
                <w:szCs w:val="22"/>
              </w:rPr>
              <w:t>Target population</w:t>
            </w:r>
          </w:p>
        </w:tc>
        <w:tc>
          <w:tcPr>
            <w:tcW w:w="2126" w:type="dxa"/>
          </w:tcPr>
          <w:p w:rsidR="00D81A1C" w:rsidRPr="00BB5A93" w:rsidRDefault="00D81A1C" w:rsidP="00BB5A93">
            <w:pPr>
              <w:ind w:left="34"/>
              <w:rPr>
                <w:szCs w:val="22"/>
              </w:rPr>
            </w:pPr>
            <w:r w:rsidRPr="00BB5A93">
              <w:rPr>
                <w:szCs w:val="22"/>
              </w:rPr>
              <w:t>M10</w:t>
            </w:r>
            <w:r w:rsidR="000C2FFA" w:rsidRPr="00BB5A93">
              <w:rPr>
                <w:szCs w:val="22"/>
              </w:rPr>
              <w:t>–</w:t>
            </w:r>
            <w:r w:rsidRPr="00BB5A93">
              <w:rPr>
                <w:szCs w:val="22"/>
              </w:rPr>
              <w:t>467</w:t>
            </w:r>
          </w:p>
          <w:p w:rsidR="00D81A1C" w:rsidRPr="00BB5A93" w:rsidRDefault="00D81A1C" w:rsidP="00BB5A93">
            <w:pPr>
              <w:ind w:left="34"/>
              <w:rPr>
                <w:szCs w:val="22"/>
              </w:rPr>
            </w:pPr>
            <w:r w:rsidRPr="00BB5A93">
              <w:rPr>
                <w:szCs w:val="22"/>
              </w:rPr>
              <w:t>M11</w:t>
            </w:r>
            <w:r w:rsidR="000C2FFA" w:rsidRPr="00BB5A93">
              <w:rPr>
                <w:szCs w:val="22"/>
              </w:rPr>
              <w:t>–</w:t>
            </w:r>
            <w:r w:rsidRPr="00BB5A93">
              <w:rPr>
                <w:szCs w:val="22"/>
              </w:rPr>
              <w:t>313</w:t>
            </w:r>
          </w:p>
          <w:p w:rsidR="00D81A1C" w:rsidRPr="00BB5A93" w:rsidRDefault="00D81A1C" w:rsidP="00BB5A93">
            <w:pPr>
              <w:ind w:left="34"/>
              <w:rPr>
                <w:szCs w:val="22"/>
              </w:rPr>
            </w:pPr>
            <w:r w:rsidRPr="00BB5A93">
              <w:rPr>
                <w:szCs w:val="22"/>
              </w:rPr>
              <w:t>M11</w:t>
            </w:r>
            <w:r w:rsidR="000C2FFA" w:rsidRPr="00BB5A93">
              <w:rPr>
                <w:szCs w:val="22"/>
              </w:rPr>
              <w:t>–</w:t>
            </w:r>
            <w:r w:rsidRPr="00BB5A93">
              <w:rPr>
                <w:szCs w:val="22"/>
              </w:rPr>
              <w:t>810</w:t>
            </w:r>
          </w:p>
        </w:tc>
      </w:tr>
      <w:tr w:rsidR="00D81A1C" w:rsidRPr="00BB5A93" w:rsidTr="00BB5A93">
        <w:tc>
          <w:tcPr>
            <w:tcW w:w="1668" w:type="dxa"/>
            <w:vMerge/>
          </w:tcPr>
          <w:p w:rsidR="00D81A1C" w:rsidRPr="00BB5A93" w:rsidRDefault="00D81A1C" w:rsidP="00BB5A93">
            <w:pPr>
              <w:ind w:left="0"/>
              <w:rPr>
                <w:szCs w:val="22"/>
              </w:rPr>
            </w:pPr>
          </w:p>
        </w:tc>
        <w:tc>
          <w:tcPr>
            <w:tcW w:w="3685" w:type="dxa"/>
          </w:tcPr>
          <w:p w:rsidR="00D81A1C" w:rsidRPr="00BB5A93" w:rsidRDefault="00D81A1C" w:rsidP="00BB5A93">
            <w:pPr>
              <w:ind w:left="0"/>
              <w:rPr>
                <w:szCs w:val="22"/>
              </w:rPr>
            </w:pPr>
            <w:r w:rsidRPr="00BB5A93">
              <w:rPr>
                <w:szCs w:val="22"/>
              </w:rPr>
              <w:t>Other</w:t>
            </w:r>
          </w:p>
        </w:tc>
        <w:tc>
          <w:tcPr>
            <w:tcW w:w="2126" w:type="dxa"/>
          </w:tcPr>
          <w:p w:rsidR="00D81A1C" w:rsidRPr="00BB5A93" w:rsidRDefault="000C2FFA" w:rsidP="00BB5A93">
            <w:pPr>
              <w:ind w:left="34"/>
              <w:rPr>
                <w:szCs w:val="22"/>
              </w:rPr>
            </w:pPr>
            <w:r w:rsidRPr="00BB5A93">
              <w:rPr>
                <w:szCs w:val="22"/>
              </w:rPr>
              <w:t>–</w:t>
            </w:r>
          </w:p>
        </w:tc>
      </w:tr>
    </w:tbl>
    <w:p w:rsidR="002E01C1" w:rsidRDefault="002E01C1" w:rsidP="002E01C1">
      <w:pPr>
        <w:jc w:val="both"/>
      </w:pPr>
      <w:r w:rsidRPr="00D14F63">
        <w:t>None of the pharmacokinetic studies had deficiencies that excluded their results from consideration</w:t>
      </w:r>
      <w:r>
        <w:t>.</w:t>
      </w:r>
    </w:p>
    <w:p w:rsidR="00605AD4" w:rsidRDefault="00605AD4" w:rsidP="00605AD4">
      <w:pPr>
        <w:pStyle w:val="Heading4"/>
      </w:pPr>
      <w:r>
        <w:t>Evaluator’s conclusions on pharmacokinetics</w:t>
      </w:r>
    </w:p>
    <w:p w:rsidR="00777372" w:rsidRPr="00FB585D" w:rsidRDefault="00777372" w:rsidP="00777372">
      <w:pPr>
        <w:rPr>
          <w:rFonts w:asciiTheme="minorHAnsi" w:hAnsiTheme="minorHAnsi"/>
        </w:rPr>
      </w:pPr>
      <w:r w:rsidRPr="00FB585D">
        <w:rPr>
          <w:rFonts w:asciiTheme="minorHAnsi" w:hAnsiTheme="minorHAnsi"/>
        </w:rPr>
        <w:t xml:space="preserve">Adalimumab is a registered drug for several inflammatory conditions in Australia. The PK data of adalimumab in normal human subjects and approved indications were provided </w:t>
      </w:r>
      <w:r>
        <w:rPr>
          <w:rFonts w:asciiTheme="minorHAnsi" w:hAnsiTheme="minorHAnsi"/>
        </w:rPr>
        <w:t>in previous submissions by the sponsor</w:t>
      </w:r>
      <w:r w:rsidRPr="00FB585D">
        <w:rPr>
          <w:rFonts w:asciiTheme="minorHAnsi" w:hAnsiTheme="minorHAnsi"/>
        </w:rPr>
        <w:t>. Key PK data from these studies have been included in the PI sheet. The evaluation is based on PK obtained during submitted pivotal efficacy/safety studies in HS patients. The submitted data together with historical da</w:t>
      </w:r>
      <w:r>
        <w:rPr>
          <w:rFonts w:asciiTheme="minorHAnsi" w:hAnsiTheme="minorHAnsi"/>
        </w:rPr>
        <w:t xml:space="preserve">ta </w:t>
      </w:r>
      <w:r w:rsidR="00DB0988">
        <w:rPr>
          <w:rFonts w:asciiTheme="minorHAnsi" w:hAnsiTheme="minorHAnsi"/>
        </w:rPr>
        <w:t xml:space="preserve">on </w:t>
      </w:r>
      <w:r w:rsidR="007B3C00">
        <w:rPr>
          <w:rFonts w:asciiTheme="minorHAnsi" w:hAnsiTheme="minorHAnsi"/>
        </w:rPr>
        <w:lastRenderedPageBreak/>
        <w:t>other patient groups (that is</w:t>
      </w:r>
      <w:r w:rsidRPr="00FB585D">
        <w:rPr>
          <w:rFonts w:asciiTheme="minorHAnsi" w:hAnsiTheme="minorHAnsi"/>
        </w:rPr>
        <w:t xml:space="preserve"> UC and CD which have similar dosing regimens as HS patients) are acceptable for judging the PK in the HS population group.</w:t>
      </w:r>
    </w:p>
    <w:p w:rsidR="00777372" w:rsidRPr="00FB585D" w:rsidRDefault="00777372" w:rsidP="00777372">
      <w:pPr>
        <w:rPr>
          <w:rFonts w:asciiTheme="minorHAnsi" w:hAnsiTheme="minorHAnsi"/>
        </w:rPr>
      </w:pPr>
      <w:r w:rsidRPr="00FB585D">
        <w:rPr>
          <w:rFonts w:asciiTheme="minorHAnsi" w:hAnsiTheme="minorHAnsi"/>
        </w:rPr>
        <w:t>Long</w:t>
      </w:r>
      <w:r w:rsidR="00E33227">
        <w:rPr>
          <w:rFonts w:asciiTheme="minorHAnsi" w:hAnsiTheme="minorHAnsi"/>
        </w:rPr>
        <w:t xml:space="preserve"> </w:t>
      </w:r>
      <w:r w:rsidRPr="00FB585D">
        <w:rPr>
          <w:rFonts w:asciiTheme="minorHAnsi" w:hAnsiTheme="minorHAnsi"/>
        </w:rPr>
        <w:t>term treatment serum concentrations of adalimumab in the three pivotal HS studies were largel</w:t>
      </w:r>
      <w:r w:rsidR="00422949">
        <w:rPr>
          <w:rFonts w:asciiTheme="minorHAnsi" w:hAnsiTheme="minorHAnsi"/>
        </w:rPr>
        <w:t>y consistent and were around 9 to</w:t>
      </w:r>
      <w:r w:rsidRPr="00FB585D">
        <w:rPr>
          <w:rFonts w:asciiTheme="minorHAnsi" w:hAnsiTheme="minorHAnsi"/>
        </w:rPr>
        <w:t xml:space="preserve"> 11 </w:t>
      </w:r>
      <w:r w:rsidR="00690980">
        <w:rPr>
          <w:rFonts w:asciiTheme="minorHAnsi" w:hAnsiTheme="minorHAnsi"/>
        </w:rPr>
        <w:t>µg</w:t>
      </w:r>
      <w:r w:rsidRPr="00FB585D">
        <w:rPr>
          <w:rFonts w:asciiTheme="minorHAnsi" w:hAnsiTheme="minorHAnsi"/>
        </w:rPr>
        <w:t xml:space="preserve">/mL for 40 mg </w:t>
      </w:r>
      <w:r w:rsidR="00B64E37">
        <w:rPr>
          <w:rFonts w:asciiTheme="minorHAnsi" w:hAnsiTheme="minorHAnsi"/>
        </w:rPr>
        <w:t xml:space="preserve">every week </w:t>
      </w:r>
      <w:r w:rsidR="00664FE3">
        <w:rPr>
          <w:rFonts w:asciiTheme="minorHAnsi" w:hAnsiTheme="minorHAnsi"/>
        </w:rPr>
        <w:t>(</w:t>
      </w:r>
      <w:proofErr w:type="spellStart"/>
      <w:r w:rsidR="00664FE3">
        <w:rPr>
          <w:rFonts w:asciiTheme="minorHAnsi" w:hAnsiTheme="minorHAnsi"/>
        </w:rPr>
        <w:t>qw</w:t>
      </w:r>
      <w:proofErr w:type="spellEnd"/>
      <w:r w:rsidR="00664FE3">
        <w:rPr>
          <w:rFonts w:asciiTheme="minorHAnsi" w:hAnsiTheme="minorHAnsi"/>
        </w:rPr>
        <w:t>)</w:t>
      </w:r>
      <w:r w:rsidRPr="00FB585D">
        <w:rPr>
          <w:rFonts w:asciiTheme="minorHAnsi" w:hAnsiTheme="minorHAnsi"/>
        </w:rPr>
        <w:t xml:space="preserve"> at Week 36. Slightly higher trough concentrations</w:t>
      </w:r>
      <w:r>
        <w:rPr>
          <w:rFonts w:asciiTheme="minorHAnsi" w:hAnsiTheme="minorHAnsi"/>
        </w:rPr>
        <w:t xml:space="preserve"> were observed in </w:t>
      </w:r>
      <w:r w:rsidRPr="0001580C">
        <w:rPr>
          <w:rFonts w:asciiTheme="minorHAnsi" w:hAnsiTheme="minorHAnsi"/>
        </w:rPr>
        <w:t xml:space="preserve">Period </w:t>
      </w:r>
      <w:proofErr w:type="gramStart"/>
      <w:r w:rsidRPr="0001580C">
        <w:rPr>
          <w:rFonts w:asciiTheme="minorHAnsi" w:hAnsiTheme="minorHAnsi"/>
        </w:rPr>
        <w:t>A</w:t>
      </w:r>
      <w:bookmarkStart w:id="53" w:name="_Ref450923197"/>
      <w:proofErr w:type="gramEnd"/>
      <w:r w:rsidR="00A123C1">
        <w:rPr>
          <w:rStyle w:val="FootnoteReference"/>
          <w:rFonts w:asciiTheme="minorHAnsi" w:hAnsiTheme="minorHAnsi"/>
        </w:rPr>
        <w:footnoteReference w:id="3"/>
      </w:r>
      <w:bookmarkEnd w:id="53"/>
      <w:r>
        <w:rPr>
          <w:rFonts w:asciiTheme="minorHAnsi" w:hAnsiTheme="minorHAnsi"/>
        </w:rPr>
        <w:t xml:space="preserve"> in Study </w:t>
      </w:r>
      <w:r w:rsidR="00844B6A">
        <w:rPr>
          <w:rFonts w:asciiTheme="minorHAnsi" w:hAnsiTheme="minorHAnsi"/>
        </w:rPr>
        <w:t>M10</w:t>
      </w:r>
      <w:r w:rsidR="00844B6A">
        <w:rPr>
          <w:rFonts w:asciiTheme="minorHAnsi" w:hAnsiTheme="minorHAnsi"/>
        </w:rPr>
        <w:noBreakHyphen/>
      </w:r>
      <w:r w:rsidR="0050714B">
        <w:rPr>
          <w:rFonts w:asciiTheme="minorHAnsi" w:hAnsiTheme="minorHAnsi"/>
        </w:rPr>
        <w:t>467</w:t>
      </w:r>
      <w:r>
        <w:rPr>
          <w:rFonts w:asciiTheme="minorHAnsi" w:hAnsiTheme="minorHAnsi"/>
        </w:rPr>
        <w:t>as compared to S</w:t>
      </w:r>
      <w:r w:rsidR="00622387">
        <w:rPr>
          <w:rFonts w:asciiTheme="minorHAnsi" w:hAnsiTheme="minorHAnsi"/>
        </w:rPr>
        <w:t>tudies M11</w:t>
      </w:r>
      <w:r w:rsidR="000C2FFA">
        <w:t>–</w:t>
      </w:r>
      <w:r w:rsidRPr="00FB585D">
        <w:rPr>
          <w:rFonts w:asciiTheme="minorHAnsi" w:hAnsiTheme="minorHAnsi"/>
        </w:rPr>
        <w:t>313 and M11</w:t>
      </w:r>
      <w:r w:rsidR="000C2FFA">
        <w:t>–</w:t>
      </w:r>
      <w:r w:rsidRPr="00FB585D">
        <w:rPr>
          <w:rFonts w:asciiTheme="minorHAnsi" w:hAnsiTheme="minorHAnsi"/>
        </w:rPr>
        <w:t>810, but this may relate to the different sample sizes and patient groups in the Pha</w:t>
      </w:r>
      <w:r>
        <w:rPr>
          <w:rFonts w:asciiTheme="minorHAnsi" w:hAnsiTheme="minorHAnsi"/>
        </w:rPr>
        <w:t>se II versus Phase III studies</w:t>
      </w:r>
      <w:r w:rsidR="00C22580">
        <w:rPr>
          <w:rFonts w:asciiTheme="minorHAnsi" w:hAnsiTheme="minorHAnsi"/>
        </w:rPr>
        <w:t>.</w:t>
      </w:r>
    </w:p>
    <w:p w:rsidR="007F7F1A" w:rsidRDefault="00777372" w:rsidP="00777372">
      <w:pPr>
        <w:rPr>
          <w:rFonts w:asciiTheme="minorHAnsi" w:hAnsiTheme="minorHAnsi"/>
        </w:rPr>
      </w:pPr>
      <w:r w:rsidRPr="00FB585D">
        <w:rPr>
          <w:rFonts w:asciiTheme="minorHAnsi" w:hAnsiTheme="minorHAnsi"/>
        </w:rPr>
        <w:t>Compared to other study populations, including CD and UC, HS populations appeared to have lower adalimumab serum levels despite similar dosing. This may relate to the fact that HS patient groups have different demographics as compar</w:t>
      </w:r>
      <w:r w:rsidR="00202B0A">
        <w:rPr>
          <w:rFonts w:asciiTheme="minorHAnsi" w:hAnsiTheme="minorHAnsi"/>
        </w:rPr>
        <w:t>ed to the other patient groups.</w:t>
      </w:r>
    </w:p>
    <w:p w:rsidR="00777372" w:rsidRDefault="00777372" w:rsidP="00777372">
      <w:pPr>
        <w:rPr>
          <w:rFonts w:asciiTheme="minorHAnsi" w:hAnsiTheme="minorHAnsi"/>
        </w:rPr>
      </w:pPr>
      <w:r w:rsidRPr="00FB585D">
        <w:rPr>
          <w:rFonts w:asciiTheme="minorHAnsi" w:hAnsiTheme="minorHAnsi"/>
        </w:rPr>
        <w:t>An inconsistency between presented PK in psoriatic patients in the submission and the PI needs to be clarified (</w:t>
      </w:r>
      <w:r>
        <w:rPr>
          <w:rFonts w:asciiTheme="minorHAnsi" w:hAnsiTheme="minorHAnsi"/>
        </w:rPr>
        <w:t>that is,</w:t>
      </w:r>
      <w:r w:rsidRPr="00FB585D">
        <w:rPr>
          <w:rFonts w:asciiTheme="minorHAnsi" w:hAnsiTheme="minorHAnsi"/>
        </w:rPr>
        <w:t xml:space="preserve"> the PI states tha</w:t>
      </w:r>
      <w:r w:rsidR="0052659A">
        <w:rPr>
          <w:rFonts w:asciiTheme="minorHAnsi" w:hAnsiTheme="minorHAnsi"/>
        </w:rPr>
        <w:t>t tr</w:t>
      </w:r>
      <w:r w:rsidR="00690980">
        <w:rPr>
          <w:rFonts w:asciiTheme="minorHAnsi" w:hAnsiTheme="minorHAnsi"/>
        </w:rPr>
        <w:t>ough concentrations were 5 µg</w:t>
      </w:r>
      <w:r w:rsidRPr="00FB585D">
        <w:rPr>
          <w:rFonts w:asciiTheme="minorHAnsi" w:hAnsiTheme="minorHAnsi"/>
        </w:rPr>
        <w:t>/mL during adalimumab 40 mg fortnightly monotherapy, which is lower than the trough concentr</w:t>
      </w:r>
      <w:r>
        <w:rPr>
          <w:rFonts w:asciiTheme="minorHAnsi" w:hAnsiTheme="minorHAnsi"/>
        </w:rPr>
        <w:t>ation observed in HS patients).</w:t>
      </w:r>
    </w:p>
    <w:p w:rsidR="00777372" w:rsidRPr="00FB585D" w:rsidRDefault="00777372" w:rsidP="00777372">
      <w:pPr>
        <w:rPr>
          <w:rFonts w:asciiTheme="minorHAnsi" w:hAnsiTheme="minorHAnsi"/>
        </w:rPr>
      </w:pPr>
      <w:r w:rsidRPr="00FB585D">
        <w:rPr>
          <w:rFonts w:asciiTheme="minorHAnsi" w:hAnsiTheme="minorHAnsi"/>
        </w:rPr>
        <w:t xml:space="preserve">Serum adalimumab concentration was a significant predictor for </w:t>
      </w:r>
      <w:r w:rsidR="005F307C" w:rsidRPr="0001580C">
        <w:rPr>
          <w:rFonts w:asciiTheme="minorHAnsi" w:hAnsiTheme="minorHAnsi"/>
        </w:rPr>
        <w:t>loss of response (</w:t>
      </w:r>
      <w:r w:rsidRPr="0001580C">
        <w:rPr>
          <w:rFonts w:asciiTheme="minorHAnsi" w:hAnsiTheme="minorHAnsi"/>
        </w:rPr>
        <w:t>LOR</w:t>
      </w:r>
      <w:r w:rsidR="005F307C" w:rsidRPr="0001580C">
        <w:rPr>
          <w:rFonts w:asciiTheme="minorHAnsi" w:hAnsiTheme="minorHAnsi"/>
        </w:rPr>
        <w:t>)</w:t>
      </w:r>
      <w:bookmarkStart w:id="54" w:name="_Ref451161897"/>
      <w:r w:rsidR="006218AF" w:rsidRPr="0001580C">
        <w:rPr>
          <w:rStyle w:val="FootnoteReference"/>
          <w:rFonts w:asciiTheme="minorHAnsi" w:hAnsiTheme="minorHAnsi"/>
        </w:rPr>
        <w:footnoteReference w:id="4"/>
      </w:r>
      <w:bookmarkEnd w:id="54"/>
      <w:r w:rsidRPr="00FB585D">
        <w:rPr>
          <w:rFonts w:asciiTheme="minorHAnsi" w:hAnsiTheme="minorHAnsi"/>
        </w:rPr>
        <w:t xml:space="preserve"> in subjects who </w:t>
      </w:r>
      <w:r w:rsidR="00CC5492">
        <w:rPr>
          <w:rFonts w:asciiTheme="minorHAnsi" w:hAnsiTheme="minorHAnsi"/>
        </w:rPr>
        <w:t xml:space="preserve">achieved </w:t>
      </w:r>
      <w:r>
        <w:rPr>
          <w:rFonts w:asciiTheme="minorHAnsi" w:hAnsiTheme="minorHAnsi"/>
        </w:rPr>
        <w:t>HiSCR</w:t>
      </w:r>
      <w:r w:rsidR="00957888">
        <w:rPr>
          <w:rFonts w:asciiTheme="minorHAnsi" w:hAnsiTheme="minorHAnsi"/>
        </w:rPr>
        <w:fldChar w:fldCharType="begin"/>
      </w:r>
      <w:r w:rsidR="00957888">
        <w:rPr>
          <w:rFonts w:asciiTheme="minorHAnsi" w:hAnsiTheme="minorHAnsi"/>
        </w:rPr>
        <w:instrText xml:space="preserve"> NOTEREF _Ref450912456 \f \h </w:instrText>
      </w:r>
      <w:r w:rsidR="00957888">
        <w:rPr>
          <w:rFonts w:asciiTheme="minorHAnsi" w:hAnsiTheme="minorHAnsi"/>
        </w:rPr>
      </w:r>
      <w:r w:rsidR="00957888">
        <w:rPr>
          <w:rFonts w:asciiTheme="minorHAnsi" w:hAnsiTheme="minorHAnsi"/>
        </w:rPr>
        <w:fldChar w:fldCharType="separate"/>
      </w:r>
      <w:r w:rsidR="00957888" w:rsidRPr="00957888">
        <w:rPr>
          <w:rStyle w:val="FootnoteReference"/>
        </w:rPr>
        <w:t>2</w:t>
      </w:r>
      <w:r w:rsidR="00957888">
        <w:rPr>
          <w:rFonts w:asciiTheme="minorHAnsi" w:hAnsiTheme="minorHAnsi"/>
        </w:rPr>
        <w:fldChar w:fldCharType="end"/>
      </w:r>
      <w:r w:rsidRPr="00FB585D">
        <w:rPr>
          <w:rFonts w:asciiTheme="minorHAnsi" w:hAnsiTheme="minorHAnsi"/>
        </w:rPr>
        <w:t xml:space="preserve"> </w:t>
      </w:r>
      <w:r w:rsidR="008D2D6B">
        <w:rPr>
          <w:rFonts w:asciiTheme="minorHAnsi" w:hAnsiTheme="minorHAnsi"/>
        </w:rPr>
        <w:t xml:space="preserve">at Week 12 </w:t>
      </w:r>
      <w:r w:rsidRPr="00FB585D">
        <w:rPr>
          <w:rFonts w:asciiTheme="minorHAnsi" w:hAnsiTheme="minorHAnsi"/>
        </w:rPr>
        <w:t>and for worsening of underlying HS where subjects with higher adalimumab concentrations were less likely to experience LOR or HS worsening.</w:t>
      </w:r>
      <w:r>
        <w:rPr>
          <w:rFonts w:asciiTheme="minorHAnsi" w:hAnsiTheme="minorHAnsi"/>
        </w:rPr>
        <w:t xml:space="preserve"> </w:t>
      </w:r>
      <w:r w:rsidRPr="00FB585D">
        <w:rPr>
          <w:rFonts w:asciiTheme="minorHAnsi" w:hAnsiTheme="minorHAnsi"/>
        </w:rPr>
        <w:t xml:space="preserve">LOR in subjects who </w:t>
      </w:r>
      <w:r w:rsidR="00CC5492">
        <w:rPr>
          <w:rFonts w:asciiTheme="minorHAnsi" w:hAnsiTheme="minorHAnsi"/>
        </w:rPr>
        <w:t xml:space="preserve">achieved </w:t>
      </w:r>
      <w:proofErr w:type="spellStart"/>
      <w:r w:rsidR="00CC5492">
        <w:rPr>
          <w:rFonts w:asciiTheme="minorHAnsi" w:hAnsiTheme="minorHAnsi"/>
        </w:rPr>
        <w:t>HiSCR</w:t>
      </w:r>
      <w:proofErr w:type="spellEnd"/>
      <w:r w:rsidR="008D2D6B">
        <w:rPr>
          <w:rFonts w:asciiTheme="minorHAnsi" w:hAnsiTheme="minorHAnsi"/>
        </w:rPr>
        <w:t xml:space="preserve"> at Week 12</w:t>
      </w:r>
      <w:r w:rsidRPr="00FB585D">
        <w:rPr>
          <w:rFonts w:asciiTheme="minorHAnsi" w:hAnsiTheme="minorHAnsi"/>
        </w:rPr>
        <w:t>, and rates of flares and HS worsening were related to lower adalimumab concentrations, as observed in Period B.</w:t>
      </w:r>
    </w:p>
    <w:p w:rsidR="00777372" w:rsidRPr="00FB585D" w:rsidRDefault="00777372" w:rsidP="00777372">
      <w:pPr>
        <w:rPr>
          <w:rFonts w:asciiTheme="minorHAnsi" w:hAnsiTheme="minorHAnsi"/>
        </w:rPr>
      </w:pPr>
      <w:r w:rsidRPr="00FB585D">
        <w:rPr>
          <w:rFonts w:asciiTheme="minorHAnsi" w:hAnsiTheme="minorHAnsi"/>
        </w:rPr>
        <w:t xml:space="preserve">Regarding immunogenicity, the percentage of subjects testing positive for </w:t>
      </w:r>
      <w:r w:rsidR="00BB5A93">
        <w:t>anti-adalimumab</w:t>
      </w:r>
      <w:r w:rsidR="000D39CF">
        <w:t xml:space="preserve"> antibody</w:t>
      </w:r>
      <w:r w:rsidR="000D39CF" w:rsidRPr="00FB585D">
        <w:rPr>
          <w:rFonts w:asciiTheme="minorHAnsi" w:hAnsiTheme="minorHAnsi"/>
        </w:rPr>
        <w:t xml:space="preserve"> </w:t>
      </w:r>
      <w:r w:rsidR="000D39CF">
        <w:rPr>
          <w:rFonts w:asciiTheme="minorHAnsi" w:hAnsiTheme="minorHAnsi"/>
        </w:rPr>
        <w:t>(</w:t>
      </w:r>
      <w:r w:rsidRPr="00FB585D">
        <w:rPr>
          <w:rFonts w:asciiTheme="minorHAnsi" w:hAnsiTheme="minorHAnsi"/>
        </w:rPr>
        <w:t>AAA</w:t>
      </w:r>
      <w:r w:rsidR="000D39CF">
        <w:rPr>
          <w:rFonts w:asciiTheme="minorHAnsi" w:hAnsiTheme="minorHAnsi"/>
        </w:rPr>
        <w:t>)</w:t>
      </w:r>
      <w:r w:rsidRPr="00FB585D">
        <w:rPr>
          <w:rFonts w:asciiTheme="minorHAnsi" w:hAnsiTheme="minorHAnsi"/>
        </w:rPr>
        <w:t xml:space="preserve"> who received 40 mg </w:t>
      </w:r>
      <w:proofErr w:type="spellStart"/>
      <w:r w:rsidR="00367086">
        <w:rPr>
          <w:rFonts w:asciiTheme="minorHAnsi" w:hAnsiTheme="minorHAnsi"/>
        </w:rPr>
        <w:t>qw</w:t>
      </w:r>
      <w:proofErr w:type="spellEnd"/>
      <w:r w:rsidRPr="00FB585D">
        <w:rPr>
          <w:rFonts w:asciiTheme="minorHAnsi" w:hAnsiTheme="minorHAnsi"/>
        </w:rPr>
        <w:t xml:space="preserve"> through Week 36 was 10%. Development of AAA may be associated with lower adalimumab serum concentrations and, therefore, may impact on the efficacy of therapy. There was no increased risk of </w:t>
      </w:r>
      <w:r w:rsidR="00421AA9">
        <w:rPr>
          <w:rFonts w:asciiTheme="minorHAnsi" w:hAnsiTheme="minorHAnsi"/>
        </w:rPr>
        <w:t>any adverse event (</w:t>
      </w:r>
      <w:r w:rsidRPr="00FB585D">
        <w:rPr>
          <w:rFonts w:asciiTheme="minorHAnsi" w:hAnsiTheme="minorHAnsi"/>
        </w:rPr>
        <w:t>AE</w:t>
      </w:r>
      <w:r w:rsidR="00421AA9">
        <w:rPr>
          <w:rFonts w:asciiTheme="minorHAnsi" w:hAnsiTheme="minorHAnsi"/>
        </w:rPr>
        <w:t>)</w:t>
      </w:r>
      <w:r w:rsidRPr="00FB585D">
        <w:rPr>
          <w:rFonts w:asciiTheme="minorHAnsi" w:hAnsiTheme="minorHAnsi"/>
        </w:rPr>
        <w:t xml:space="preserve"> in AAA+ as compared to AAA- subjects, although sample numbers were low and further studies are required for definitive co</w:t>
      </w:r>
      <w:r w:rsidR="00753337">
        <w:rPr>
          <w:rFonts w:asciiTheme="minorHAnsi" w:hAnsiTheme="minorHAnsi"/>
        </w:rPr>
        <w:t>nclusions about AAA and safety.</w:t>
      </w:r>
    </w:p>
    <w:p w:rsidR="00777372" w:rsidRPr="00957888" w:rsidRDefault="00777372" w:rsidP="00957888">
      <w:r w:rsidRPr="00957888">
        <w:t>Overall, the PK data provided in the submission are consistent with previous data in other patient groups. The proposed P</w:t>
      </w:r>
      <w:r w:rsidR="00753337" w:rsidRPr="00957888">
        <w:t>I</w:t>
      </w:r>
      <w:r w:rsidRPr="00957888">
        <w:t xml:space="preserve"> is generally an adequate summary of the PK presented in the submission.</w:t>
      </w:r>
    </w:p>
    <w:p w:rsidR="008E7846" w:rsidRDefault="008E7846" w:rsidP="008E7846">
      <w:pPr>
        <w:pStyle w:val="Heading3"/>
      </w:pPr>
      <w:bookmarkStart w:id="55" w:name="_Toc196046481"/>
      <w:bookmarkStart w:id="56" w:name="_Toc247691520"/>
      <w:bookmarkStart w:id="57" w:name="_Toc314842503"/>
      <w:bookmarkStart w:id="58" w:name="_Toc456951148"/>
      <w:r w:rsidRPr="00254787">
        <w:t>Pharmacodynamics</w:t>
      </w:r>
      <w:bookmarkEnd w:id="41"/>
      <w:bookmarkEnd w:id="55"/>
      <w:bookmarkEnd w:id="56"/>
      <w:bookmarkEnd w:id="57"/>
      <w:bookmarkEnd w:id="58"/>
    </w:p>
    <w:p w:rsidR="00605AD4" w:rsidRDefault="00605AD4" w:rsidP="00605AD4">
      <w:pPr>
        <w:pStyle w:val="Heading4"/>
      </w:pPr>
      <w:r>
        <w:t xml:space="preserve">Studies providing </w:t>
      </w:r>
      <w:proofErr w:type="spellStart"/>
      <w:r>
        <w:t>pharmacodynamic</w:t>
      </w:r>
      <w:proofErr w:type="spellEnd"/>
      <w:r>
        <w:t xml:space="preserve"> data</w:t>
      </w:r>
    </w:p>
    <w:p w:rsidR="00A32B87" w:rsidRPr="00B823E4" w:rsidRDefault="00A32B87" w:rsidP="00A32B87">
      <w:pPr>
        <w:rPr>
          <w:rFonts w:asciiTheme="minorHAnsi" w:hAnsiTheme="minorHAnsi"/>
        </w:rPr>
      </w:pPr>
      <w:r w:rsidRPr="00B823E4">
        <w:rPr>
          <w:rFonts w:asciiTheme="minorHAnsi" w:hAnsiTheme="minorHAnsi"/>
        </w:rPr>
        <w:t xml:space="preserve">No </w:t>
      </w:r>
      <w:proofErr w:type="spellStart"/>
      <w:r w:rsidRPr="00B823E4">
        <w:rPr>
          <w:rFonts w:asciiTheme="minorHAnsi" w:hAnsiTheme="minorHAnsi"/>
        </w:rPr>
        <w:t>phar</w:t>
      </w:r>
      <w:r>
        <w:rPr>
          <w:rFonts w:asciiTheme="minorHAnsi" w:hAnsiTheme="minorHAnsi"/>
        </w:rPr>
        <w:t>macodynamic</w:t>
      </w:r>
      <w:proofErr w:type="spellEnd"/>
      <w:r>
        <w:rPr>
          <w:rFonts w:asciiTheme="minorHAnsi" w:hAnsiTheme="minorHAnsi"/>
        </w:rPr>
        <w:t xml:space="preserve"> data were provided.</w:t>
      </w:r>
    </w:p>
    <w:p w:rsidR="008E7846" w:rsidRDefault="00605AD4" w:rsidP="00605AD4">
      <w:pPr>
        <w:pStyle w:val="Heading3"/>
      </w:pPr>
      <w:bookmarkStart w:id="59" w:name="_Toc456951149"/>
      <w:r>
        <w:t>Dosage selection for the pivotal studies</w:t>
      </w:r>
      <w:bookmarkEnd w:id="59"/>
    </w:p>
    <w:p w:rsidR="00F742F0" w:rsidRPr="00F01F56" w:rsidRDefault="00F742F0" w:rsidP="00F742F0">
      <w:pPr>
        <w:rPr>
          <w:rFonts w:asciiTheme="minorHAnsi" w:hAnsiTheme="minorHAnsi"/>
        </w:rPr>
      </w:pPr>
      <w:r w:rsidRPr="00F01F56">
        <w:rPr>
          <w:rFonts w:asciiTheme="minorHAnsi" w:hAnsiTheme="minorHAnsi"/>
        </w:rPr>
        <w:t>The dosing regimens for the pivotal studies (M11</w:t>
      </w:r>
      <w:r w:rsidR="000C2FFA">
        <w:rPr>
          <w:rFonts w:asciiTheme="minorHAnsi" w:hAnsiTheme="minorHAnsi"/>
        </w:rPr>
        <w:t>–</w:t>
      </w:r>
      <w:r w:rsidRPr="00F01F56">
        <w:rPr>
          <w:rFonts w:asciiTheme="minorHAnsi" w:hAnsiTheme="minorHAnsi"/>
        </w:rPr>
        <w:t>810, M11</w:t>
      </w:r>
      <w:r w:rsidR="000C2FFA">
        <w:rPr>
          <w:rFonts w:asciiTheme="minorHAnsi" w:hAnsiTheme="minorHAnsi"/>
        </w:rPr>
        <w:t>–</w:t>
      </w:r>
      <w:r w:rsidRPr="00F01F56">
        <w:rPr>
          <w:rFonts w:asciiTheme="minorHAnsi" w:hAnsiTheme="minorHAnsi"/>
        </w:rPr>
        <w:t>313) were selected based on data from Study M10</w:t>
      </w:r>
      <w:r w:rsidR="000C2FFA">
        <w:rPr>
          <w:rFonts w:asciiTheme="minorHAnsi" w:hAnsiTheme="minorHAnsi"/>
        </w:rPr>
        <w:t>–</w:t>
      </w:r>
      <w:r w:rsidRPr="00F01F56">
        <w:rPr>
          <w:rFonts w:asciiTheme="minorHAnsi" w:hAnsiTheme="minorHAnsi"/>
        </w:rPr>
        <w:t>467, a 52</w:t>
      </w:r>
      <w:r w:rsidR="000C2FFA">
        <w:rPr>
          <w:rFonts w:asciiTheme="minorHAnsi" w:hAnsiTheme="minorHAnsi"/>
        </w:rPr>
        <w:t>–</w:t>
      </w:r>
      <w:r w:rsidR="00C956CA">
        <w:rPr>
          <w:rFonts w:asciiTheme="minorHAnsi" w:hAnsiTheme="minorHAnsi"/>
        </w:rPr>
        <w:t>w</w:t>
      </w:r>
      <w:r w:rsidRPr="00F01F56">
        <w:rPr>
          <w:rFonts w:asciiTheme="minorHAnsi" w:hAnsiTheme="minorHAnsi"/>
        </w:rPr>
        <w:t>eek 2</w:t>
      </w:r>
      <w:r w:rsidR="000C2FFA">
        <w:rPr>
          <w:rFonts w:asciiTheme="minorHAnsi" w:hAnsiTheme="minorHAnsi"/>
        </w:rPr>
        <w:t>–</w:t>
      </w:r>
      <w:r w:rsidRPr="00F01F56">
        <w:rPr>
          <w:rFonts w:asciiTheme="minorHAnsi" w:hAnsiTheme="minorHAnsi"/>
        </w:rPr>
        <w:t>period Phase II study. The proportion of HS subjects who achieved a clinical response in Study M10</w:t>
      </w:r>
      <w:r w:rsidR="000C2FFA">
        <w:rPr>
          <w:rFonts w:asciiTheme="minorHAnsi" w:hAnsiTheme="minorHAnsi"/>
        </w:rPr>
        <w:t>–</w:t>
      </w:r>
      <w:r w:rsidRPr="00F01F56">
        <w:rPr>
          <w:rFonts w:asciiTheme="minorHAnsi" w:hAnsiTheme="minorHAnsi"/>
        </w:rPr>
        <w:t xml:space="preserve">467 was significantly higher in </w:t>
      </w:r>
      <w:r w:rsidRPr="00F01F56">
        <w:rPr>
          <w:rFonts w:asciiTheme="minorHAnsi" w:hAnsiTheme="minorHAnsi"/>
        </w:rPr>
        <w:lastRenderedPageBreak/>
        <w:t xml:space="preserve">the adalimumab 40 mg </w:t>
      </w:r>
      <w:proofErr w:type="spellStart"/>
      <w:r w:rsidR="00367086">
        <w:rPr>
          <w:rFonts w:asciiTheme="minorHAnsi" w:hAnsiTheme="minorHAnsi"/>
        </w:rPr>
        <w:t>qw</w:t>
      </w:r>
      <w:proofErr w:type="spellEnd"/>
      <w:r w:rsidRPr="00F01F56">
        <w:rPr>
          <w:rFonts w:asciiTheme="minorHAnsi" w:hAnsiTheme="minorHAnsi"/>
        </w:rPr>
        <w:t xml:space="preserve"> arm and numerically higher in the adalimumab 40 mg </w:t>
      </w:r>
      <w:r w:rsidR="00B64E37">
        <w:rPr>
          <w:rFonts w:asciiTheme="minorHAnsi" w:hAnsiTheme="minorHAnsi"/>
        </w:rPr>
        <w:t>every other week (</w:t>
      </w:r>
      <w:r w:rsidR="00367086">
        <w:rPr>
          <w:rFonts w:asciiTheme="minorHAnsi" w:hAnsiTheme="minorHAnsi"/>
        </w:rPr>
        <w:t>q2w</w:t>
      </w:r>
      <w:r w:rsidR="00B64E37">
        <w:rPr>
          <w:rFonts w:asciiTheme="minorHAnsi" w:hAnsiTheme="minorHAnsi"/>
        </w:rPr>
        <w:t>)</w:t>
      </w:r>
      <w:r w:rsidRPr="00F01F56">
        <w:rPr>
          <w:rFonts w:asciiTheme="minorHAnsi" w:hAnsiTheme="minorHAnsi"/>
        </w:rPr>
        <w:t xml:space="preserve"> arm compared with subjects in the placebo arm at Week 12 and Week 16. A numerical trend favouring adalimumab 40 mg </w:t>
      </w:r>
      <w:proofErr w:type="spellStart"/>
      <w:r w:rsidR="00367086">
        <w:rPr>
          <w:rFonts w:asciiTheme="minorHAnsi" w:hAnsiTheme="minorHAnsi"/>
        </w:rPr>
        <w:t>qw</w:t>
      </w:r>
      <w:proofErr w:type="spellEnd"/>
      <w:r w:rsidRPr="00F01F56">
        <w:rPr>
          <w:rFonts w:asciiTheme="minorHAnsi" w:hAnsiTheme="minorHAnsi"/>
        </w:rPr>
        <w:t xml:space="preserve"> compared with adalimumab 40 mg </w:t>
      </w:r>
      <w:r w:rsidR="00367086">
        <w:rPr>
          <w:rFonts w:asciiTheme="minorHAnsi" w:hAnsiTheme="minorHAnsi"/>
        </w:rPr>
        <w:t>q2w</w:t>
      </w:r>
      <w:r w:rsidRPr="00F01F56">
        <w:rPr>
          <w:rFonts w:asciiTheme="minorHAnsi" w:hAnsiTheme="minorHAnsi"/>
        </w:rPr>
        <w:t xml:space="preserve"> was noted at both Week 12 and Week 16. A decline in response rate was seen following the decrease from adalimumab </w:t>
      </w:r>
      <w:proofErr w:type="spellStart"/>
      <w:r w:rsidR="00367086">
        <w:rPr>
          <w:rFonts w:asciiTheme="minorHAnsi" w:hAnsiTheme="minorHAnsi"/>
        </w:rPr>
        <w:t>qw</w:t>
      </w:r>
      <w:proofErr w:type="spellEnd"/>
      <w:r w:rsidRPr="00F01F56">
        <w:rPr>
          <w:rFonts w:asciiTheme="minorHAnsi" w:hAnsiTheme="minorHAnsi"/>
        </w:rPr>
        <w:t xml:space="preserve"> to </w:t>
      </w:r>
      <w:r w:rsidR="00367086">
        <w:rPr>
          <w:rFonts w:asciiTheme="minorHAnsi" w:hAnsiTheme="minorHAnsi"/>
        </w:rPr>
        <w:t>q2w</w:t>
      </w:r>
      <w:r w:rsidRPr="00F01F56">
        <w:rPr>
          <w:rFonts w:asciiTheme="minorHAnsi" w:hAnsiTheme="minorHAnsi"/>
        </w:rPr>
        <w:t xml:space="preserve"> dosing during Period B; dose escalation to adalimumab </w:t>
      </w:r>
      <w:proofErr w:type="spellStart"/>
      <w:r w:rsidR="00367086">
        <w:rPr>
          <w:rFonts w:asciiTheme="minorHAnsi" w:hAnsiTheme="minorHAnsi"/>
        </w:rPr>
        <w:t>qw</w:t>
      </w:r>
      <w:proofErr w:type="spellEnd"/>
      <w:r w:rsidRPr="00F01F56">
        <w:rPr>
          <w:rFonts w:asciiTheme="minorHAnsi" w:hAnsiTheme="minorHAnsi"/>
        </w:rPr>
        <w:t xml:space="preserve"> dosing resulted in improved efficacy.</w:t>
      </w:r>
    </w:p>
    <w:p w:rsidR="008E7846" w:rsidRPr="00254787" w:rsidRDefault="008E7846" w:rsidP="008E7846">
      <w:pPr>
        <w:pStyle w:val="Heading3"/>
      </w:pPr>
      <w:bookmarkStart w:id="60" w:name="_Toc163441372"/>
      <w:bookmarkStart w:id="61" w:name="_Toc196046485"/>
      <w:bookmarkStart w:id="62" w:name="_Toc247691521"/>
      <w:bookmarkStart w:id="63" w:name="_Toc314842504"/>
      <w:bookmarkStart w:id="64" w:name="_Toc456951150"/>
      <w:r w:rsidRPr="00254787">
        <w:t>Efficacy</w:t>
      </w:r>
      <w:bookmarkEnd w:id="60"/>
      <w:bookmarkEnd w:id="61"/>
      <w:bookmarkEnd w:id="62"/>
      <w:bookmarkEnd w:id="63"/>
      <w:bookmarkEnd w:id="64"/>
    </w:p>
    <w:p w:rsidR="00605AD4" w:rsidRDefault="00605AD4" w:rsidP="00605AD4">
      <w:pPr>
        <w:pStyle w:val="Heading4"/>
      </w:pPr>
      <w:bookmarkStart w:id="65" w:name="_Toc184439992"/>
      <w:bookmarkStart w:id="66" w:name="_Toc184440279"/>
      <w:bookmarkStart w:id="67" w:name="_Toc184444657"/>
      <w:bookmarkStart w:id="68" w:name="_Toc196046487"/>
      <w:r>
        <w:t>Studies providing efficacy data</w:t>
      </w:r>
    </w:p>
    <w:p w:rsidR="000233D2" w:rsidRPr="000233D2" w:rsidRDefault="000233D2" w:rsidP="000233D2">
      <w:pPr>
        <w:rPr>
          <w:rFonts w:asciiTheme="minorHAnsi" w:hAnsiTheme="minorHAnsi"/>
        </w:rPr>
      </w:pPr>
      <w:r w:rsidRPr="000233D2">
        <w:rPr>
          <w:rFonts w:asciiTheme="minorHAnsi" w:hAnsiTheme="minorHAnsi"/>
        </w:rPr>
        <w:t>The sponsor provided three pivotal efficacy studies (M11</w:t>
      </w:r>
      <w:r w:rsidR="000C2FFA">
        <w:rPr>
          <w:rFonts w:asciiTheme="minorHAnsi" w:hAnsiTheme="minorHAnsi"/>
        </w:rPr>
        <w:t>–</w:t>
      </w:r>
      <w:r w:rsidR="000601EB">
        <w:rPr>
          <w:rFonts w:asciiTheme="minorHAnsi" w:hAnsiTheme="minorHAnsi"/>
        </w:rPr>
        <w:t>313, M11</w:t>
      </w:r>
      <w:r w:rsidR="000C2FFA">
        <w:rPr>
          <w:rFonts w:asciiTheme="minorHAnsi" w:hAnsiTheme="minorHAnsi"/>
        </w:rPr>
        <w:t>–</w:t>
      </w:r>
      <w:r w:rsidR="000601EB">
        <w:rPr>
          <w:rFonts w:asciiTheme="minorHAnsi" w:hAnsiTheme="minorHAnsi"/>
        </w:rPr>
        <w:t xml:space="preserve">810, </w:t>
      </w:r>
      <w:proofErr w:type="gramStart"/>
      <w:r w:rsidR="000601EB">
        <w:rPr>
          <w:rFonts w:asciiTheme="minorHAnsi" w:hAnsiTheme="minorHAnsi"/>
        </w:rPr>
        <w:t>M12</w:t>
      </w:r>
      <w:proofErr w:type="gramEnd"/>
      <w:r w:rsidR="000C2FFA">
        <w:rPr>
          <w:rFonts w:asciiTheme="minorHAnsi" w:hAnsiTheme="minorHAnsi"/>
        </w:rPr>
        <w:t>–</w:t>
      </w:r>
      <w:r w:rsidRPr="000233D2">
        <w:rPr>
          <w:rFonts w:asciiTheme="minorHAnsi" w:hAnsiTheme="minorHAnsi"/>
        </w:rPr>
        <w:t>555) for the HS indication.</w:t>
      </w:r>
    </w:p>
    <w:p w:rsidR="000233D2" w:rsidRPr="000233D2" w:rsidRDefault="000233D2" w:rsidP="000233D2">
      <w:pPr>
        <w:ind w:left="1134" w:hanging="1134"/>
      </w:pPr>
      <w:r w:rsidRPr="000233D2">
        <w:rPr>
          <w:b/>
        </w:rPr>
        <w:t>Comment:</w:t>
      </w:r>
      <w:r w:rsidRPr="000233D2">
        <w:t xml:space="preserve"> While Studies M11</w:t>
      </w:r>
      <w:r w:rsidR="000C2FFA">
        <w:t>–</w:t>
      </w:r>
      <w:r w:rsidRPr="000233D2">
        <w:t>313 and M11</w:t>
      </w:r>
      <w:r w:rsidR="000C2FFA">
        <w:t>–</w:t>
      </w:r>
      <w:r w:rsidRPr="000233D2">
        <w:t>810 are acceptable as pivotal efficacy studies, M12</w:t>
      </w:r>
      <w:r w:rsidR="000C2FFA">
        <w:t>–</w:t>
      </w:r>
      <w:r w:rsidRPr="000233D2">
        <w:t>555 represents an open label extension study of these two Phase III trials. At the time of submission, this study was still ongoing and was therefore not considered pivotal by the evaluator.</w:t>
      </w:r>
    </w:p>
    <w:p w:rsidR="008E7846" w:rsidRDefault="00605AD4" w:rsidP="00605AD4">
      <w:pPr>
        <w:pStyle w:val="Heading4"/>
      </w:pPr>
      <w:r>
        <w:t>Evaluator’s conclusions on efficacy</w:t>
      </w:r>
    </w:p>
    <w:p w:rsidR="000233D2" w:rsidRPr="00FC7652" w:rsidRDefault="000233D2" w:rsidP="00BB5A93">
      <w:r w:rsidRPr="00FC7652">
        <w:t>Study M10</w:t>
      </w:r>
      <w:r w:rsidR="000C2FFA">
        <w:t>–</w:t>
      </w:r>
      <w:r w:rsidRPr="00FC7652">
        <w:t xml:space="preserve">467 represented the basis for the selection of adalimumab </w:t>
      </w:r>
      <w:proofErr w:type="spellStart"/>
      <w:r w:rsidR="00367086">
        <w:t>qw</w:t>
      </w:r>
      <w:proofErr w:type="spellEnd"/>
      <w:r w:rsidRPr="00FC7652">
        <w:t xml:space="preserve"> in Period A in the pivotal efficacy studies. This was appropriate as adalimumab </w:t>
      </w:r>
      <w:proofErr w:type="spellStart"/>
      <w:r w:rsidR="00367086">
        <w:t>qw</w:t>
      </w:r>
      <w:proofErr w:type="spellEnd"/>
      <w:r w:rsidRPr="00FC7652">
        <w:t xml:space="preserve"> population and placebo population had a statistically significant difference in HiSCR</w:t>
      </w:r>
      <w:fldSimple w:instr=" NOTEREF _Ref450817154 \f ">
        <w:r w:rsidR="00120CC3" w:rsidRPr="00120CC3">
          <w:rPr>
            <w:rStyle w:val="FootnoteReference"/>
          </w:rPr>
          <w:t>2</w:t>
        </w:r>
      </w:fldSimple>
      <w:r w:rsidRPr="00FC7652">
        <w:t xml:space="preserve"> rate, compared to adalimumab </w:t>
      </w:r>
      <w:r w:rsidR="00367086">
        <w:t>q2w</w:t>
      </w:r>
      <w:r w:rsidRPr="00FC7652">
        <w:t xml:space="preserve"> population versus placebo population. The choice of adalimumab </w:t>
      </w:r>
      <w:proofErr w:type="spellStart"/>
      <w:r w:rsidR="00367086">
        <w:t>qw</w:t>
      </w:r>
      <w:proofErr w:type="spellEnd"/>
      <w:r w:rsidRPr="00FC7652">
        <w:t xml:space="preserve"> dosing for the subsequent studies and also the proposed PI is acceptable. The overall </w:t>
      </w:r>
      <w:proofErr w:type="spellStart"/>
      <w:r w:rsidRPr="00FC7652">
        <w:t>HiSCR</w:t>
      </w:r>
      <w:proofErr w:type="spellEnd"/>
      <w:r w:rsidRPr="00FC7652">
        <w:t xml:space="preserve"> rates in both placebo and treatment groups were</w:t>
      </w:r>
      <w:r w:rsidR="00B71D5C">
        <w:t xml:space="preserve"> lower in all groups in Study </w:t>
      </w:r>
      <w:r w:rsidRPr="00B71D5C">
        <w:rPr>
          <w14:cntxtAlts/>
        </w:rPr>
        <w:t>M10</w:t>
      </w:r>
      <w:r w:rsidR="00ED28FF">
        <w:rPr>
          <w14:cntxtAlts/>
        </w:rPr>
        <w:noBreakHyphen/>
      </w:r>
      <w:r w:rsidRPr="00B71D5C">
        <w:rPr>
          <w14:cntxtAlts/>
        </w:rPr>
        <w:t>467</w:t>
      </w:r>
      <w:r w:rsidRPr="00FC7652">
        <w:t>, as compared to M11</w:t>
      </w:r>
      <w:r w:rsidR="000C2FFA">
        <w:t>–</w:t>
      </w:r>
      <w:r w:rsidRPr="00FC7652">
        <w:t>313 and M11</w:t>
      </w:r>
      <w:r w:rsidR="000C2FFA">
        <w:t>–</w:t>
      </w:r>
      <w:r w:rsidRPr="00FC7652">
        <w:t xml:space="preserve">810. The reason for this discrepancy is unclear </w:t>
      </w:r>
      <w:r>
        <w:t>and should be addressed by the sponsor</w:t>
      </w:r>
      <w:r w:rsidRPr="00FC7652">
        <w:t>.</w:t>
      </w:r>
    </w:p>
    <w:p w:rsidR="000233D2" w:rsidRPr="00FC7652" w:rsidRDefault="000233D2" w:rsidP="000233D2">
      <w:r w:rsidRPr="00FC7652">
        <w:t>The two pivotal efficacy studies, Study M11</w:t>
      </w:r>
      <w:r w:rsidR="000C2FFA">
        <w:t>–</w:t>
      </w:r>
      <w:r w:rsidRPr="00FC7652">
        <w:t>313 and M11</w:t>
      </w:r>
      <w:r w:rsidR="000C2FFA">
        <w:t>–</w:t>
      </w:r>
      <w:r w:rsidRPr="00FC7652">
        <w:t>810, were well designed and conducted. The</w:t>
      </w:r>
      <w:r w:rsidR="00B71D5C">
        <w:t xml:space="preserve"> double </w:t>
      </w:r>
      <w:r w:rsidRPr="00FC7652">
        <w:t xml:space="preserve">blinding methods were acceptable. The primary outcome of achieving </w:t>
      </w:r>
      <w:proofErr w:type="spellStart"/>
      <w:r w:rsidRPr="00FC7652">
        <w:t>HiSCR</w:t>
      </w:r>
      <w:proofErr w:type="spellEnd"/>
      <w:r w:rsidRPr="00FC7652">
        <w:t xml:space="preserve"> is a validated and clinically meaningful endpoint for assessing efficacy in moderate to severe HS. The two pivotal efficacy studies appear internally valid. The study population is adequately representative of the population likely to receive adalimumab for HS (more common in young women, high </w:t>
      </w:r>
      <w:r w:rsidR="00A075F0">
        <w:t>body mass index [</w:t>
      </w:r>
      <w:r w:rsidRPr="00FC7652">
        <w:t>BMI</w:t>
      </w:r>
      <w:r w:rsidR="00A075F0">
        <w:t>]</w:t>
      </w:r>
      <w:r w:rsidRPr="00FC7652">
        <w:t xml:space="preserve"> and smokers). The inclusion and exclusion criteri</w:t>
      </w:r>
      <w:r w:rsidR="00B71D5C">
        <w:t>a were appropriate</w:t>
      </w:r>
      <w:r w:rsidRPr="00FC7652">
        <w:t>.</w:t>
      </w:r>
    </w:p>
    <w:p w:rsidR="000233D2" w:rsidRPr="00FC7652" w:rsidRDefault="000233D2" w:rsidP="00BB5A93">
      <w:r w:rsidRPr="00FC7652">
        <w:t xml:space="preserve">The primary end points were reached in both pivotal studies. A statistically significant proportion of subjects in the adalimumab </w:t>
      </w:r>
      <w:proofErr w:type="spellStart"/>
      <w:r w:rsidR="00367086">
        <w:t>qw</w:t>
      </w:r>
      <w:proofErr w:type="spellEnd"/>
      <w:r w:rsidRPr="00FC7652">
        <w:t xml:space="preserve"> group achieved </w:t>
      </w:r>
      <w:proofErr w:type="spellStart"/>
      <w:r w:rsidRPr="00FC7652">
        <w:t>HiSCR</w:t>
      </w:r>
      <w:proofErr w:type="spellEnd"/>
      <w:r w:rsidRPr="00FC7652">
        <w:t xml:space="preserve"> at Week 12 as c</w:t>
      </w:r>
      <w:r w:rsidR="00B71D5C">
        <w:t>ompared to placebo in both Studies</w:t>
      </w:r>
      <w:r w:rsidRPr="00FC7652">
        <w:t xml:space="preserve"> M11</w:t>
      </w:r>
      <w:r w:rsidR="000C2FFA">
        <w:t>–</w:t>
      </w:r>
      <w:r w:rsidRPr="00FC7652">
        <w:t>313 and M11</w:t>
      </w:r>
      <w:r w:rsidR="000C2FFA">
        <w:t>–</w:t>
      </w:r>
      <w:r w:rsidRPr="00FC7652">
        <w:t xml:space="preserve">810 (41.8% </w:t>
      </w:r>
      <w:r>
        <w:t>versus</w:t>
      </w:r>
      <w:r w:rsidRPr="00FC7652">
        <w:t xml:space="preserve"> 26.0% </w:t>
      </w:r>
      <w:r w:rsidR="00B71D5C">
        <w:t>p</w:t>
      </w:r>
      <w:r w:rsidR="00FC5648">
        <w:t> </w:t>
      </w:r>
      <w:r w:rsidRPr="00FC7652">
        <w:t>=</w:t>
      </w:r>
      <w:r w:rsidR="00FC5648">
        <w:t> </w:t>
      </w:r>
      <w:r w:rsidRPr="00FC7652">
        <w:t xml:space="preserve">0.003, 58.9% </w:t>
      </w:r>
      <w:r>
        <w:t>versus</w:t>
      </w:r>
      <w:r w:rsidRPr="00FC7652">
        <w:t xml:space="preserve"> 27.6% </w:t>
      </w:r>
      <w:r w:rsidR="00B71D5C">
        <w:t>p</w:t>
      </w:r>
      <w:r w:rsidR="00F15963">
        <w:t xml:space="preserve"> </w:t>
      </w:r>
      <w:r w:rsidRPr="00FC7652">
        <w:t>&lt;</w:t>
      </w:r>
      <w:r w:rsidR="00F15963">
        <w:t xml:space="preserve"> </w:t>
      </w:r>
      <w:r w:rsidRPr="00FC7652">
        <w:t xml:space="preserve">0.001, respectively). The pooled analyses of the two studies, showed a statistically significant higher </w:t>
      </w:r>
      <w:proofErr w:type="spellStart"/>
      <w:r w:rsidRPr="00FC7652">
        <w:t>HiSCR</w:t>
      </w:r>
      <w:proofErr w:type="spellEnd"/>
      <w:r w:rsidRPr="00FC7652">
        <w:t xml:space="preserve"> rate in the adalimumab </w:t>
      </w:r>
      <w:proofErr w:type="spellStart"/>
      <w:r w:rsidR="00367086">
        <w:t>qw</w:t>
      </w:r>
      <w:proofErr w:type="spellEnd"/>
      <w:r w:rsidRPr="00FC7652">
        <w:t xml:space="preserve"> group compared to placebo at Week 12 (50.6% compared to 26.8%, </w:t>
      </w:r>
      <w:r w:rsidR="00B71D5C">
        <w:t>p</w:t>
      </w:r>
      <w:r w:rsidR="00A830D2">
        <w:t xml:space="preserve"> </w:t>
      </w:r>
      <w:r w:rsidRPr="00FC7652">
        <w:t>&lt;</w:t>
      </w:r>
      <w:r w:rsidR="00A830D2">
        <w:t xml:space="preserve"> </w:t>
      </w:r>
      <w:r w:rsidRPr="00FC7652">
        <w:t>0.001). The difference was statistically significant in both Hurley Stage II</w:t>
      </w:r>
      <w:r w:rsidR="00B71D5C">
        <w:t xml:space="preserve"> </w:t>
      </w:r>
      <w:r w:rsidR="00280416">
        <w:t>and Hurley Stage III disease</w:t>
      </w:r>
      <w:r w:rsidR="004D5D4D">
        <w:t xml:space="preserve"> (Table 1</w:t>
      </w:r>
      <w:r w:rsidR="00957888">
        <w:t>)</w:t>
      </w:r>
      <w:r w:rsidR="00280416">
        <w:t>;</w:t>
      </w:r>
      <w:r w:rsidRPr="00FC7652">
        <w:t xml:space="preserve"> however the treatment effect was more prominent for Hurley Stage III. The difference of 23.9% in the pooled analysis is clinically meaningful at Week 12. It was unclear why the </w:t>
      </w:r>
      <w:proofErr w:type="spellStart"/>
      <w:r w:rsidRPr="00FC7652">
        <w:t>HiSCR</w:t>
      </w:r>
      <w:proofErr w:type="spellEnd"/>
      <w:r w:rsidRPr="00FC7652">
        <w:t xml:space="preserve"> rate in the placebo groups was high. This could relate to the inherently fluctuating disease course of HS, but the </w:t>
      </w:r>
      <w:r>
        <w:t>sponsor</w:t>
      </w:r>
      <w:r w:rsidRPr="00FC7652">
        <w:t xml:space="preserve"> is encouraged to comment on this point.</w:t>
      </w:r>
    </w:p>
    <w:p w:rsidR="000233D2" w:rsidRPr="00FC7652" w:rsidRDefault="000233D2" w:rsidP="000233D2">
      <w:r w:rsidRPr="00FC7652">
        <w:t>In Study M11</w:t>
      </w:r>
      <w:r w:rsidR="000C2FFA">
        <w:t>–</w:t>
      </w:r>
      <w:r w:rsidRPr="00FC7652">
        <w:t xml:space="preserve">313, all 3 ranked secondary endpoints did not achieve statistical significance. All 3 ranked secondary endpoints had very similar results in the adalimumab </w:t>
      </w:r>
      <w:proofErr w:type="spellStart"/>
      <w:r w:rsidR="00367086">
        <w:t>qw</w:t>
      </w:r>
      <w:proofErr w:type="spellEnd"/>
      <w:r w:rsidRPr="00FC7652">
        <w:t xml:space="preserve"> group and placebo group. In contrast, all 3 ranked secondary endpoints achieved statistical significance in Study </w:t>
      </w:r>
      <w:r w:rsidR="0050714B">
        <w:t>M11</w:t>
      </w:r>
      <w:r w:rsidR="000C2FFA">
        <w:t>–</w:t>
      </w:r>
      <w:r w:rsidRPr="00FC7652">
        <w:t xml:space="preserve">810 (all </w:t>
      </w:r>
      <w:r w:rsidR="00B71D5C">
        <w:t>p</w:t>
      </w:r>
      <w:r w:rsidR="00A830D2">
        <w:t xml:space="preserve"> </w:t>
      </w:r>
      <w:r w:rsidRPr="00FC7652">
        <w:t>&lt;</w:t>
      </w:r>
      <w:r w:rsidR="00A830D2">
        <w:t xml:space="preserve"> </w:t>
      </w:r>
      <w:r w:rsidRPr="00FC7652">
        <w:t>0.01). The two populations in the different studies are similar, and the study design was identical in Period A. The differ</w:t>
      </w:r>
      <w:r w:rsidR="0097496F">
        <w:t>ence in outcome is unexplained.</w:t>
      </w:r>
    </w:p>
    <w:p w:rsidR="000233D2" w:rsidRPr="00FC7652" w:rsidRDefault="000233D2" w:rsidP="000233D2">
      <w:r w:rsidRPr="00FC7652">
        <w:lastRenderedPageBreak/>
        <w:t>In contrast to short</w:t>
      </w:r>
      <w:r w:rsidR="000C2FFA">
        <w:t>–</w:t>
      </w:r>
      <w:r w:rsidRPr="00FC7652">
        <w:t xml:space="preserve">term adalimumab therapy (3 months), the evidence for maintenance of effect is not convincing. In Period B of both pivotal studies, there was no significant difference in </w:t>
      </w:r>
      <w:proofErr w:type="spellStart"/>
      <w:r w:rsidRPr="00FC7652">
        <w:t>HiSCR</w:t>
      </w:r>
      <w:proofErr w:type="spellEnd"/>
      <w:r w:rsidRPr="00FC7652">
        <w:t xml:space="preserve"> and </w:t>
      </w:r>
      <w:r w:rsidR="00891D59">
        <w:t>the D</w:t>
      </w:r>
      <w:r w:rsidR="00891D59" w:rsidRPr="0068739E">
        <w:t>ermatology Life Quality Index</w:t>
      </w:r>
      <w:r w:rsidR="00891D59" w:rsidRPr="00FC7652">
        <w:t xml:space="preserve"> </w:t>
      </w:r>
      <w:r w:rsidR="00891D59">
        <w:t>(</w:t>
      </w:r>
      <w:r w:rsidRPr="00FC7652">
        <w:t>DLQI</w:t>
      </w:r>
      <w:r w:rsidR="00891D59">
        <w:t>)</w:t>
      </w:r>
      <w:bookmarkStart w:id="69" w:name="_Ref450832775"/>
      <w:r w:rsidR="00D12A77">
        <w:rPr>
          <w:rStyle w:val="FootnoteReference"/>
        </w:rPr>
        <w:footnoteReference w:id="5"/>
      </w:r>
      <w:bookmarkEnd w:id="69"/>
      <w:r w:rsidRPr="00FC7652">
        <w:t xml:space="preserve"> between adalimumab </w:t>
      </w:r>
      <w:proofErr w:type="spellStart"/>
      <w:r w:rsidR="00367086">
        <w:t>qw</w:t>
      </w:r>
      <w:proofErr w:type="spellEnd"/>
      <w:r w:rsidRPr="00FC7652">
        <w:t>/</w:t>
      </w:r>
      <w:proofErr w:type="spellStart"/>
      <w:r w:rsidR="00367086">
        <w:t>qw</w:t>
      </w:r>
      <w:proofErr w:type="spellEnd"/>
      <w:r w:rsidRPr="00FC7652">
        <w:t xml:space="preserve">, </w:t>
      </w:r>
      <w:proofErr w:type="spellStart"/>
      <w:r w:rsidR="00367086">
        <w:t>qw</w:t>
      </w:r>
      <w:proofErr w:type="spellEnd"/>
      <w:r w:rsidRPr="00FC7652">
        <w:t>/</w:t>
      </w:r>
      <w:r w:rsidR="00367086">
        <w:t>q2w</w:t>
      </w:r>
      <w:r w:rsidRPr="00FC7652">
        <w:t xml:space="preserve"> or </w:t>
      </w:r>
      <w:proofErr w:type="spellStart"/>
      <w:r w:rsidR="00367086">
        <w:t>qw</w:t>
      </w:r>
      <w:proofErr w:type="spellEnd"/>
      <w:r w:rsidRPr="00FC7652">
        <w:t>/</w:t>
      </w:r>
      <w:proofErr w:type="spellStart"/>
      <w:r w:rsidRPr="00FC7652">
        <w:t>pbo</w:t>
      </w:r>
      <w:proofErr w:type="spellEnd"/>
      <w:r w:rsidRPr="00FC7652">
        <w:t xml:space="preserve"> for maintaining response in subjects considered responders at Week 12. There was approximately a 50% </w:t>
      </w:r>
      <w:r w:rsidR="0072231A">
        <w:t>LOR</w:t>
      </w:r>
      <w:r w:rsidR="001E5F78">
        <w:fldChar w:fldCharType="begin"/>
      </w:r>
      <w:r w:rsidR="001E5F78">
        <w:instrText xml:space="preserve"> NOTEREF _Ref451161897 \f \h </w:instrText>
      </w:r>
      <w:r w:rsidR="001E5F78">
        <w:fldChar w:fldCharType="separate"/>
      </w:r>
      <w:r w:rsidR="001E5F78" w:rsidRPr="001E5F78">
        <w:rPr>
          <w:rStyle w:val="FootnoteReference"/>
        </w:rPr>
        <w:t>4</w:t>
      </w:r>
      <w:r w:rsidR="001E5F78">
        <w:fldChar w:fldCharType="end"/>
      </w:r>
      <w:r w:rsidRPr="00FC7652">
        <w:t xml:space="preserve"> in both adalimumab </w:t>
      </w:r>
      <w:proofErr w:type="spellStart"/>
      <w:r w:rsidR="00367086">
        <w:t>qw</w:t>
      </w:r>
      <w:proofErr w:type="spellEnd"/>
      <w:r w:rsidR="00200D21">
        <w:t xml:space="preserve"> and adalimumab q2w</w:t>
      </w:r>
      <w:r w:rsidRPr="00FC7652">
        <w:t xml:space="preserve"> populations in Period B. The subgroups should be interpreted with caution as the numbers were low (&lt;</w:t>
      </w:r>
      <w:r w:rsidR="00957888">
        <w:t xml:space="preserve"> </w:t>
      </w:r>
      <w:r w:rsidRPr="00FC7652">
        <w:t>30). There is limited evidence of clinically meaningful efficacy maintenance.</w:t>
      </w:r>
    </w:p>
    <w:p w:rsidR="000233D2" w:rsidRPr="00FC7652" w:rsidRDefault="000233D2" w:rsidP="000233D2">
      <w:r w:rsidRPr="00FC7652">
        <w:t>A separate analysis group of responders/partial</w:t>
      </w:r>
      <w:r>
        <w:t xml:space="preserve"> responders was identified post </w:t>
      </w:r>
      <w:r w:rsidRPr="00FC7652">
        <w:t>hoc (ITT_B_PRR).</w:t>
      </w:r>
      <w:r>
        <w:t xml:space="preserve"> </w:t>
      </w:r>
      <w:r w:rsidRPr="00FC7652">
        <w:t>This group analysis should be interpreted with caution. The selection criteria for this group seemed som</w:t>
      </w:r>
      <w:r w:rsidR="00367086">
        <w:t>ew</w:t>
      </w:r>
      <w:r w:rsidRPr="00FC7652">
        <w:t xml:space="preserve">hat arbitrary and its clinical meaningfulness is questionable. The ITT_B_PRR population did demonstrate a statistically significant difference in </w:t>
      </w:r>
      <w:proofErr w:type="spellStart"/>
      <w:r w:rsidRPr="00FC7652">
        <w:t>HiSCR</w:t>
      </w:r>
      <w:proofErr w:type="spellEnd"/>
      <w:r w:rsidRPr="00FC7652">
        <w:t xml:space="preserve"> rate between </w:t>
      </w:r>
      <w:proofErr w:type="spellStart"/>
      <w:r w:rsidR="00367086">
        <w:t>qw</w:t>
      </w:r>
      <w:proofErr w:type="spellEnd"/>
      <w:r w:rsidRPr="00FC7652">
        <w:t>/</w:t>
      </w:r>
      <w:proofErr w:type="spellStart"/>
      <w:r w:rsidR="00367086">
        <w:t>qw</w:t>
      </w:r>
      <w:proofErr w:type="spellEnd"/>
      <w:r w:rsidRPr="00FC7652">
        <w:t xml:space="preserve"> and </w:t>
      </w:r>
      <w:proofErr w:type="spellStart"/>
      <w:r w:rsidR="00367086">
        <w:t>qw</w:t>
      </w:r>
      <w:proofErr w:type="spellEnd"/>
      <w:r w:rsidRPr="00FC7652">
        <w:t>/</w:t>
      </w:r>
      <w:proofErr w:type="spellStart"/>
      <w:r w:rsidRPr="00FC7652">
        <w:t>pbo</w:t>
      </w:r>
      <w:proofErr w:type="spellEnd"/>
      <w:r w:rsidRPr="00FC7652">
        <w:t xml:space="preserve"> population at Week 36 (55.7% </w:t>
      </w:r>
      <w:r>
        <w:t>versus</w:t>
      </w:r>
      <w:r w:rsidRPr="00FC7652">
        <w:t xml:space="preserve"> 30.1%, p</w:t>
      </w:r>
      <w:r w:rsidR="00957888">
        <w:t xml:space="preserve"> </w:t>
      </w:r>
      <w:r w:rsidRPr="00FC7652">
        <w:t>&lt;</w:t>
      </w:r>
      <w:r w:rsidR="00957888">
        <w:t xml:space="preserve"> </w:t>
      </w:r>
      <w:r w:rsidRPr="00FC7652">
        <w:t xml:space="preserve">0.05), which was not seen between </w:t>
      </w:r>
      <w:proofErr w:type="spellStart"/>
      <w:r w:rsidR="00367086">
        <w:t>qw</w:t>
      </w:r>
      <w:proofErr w:type="spellEnd"/>
      <w:r w:rsidRPr="00FC7652">
        <w:t>/</w:t>
      </w:r>
      <w:r w:rsidR="00367086">
        <w:t>q2w</w:t>
      </w:r>
      <w:r w:rsidRPr="00FC7652">
        <w:t xml:space="preserve"> and </w:t>
      </w:r>
      <w:proofErr w:type="spellStart"/>
      <w:r w:rsidR="00367086">
        <w:t>qw</w:t>
      </w:r>
      <w:proofErr w:type="spellEnd"/>
      <w:r w:rsidRPr="00FC7652">
        <w:t>/</w:t>
      </w:r>
      <w:proofErr w:type="spellStart"/>
      <w:r w:rsidRPr="00FC7652">
        <w:t>pbo</w:t>
      </w:r>
      <w:proofErr w:type="spellEnd"/>
      <w:r w:rsidRPr="00FC7652">
        <w:t xml:space="preserve"> population. The decreasing response rate even in the pooled responder/partial responder </w:t>
      </w:r>
      <w:r w:rsidR="0097496F">
        <w:t>population is still concerning.</w:t>
      </w:r>
    </w:p>
    <w:p w:rsidR="000233D2" w:rsidRPr="00FC7652" w:rsidRDefault="000233D2" w:rsidP="000233D2">
      <w:r w:rsidRPr="00FC7652">
        <w:t>Overall, evidence for the short</w:t>
      </w:r>
      <w:r w:rsidR="00127813">
        <w:t xml:space="preserve"> </w:t>
      </w:r>
      <w:r w:rsidRPr="00FC7652">
        <w:t>term benefits of adalimumab treatment of subjects with moderate to severe HS is convincing. However, there is limited evidence of a clinically meaningful maintenance of efficacy. Nevertheless, this needs to be considered in the context of the lack of HS treatment options. There has been no other randomised placebo controlled trials conducted that shows a significant clinical response in HS. HS is a debilitating condition with physical and psychological impacts. There are limited effective treatment options, and the only curative treatment is surgical excision and flap repair.</w:t>
      </w:r>
    </w:p>
    <w:p w:rsidR="008E7846" w:rsidRPr="002E238E" w:rsidRDefault="008E7846" w:rsidP="008E7846">
      <w:pPr>
        <w:pStyle w:val="Heading3"/>
      </w:pPr>
      <w:bookmarkStart w:id="70" w:name="_Toc163441378"/>
      <w:bookmarkStart w:id="71" w:name="_Toc196046495"/>
      <w:bookmarkStart w:id="72" w:name="_Toc247691522"/>
      <w:bookmarkStart w:id="73" w:name="_Toc314842505"/>
      <w:bookmarkStart w:id="74" w:name="_Toc456951151"/>
      <w:bookmarkEnd w:id="65"/>
      <w:bookmarkEnd w:id="66"/>
      <w:bookmarkEnd w:id="67"/>
      <w:bookmarkEnd w:id="68"/>
      <w:r w:rsidRPr="002E238E">
        <w:t>Safety</w:t>
      </w:r>
      <w:bookmarkEnd w:id="70"/>
      <w:bookmarkEnd w:id="71"/>
      <w:bookmarkEnd w:id="72"/>
      <w:bookmarkEnd w:id="73"/>
      <w:bookmarkEnd w:id="74"/>
    </w:p>
    <w:p w:rsidR="00605AD4" w:rsidRDefault="00605AD4" w:rsidP="00605AD4">
      <w:pPr>
        <w:pStyle w:val="Heading4"/>
      </w:pPr>
      <w:bookmarkStart w:id="75" w:name="_Toc247691524"/>
      <w:bookmarkStart w:id="76" w:name="_Toc314842508"/>
      <w:bookmarkStart w:id="77" w:name="_Toc196046504"/>
      <w:bookmarkStart w:id="78" w:name="_Toc163441390"/>
      <w:r w:rsidRPr="00605AD4">
        <w:t>Studies providing safety data</w:t>
      </w:r>
    </w:p>
    <w:p w:rsidR="00EC5DC5" w:rsidRDefault="00EC5DC5" w:rsidP="00CD39EB">
      <w:pPr>
        <w:pStyle w:val="Heading5"/>
      </w:pPr>
      <w:bookmarkStart w:id="79" w:name="_Toc295131069"/>
      <w:r w:rsidRPr="00EC5DC5">
        <w:t>Pivotal studies that assessed safety as a primary outcome</w:t>
      </w:r>
      <w:bookmarkEnd w:id="79"/>
      <w:r w:rsidR="00D24B81">
        <w:t>:</w:t>
      </w:r>
    </w:p>
    <w:p w:rsidR="00EC5DC5" w:rsidRPr="00BA13F2" w:rsidRDefault="00EC5DC5" w:rsidP="00EC5DC5">
      <w:pPr>
        <w:pStyle w:val="ListBullet"/>
      </w:pPr>
      <w:r w:rsidRPr="00BA13F2">
        <w:t>Studies M11</w:t>
      </w:r>
      <w:r w:rsidR="000C2FFA">
        <w:t>–</w:t>
      </w:r>
      <w:r w:rsidRPr="00BA13F2">
        <w:t>313 and M11</w:t>
      </w:r>
      <w:r w:rsidR="000C2FFA">
        <w:t>–</w:t>
      </w:r>
      <w:r w:rsidRPr="00BA13F2">
        <w:t>810 were pivotal studies that assessed safet</w:t>
      </w:r>
      <w:r>
        <w:t>y as a primary outcome.</w:t>
      </w:r>
    </w:p>
    <w:p w:rsidR="00EC5DC5" w:rsidRPr="00EC5DC5" w:rsidRDefault="00280416" w:rsidP="00CD39EB">
      <w:pPr>
        <w:pStyle w:val="Heading5"/>
      </w:pPr>
      <w:bookmarkStart w:id="80" w:name="_Toc295131070"/>
      <w:r>
        <w:t xml:space="preserve">Dose response and </w:t>
      </w:r>
      <w:r w:rsidR="00EE5FF0">
        <w:t>non-</w:t>
      </w:r>
      <w:r w:rsidR="00EE5FF0" w:rsidRPr="00EC5DC5">
        <w:t>pivotal</w:t>
      </w:r>
      <w:r w:rsidR="00EC5DC5" w:rsidRPr="00EC5DC5">
        <w:t xml:space="preserve"> efficacy studies</w:t>
      </w:r>
      <w:bookmarkEnd w:id="80"/>
      <w:r w:rsidR="00D24B81">
        <w:t>:</w:t>
      </w:r>
    </w:p>
    <w:p w:rsidR="00EC5DC5" w:rsidRPr="00EC5DC5" w:rsidRDefault="00EC5DC5" w:rsidP="00EC5DC5">
      <w:pPr>
        <w:pStyle w:val="ListBullet"/>
      </w:pPr>
      <w:r w:rsidRPr="00EC5DC5">
        <w:t>Study M10</w:t>
      </w:r>
      <w:r w:rsidR="000C2FFA">
        <w:t>–</w:t>
      </w:r>
      <w:r w:rsidRPr="00EC5DC5">
        <w:t xml:space="preserve">467 provided data on safety, including </w:t>
      </w:r>
      <w:r w:rsidR="00346BD0">
        <w:t>t</w:t>
      </w:r>
      <w:r w:rsidR="00346BD0" w:rsidRPr="0068739E">
        <w:t>reatment</w:t>
      </w:r>
      <w:r w:rsidR="0095258E">
        <w:t xml:space="preserve"> </w:t>
      </w:r>
      <w:r w:rsidR="00346BD0" w:rsidRPr="0068739E">
        <w:t>emergent adverse event</w:t>
      </w:r>
      <w:r w:rsidR="00346BD0" w:rsidRPr="00EC5DC5">
        <w:t xml:space="preserve"> </w:t>
      </w:r>
      <w:r w:rsidR="00346BD0">
        <w:t>(</w:t>
      </w:r>
      <w:r w:rsidRPr="00C15B2B">
        <w:t>TEAE</w:t>
      </w:r>
      <w:r w:rsidRPr="00EC5DC5">
        <w:t>s</w:t>
      </w:r>
      <w:r w:rsidR="00346BD0">
        <w:t>)</w:t>
      </w:r>
      <w:r w:rsidRPr="00EC5DC5">
        <w:t xml:space="preserve"> and laborato</w:t>
      </w:r>
      <w:r w:rsidR="002F3DA4">
        <w:t>ry variables (22</w:t>
      </w:r>
      <w:r w:rsidR="00200D21">
        <w:t xml:space="preserve"> April, 2009 </w:t>
      </w:r>
      <w:r w:rsidR="00C00CE5">
        <w:t>to</w:t>
      </w:r>
      <w:r w:rsidR="002F3DA4">
        <w:t xml:space="preserve"> 9</w:t>
      </w:r>
      <w:r w:rsidRPr="00EC5DC5">
        <w:t xml:space="preserve"> November 2010)</w:t>
      </w:r>
      <w:r w:rsidR="00D24B81">
        <w:t>.</w:t>
      </w:r>
    </w:p>
    <w:p w:rsidR="00EC5DC5" w:rsidRPr="00EC5DC5" w:rsidRDefault="00EC5DC5" w:rsidP="00EC5DC5">
      <w:pPr>
        <w:pStyle w:val="ListBullet"/>
      </w:pPr>
      <w:r w:rsidRPr="00EC5DC5">
        <w:t xml:space="preserve">Study </w:t>
      </w:r>
      <w:r w:rsidR="00A934BF">
        <w:t>M12</w:t>
      </w:r>
      <w:r w:rsidR="000C2FFA">
        <w:t>–</w:t>
      </w:r>
      <w:r w:rsidRPr="00EC5DC5">
        <w:t xml:space="preserve">555 provided data on safety, including </w:t>
      </w:r>
      <w:r w:rsidR="00346BD0">
        <w:t>adverse events (</w:t>
      </w:r>
      <w:r w:rsidRPr="00EC5DC5">
        <w:t>AEs</w:t>
      </w:r>
      <w:r w:rsidR="00346BD0">
        <w:t>) and</w:t>
      </w:r>
      <w:r w:rsidRPr="00EC5DC5">
        <w:t xml:space="preserve"> </w:t>
      </w:r>
      <w:r w:rsidR="00346BD0">
        <w:t>adverse events of special interest (</w:t>
      </w:r>
      <w:r w:rsidRPr="00EC5DC5">
        <w:t>AE</w:t>
      </w:r>
      <w:r w:rsidR="00346BD0">
        <w:t>SI</w:t>
      </w:r>
      <w:r w:rsidRPr="00EC5DC5">
        <w:t>s</w:t>
      </w:r>
      <w:r w:rsidR="00346BD0">
        <w:t>)</w:t>
      </w:r>
      <w:r w:rsidR="002F3DA4">
        <w:t xml:space="preserve"> (12 April 2012 to</w:t>
      </w:r>
      <w:r w:rsidRPr="00EC5DC5">
        <w:t xml:space="preserve"> 29 April, 2014)</w:t>
      </w:r>
      <w:r w:rsidR="00D24B81">
        <w:t>.</w:t>
      </w:r>
    </w:p>
    <w:p w:rsidR="00605AD4" w:rsidRDefault="00605AD4" w:rsidP="00605AD4">
      <w:pPr>
        <w:pStyle w:val="Heading4"/>
      </w:pPr>
      <w:r w:rsidRPr="00605AD4">
        <w:t>Patient exposure</w:t>
      </w:r>
    </w:p>
    <w:p w:rsidR="00913BFC" w:rsidRPr="00913BFC" w:rsidRDefault="00913BFC" w:rsidP="00913BFC">
      <w:r w:rsidRPr="00913BFC">
        <w:t xml:space="preserve">Across the studies, a total of 727 subjects with HS received at least 1 dose of adalimumab as of 29 April 2014 for a cumulative exposure of 635.7 </w:t>
      </w:r>
      <w:r w:rsidR="00DD5375">
        <w:t>patient years (</w:t>
      </w:r>
      <w:r w:rsidRPr="00913BFC">
        <w:t>PYs</w:t>
      </w:r>
      <w:r w:rsidR="00DD5375">
        <w:t>)</w:t>
      </w:r>
      <w:r w:rsidRPr="00913BFC">
        <w:t>. Of these subjects, 576 subjects (79.2%) had been exposed to adalimumab for at least 6 months, 336 subjects (46.2%) had been exposed to adalimumab for at least 1 year, and 69 subjects (9.5%) had been exposed to adalimuma</w:t>
      </w:r>
      <w:r w:rsidR="00880894">
        <w:t>b for over 2 years. The mean (standard deviation</w:t>
      </w:r>
      <w:r w:rsidRPr="00913BFC">
        <w:t xml:space="preserve">) </w:t>
      </w:r>
      <w:r w:rsidRPr="00913BFC">
        <w:lastRenderedPageBreak/>
        <w:t>duration of adalimumab exposure was 319.4 (16</w:t>
      </w:r>
      <w:r w:rsidR="00880894">
        <w:t>8.26) days and the median (min</w:t>
      </w:r>
      <w:r w:rsidR="007E12F0">
        <w:t>imum</w:t>
      </w:r>
      <w:r w:rsidR="00880894">
        <w:t xml:space="preserve"> to max</w:t>
      </w:r>
      <w:r w:rsidR="007E12F0">
        <w:t>imum</w:t>
      </w:r>
      <w:r w:rsidR="00880894">
        <w:t>) duration was 321 (5 to</w:t>
      </w:r>
      <w:r w:rsidRPr="00913BFC">
        <w:t xml:space="preserve"> 883) days.</w:t>
      </w:r>
    </w:p>
    <w:p w:rsidR="00605AD4" w:rsidRDefault="00605AD4" w:rsidP="00605AD4">
      <w:pPr>
        <w:pStyle w:val="Heading4"/>
      </w:pPr>
      <w:r w:rsidRPr="00AE1436">
        <w:t>Safety issues with the potential for major regulatory impact</w:t>
      </w:r>
    </w:p>
    <w:p w:rsidR="00431194" w:rsidRPr="00431194" w:rsidRDefault="00431194" w:rsidP="00431194">
      <w:r>
        <w:t xml:space="preserve">The safety issues of most </w:t>
      </w:r>
      <w:r w:rsidR="00E20841">
        <w:t>concern for adalimumab are serio</w:t>
      </w:r>
      <w:r w:rsidR="000152F3">
        <w:t>us infections and malignancies.</w:t>
      </w:r>
      <w:r w:rsidR="00AE1436">
        <w:t xml:space="preserve"> </w:t>
      </w:r>
      <w:r w:rsidR="00AE1436" w:rsidRPr="004A766D">
        <w:t xml:space="preserve">The rates of </w:t>
      </w:r>
      <w:r w:rsidR="00C15B2B">
        <w:t>TEAE</w:t>
      </w:r>
      <w:r w:rsidR="00AE1436">
        <w:t xml:space="preserve">s were similar to previous </w:t>
      </w:r>
      <w:r w:rsidR="00AE1436" w:rsidRPr="004A766D">
        <w:t>studies in approved adalimumab indicatio</w:t>
      </w:r>
      <w:r w:rsidR="00AE1436">
        <w:t>ns.</w:t>
      </w:r>
    </w:p>
    <w:p w:rsidR="00605AD4" w:rsidRDefault="00BB5A93" w:rsidP="00605AD4">
      <w:pPr>
        <w:pStyle w:val="Heading4"/>
      </w:pPr>
      <w:r w:rsidRPr="00605AD4">
        <w:t>Post marketing</w:t>
      </w:r>
      <w:r w:rsidR="00605AD4" w:rsidRPr="00605AD4">
        <w:t xml:space="preserve"> data</w:t>
      </w:r>
    </w:p>
    <w:p w:rsidR="004A766D" w:rsidRPr="004A766D" w:rsidRDefault="004A766D" w:rsidP="004A766D">
      <w:r w:rsidRPr="004A766D">
        <w:t>Adalimumab was first approved for treatment of RA on 31 December 2002 (international birth date [IBD]). As of 31 December 2013, adalimumab has been evaluated in over 42,000 subjects (exposure of &gt; 43,000 PYs) with RA,</w:t>
      </w:r>
      <w:r w:rsidR="003F603A">
        <w:t xml:space="preserve"> JIA</w:t>
      </w:r>
      <w:r w:rsidRPr="004A766D">
        <w:t xml:space="preserve">, paediatric </w:t>
      </w:r>
      <w:proofErr w:type="spellStart"/>
      <w:r w:rsidRPr="004A766D">
        <w:t>enthesitis</w:t>
      </w:r>
      <w:proofErr w:type="spellEnd"/>
      <w:r w:rsidRPr="004A766D">
        <w:t xml:space="preserve"> related </w:t>
      </w:r>
      <w:r w:rsidR="003F603A">
        <w:t xml:space="preserve">arthritis, </w:t>
      </w:r>
      <w:proofErr w:type="spellStart"/>
      <w:r w:rsidR="003F603A">
        <w:t>PsA</w:t>
      </w:r>
      <w:proofErr w:type="spellEnd"/>
      <w:r w:rsidR="003F603A">
        <w:t>, CD, paediatric CD, Ps</w:t>
      </w:r>
      <w:r w:rsidRPr="004A766D">
        <w:t>, pae</w:t>
      </w:r>
      <w:r w:rsidR="003F603A">
        <w:t>diatric Ps, UC</w:t>
      </w:r>
      <w:r w:rsidRPr="004A766D">
        <w:t xml:space="preserve">, AS, </w:t>
      </w:r>
      <w:proofErr w:type="spellStart"/>
      <w:r w:rsidRPr="004A766D">
        <w:t>spondyloarthritis</w:t>
      </w:r>
      <w:proofErr w:type="spellEnd"/>
      <w:r w:rsidRPr="004A766D">
        <w:t xml:space="preserve"> (</w:t>
      </w:r>
      <w:proofErr w:type="spellStart"/>
      <w:r w:rsidRPr="004A766D">
        <w:t>SpA</w:t>
      </w:r>
      <w:proofErr w:type="spellEnd"/>
      <w:r w:rsidRPr="004A766D">
        <w:t>), non</w:t>
      </w:r>
      <w:r w:rsidR="000C2FFA">
        <w:t>–</w:t>
      </w:r>
      <w:r w:rsidRPr="004A766D">
        <w:t xml:space="preserve">radiographic axial </w:t>
      </w:r>
      <w:proofErr w:type="spellStart"/>
      <w:r w:rsidRPr="004A766D">
        <w:t>SpA</w:t>
      </w:r>
      <w:proofErr w:type="spellEnd"/>
      <w:r w:rsidRPr="004A766D">
        <w:t xml:space="preserve"> (</w:t>
      </w:r>
      <w:proofErr w:type="spellStart"/>
      <w:r w:rsidRPr="004A766D">
        <w:t>nr</w:t>
      </w:r>
      <w:proofErr w:type="spellEnd"/>
      <w:r w:rsidR="000C2FFA">
        <w:t>–</w:t>
      </w:r>
      <w:proofErr w:type="spellStart"/>
      <w:r w:rsidRPr="004A766D">
        <w:t>axSpA</w:t>
      </w:r>
      <w:proofErr w:type="spellEnd"/>
      <w:r w:rsidRPr="004A766D">
        <w:t xml:space="preserve">), HS, uveitis, and intestinal </w:t>
      </w:r>
      <w:proofErr w:type="spellStart"/>
      <w:r w:rsidRPr="004A766D">
        <w:t>Behçet's</w:t>
      </w:r>
      <w:proofErr w:type="spellEnd"/>
      <w:r w:rsidRPr="004A766D">
        <w:t xml:space="preserve"> disease. Adalimumab is approved for the treatment of RA, AS, </w:t>
      </w:r>
      <w:proofErr w:type="spellStart"/>
      <w:r w:rsidRPr="004A766D">
        <w:t>PsA</w:t>
      </w:r>
      <w:proofErr w:type="spellEnd"/>
      <w:r w:rsidRPr="004A766D">
        <w:t>, CD, Ps, UC, and JIA in the EU</w:t>
      </w:r>
      <w:r w:rsidR="003F603A">
        <w:t xml:space="preserve"> and </w:t>
      </w:r>
      <w:r w:rsidRPr="004A766D">
        <w:t>US. The estimated cumulative post</w:t>
      </w:r>
      <w:r w:rsidR="00EE5FF0">
        <w:t>-</w:t>
      </w:r>
      <w:r w:rsidRPr="004A766D">
        <w:t>marketing patient exposure since the IBD through 31 December 2013 is 2.9 million PYs.</w:t>
      </w:r>
    </w:p>
    <w:p w:rsidR="004A766D" w:rsidRPr="004A766D" w:rsidRDefault="004A766D" w:rsidP="004A766D">
      <w:r w:rsidRPr="004A766D">
        <w:t xml:space="preserve">The sponsor continues to monitor for potential new safety signals through its ongoing standard </w:t>
      </w:r>
      <w:proofErr w:type="spellStart"/>
      <w:r w:rsidRPr="004A766D">
        <w:t>postmarketing</w:t>
      </w:r>
      <w:proofErr w:type="spellEnd"/>
      <w:r w:rsidRPr="004A766D">
        <w:t xml:space="preserve"> safety surveillance practices for adalimumab. This surveillance includes reports of serious adverse events from clinical studies, all reports from spontaneous sources, the literature, regulatory </w:t>
      </w:r>
      <w:r w:rsidR="00FE0C77">
        <w:t>agencies, post</w:t>
      </w:r>
      <w:r w:rsidR="00EE5FF0">
        <w:t>-</w:t>
      </w:r>
      <w:r w:rsidR="00FE0C77">
        <w:t>marketing studies</w:t>
      </w:r>
      <w:r w:rsidRPr="004A766D">
        <w:t xml:space="preserve"> and registries. Eight AbbVie</w:t>
      </w:r>
      <w:r w:rsidR="000C2FFA">
        <w:t>–</w:t>
      </w:r>
      <w:r w:rsidRPr="004A766D">
        <w:t>sponsored adalimumab safet</w:t>
      </w:r>
      <w:r w:rsidR="005B44FD">
        <w:t>y registries are ongoing with &gt; </w:t>
      </w:r>
      <w:r w:rsidRPr="004A766D">
        <w:t xml:space="preserve">32,000 adult and paediatric patients. One </w:t>
      </w:r>
      <w:proofErr w:type="spellStart"/>
      <w:r w:rsidRPr="004A766D">
        <w:t>Abbvie</w:t>
      </w:r>
      <w:proofErr w:type="spellEnd"/>
      <w:r w:rsidR="000C2FFA">
        <w:t>–</w:t>
      </w:r>
      <w:r w:rsidRPr="004A766D">
        <w:t xml:space="preserve">sponsored </w:t>
      </w:r>
      <w:r w:rsidR="00797801">
        <w:t>clinical trial</w:t>
      </w:r>
      <w:r w:rsidRPr="004A766D">
        <w:t xml:space="preserve"> of 3,435 patients with moderate to severe RA (</w:t>
      </w:r>
      <w:proofErr w:type="spellStart"/>
      <w:r w:rsidRPr="004A766D">
        <w:t>ReAlise</w:t>
      </w:r>
      <w:proofErr w:type="spellEnd"/>
      <w:r w:rsidRPr="004A766D">
        <w:t xml:space="preserve">) has been </w:t>
      </w:r>
      <w:r w:rsidR="00797801">
        <w:t>completed</w:t>
      </w:r>
      <w:r w:rsidRPr="004A766D">
        <w:t>. New safety risks that are identified from the post</w:t>
      </w:r>
      <w:r w:rsidR="00EE5FF0">
        <w:t>-</w:t>
      </w:r>
      <w:r w:rsidRPr="004A766D">
        <w:t>marketing experience are reflected in the company core labelling for the product. The post</w:t>
      </w:r>
      <w:r w:rsidR="00EE5FF0">
        <w:t>-</w:t>
      </w:r>
      <w:r w:rsidRPr="004A766D">
        <w:t>marketing safety data with adalimumab in the approved adult indications has been consistent with the types and severity of AEs observed in the clinical trials for these patients HS.</w:t>
      </w:r>
    </w:p>
    <w:p w:rsidR="00605AD4" w:rsidRPr="00605AD4" w:rsidRDefault="00605AD4" w:rsidP="00605AD4">
      <w:pPr>
        <w:pStyle w:val="Heading4"/>
      </w:pPr>
      <w:r w:rsidRPr="00605AD4">
        <w:t>Evaluator’s conclusions on safety</w:t>
      </w:r>
    </w:p>
    <w:p w:rsidR="004A766D" w:rsidRPr="004A766D" w:rsidRDefault="004A766D" w:rsidP="004A766D">
      <w:r w:rsidRPr="004A766D">
        <w:t xml:space="preserve">In the two Phase III trials, the recommended adalimumab dose regimen for adult patients with moderate to severe HS was safe and well tolerated. Safety data were generated using appropriate methods. No new safety signals were identified in the HS program. </w:t>
      </w:r>
      <w:r w:rsidR="00797801">
        <w:t>The a</w:t>
      </w:r>
      <w:r w:rsidRPr="004A766D">
        <w:t>dalimumab treatment demonstrated higher rates of injection site reactions compared with placebo treatment. The two deaths in these studies did not appear to be related to adalimumab treatment. The observation period of 36 weeks in the Phase III trials does not allow evaluation of risks in the long</w:t>
      </w:r>
      <w:r w:rsidR="000C2FFA">
        <w:t>–</w:t>
      </w:r>
      <w:r w:rsidRPr="004A766D">
        <w:t>term.</w:t>
      </w:r>
    </w:p>
    <w:p w:rsidR="004A766D" w:rsidRPr="004A766D" w:rsidRDefault="004A766D" w:rsidP="004A766D">
      <w:r w:rsidRPr="004A766D">
        <w:t xml:space="preserve">In the </w:t>
      </w:r>
      <w:r w:rsidR="00797801">
        <w:t>open label</w:t>
      </w:r>
      <w:r w:rsidR="00BF59C6">
        <w:t xml:space="preserve"> s</w:t>
      </w:r>
      <w:r w:rsidRPr="004A766D">
        <w:t xml:space="preserve">tudy, no new safety risks for adalimumab were identified as of the 29 April 2014 data </w:t>
      </w:r>
      <w:r w:rsidR="00995798" w:rsidRPr="004A766D">
        <w:t>cut-off</w:t>
      </w:r>
      <w:r w:rsidRPr="004A766D">
        <w:t xml:space="preserve"> date. Adalimumab was generally well tolerated as evaluated by TEAEs, laboratory values, and vital signs values. One death was reported during the study in a subject who had multiple </w:t>
      </w:r>
      <w:r w:rsidR="00C62FA4">
        <w:t>serious adverse events (</w:t>
      </w:r>
      <w:r w:rsidRPr="004A766D">
        <w:t>SAEs</w:t>
      </w:r>
      <w:r w:rsidR="00C62FA4">
        <w:t>)</w:t>
      </w:r>
      <w:r w:rsidRPr="004A766D">
        <w:t xml:space="preserve"> that included autoimmune pancreatitis, sepsis, cholangitis, and cardiac arrest. The death was considered unrelated to study drug by the investigator.</w:t>
      </w:r>
    </w:p>
    <w:p w:rsidR="004A766D" w:rsidRPr="004A766D" w:rsidRDefault="004A766D" w:rsidP="004A766D">
      <w:r w:rsidRPr="004A766D">
        <w:t xml:space="preserve">Overall, the incidence and severity of TEAEs, premature discontinuations due to TEAEs, and changes in laboratory and vital sign values were generally comparable between the adalimumab and placebo groups, as well as between the adalimumab </w:t>
      </w:r>
      <w:proofErr w:type="spellStart"/>
      <w:r w:rsidR="00367086">
        <w:t>qw</w:t>
      </w:r>
      <w:proofErr w:type="spellEnd"/>
      <w:r w:rsidRPr="004A766D">
        <w:t xml:space="preserve"> and </w:t>
      </w:r>
      <w:r w:rsidR="00367086">
        <w:t>q2w</w:t>
      </w:r>
      <w:r w:rsidRPr="004A766D">
        <w:t xml:space="preserve"> groups, and were consistent with a population of subjects with moderate to se</w:t>
      </w:r>
      <w:r w:rsidR="00797801">
        <w:t xml:space="preserve">vere HS. The rates of treatment </w:t>
      </w:r>
      <w:r w:rsidRPr="004A766D">
        <w:t xml:space="preserve">emergent </w:t>
      </w:r>
      <w:r w:rsidR="00C62FA4">
        <w:t>adverse event of special interest (</w:t>
      </w:r>
      <w:r w:rsidRPr="004A766D">
        <w:t>AESI</w:t>
      </w:r>
      <w:r w:rsidR="00C62FA4">
        <w:t>)</w:t>
      </w:r>
      <w:r w:rsidRPr="004A766D">
        <w:t xml:space="preserve"> were generally consistent with previous studies in approved adalimuma</w:t>
      </w:r>
      <w:r w:rsidR="00797801">
        <w:t>b indications, such as Ps</w:t>
      </w:r>
      <w:r w:rsidRPr="004A766D">
        <w:t>, UC or CD.</w:t>
      </w:r>
    </w:p>
    <w:p w:rsidR="00605AD4" w:rsidRPr="00605AD4" w:rsidRDefault="00605AD4" w:rsidP="00605AD4">
      <w:pPr>
        <w:pStyle w:val="Heading3"/>
        <w:rPr>
          <w:rFonts w:eastAsia="Cambria"/>
        </w:rPr>
      </w:pPr>
      <w:bookmarkStart w:id="81" w:name="_Toc456951152"/>
      <w:r w:rsidRPr="00605AD4">
        <w:rPr>
          <w:rFonts w:eastAsia="Cambria"/>
        </w:rPr>
        <w:lastRenderedPageBreak/>
        <w:t xml:space="preserve">First </w:t>
      </w:r>
      <w:r w:rsidR="00BB5A93" w:rsidRPr="00605AD4">
        <w:rPr>
          <w:rFonts w:eastAsia="Cambria"/>
        </w:rPr>
        <w:t>round benefit</w:t>
      </w:r>
      <w:r w:rsidR="00BB5A93">
        <w:rPr>
          <w:rFonts w:eastAsia="Cambria"/>
        </w:rPr>
        <w:t>–</w:t>
      </w:r>
      <w:r w:rsidR="00BB5A93" w:rsidRPr="00605AD4">
        <w:rPr>
          <w:rFonts w:eastAsia="Cambria"/>
        </w:rPr>
        <w:t>risk assessment</w:t>
      </w:r>
      <w:bookmarkEnd w:id="81"/>
    </w:p>
    <w:p w:rsidR="00605AD4" w:rsidRDefault="00605AD4" w:rsidP="00605AD4">
      <w:pPr>
        <w:pStyle w:val="Heading4"/>
      </w:pPr>
      <w:r w:rsidRPr="00605AD4">
        <w:t>First round assessment of benefits</w:t>
      </w:r>
    </w:p>
    <w:p w:rsidR="00980ADB" w:rsidRPr="00980ADB" w:rsidRDefault="00980ADB" w:rsidP="00980ADB">
      <w:r w:rsidRPr="00980ADB">
        <w:t>HS is a debilitating dermatological condition with very limited effective treatment options. Evaluation of the data contained in this proposal revealed the following benefits of adalimumab therapy in HS:</w:t>
      </w:r>
    </w:p>
    <w:p w:rsidR="00980ADB" w:rsidRPr="00980ADB" w:rsidRDefault="00980ADB" w:rsidP="00980ADB">
      <w:pPr>
        <w:pStyle w:val="ListBullet"/>
      </w:pPr>
      <w:r w:rsidRPr="00980ADB">
        <w:t>In two pivotal studies, M11</w:t>
      </w:r>
      <w:r w:rsidR="000C2FFA">
        <w:t>–</w:t>
      </w:r>
      <w:r w:rsidRPr="00980ADB">
        <w:t>313 and M11</w:t>
      </w:r>
      <w:r w:rsidR="000C2FFA">
        <w:t>–</w:t>
      </w:r>
      <w:r w:rsidRPr="00980ADB">
        <w:t xml:space="preserve">810, short course (12 weeks) adalimumab treatment of HS produced meaningful clinical responses. Statistically significant proportions of subjects in the adalimumab </w:t>
      </w:r>
      <w:proofErr w:type="spellStart"/>
      <w:r w:rsidR="00367086">
        <w:t>qw</w:t>
      </w:r>
      <w:proofErr w:type="spellEnd"/>
      <w:r w:rsidRPr="00980ADB">
        <w:t xml:space="preserve"> group in both trials achieved HiSCR</w:t>
      </w:r>
      <w:r w:rsidR="00BB1072">
        <w:fldChar w:fldCharType="begin"/>
      </w:r>
      <w:r w:rsidR="00BB1072">
        <w:instrText xml:space="preserve"> NOTEREF _Ref450912456 \f \h </w:instrText>
      </w:r>
      <w:r w:rsidR="00BB1072">
        <w:fldChar w:fldCharType="separate"/>
      </w:r>
      <w:r w:rsidR="00BB1072" w:rsidRPr="00BB1072">
        <w:rPr>
          <w:rStyle w:val="FootnoteReference"/>
        </w:rPr>
        <w:t>2</w:t>
      </w:r>
      <w:r w:rsidR="00BB1072">
        <w:fldChar w:fldCharType="end"/>
      </w:r>
      <w:r w:rsidRPr="00980ADB">
        <w:t xml:space="preserve"> </w:t>
      </w:r>
      <w:r w:rsidR="00797801">
        <w:t xml:space="preserve">(primary end point). These well </w:t>
      </w:r>
      <w:r w:rsidRPr="00980ADB">
        <w:t>conducted ran</w:t>
      </w:r>
      <w:r w:rsidR="00797801">
        <w:t>domised controlled trials</w:t>
      </w:r>
      <w:r w:rsidRPr="00980ADB">
        <w:t xml:space="preserve"> are the first to demonstrate a significant treatment option for HS.</w:t>
      </w:r>
    </w:p>
    <w:p w:rsidR="00980ADB" w:rsidRPr="00980ADB" w:rsidRDefault="00980ADB" w:rsidP="00980ADB">
      <w:pPr>
        <w:pStyle w:val="ListBullet"/>
      </w:pPr>
      <w:r w:rsidRPr="00980ADB">
        <w:t xml:space="preserve">The selection of adalimumab </w:t>
      </w:r>
      <w:proofErr w:type="spellStart"/>
      <w:r w:rsidR="00367086">
        <w:t>qw</w:t>
      </w:r>
      <w:proofErr w:type="spellEnd"/>
      <w:r w:rsidRPr="00980ADB">
        <w:t xml:space="preserve"> dosing was evidence based, with adalimumab </w:t>
      </w:r>
      <w:proofErr w:type="spellStart"/>
      <w:r w:rsidR="00367086">
        <w:t>qw</w:t>
      </w:r>
      <w:proofErr w:type="spellEnd"/>
      <w:r w:rsidRPr="00980ADB">
        <w:t xml:space="preserve"> population and placebo population achieving significant difference in </w:t>
      </w:r>
      <w:proofErr w:type="spellStart"/>
      <w:r w:rsidRPr="00980ADB">
        <w:t>HiSCR</w:t>
      </w:r>
      <w:proofErr w:type="spellEnd"/>
      <w:r w:rsidRPr="00980ADB">
        <w:t xml:space="preserve"> rate, compared to adalimumab </w:t>
      </w:r>
      <w:r w:rsidR="00367086">
        <w:t>q2w</w:t>
      </w:r>
      <w:r w:rsidRPr="00980ADB">
        <w:t xml:space="preserve"> population versus placebo population in the Phase II Study, M10</w:t>
      </w:r>
      <w:r w:rsidR="000C2FFA">
        <w:t>–</w:t>
      </w:r>
      <w:r w:rsidRPr="00980ADB">
        <w:t>467.</w:t>
      </w:r>
    </w:p>
    <w:p w:rsidR="00980ADB" w:rsidRPr="00980ADB" w:rsidRDefault="00980ADB" w:rsidP="00980ADB">
      <w:pPr>
        <w:pStyle w:val="ListBullet"/>
      </w:pPr>
      <w:r w:rsidRPr="00980ADB">
        <w:t>Short</w:t>
      </w:r>
      <w:r w:rsidR="00146743">
        <w:t xml:space="preserve"> </w:t>
      </w:r>
      <w:r w:rsidRPr="00980ADB">
        <w:t>term adalimumab was effective as a treatment option for HS patients with Hurley Stage II and III disease</w:t>
      </w:r>
      <w:r w:rsidR="004D5D4D">
        <w:t xml:space="preserve"> (Table 1</w:t>
      </w:r>
      <w:r w:rsidR="003E5A3C">
        <w:t>)</w:t>
      </w:r>
      <w:r w:rsidRPr="00980ADB">
        <w:t>. The treatment effect was most prominent in subjects with severe Stage III disease.</w:t>
      </w:r>
    </w:p>
    <w:p w:rsidR="00980ADB" w:rsidRPr="00980ADB" w:rsidRDefault="00980ADB" w:rsidP="00980ADB">
      <w:pPr>
        <w:pStyle w:val="ListBullet"/>
      </w:pPr>
      <w:r w:rsidRPr="00980ADB">
        <w:t>Short</w:t>
      </w:r>
      <w:r w:rsidR="00146743">
        <w:t xml:space="preserve"> </w:t>
      </w:r>
      <w:r w:rsidRPr="00980ADB">
        <w:t>term adalimumab was effective in the typical HS population (young women, high BMI and smokers), who will be the most likely to receive the treatment.</w:t>
      </w:r>
    </w:p>
    <w:p w:rsidR="00980ADB" w:rsidRPr="00980ADB" w:rsidRDefault="00980ADB" w:rsidP="00980ADB">
      <w:pPr>
        <w:pStyle w:val="ListBullet"/>
      </w:pPr>
      <w:r w:rsidRPr="00980ADB">
        <w:t xml:space="preserve">No clear evidence of a clinically meaningful maintenance of efficacy beyond 12 weeks of therapy. There was approximately a 50% </w:t>
      </w:r>
      <w:r w:rsidR="006012B9">
        <w:t>LOR</w:t>
      </w:r>
      <w:r w:rsidR="001E5F78">
        <w:fldChar w:fldCharType="begin"/>
      </w:r>
      <w:r w:rsidR="001E5F78">
        <w:instrText xml:space="preserve"> NOTEREF _Ref451161897 \f \h </w:instrText>
      </w:r>
      <w:r w:rsidR="001E5F78">
        <w:fldChar w:fldCharType="separate"/>
      </w:r>
      <w:r w:rsidR="001E5F78" w:rsidRPr="001E5F78">
        <w:rPr>
          <w:rStyle w:val="FootnoteReference"/>
        </w:rPr>
        <w:t>4</w:t>
      </w:r>
      <w:r w:rsidR="001E5F78">
        <w:fldChar w:fldCharType="end"/>
      </w:r>
      <w:r w:rsidRPr="00980ADB">
        <w:t xml:space="preserve"> in both adalimumab </w:t>
      </w:r>
      <w:proofErr w:type="spellStart"/>
      <w:r w:rsidR="00367086">
        <w:t>qw</w:t>
      </w:r>
      <w:proofErr w:type="spellEnd"/>
      <w:r w:rsidRPr="00980ADB">
        <w:t xml:space="preserve"> and adalimumab </w:t>
      </w:r>
      <w:r w:rsidR="00367086">
        <w:t>q2w</w:t>
      </w:r>
      <w:r w:rsidRPr="00980ADB">
        <w:t xml:space="preserve"> populations in Period B</w:t>
      </w:r>
      <w:r w:rsidR="003E5A3C">
        <w:fldChar w:fldCharType="begin"/>
      </w:r>
      <w:r w:rsidR="003E5A3C">
        <w:instrText xml:space="preserve"> NOTEREF _Ref450923197 \f \h </w:instrText>
      </w:r>
      <w:r w:rsidR="003E5A3C">
        <w:fldChar w:fldCharType="separate"/>
      </w:r>
      <w:r w:rsidR="003E5A3C" w:rsidRPr="003E5A3C">
        <w:rPr>
          <w:rStyle w:val="FootnoteReference"/>
        </w:rPr>
        <w:t>3</w:t>
      </w:r>
      <w:r w:rsidR="003E5A3C">
        <w:fldChar w:fldCharType="end"/>
      </w:r>
      <w:r w:rsidRPr="00980ADB">
        <w:t>.</w:t>
      </w:r>
    </w:p>
    <w:p w:rsidR="00605AD4" w:rsidRDefault="00605AD4" w:rsidP="00605AD4">
      <w:pPr>
        <w:pStyle w:val="Heading4"/>
      </w:pPr>
      <w:r w:rsidRPr="00605AD4">
        <w:t>First round assessment of risks</w:t>
      </w:r>
    </w:p>
    <w:p w:rsidR="00980ADB" w:rsidRPr="00980ADB" w:rsidRDefault="00980ADB" w:rsidP="00980ADB">
      <w:r w:rsidRPr="00980ADB">
        <w:t>The risks of adalimumab in the proposed usage are:</w:t>
      </w:r>
    </w:p>
    <w:p w:rsidR="00980ADB" w:rsidRPr="00980ADB" w:rsidRDefault="00980ADB" w:rsidP="00980ADB">
      <w:pPr>
        <w:pStyle w:val="ListBullet"/>
      </w:pPr>
      <w:r w:rsidRPr="00980ADB">
        <w:t xml:space="preserve">Overall, the incidence and severity of TEAEs, premature discontinuations due to TEAEs, and changes in laboratory and vital sign values were generally comparable between the adalimumab and placebo groups, as well as between the adalimumab </w:t>
      </w:r>
      <w:proofErr w:type="spellStart"/>
      <w:r w:rsidR="00367086">
        <w:t>qw</w:t>
      </w:r>
      <w:proofErr w:type="spellEnd"/>
      <w:r w:rsidRPr="00980ADB">
        <w:t xml:space="preserve"> and </w:t>
      </w:r>
      <w:r w:rsidR="00367086">
        <w:t>q2w</w:t>
      </w:r>
      <w:r w:rsidRPr="00980ADB">
        <w:t xml:space="preserve"> groups, and were consistent with a population of subjects with moderate to severe HS.</w:t>
      </w:r>
    </w:p>
    <w:p w:rsidR="00980ADB" w:rsidRPr="00980ADB" w:rsidRDefault="00980ADB" w:rsidP="00980ADB">
      <w:pPr>
        <w:pStyle w:val="ListBullet"/>
      </w:pPr>
      <w:r w:rsidRPr="00980ADB">
        <w:t xml:space="preserve">No new </w:t>
      </w:r>
      <w:r w:rsidR="00A13BAE">
        <w:t>safety signals were identified.</w:t>
      </w:r>
    </w:p>
    <w:p w:rsidR="00980ADB" w:rsidRPr="00980ADB" w:rsidRDefault="00980ADB" w:rsidP="00980ADB">
      <w:pPr>
        <w:pStyle w:val="ListBullet"/>
      </w:pPr>
      <w:r w:rsidRPr="00980ADB">
        <w:t>Adalimumab treatment consistently demonstrated higher rates of injection site reactions compared with placebo treatment.</w:t>
      </w:r>
    </w:p>
    <w:p w:rsidR="00980ADB" w:rsidRPr="00980ADB" w:rsidRDefault="00980ADB" w:rsidP="00980ADB">
      <w:pPr>
        <w:pStyle w:val="ListBullet"/>
      </w:pPr>
      <w:r w:rsidRPr="00980ADB">
        <w:t>Ten percent of subjects receiving adalimumab developed AAA. The long</w:t>
      </w:r>
      <w:r w:rsidR="00A52334">
        <w:t xml:space="preserve"> </w:t>
      </w:r>
      <w:r w:rsidRPr="00980ADB">
        <w:t>term effect of adalimumab immunogenicity on its efficacy and safety profiles remains unknown.</w:t>
      </w:r>
    </w:p>
    <w:p w:rsidR="00980ADB" w:rsidRPr="00980ADB" w:rsidRDefault="00980ADB" w:rsidP="00980ADB">
      <w:r w:rsidRPr="00980ADB">
        <w:t>The overall safety profile of adalimumab in the HS indication is consistent with other approved indicatio</w:t>
      </w:r>
      <w:r w:rsidR="00650D18">
        <w:t>ns, such as CD, UC and Ps</w:t>
      </w:r>
      <w:r w:rsidRPr="00980ADB">
        <w:t>.</w:t>
      </w:r>
    </w:p>
    <w:p w:rsidR="00605AD4" w:rsidRPr="00605AD4" w:rsidRDefault="00605AD4" w:rsidP="00605AD4">
      <w:pPr>
        <w:pStyle w:val="Heading4"/>
      </w:pPr>
      <w:r w:rsidRPr="00605AD4">
        <w:t>First round assessment of benefit</w:t>
      </w:r>
      <w:r w:rsidR="000C2FFA">
        <w:t>–</w:t>
      </w:r>
      <w:r w:rsidRPr="00605AD4">
        <w:t>risk balance</w:t>
      </w:r>
    </w:p>
    <w:p w:rsidR="00980ADB" w:rsidRPr="00980ADB" w:rsidRDefault="00980ADB" w:rsidP="00980ADB">
      <w:r w:rsidRPr="00980ADB">
        <w:t>The benefit</w:t>
      </w:r>
      <w:r w:rsidR="000C2FFA">
        <w:t>–</w:t>
      </w:r>
      <w:r w:rsidRPr="00980ADB">
        <w:t>risk balance of adalimumab, given the proposed usage in HS, is favourable for short</w:t>
      </w:r>
      <w:r w:rsidR="000C2FFA">
        <w:t>–</w:t>
      </w:r>
      <w:r w:rsidRPr="00980ADB">
        <w:t>term or induction treatment for 12 weeks.</w:t>
      </w:r>
    </w:p>
    <w:p w:rsidR="00605AD4" w:rsidRPr="00605AD4" w:rsidRDefault="00605AD4" w:rsidP="00605AD4">
      <w:pPr>
        <w:pStyle w:val="Heading3"/>
        <w:rPr>
          <w:rFonts w:eastAsia="Cambria"/>
        </w:rPr>
      </w:pPr>
      <w:bookmarkStart w:id="82" w:name="_Toc456951153"/>
      <w:r w:rsidRPr="00605AD4">
        <w:rPr>
          <w:rFonts w:eastAsia="Cambria"/>
        </w:rPr>
        <w:lastRenderedPageBreak/>
        <w:t xml:space="preserve">First </w:t>
      </w:r>
      <w:r w:rsidR="00BB5A93" w:rsidRPr="00605AD4">
        <w:rPr>
          <w:rFonts w:eastAsia="Cambria"/>
        </w:rPr>
        <w:t>round recommendation regarding authorisation</w:t>
      </w:r>
      <w:bookmarkEnd w:id="82"/>
    </w:p>
    <w:p w:rsidR="00605AD4" w:rsidRPr="00605AD4" w:rsidRDefault="00A13BAE" w:rsidP="00605AD4">
      <w:r w:rsidRPr="00A13BAE">
        <w:t>A 12</w:t>
      </w:r>
      <w:r w:rsidR="00F078C6">
        <w:t xml:space="preserve"> </w:t>
      </w:r>
      <w:r w:rsidRPr="00A13BAE">
        <w:t>week course (as per dosing protocol) of adalimumab provides a statistically significant and clinically meaningful treatment option in the management of HS. Pivotal studies were performed in patients with Hurley stage II or III disease</w:t>
      </w:r>
      <w:r w:rsidR="004D5D4D">
        <w:t xml:space="preserve"> (Table 1</w:t>
      </w:r>
      <w:r w:rsidR="00555134">
        <w:t>)</w:t>
      </w:r>
      <w:r w:rsidRPr="00A13BAE">
        <w:t xml:space="preserve">, and thus treatment should be limited to this subset of patients. The evidence does not demonstrate a significant benefit from ongoing maintenance treatment with adalimumab </w:t>
      </w:r>
      <w:proofErr w:type="spellStart"/>
      <w:r w:rsidR="00367086">
        <w:t>qw</w:t>
      </w:r>
      <w:proofErr w:type="spellEnd"/>
      <w:r w:rsidRPr="00A13BAE">
        <w:t xml:space="preserve"> compared to placebo after this initial 12 week period. As such, the </w:t>
      </w:r>
      <w:r w:rsidR="000933DA">
        <w:t xml:space="preserve">clinical </w:t>
      </w:r>
      <w:r w:rsidRPr="00A13BAE">
        <w:t>evaluator recommends approval for 12 weeks of adalimumab as per dosing protocol (160 mg at week 0, 80 mg at Week 2, thence 40 mg every week from Week 4 to Week 12), but not for ongoing maintenance treatment.</w:t>
      </w:r>
    </w:p>
    <w:p w:rsidR="00605AD4" w:rsidRDefault="00605AD4" w:rsidP="00605AD4">
      <w:pPr>
        <w:pStyle w:val="Heading3"/>
        <w:rPr>
          <w:rFonts w:eastAsia="Cambria"/>
        </w:rPr>
      </w:pPr>
      <w:bookmarkStart w:id="83" w:name="_Toc456951154"/>
      <w:r w:rsidRPr="00605AD4">
        <w:rPr>
          <w:rFonts w:eastAsia="Cambria"/>
        </w:rPr>
        <w:t xml:space="preserve">Clinical </w:t>
      </w:r>
      <w:r w:rsidR="00BB5A93">
        <w:rPr>
          <w:rFonts w:eastAsia="Cambria"/>
        </w:rPr>
        <w:t>q</w:t>
      </w:r>
      <w:r w:rsidRPr="00605AD4">
        <w:rPr>
          <w:rFonts w:eastAsia="Cambria"/>
        </w:rPr>
        <w:t>uestions</w:t>
      </w:r>
      <w:bookmarkEnd w:id="83"/>
    </w:p>
    <w:p w:rsidR="000A2AF9" w:rsidRPr="000A2AF9" w:rsidRDefault="000A2AF9" w:rsidP="000A2AF9">
      <w:pPr>
        <w:pStyle w:val="Heading4"/>
      </w:pPr>
      <w:r>
        <w:t>Efficacy</w:t>
      </w:r>
    </w:p>
    <w:p w:rsidR="00451EBD" w:rsidRPr="00546B9F" w:rsidRDefault="00451EBD" w:rsidP="00546B9F">
      <w:pPr>
        <w:pStyle w:val="Numberbullet0"/>
      </w:pPr>
      <w:r w:rsidRPr="00546B9F">
        <w:t>The overall HiSCR</w:t>
      </w:r>
      <w:r w:rsidR="00953677">
        <w:fldChar w:fldCharType="begin"/>
      </w:r>
      <w:r w:rsidR="00953677">
        <w:instrText xml:space="preserve"> NOTEREF _Ref450912456 \f \h </w:instrText>
      </w:r>
      <w:r w:rsidR="00953677">
        <w:fldChar w:fldCharType="separate"/>
      </w:r>
      <w:r w:rsidR="00953677" w:rsidRPr="00953677">
        <w:rPr>
          <w:rStyle w:val="FootnoteReference"/>
        </w:rPr>
        <w:t>2</w:t>
      </w:r>
      <w:r w:rsidR="00953677">
        <w:fldChar w:fldCharType="end"/>
      </w:r>
      <w:r w:rsidRPr="00546B9F">
        <w:t xml:space="preserve"> rates in both placebo and treatment groups were lower in all groups in Study M10</w:t>
      </w:r>
      <w:r w:rsidR="000C2FFA" w:rsidRPr="00546B9F">
        <w:t>–</w:t>
      </w:r>
      <w:r w:rsidRPr="00546B9F">
        <w:t>467, as compared to M11</w:t>
      </w:r>
      <w:r w:rsidR="000C2FFA" w:rsidRPr="00546B9F">
        <w:t>–</w:t>
      </w:r>
      <w:r w:rsidRPr="00546B9F">
        <w:t>313 and M11</w:t>
      </w:r>
      <w:r w:rsidR="000C2FFA" w:rsidRPr="00546B9F">
        <w:t>–</w:t>
      </w:r>
      <w:r w:rsidRPr="00546B9F">
        <w:t>810. The reason for this discrepancy is unclear and should be addressed by the sponsor.</w:t>
      </w:r>
    </w:p>
    <w:p w:rsidR="00605AD4" w:rsidRPr="00546B9F" w:rsidRDefault="00451EBD" w:rsidP="00546B9F">
      <w:pPr>
        <w:pStyle w:val="Numberbullet0"/>
      </w:pPr>
      <w:r w:rsidRPr="00546B9F">
        <w:t>In Study M11</w:t>
      </w:r>
      <w:r w:rsidR="000C2FFA" w:rsidRPr="00546B9F">
        <w:t>–</w:t>
      </w:r>
      <w:r w:rsidRPr="00546B9F">
        <w:t>313 and M11</w:t>
      </w:r>
      <w:r w:rsidR="000C2FFA" w:rsidRPr="00546B9F">
        <w:t>–</w:t>
      </w:r>
      <w:r w:rsidRPr="00546B9F">
        <w:t xml:space="preserve">810 the </w:t>
      </w:r>
      <w:proofErr w:type="spellStart"/>
      <w:r w:rsidRPr="00546B9F">
        <w:t>HiSCR</w:t>
      </w:r>
      <w:proofErr w:type="spellEnd"/>
      <w:r w:rsidRPr="00546B9F">
        <w:t xml:space="preserve"> rate in the placebo groups were unusually high (26.0% and 27.6%). The sponsor is encouraged to comment on this point. Is this only related to inherently fluctuating disease or specific features of the study?</w:t>
      </w:r>
    </w:p>
    <w:p w:rsidR="00605AD4" w:rsidRDefault="00605AD4" w:rsidP="00605AD4">
      <w:pPr>
        <w:pStyle w:val="Heading3"/>
        <w:rPr>
          <w:rFonts w:eastAsia="Cambria"/>
        </w:rPr>
      </w:pPr>
      <w:bookmarkStart w:id="84" w:name="_Toc456951155"/>
      <w:r w:rsidRPr="00605AD4">
        <w:rPr>
          <w:rFonts w:eastAsia="Cambria"/>
        </w:rPr>
        <w:t xml:space="preserve">Second </w:t>
      </w:r>
      <w:r w:rsidR="00BB5A93" w:rsidRPr="00605AD4">
        <w:rPr>
          <w:rFonts w:eastAsia="Cambria"/>
        </w:rPr>
        <w:t xml:space="preserve">round evaluation </w:t>
      </w:r>
      <w:r w:rsidRPr="00605AD4">
        <w:rPr>
          <w:rFonts w:eastAsia="Cambria"/>
        </w:rPr>
        <w:t>of clinical data submitted in response to questions</w:t>
      </w:r>
      <w:bookmarkEnd w:id="84"/>
    </w:p>
    <w:p w:rsidR="006301A1" w:rsidRDefault="006301A1" w:rsidP="00957C32">
      <w:pPr>
        <w:pStyle w:val="Heading4"/>
      </w:pPr>
      <w:r w:rsidRPr="006301A1">
        <w:t>Efficacy</w:t>
      </w:r>
    </w:p>
    <w:p w:rsidR="00957C32" w:rsidRDefault="00957C32" w:rsidP="00957C32">
      <w:pPr>
        <w:pStyle w:val="Heading5"/>
      </w:pPr>
      <w:r>
        <w:t>Question 1</w:t>
      </w:r>
    </w:p>
    <w:p w:rsidR="00957C32" w:rsidRPr="006301A1" w:rsidRDefault="00957C32" w:rsidP="00957C32">
      <w:pPr>
        <w:pStyle w:val="Heading6"/>
      </w:pPr>
      <w:r>
        <w:t>Sponsor`s response:</w:t>
      </w:r>
    </w:p>
    <w:p w:rsidR="006301A1" w:rsidRDefault="001023FE" w:rsidP="00957C32">
      <w:r w:rsidRPr="008747D2">
        <w:t xml:space="preserve">The </w:t>
      </w:r>
      <w:r w:rsidR="00B25E67">
        <w:t>HS</w:t>
      </w:r>
      <w:r w:rsidR="000C2FFA">
        <w:t>–</w:t>
      </w:r>
      <w:r w:rsidR="00B25E67">
        <w:t>PGA</w:t>
      </w:r>
      <w:r w:rsidRPr="008747D2">
        <w:t xml:space="preserve"> </w:t>
      </w:r>
      <w:r w:rsidR="00B25E67">
        <w:t>(</w:t>
      </w:r>
      <w:r w:rsidR="004D5D4D">
        <w:t>Table 2</w:t>
      </w:r>
      <w:r w:rsidR="00B25E67">
        <w:t xml:space="preserve">) </w:t>
      </w:r>
      <w:r w:rsidRPr="008747D2">
        <w:t>was the primary efficacy endpoint for Study M10</w:t>
      </w:r>
      <w:r w:rsidR="000C2FFA">
        <w:t>–</w:t>
      </w:r>
      <w:r w:rsidRPr="008747D2">
        <w:t>467 and th</w:t>
      </w:r>
      <w:r w:rsidR="00FF33EA">
        <w:t>e HiSCR</w:t>
      </w:r>
      <w:r w:rsidR="002C3A63">
        <w:fldChar w:fldCharType="begin"/>
      </w:r>
      <w:r w:rsidR="002C3A63">
        <w:instrText xml:space="preserve"> NOTEREF _Ref450912456 \f \h </w:instrText>
      </w:r>
      <w:r w:rsidR="00957C32">
        <w:instrText xml:space="preserve"> \* MERGEFORMAT </w:instrText>
      </w:r>
      <w:r w:rsidR="002C3A63">
        <w:fldChar w:fldCharType="separate"/>
      </w:r>
      <w:r w:rsidR="002C3A63" w:rsidRPr="002C3A63">
        <w:rPr>
          <w:rStyle w:val="FootnoteReference"/>
        </w:rPr>
        <w:t>2</w:t>
      </w:r>
      <w:r w:rsidR="002C3A63">
        <w:fldChar w:fldCharType="end"/>
      </w:r>
      <w:r w:rsidRPr="008747D2">
        <w:t xml:space="preserve"> was the primary efficacy endpoint for Studies M11</w:t>
      </w:r>
      <w:r w:rsidR="000C2FFA">
        <w:t>–</w:t>
      </w:r>
      <w:r w:rsidRPr="008747D2">
        <w:t>810 and M11</w:t>
      </w:r>
      <w:r w:rsidR="000C2FFA">
        <w:t>–</w:t>
      </w:r>
      <w:r w:rsidRPr="008747D2">
        <w:t>313. These endpoints have different definitions of clinical response and cannot be directly compared. To provide a more appropriate comparison of these data, post hoc analyses were performed on the dataset from Study M10</w:t>
      </w:r>
      <w:r w:rsidR="000C2FFA">
        <w:t>–</w:t>
      </w:r>
      <w:r w:rsidRPr="008747D2">
        <w:t xml:space="preserve">467 in which subjects with Hurley Stage I disease </w:t>
      </w:r>
      <w:r w:rsidR="00730EE1">
        <w:t>(Table 1</w:t>
      </w:r>
      <w:r w:rsidR="002C3A63">
        <w:t xml:space="preserve">) </w:t>
      </w:r>
      <w:r w:rsidRPr="008747D2">
        <w:t>were excluded. This modified population of subjects was similar to the population studied in Studies M11</w:t>
      </w:r>
      <w:r w:rsidR="000C2FFA">
        <w:t>–</w:t>
      </w:r>
      <w:r w:rsidRPr="008747D2">
        <w:t>810 and M11</w:t>
      </w:r>
      <w:r w:rsidR="000C2FFA">
        <w:t>–</w:t>
      </w:r>
      <w:r w:rsidRPr="008747D2">
        <w:t xml:space="preserve">313. Of the subjects in this post hoc population, more subjects treated with adalimumab 40 mg </w:t>
      </w:r>
      <w:proofErr w:type="spellStart"/>
      <w:r w:rsidR="00367086">
        <w:t>qw</w:t>
      </w:r>
      <w:proofErr w:type="spellEnd"/>
      <w:r w:rsidRPr="008747D2">
        <w:t xml:space="preserve"> achieved </w:t>
      </w:r>
      <w:proofErr w:type="spellStart"/>
      <w:r w:rsidRPr="008747D2">
        <w:t>HiSCR</w:t>
      </w:r>
      <w:proofErr w:type="spellEnd"/>
      <w:r w:rsidRPr="008747D2">
        <w:t xml:space="preserve"> than subjects treated with placebo at Week 12 (61.1% versus 16.2%, </w:t>
      </w:r>
      <w:r w:rsidR="00B71D5C">
        <w:t>p &lt;</w:t>
      </w:r>
      <w:r w:rsidRPr="008747D2">
        <w:t xml:space="preserve"> 0.001) and at Week 16 (55.6% versus 21.6%, </w:t>
      </w:r>
      <w:r w:rsidR="00730EE1">
        <w:t>p = 0.003)</w:t>
      </w:r>
      <w:r w:rsidR="00B25E67">
        <w:t xml:space="preserve"> (Table 5</w:t>
      </w:r>
      <w:r w:rsidR="0085143A">
        <w:t>)</w:t>
      </w:r>
      <w:r w:rsidR="00730EE1">
        <w:t>.</w:t>
      </w:r>
    </w:p>
    <w:p w:rsidR="0085143A" w:rsidRPr="00742B88" w:rsidRDefault="0085143A" w:rsidP="00957C32">
      <w:r w:rsidRPr="00742B88">
        <w:t>These results are similar to what were observed in the Phase III studies at Week 12</w:t>
      </w:r>
      <w:r w:rsidR="00742B88">
        <w:t xml:space="preserve"> </w:t>
      </w:r>
      <w:r w:rsidRPr="00742B88">
        <w:t>(Study M11</w:t>
      </w:r>
      <w:r w:rsidR="000C2FFA">
        <w:t>–</w:t>
      </w:r>
      <w:r w:rsidR="00730EE1">
        <w:t>810: 58.9% versus 27.6%, p</w:t>
      </w:r>
      <w:r w:rsidRPr="00742B88">
        <w:t xml:space="preserve"> = &lt; 0.001; Study M11</w:t>
      </w:r>
      <w:r w:rsidR="000C2FFA">
        <w:t>–</w:t>
      </w:r>
      <w:r w:rsidRPr="00742B88">
        <w:t>313: 41.8% versus</w:t>
      </w:r>
      <w:r w:rsidR="00742B88">
        <w:t xml:space="preserve"> </w:t>
      </w:r>
      <w:r w:rsidR="00730EE1">
        <w:t>26.0%, p</w:t>
      </w:r>
      <w:r w:rsidR="0002409C">
        <w:t> </w:t>
      </w:r>
      <w:r w:rsidR="00B25E67">
        <w:t>=</w:t>
      </w:r>
      <w:r w:rsidR="0002409C">
        <w:t> </w:t>
      </w:r>
      <w:r w:rsidR="00B25E67">
        <w:t>0.0</w:t>
      </w:r>
      <w:r w:rsidR="00ED3AAF">
        <w:t>03)</w:t>
      </w:r>
      <w:r w:rsidR="00B25E67">
        <w:t xml:space="preserve"> (Table 6</w:t>
      </w:r>
      <w:r w:rsidR="001C1222">
        <w:t>)</w:t>
      </w:r>
      <w:r w:rsidR="00ED3AAF">
        <w:t>.</w:t>
      </w:r>
    </w:p>
    <w:p w:rsidR="0085143A" w:rsidRPr="001C1222" w:rsidRDefault="00B25E67" w:rsidP="001C1222">
      <w:pPr>
        <w:pStyle w:val="Tabletitle0"/>
      </w:pPr>
      <w:r>
        <w:lastRenderedPageBreak/>
        <w:t>Table 5</w:t>
      </w:r>
      <w:r w:rsidR="00D21AB4">
        <w:t>:</w:t>
      </w:r>
      <w:r w:rsidR="0085143A" w:rsidRPr="001C1222">
        <w:t xml:space="preserve"> Proportion of subjects achieving HiSCR</w:t>
      </w:r>
      <w:r w:rsidR="00F168A2">
        <w:fldChar w:fldCharType="begin"/>
      </w:r>
      <w:r w:rsidR="00F168A2">
        <w:instrText xml:space="preserve"> NOTEREF _Ref450912456 \f \h </w:instrText>
      </w:r>
      <w:r w:rsidR="00F168A2">
        <w:fldChar w:fldCharType="separate"/>
      </w:r>
      <w:r w:rsidR="00F168A2" w:rsidRPr="00F168A2">
        <w:rPr>
          <w:rStyle w:val="FootnoteReference"/>
        </w:rPr>
        <w:t>2</w:t>
      </w:r>
      <w:r w:rsidR="00F168A2">
        <w:fldChar w:fldCharType="end"/>
      </w:r>
      <w:r w:rsidR="0085143A" w:rsidRPr="001C1222">
        <w:t xml:space="preserve"> at Week 12 and W</w:t>
      </w:r>
      <w:r w:rsidR="00926D61">
        <w:t>eek 16 in Study M10</w:t>
      </w:r>
      <w:r w:rsidR="000C2FFA">
        <w:t>–</w:t>
      </w:r>
      <w:r w:rsidR="00926D61">
        <w:t>467 (</w:t>
      </w:r>
      <w:r w:rsidR="00D973A4">
        <w:t>n</w:t>
      </w:r>
      <w:r w:rsidR="00714EEF">
        <w:t>on-responder imputation [</w:t>
      </w:r>
      <w:r w:rsidR="00926D61">
        <w:t>NRI</w:t>
      </w:r>
      <w:r w:rsidR="00714EEF">
        <w:t>]</w:t>
      </w:r>
      <w:r w:rsidR="00926D61">
        <w:t>)</w:t>
      </w:r>
      <w:bookmarkStart w:id="85" w:name="_Ref451156223"/>
      <w:r w:rsidR="00714EEF">
        <w:rPr>
          <w:rStyle w:val="FootnoteReference"/>
        </w:rPr>
        <w:footnoteReference w:id="6"/>
      </w:r>
      <w:bookmarkEnd w:id="85"/>
      <w:r w:rsidR="00926D61">
        <w:t xml:space="preserve"> (</w:t>
      </w:r>
      <w:proofErr w:type="spellStart"/>
      <w:r w:rsidR="00612772">
        <w:t>m</w:t>
      </w:r>
      <w:r w:rsidR="0085143A" w:rsidRPr="001C1222">
        <w:t>ITT</w:t>
      </w:r>
      <w:proofErr w:type="spellEnd"/>
      <w:r w:rsidR="000C2FFA">
        <w:t>–</w:t>
      </w:r>
      <w:r w:rsidR="0085143A" w:rsidRPr="001C1222">
        <w:t>1 population)</w:t>
      </w:r>
    </w:p>
    <w:p w:rsidR="0085143A" w:rsidRDefault="0085143A" w:rsidP="0085143A">
      <w:r>
        <w:rPr>
          <w:noProof/>
          <w:lang w:eastAsia="en-AU"/>
        </w:rPr>
        <w:drawing>
          <wp:inline distT="0" distB="0" distL="0" distR="0" wp14:anchorId="5311BAEA" wp14:editId="6A3C7BA5">
            <wp:extent cx="5283200" cy="1674970"/>
            <wp:effectExtent l="0" t="0" r="0" b="1905"/>
            <wp:docPr id="10" name="Picture 10" descr="Table 5: Proportion of subjects achieving HiSCR2 at Week 12 and Week 16 in Study M10–467 (non-responder imputation [NRI])  (mITT–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t="29618"/>
                    <a:stretch/>
                  </pic:blipFill>
                  <pic:spPr bwMode="auto">
                    <a:xfrm>
                      <a:off x="0" y="0"/>
                      <a:ext cx="5286375" cy="1675977"/>
                    </a:xfrm>
                    <a:prstGeom prst="rect">
                      <a:avLst/>
                    </a:prstGeom>
                    <a:ln>
                      <a:noFill/>
                    </a:ln>
                    <a:extLst>
                      <a:ext uri="{53640926-AAD7-44D8-BBD7-CCE9431645EC}">
                        <a14:shadowObscured xmlns:a14="http://schemas.microsoft.com/office/drawing/2010/main"/>
                      </a:ext>
                    </a:extLst>
                  </pic:spPr>
                </pic:pic>
              </a:graphicData>
            </a:graphic>
          </wp:inline>
        </w:drawing>
      </w:r>
    </w:p>
    <w:p w:rsidR="001C1222" w:rsidRDefault="00B25E67" w:rsidP="001C1222">
      <w:pPr>
        <w:pStyle w:val="Tabletitle0"/>
      </w:pPr>
      <w:r>
        <w:t>Table 6</w:t>
      </w:r>
      <w:r w:rsidR="00D21AB4">
        <w:t>:</w:t>
      </w:r>
      <w:r w:rsidR="001C1222">
        <w:t xml:space="preserve"> Pr</w:t>
      </w:r>
      <w:r w:rsidR="00957C32">
        <w:t>oportion of subjects achieving H</w:t>
      </w:r>
      <w:r w:rsidR="001C1222">
        <w:t>iSCR</w:t>
      </w:r>
      <w:r w:rsidR="00F168A2">
        <w:fldChar w:fldCharType="begin"/>
      </w:r>
      <w:r w:rsidR="00F168A2">
        <w:instrText xml:space="preserve"> NOTEREF _Ref450912456 \f \h </w:instrText>
      </w:r>
      <w:r w:rsidR="00F168A2">
        <w:fldChar w:fldCharType="separate"/>
      </w:r>
      <w:r w:rsidR="00F168A2" w:rsidRPr="00F168A2">
        <w:rPr>
          <w:rStyle w:val="FootnoteReference"/>
        </w:rPr>
        <w:t>2</w:t>
      </w:r>
      <w:r w:rsidR="00F168A2">
        <w:fldChar w:fldCharType="end"/>
      </w:r>
      <w:r w:rsidR="001C1222">
        <w:t xml:space="preserve"> at Week 12 in Studies M11</w:t>
      </w:r>
      <w:r w:rsidR="000C2FFA">
        <w:t>–</w:t>
      </w:r>
      <w:r w:rsidR="001C1222">
        <w:t>810 and M11</w:t>
      </w:r>
      <w:r w:rsidR="000C2FFA">
        <w:t>–</w:t>
      </w:r>
      <w:r w:rsidR="001C1222">
        <w:t>313 (NRI</w:t>
      </w:r>
      <w:proofErr w:type="gramStart"/>
      <w:r w:rsidR="001C1222">
        <w:t>)</w:t>
      </w:r>
      <w:proofErr w:type="gramEnd"/>
      <w:r w:rsidR="00DE5664">
        <w:fldChar w:fldCharType="begin"/>
      </w:r>
      <w:r w:rsidR="00DE5664">
        <w:instrText xml:space="preserve"> NOTEREF _Ref451156223 \f \h </w:instrText>
      </w:r>
      <w:r w:rsidR="00DE5664">
        <w:fldChar w:fldCharType="separate"/>
      </w:r>
      <w:r w:rsidR="00DE5664" w:rsidRPr="00DE5664">
        <w:rPr>
          <w:rStyle w:val="FootnoteReference"/>
        </w:rPr>
        <w:t>5</w:t>
      </w:r>
      <w:r w:rsidR="00DE5664">
        <w:fldChar w:fldCharType="end"/>
      </w:r>
      <w:r w:rsidR="001C1222">
        <w:t>(ITT_A Population)</w:t>
      </w:r>
    </w:p>
    <w:p w:rsidR="008832AC" w:rsidRDefault="008832AC" w:rsidP="008832AC">
      <w:r>
        <w:rPr>
          <w:noProof/>
          <w:lang w:eastAsia="en-AU"/>
        </w:rPr>
        <w:drawing>
          <wp:inline distT="0" distB="0" distL="0" distR="0" wp14:anchorId="2D606493" wp14:editId="65FF2A00">
            <wp:extent cx="5400040" cy="1928668"/>
            <wp:effectExtent l="0" t="0" r="0" b="0"/>
            <wp:docPr id="18" name="Picture 18" descr="Table 6: Proportion of subjects achieving hiSCR at Week 12 in Studies M11–810 and M11–313 (NRI)5(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928668"/>
                    </a:xfrm>
                    <a:prstGeom prst="rect">
                      <a:avLst/>
                    </a:prstGeom>
                  </pic:spPr>
                </pic:pic>
              </a:graphicData>
            </a:graphic>
          </wp:inline>
        </w:drawing>
      </w:r>
    </w:p>
    <w:p w:rsidR="00957C32" w:rsidRDefault="00957C32" w:rsidP="00957C32">
      <w:pPr>
        <w:pStyle w:val="Heading6"/>
      </w:pPr>
      <w:r>
        <w:t>Eva</w:t>
      </w:r>
      <w:r w:rsidR="007C0383">
        <w:t>luator´</w:t>
      </w:r>
      <w:r>
        <w:t>s comment:</w:t>
      </w:r>
    </w:p>
    <w:p w:rsidR="00957C32" w:rsidRDefault="00957C32" w:rsidP="008832AC">
      <w:r>
        <w:t xml:space="preserve">The response sufficiently addresses the clinical question and explains the initial apparent difference between the clinical response rates in </w:t>
      </w:r>
      <w:proofErr w:type="gramStart"/>
      <w:r>
        <w:t>M10-46,</w:t>
      </w:r>
      <w:proofErr w:type="gramEnd"/>
      <w:r>
        <w:t xml:space="preserve"> and 7 Studies M11-810 and M11-313.</w:t>
      </w:r>
    </w:p>
    <w:p w:rsidR="007C0383" w:rsidRDefault="007C0383" w:rsidP="007C0383">
      <w:pPr>
        <w:pStyle w:val="Heading5"/>
      </w:pPr>
      <w:r>
        <w:t>Question 2</w:t>
      </w:r>
    </w:p>
    <w:p w:rsidR="007C0383" w:rsidRPr="008832AC" w:rsidRDefault="007C0383" w:rsidP="007C0383">
      <w:pPr>
        <w:pStyle w:val="Heading6"/>
      </w:pPr>
      <w:r>
        <w:t>Sponsor´s response:</w:t>
      </w:r>
    </w:p>
    <w:p w:rsidR="001023FE" w:rsidRPr="007C0383" w:rsidRDefault="001D41B9" w:rsidP="00B85159">
      <w:r w:rsidRPr="007C0383">
        <w:t>HS</w:t>
      </w:r>
      <w:r w:rsidR="001023FE" w:rsidRPr="007C0383">
        <w:t xml:space="preserve"> is a chronic, inflammatory skin condition known to have periods of quiescence and flare. Limited data on the natural history of the disease are available to fully characterise disease activity in HS and there are no published prospective studies of the clinical course of HS that can provide expected placebo response rates.</w:t>
      </w:r>
    </w:p>
    <w:p w:rsidR="001023FE" w:rsidRPr="007C0383" w:rsidRDefault="001023FE" w:rsidP="00B85159">
      <w:r w:rsidRPr="007C0383">
        <w:t>Studies M11</w:t>
      </w:r>
      <w:r w:rsidR="000C2FFA" w:rsidRPr="007C0383">
        <w:t>–</w:t>
      </w:r>
      <w:r w:rsidRPr="007C0383">
        <w:t>810 and M11</w:t>
      </w:r>
      <w:r w:rsidR="000C2FFA" w:rsidRPr="007C0383">
        <w:t>–</w:t>
      </w:r>
      <w:r w:rsidRPr="007C0383">
        <w:t>313 are the first large placebo</w:t>
      </w:r>
      <w:r w:rsidR="000C2FFA" w:rsidRPr="007C0383">
        <w:t>–</w:t>
      </w:r>
      <w:r w:rsidRPr="007C0383">
        <w:t xml:space="preserve">controlled Phase III studies that investigate a pharmaceutical intervention and were the first studies to prospectively use a newly validated measure, </w:t>
      </w:r>
      <w:proofErr w:type="spellStart"/>
      <w:r w:rsidRPr="007C0383">
        <w:t>HiSCR</w:t>
      </w:r>
      <w:proofErr w:type="spellEnd"/>
      <w:r w:rsidRPr="007C0383">
        <w:t xml:space="preserve">, as the primary efficacy endpoint. </w:t>
      </w:r>
      <w:proofErr w:type="spellStart"/>
      <w:r w:rsidRPr="007C0383">
        <w:t>HiSCR</w:t>
      </w:r>
      <w:proofErr w:type="spellEnd"/>
      <w:r w:rsidRPr="007C0383">
        <w:t xml:space="preserve"> is defined as at least a 50% reduction in the total abscess and inflammatory nodule (AN) count with no increase in abscess count and no increase in draining fistula count relative to Baseline. As with any placebo</w:t>
      </w:r>
      <w:r w:rsidR="000C2FFA" w:rsidRPr="007C0383">
        <w:t>–</w:t>
      </w:r>
      <w:r w:rsidRPr="007C0383">
        <w:t xml:space="preserve">controlled clinical trial, it is expected that some subjects in the placebo group will have a response. Given the fluctuations in the course of HS and considering the definition of achieving </w:t>
      </w:r>
      <w:proofErr w:type="spellStart"/>
      <w:r w:rsidRPr="007C0383">
        <w:t>HiSCR</w:t>
      </w:r>
      <w:proofErr w:type="spellEnd"/>
      <w:r w:rsidRPr="007C0383">
        <w:t>, some response to placebo would be expected in the study population.</w:t>
      </w:r>
    </w:p>
    <w:p w:rsidR="001023FE" w:rsidRPr="007C0383" w:rsidRDefault="001023FE" w:rsidP="00B85159">
      <w:r w:rsidRPr="007C0383">
        <w:lastRenderedPageBreak/>
        <w:t>A subgroup analysis of the integrated data from Studies M11</w:t>
      </w:r>
      <w:r w:rsidR="000C2FFA" w:rsidRPr="007C0383">
        <w:t>–</w:t>
      </w:r>
      <w:r w:rsidRPr="007C0383">
        <w:t>810 and M11</w:t>
      </w:r>
      <w:r w:rsidR="000C2FFA" w:rsidRPr="007C0383">
        <w:t>–</w:t>
      </w:r>
      <w:r w:rsidRPr="007C0383">
        <w:t xml:space="preserve">313 by baseline </w:t>
      </w:r>
      <w:proofErr w:type="gramStart"/>
      <w:r w:rsidRPr="007C0383">
        <w:t>AN</w:t>
      </w:r>
      <w:proofErr w:type="gramEnd"/>
      <w:r w:rsidRPr="007C0383">
        <w:t xml:space="preserve"> count category (≤ 5, 6 – 10, and &gt; 10) showed the response to placebo varied, depending on </w:t>
      </w:r>
      <w:r w:rsidR="008747D2" w:rsidRPr="007C0383">
        <w:t>the baseline AN count</w:t>
      </w:r>
      <w:r w:rsidR="001D41B9" w:rsidRPr="007C0383">
        <w:t xml:space="preserve"> (Table 7</w:t>
      </w:r>
      <w:r w:rsidR="001C1222" w:rsidRPr="007C0383">
        <w:t>)</w:t>
      </w:r>
      <w:r w:rsidRPr="007C0383">
        <w:t xml:space="preserve">. Specifically, the </w:t>
      </w:r>
      <w:proofErr w:type="spellStart"/>
      <w:r w:rsidRPr="007C0383">
        <w:t>HiSCR</w:t>
      </w:r>
      <w:proofErr w:type="spellEnd"/>
      <w:r w:rsidRPr="007C0383">
        <w:t xml:space="preserve"> rate decreases as the baseline AN count increases, reflecting a greater threshold to achieve at least a 50% decrease in the AN count without adalimumab intervention. I</w:t>
      </w:r>
      <w:r w:rsidR="004B3BFB" w:rsidRPr="007C0383">
        <w:t xml:space="preserve">n contrast, </w:t>
      </w:r>
      <w:proofErr w:type="spellStart"/>
      <w:r w:rsidR="004B3BFB" w:rsidRPr="007C0383">
        <w:t>HiSCR</w:t>
      </w:r>
      <w:proofErr w:type="spellEnd"/>
      <w:r w:rsidR="004B3BFB" w:rsidRPr="007C0383">
        <w:t xml:space="preserve"> rates for the</w:t>
      </w:r>
      <w:r w:rsidR="001D41B9" w:rsidRPr="007C0383">
        <w:t xml:space="preserve"> </w:t>
      </w:r>
      <w:r w:rsidRPr="007C0383">
        <w:t xml:space="preserve">adalimumab group were similar across the 3 categories; the treatment difference was greatest in the baseline </w:t>
      </w:r>
      <w:proofErr w:type="gramStart"/>
      <w:r w:rsidRPr="007C0383">
        <w:t>AN</w:t>
      </w:r>
      <w:proofErr w:type="gramEnd"/>
      <w:r w:rsidRPr="007C0383">
        <w:t xml:space="preserve"> count category of &gt; 10. Despite the observed placebo response in both Phase III studies, the percentage of subjects in the adalimumab group who achieved </w:t>
      </w:r>
      <w:proofErr w:type="spellStart"/>
      <w:r w:rsidRPr="007C0383">
        <w:t>HiSCR</w:t>
      </w:r>
      <w:proofErr w:type="spellEnd"/>
      <w:r w:rsidRPr="007C0383">
        <w:t xml:space="preserve"> at Week 12 was significantly higher than subjects in the placebo group. These results represent a clinically meaningful difference between treatment groups.</w:t>
      </w:r>
    </w:p>
    <w:p w:rsidR="001C1222" w:rsidRDefault="006426F0" w:rsidP="001C1222">
      <w:pPr>
        <w:pStyle w:val="Tabletitle0"/>
      </w:pPr>
      <w:r>
        <w:t>Table 7</w:t>
      </w:r>
      <w:r w:rsidR="00354D4A">
        <w:t>:</w:t>
      </w:r>
      <w:r w:rsidR="001C1222">
        <w:t xml:space="preserve"> Number and proportion of subjects who achieved HiSCR</w:t>
      </w:r>
      <w:r w:rsidR="00F168A2">
        <w:fldChar w:fldCharType="begin"/>
      </w:r>
      <w:r w:rsidR="00F168A2">
        <w:instrText xml:space="preserve"> NOTEREF _Ref450912456 \f \h </w:instrText>
      </w:r>
      <w:r w:rsidR="00F168A2">
        <w:fldChar w:fldCharType="separate"/>
      </w:r>
      <w:r w:rsidR="00F168A2" w:rsidRPr="00F168A2">
        <w:rPr>
          <w:rStyle w:val="FootnoteReference"/>
        </w:rPr>
        <w:t>2</w:t>
      </w:r>
      <w:r w:rsidR="00F168A2">
        <w:fldChar w:fldCharType="end"/>
      </w:r>
      <w:r w:rsidR="001C1222">
        <w:t xml:space="preserve"> at Week 12 by baseline AN count (NRI</w:t>
      </w:r>
      <w:proofErr w:type="gramStart"/>
      <w:r w:rsidR="001C1222">
        <w:t>)</w:t>
      </w:r>
      <w:proofErr w:type="gramEnd"/>
      <w:r w:rsidR="00B97A63">
        <w:fldChar w:fldCharType="begin"/>
      </w:r>
      <w:r w:rsidR="00B97A63">
        <w:instrText xml:space="preserve"> NOTEREF _Ref451156223 \f \h </w:instrText>
      </w:r>
      <w:r w:rsidR="00B97A63">
        <w:fldChar w:fldCharType="separate"/>
      </w:r>
      <w:r w:rsidR="00B97A63" w:rsidRPr="00B97A63">
        <w:rPr>
          <w:rStyle w:val="FootnoteReference"/>
        </w:rPr>
        <w:t>5</w:t>
      </w:r>
      <w:r w:rsidR="00B97A63">
        <w:fldChar w:fldCharType="end"/>
      </w:r>
      <w:r w:rsidR="001C1222">
        <w:t>(ITT_A Population)</w:t>
      </w:r>
    </w:p>
    <w:p w:rsidR="001C1222" w:rsidRDefault="001C1222" w:rsidP="001C1222">
      <w:r>
        <w:rPr>
          <w:noProof/>
          <w:lang w:eastAsia="en-AU"/>
        </w:rPr>
        <w:drawing>
          <wp:inline distT="0" distB="0" distL="0" distR="0" wp14:anchorId="08FB3099" wp14:editId="278414F5">
            <wp:extent cx="5010532" cy="1085850"/>
            <wp:effectExtent l="0" t="0" r="0" b="0"/>
            <wp:docPr id="17" name="Picture 17" descr="Table 7: Number and proportion of subjects who achieved HiSCR at Week 12 by baseline AN count (NRI)5(ITT_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t="37591"/>
                    <a:stretch/>
                  </pic:blipFill>
                  <pic:spPr bwMode="auto">
                    <a:xfrm>
                      <a:off x="0" y="0"/>
                      <a:ext cx="5019675" cy="1087831"/>
                    </a:xfrm>
                    <a:prstGeom prst="rect">
                      <a:avLst/>
                    </a:prstGeom>
                    <a:ln>
                      <a:noFill/>
                    </a:ln>
                    <a:extLst>
                      <a:ext uri="{53640926-AAD7-44D8-BBD7-CCE9431645EC}">
                        <a14:shadowObscured xmlns:a14="http://schemas.microsoft.com/office/drawing/2010/main"/>
                      </a:ext>
                    </a:extLst>
                  </pic:spPr>
                </pic:pic>
              </a:graphicData>
            </a:graphic>
          </wp:inline>
        </w:drawing>
      </w:r>
    </w:p>
    <w:p w:rsidR="001D41B9" w:rsidRDefault="00E92D16" w:rsidP="007C0383">
      <w:pPr>
        <w:pStyle w:val="TableDescription"/>
      </w:pPr>
      <w:r w:rsidRPr="001F202E">
        <w:t>‘</w:t>
      </w:r>
      <w:r w:rsidR="001D41B9" w:rsidRPr="001F202E">
        <w:t xml:space="preserve">Adalimumab </w:t>
      </w:r>
      <w:proofErr w:type="spellStart"/>
      <w:r w:rsidR="001D41B9" w:rsidRPr="001F202E">
        <w:t>ew</w:t>
      </w:r>
      <w:proofErr w:type="spellEnd"/>
      <w:r w:rsidRPr="001F202E">
        <w:t>’</w:t>
      </w:r>
      <w:r w:rsidR="001D41B9" w:rsidRPr="001F202E">
        <w:t xml:space="preserve"> in Tables 5-7 </w:t>
      </w:r>
      <w:r w:rsidR="00F168A2" w:rsidRPr="001F202E">
        <w:t>stands for</w:t>
      </w:r>
      <w:r w:rsidR="001D41B9" w:rsidRPr="001F202E">
        <w:t xml:space="preserve"> adalimumab every week (</w:t>
      </w:r>
      <w:proofErr w:type="spellStart"/>
      <w:r w:rsidR="001D41B9" w:rsidRPr="001F202E">
        <w:t>q</w:t>
      </w:r>
      <w:r w:rsidR="00870622" w:rsidRPr="001F202E">
        <w:t>w</w:t>
      </w:r>
      <w:proofErr w:type="spellEnd"/>
      <w:r w:rsidR="001D41B9" w:rsidRPr="001F202E">
        <w:t xml:space="preserve">) </w:t>
      </w:r>
      <w:r w:rsidR="001D41B9" w:rsidRPr="00B85159">
        <w:t>treatment.</w:t>
      </w:r>
    </w:p>
    <w:p w:rsidR="007C0383" w:rsidRDefault="007C0383" w:rsidP="001F202E">
      <w:pPr>
        <w:pStyle w:val="Heading6"/>
      </w:pPr>
      <w:r w:rsidRPr="007C0383">
        <w:t xml:space="preserve">Evaluator´s </w:t>
      </w:r>
      <w:r>
        <w:t>comment</w:t>
      </w:r>
      <w:r w:rsidR="00EF799F">
        <w:t>:</w:t>
      </w:r>
    </w:p>
    <w:p w:rsidR="007C0383" w:rsidRPr="00EF799F" w:rsidRDefault="00EF799F" w:rsidP="00EF799F">
      <w:r w:rsidRPr="00EF799F">
        <w:t xml:space="preserve">The response is acceptable. The fluctuating clinical nature of HS is likely to explain the high </w:t>
      </w:r>
      <w:proofErr w:type="spellStart"/>
      <w:r w:rsidRPr="00EF799F">
        <w:t>HiSCR</w:t>
      </w:r>
      <w:proofErr w:type="spellEnd"/>
      <w:r w:rsidRPr="00EF799F">
        <w:t xml:space="preserve"> rates in the placebo groups. The sponsor shows that the </w:t>
      </w:r>
      <w:proofErr w:type="spellStart"/>
      <w:r w:rsidRPr="00EF799F">
        <w:t>HiSCR</w:t>
      </w:r>
      <w:proofErr w:type="spellEnd"/>
      <w:r w:rsidRPr="00EF799F">
        <w:t xml:space="preserve"> rates decrease in the placebo groups with a higher baseline </w:t>
      </w:r>
      <w:proofErr w:type="gramStart"/>
      <w:r w:rsidRPr="00EF799F">
        <w:t>AN</w:t>
      </w:r>
      <w:proofErr w:type="gramEnd"/>
      <w:r w:rsidRPr="00EF799F">
        <w:t xml:space="preserve"> count. Despite the high </w:t>
      </w:r>
      <w:proofErr w:type="spellStart"/>
      <w:r w:rsidRPr="00EF799F">
        <w:t>HiSCR</w:t>
      </w:r>
      <w:proofErr w:type="spellEnd"/>
      <w:r w:rsidRPr="00EF799F">
        <w:t xml:space="preserve"> rates in the placebo groups, there was a statistically significant higher </w:t>
      </w:r>
      <w:proofErr w:type="spellStart"/>
      <w:r w:rsidRPr="00EF799F">
        <w:t>HiSCR</w:t>
      </w:r>
      <w:proofErr w:type="spellEnd"/>
      <w:r w:rsidRPr="00EF799F">
        <w:t xml:space="preserve"> rate at Week 12 in the adalimumab </w:t>
      </w:r>
      <w:proofErr w:type="spellStart"/>
      <w:proofErr w:type="gramStart"/>
      <w:r w:rsidRPr="00EF799F">
        <w:t>ew</w:t>
      </w:r>
      <w:proofErr w:type="spellEnd"/>
      <w:proofErr w:type="gramEnd"/>
      <w:r w:rsidRPr="00EF799F">
        <w:t xml:space="preserve"> group compared to the placebo group (</w:t>
      </w:r>
      <w:r>
        <w:t>50.6% compared to 26.8%, p </w:t>
      </w:r>
      <w:r w:rsidRPr="00EF799F">
        <w:t>&lt;</w:t>
      </w:r>
      <w:r>
        <w:t> </w:t>
      </w:r>
      <w:r w:rsidRPr="00EF799F">
        <w:t>0.001)</w:t>
      </w:r>
      <w:r>
        <w:t>.</w:t>
      </w:r>
    </w:p>
    <w:p w:rsidR="00605AD4" w:rsidRPr="00605AD4" w:rsidRDefault="00605AD4" w:rsidP="00546154">
      <w:pPr>
        <w:pStyle w:val="Heading3"/>
        <w:rPr>
          <w:rFonts w:eastAsia="Cambria"/>
        </w:rPr>
      </w:pPr>
      <w:bookmarkStart w:id="86" w:name="_Toc456951156"/>
      <w:r w:rsidRPr="00605AD4">
        <w:rPr>
          <w:rFonts w:eastAsia="Cambria"/>
        </w:rPr>
        <w:t xml:space="preserve">Second </w:t>
      </w:r>
      <w:r w:rsidR="00BB5A93" w:rsidRPr="00605AD4">
        <w:rPr>
          <w:rFonts w:eastAsia="Cambria"/>
        </w:rPr>
        <w:t>round benefit</w:t>
      </w:r>
      <w:r w:rsidR="00BB5A93">
        <w:rPr>
          <w:rFonts w:eastAsia="Cambria"/>
        </w:rPr>
        <w:t>–</w:t>
      </w:r>
      <w:r w:rsidR="00BB5A93" w:rsidRPr="00605AD4">
        <w:rPr>
          <w:rFonts w:eastAsia="Cambria"/>
        </w:rPr>
        <w:t>risk assessment</w:t>
      </w:r>
      <w:bookmarkEnd w:id="86"/>
    </w:p>
    <w:p w:rsidR="001023FE" w:rsidRPr="001023FE" w:rsidRDefault="001023FE" w:rsidP="001023FE">
      <w:pPr>
        <w:pStyle w:val="Heading4"/>
        <w:rPr>
          <w:lang w:eastAsia="ja-JP"/>
        </w:rPr>
      </w:pPr>
      <w:bookmarkStart w:id="87" w:name="_Toc272414709"/>
      <w:bookmarkStart w:id="88" w:name="_Toc290846349"/>
      <w:bookmarkStart w:id="89" w:name="_Toc295131116"/>
      <w:bookmarkStart w:id="90" w:name="_Toc449627672"/>
      <w:r w:rsidRPr="001023FE">
        <w:rPr>
          <w:lang w:eastAsia="ja-JP"/>
        </w:rPr>
        <w:t>Second round assessment of benefits</w:t>
      </w:r>
      <w:bookmarkEnd w:id="87"/>
      <w:bookmarkEnd w:id="88"/>
      <w:bookmarkEnd w:id="89"/>
      <w:bookmarkEnd w:id="90"/>
    </w:p>
    <w:p w:rsidR="00605AD4" w:rsidRDefault="001023FE" w:rsidP="00546154">
      <w:r w:rsidRPr="00605CFE">
        <w:t xml:space="preserve">After consideration of the responses to clinical questions, the benefits of </w:t>
      </w:r>
      <w:proofErr w:type="spellStart"/>
      <w:r w:rsidRPr="00605CFE">
        <w:t>adalimumb</w:t>
      </w:r>
      <w:proofErr w:type="spellEnd"/>
      <w:r w:rsidRPr="00605CFE">
        <w:t xml:space="preserve"> in HS patients in short</w:t>
      </w:r>
      <w:r w:rsidR="000C2FFA">
        <w:t>–</w:t>
      </w:r>
      <w:r w:rsidRPr="00605CFE">
        <w:t>term usag</w:t>
      </w:r>
      <w:r w:rsidR="001C1222">
        <w:t>e (12 weeks) are unchanged</w:t>
      </w:r>
      <w:r w:rsidRPr="00605CFE">
        <w:t xml:space="preserve">. For maintenance therapy after 12 weeks, the </w:t>
      </w:r>
      <w:r w:rsidR="002A2C12">
        <w:t>s</w:t>
      </w:r>
      <w:r>
        <w:t>ponsor</w:t>
      </w:r>
      <w:r w:rsidRPr="00605CFE">
        <w:t xml:space="preserve"> provides acceptable arguments for the ben</w:t>
      </w:r>
      <w:r w:rsidR="00870622">
        <w:t>efits of adalimumab</w:t>
      </w:r>
      <w:r>
        <w:t xml:space="preserve">, including post </w:t>
      </w:r>
      <w:r w:rsidRPr="00605CFE">
        <w:t>hoc analysis of patient groups</w:t>
      </w:r>
      <w:r>
        <w:t>.</w:t>
      </w:r>
      <w:r w:rsidRPr="00605CFE">
        <w:t xml:space="preserve"> While this is circumstantial evidence, the </w:t>
      </w:r>
      <w:r w:rsidR="00870622">
        <w:t xml:space="preserve">clinical </w:t>
      </w:r>
      <w:r w:rsidRPr="00605CFE">
        <w:t>evaluator has taken this clinical experience into considerat</w:t>
      </w:r>
      <w:r>
        <w:t>ion. Together, the use of adalimumab</w:t>
      </w:r>
      <w:r w:rsidRPr="00605CFE">
        <w:t xml:space="preserve"> for the treatment of HS beyond 12 weeks is considered appropriate if assessment of the HiSCR</w:t>
      </w:r>
      <w:r w:rsidR="00303DA0">
        <w:fldChar w:fldCharType="begin"/>
      </w:r>
      <w:r w:rsidR="00303DA0">
        <w:instrText xml:space="preserve"> NOTEREF _Ref450912456 \f \h </w:instrText>
      </w:r>
      <w:r w:rsidR="00303DA0">
        <w:fldChar w:fldCharType="separate"/>
      </w:r>
      <w:r w:rsidR="00303DA0" w:rsidRPr="00303DA0">
        <w:rPr>
          <w:rStyle w:val="FootnoteReference"/>
        </w:rPr>
        <w:t>2</w:t>
      </w:r>
      <w:r w:rsidR="00303DA0">
        <w:fldChar w:fldCharType="end"/>
      </w:r>
      <w:r w:rsidRPr="00605CFE">
        <w:t xml:space="preserve"> response shows at least 50% improvement. It is recommended to perform </w:t>
      </w:r>
      <w:proofErr w:type="spellStart"/>
      <w:r w:rsidRPr="00605CFE">
        <w:t>HiSCR</w:t>
      </w:r>
      <w:proofErr w:type="spellEnd"/>
      <w:r w:rsidRPr="00605CFE">
        <w:t xml:space="preserve"> assessments at 12 and 24 weeks, and 6 monthly intervals thereafter.</w:t>
      </w:r>
    </w:p>
    <w:p w:rsidR="001023FE" w:rsidRPr="001023FE" w:rsidRDefault="001023FE" w:rsidP="001023FE">
      <w:pPr>
        <w:pStyle w:val="Heading4"/>
        <w:rPr>
          <w:lang w:eastAsia="ja-JP"/>
        </w:rPr>
      </w:pPr>
      <w:bookmarkStart w:id="91" w:name="_Toc272414710"/>
      <w:bookmarkStart w:id="92" w:name="_Toc290846350"/>
      <w:bookmarkStart w:id="93" w:name="_Toc295131117"/>
      <w:bookmarkStart w:id="94" w:name="_Toc449627673"/>
      <w:r w:rsidRPr="001023FE">
        <w:rPr>
          <w:lang w:eastAsia="ja-JP"/>
        </w:rPr>
        <w:t>Second round assessment of risks</w:t>
      </w:r>
      <w:bookmarkEnd w:id="91"/>
      <w:bookmarkEnd w:id="92"/>
      <w:bookmarkEnd w:id="93"/>
      <w:bookmarkEnd w:id="94"/>
    </w:p>
    <w:p w:rsidR="001023FE" w:rsidRPr="004037D4" w:rsidRDefault="001023FE" w:rsidP="004037D4">
      <w:r w:rsidRPr="004037D4">
        <w:t>No new clinical information was submitted in response to questions.</w:t>
      </w:r>
      <w:r w:rsidR="004037D4" w:rsidRPr="004037D4">
        <w:t xml:space="preserve"> Accordingly, the risks of adalimumab are unchanged from those identified in the First round evaluation.</w:t>
      </w:r>
    </w:p>
    <w:p w:rsidR="001023FE" w:rsidRPr="00394AF6" w:rsidRDefault="001023FE" w:rsidP="001023FE">
      <w:pPr>
        <w:pStyle w:val="Heading4"/>
        <w:rPr>
          <w:lang w:eastAsia="ja-JP"/>
        </w:rPr>
      </w:pPr>
      <w:bookmarkStart w:id="95" w:name="_Toc272414711"/>
      <w:bookmarkStart w:id="96" w:name="_Toc290846351"/>
      <w:bookmarkStart w:id="97" w:name="_Toc295131118"/>
      <w:bookmarkStart w:id="98" w:name="_Toc449627674"/>
      <w:r w:rsidRPr="00394AF6">
        <w:rPr>
          <w:lang w:eastAsia="ja-JP"/>
        </w:rPr>
        <w:t>Second round assessment of benefit</w:t>
      </w:r>
      <w:r w:rsidR="000C2FFA">
        <w:rPr>
          <w:lang w:eastAsia="ja-JP"/>
        </w:rPr>
        <w:t>–</w:t>
      </w:r>
      <w:r w:rsidRPr="00394AF6">
        <w:rPr>
          <w:lang w:eastAsia="ja-JP"/>
        </w:rPr>
        <w:t>risk balance</w:t>
      </w:r>
      <w:bookmarkEnd w:id="95"/>
      <w:bookmarkEnd w:id="96"/>
      <w:bookmarkEnd w:id="97"/>
      <w:bookmarkEnd w:id="98"/>
    </w:p>
    <w:p w:rsidR="001023FE" w:rsidRDefault="001023FE" w:rsidP="001023FE">
      <w:r w:rsidRPr="00394AF6">
        <w:t>The benefit</w:t>
      </w:r>
      <w:r w:rsidR="000C2FFA">
        <w:t>–</w:t>
      </w:r>
      <w:r w:rsidRPr="00394AF6">
        <w:t xml:space="preserve">risk balance of adalimumab, given the proposed usage in </w:t>
      </w:r>
      <w:r w:rsidR="00303DA0">
        <w:t>HS</w:t>
      </w:r>
      <w:r w:rsidR="007008EC" w:rsidRPr="00394AF6">
        <w:t>,</w:t>
      </w:r>
      <w:r w:rsidRPr="00394AF6">
        <w:t xml:space="preserve"> is favourable. The benefit</w:t>
      </w:r>
      <w:r w:rsidR="000C2FFA">
        <w:t>–</w:t>
      </w:r>
      <w:r w:rsidRPr="00394AF6">
        <w:t>risk balance is unchanged from the initial proposal.</w:t>
      </w:r>
    </w:p>
    <w:p w:rsidR="003C3F81" w:rsidRPr="003C3F81" w:rsidRDefault="003C3F81" w:rsidP="003C3F81">
      <w:pPr>
        <w:pStyle w:val="Heading4"/>
      </w:pPr>
      <w:bookmarkStart w:id="99" w:name="_Toc449627675"/>
      <w:r w:rsidRPr="003C3F81">
        <w:lastRenderedPageBreak/>
        <w:t>Second round recommendation regarding authorisation</w:t>
      </w:r>
      <w:bookmarkEnd w:id="99"/>
    </w:p>
    <w:p w:rsidR="003C3F81" w:rsidRPr="003C3F81" w:rsidRDefault="003C3F81" w:rsidP="003C3F81">
      <w:r w:rsidRPr="003C3F81">
        <w:t>A 12</w:t>
      </w:r>
      <w:r w:rsidR="000C2FFA">
        <w:t>–</w:t>
      </w:r>
      <w:r w:rsidRPr="003C3F81">
        <w:t>week course (as per dosing protocol) of adalimumab provides a statistically significant and clinically meaningful treatment option in the management of HS. Pivotal studies were performed in patients with Hurley stage II or III disease</w:t>
      </w:r>
      <w:r w:rsidR="00ED3AAF">
        <w:t xml:space="preserve"> (Table 1</w:t>
      </w:r>
      <w:r w:rsidR="006E3D0E">
        <w:t>)</w:t>
      </w:r>
      <w:r w:rsidRPr="003C3F81">
        <w:t>, and thus treatment should be limi</w:t>
      </w:r>
      <w:r w:rsidR="006E3D0E">
        <w:t>ted to this subset of patients.</w:t>
      </w:r>
    </w:p>
    <w:p w:rsidR="003C3F81" w:rsidRPr="003C3F81" w:rsidRDefault="003C3F81" w:rsidP="003C3F81">
      <w:r w:rsidRPr="003C3F81">
        <w:t>The large loss of response rates of 47.6% and 54.7% respectively in Study M11</w:t>
      </w:r>
      <w:r w:rsidR="000C2FFA">
        <w:t>–</w:t>
      </w:r>
      <w:r w:rsidRPr="003C3F81">
        <w:t>313 and M11</w:t>
      </w:r>
      <w:r w:rsidR="000C2FFA">
        <w:t>–</w:t>
      </w:r>
      <w:r w:rsidRPr="003C3F81">
        <w:t>810 are concerning. After consideration of the sponsor’s response and revisiting the pivotal Studies M11</w:t>
      </w:r>
      <w:r w:rsidR="000C2FFA">
        <w:t>–</w:t>
      </w:r>
      <w:r w:rsidRPr="003C3F81">
        <w:t>313 and M11</w:t>
      </w:r>
      <w:r w:rsidR="000C2FFA">
        <w:t>–</w:t>
      </w:r>
      <w:r w:rsidRPr="003C3F81">
        <w:t>810, the evaluator acknowledges that the participants who lost response and entered into Study M12</w:t>
      </w:r>
      <w:r w:rsidR="000C2FFA">
        <w:t>–</w:t>
      </w:r>
      <w:r w:rsidRPr="003C3F81">
        <w:t xml:space="preserve">555, was not given the opportunity to demonstrate any subsequent improvement and regain </w:t>
      </w:r>
      <w:proofErr w:type="spellStart"/>
      <w:r w:rsidRPr="003C3F81">
        <w:t>HiSCR</w:t>
      </w:r>
      <w:proofErr w:type="spellEnd"/>
      <w:r w:rsidRPr="003C3F81">
        <w:t>. The pooled Period B</w:t>
      </w:r>
      <w:r w:rsidR="009729C3">
        <w:fldChar w:fldCharType="begin"/>
      </w:r>
      <w:r w:rsidR="009729C3">
        <w:instrText xml:space="preserve"> NOTEREF _Ref450923197 \f \h </w:instrText>
      </w:r>
      <w:r w:rsidR="009729C3">
        <w:fldChar w:fldCharType="separate"/>
      </w:r>
      <w:r w:rsidR="009729C3" w:rsidRPr="009729C3">
        <w:rPr>
          <w:rStyle w:val="FootnoteReference"/>
        </w:rPr>
        <w:t>3</w:t>
      </w:r>
      <w:r w:rsidR="009729C3">
        <w:fldChar w:fldCharType="end"/>
      </w:r>
      <w:r w:rsidRPr="003C3F81">
        <w:t xml:space="preserve"> analysis from Study M11</w:t>
      </w:r>
      <w:r w:rsidR="000C2FFA">
        <w:t>–</w:t>
      </w:r>
      <w:r w:rsidRPr="003C3F81">
        <w:t>813 and M11</w:t>
      </w:r>
      <w:r w:rsidR="000C2FFA">
        <w:t>–</w:t>
      </w:r>
      <w:r w:rsidRPr="003C3F81">
        <w:t xml:space="preserve">810 demonstrates a statistically significant difference in </w:t>
      </w:r>
      <w:proofErr w:type="spellStart"/>
      <w:r w:rsidRPr="003C3F81">
        <w:t>HiSCR</w:t>
      </w:r>
      <w:proofErr w:type="spellEnd"/>
      <w:r w:rsidRPr="003C3F81">
        <w:t xml:space="preserve"> response between </w:t>
      </w:r>
      <w:proofErr w:type="spellStart"/>
      <w:r w:rsidRPr="003C3F81">
        <w:t>ew</w:t>
      </w:r>
      <w:proofErr w:type="spellEnd"/>
      <w:r w:rsidRPr="003C3F81">
        <w:t>/</w:t>
      </w:r>
      <w:proofErr w:type="spellStart"/>
      <w:r w:rsidRPr="003C3F81">
        <w:t>ew</w:t>
      </w:r>
      <w:proofErr w:type="spellEnd"/>
      <w:r w:rsidRPr="003C3F81">
        <w:t xml:space="preserve"> and </w:t>
      </w:r>
      <w:proofErr w:type="spellStart"/>
      <w:r w:rsidRPr="003C3F81">
        <w:t>ew</w:t>
      </w:r>
      <w:proofErr w:type="spellEnd"/>
      <w:r w:rsidRPr="003C3F81">
        <w:t>/</w:t>
      </w:r>
      <w:proofErr w:type="spellStart"/>
      <w:r w:rsidRPr="003C3F81">
        <w:t>pbo</w:t>
      </w:r>
      <w:proofErr w:type="spellEnd"/>
      <w:r w:rsidRPr="003C3F81">
        <w:t xml:space="preserve"> adalimumab dosing at Week 36 (43.4% and 28.0%, p</w:t>
      </w:r>
      <w:r w:rsidR="00EC3BA0">
        <w:t xml:space="preserve"> </w:t>
      </w:r>
      <w:r w:rsidRPr="003C3F81">
        <w:t>&lt;</w:t>
      </w:r>
      <w:r w:rsidR="00EC3BA0">
        <w:t xml:space="preserve"> </w:t>
      </w:r>
      <w:r w:rsidRPr="003C3F81">
        <w:t>0.05).</w:t>
      </w:r>
    </w:p>
    <w:p w:rsidR="003C3F81" w:rsidRPr="003C3F81" w:rsidRDefault="003C3F81" w:rsidP="003C3F81">
      <w:r w:rsidRPr="003C3F81">
        <w:t xml:space="preserve">As such, the </w:t>
      </w:r>
      <w:r w:rsidR="00EC3BA0">
        <w:t xml:space="preserve">clinical </w:t>
      </w:r>
      <w:r w:rsidRPr="003C3F81">
        <w:t>evaluator recommends approval for 12 weeks of adalimumab as per dosing protocol (160 mg at week 0, 80 mg at W</w:t>
      </w:r>
      <w:r>
        <w:t>eek 2, t</w:t>
      </w:r>
      <w:r w:rsidRPr="003C3F81">
        <w:t xml:space="preserve">hence 40 mg every week from Week 4 to Week 12). The </w:t>
      </w:r>
      <w:r w:rsidR="00EC3BA0">
        <w:t xml:space="preserve">clinical </w:t>
      </w:r>
      <w:r w:rsidRPr="003C3F81">
        <w:t xml:space="preserve">evaluator recommends assessment of </w:t>
      </w:r>
      <w:proofErr w:type="spellStart"/>
      <w:r w:rsidRPr="003C3F81">
        <w:t>HiSCR</w:t>
      </w:r>
      <w:proofErr w:type="spellEnd"/>
      <w:r w:rsidRPr="003C3F81">
        <w:t xml:space="preserve"> response at Weeks 12 and 24. </w:t>
      </w:r>
      <w:proofErr w:type="spellStart"/>
      <w:r w:rsidRPr="003C3F81">
        <w:t>HiSCR</w:t>
      </w:r>
      <w:proofErr w:type="spellEnd"/>
      <w:r w:rsidRPr="003C3F81">
        <w:t xml:space="preserve"> responses should be assessed every 6 months thereafter. A </w:t>
      </w:r>
      <w:r w:rsidR="00980CFD" w:rsidRPr="00B25C5D">
        <w:t xml:space="preserve">positive </w:t>
      </w:r>
      <w:proofErr w:type="spellStart"/>
      <w:r w:rsidR="00980CFD" w:rsidRPr="00B25C5D">
        <w:t>HiSCR</w:t>
      </w:r>
      <w:proofErr w:type="spellEnd"/>
      <w:r w:rsidR="00980CFD" w:rsidRPr="00B25C5D">
        <w:t xml:space="preserve"> response</w:t>
      </w:r>
      <w:r w:rsidR="00980CFD">
        <w:t xml:space="preserve"> </w:t>
      </w:r>
      <w:r w:rsidRPr="003C3F81">
        <w:t xml:space="preserve">should be present for continuation of treatment at the assessment </w:t>
      </w:r>
      <w:proofErr w:type="spellStart"/>
      <w:r w:rsidRPr="003C3F81">
        <w:t>timepoints</w:t>
      </w:r>
      <w:proofErr w:type="spellEnd"/>
      <w:r w:rsidRPr="003C3F81">
        <w:t xml:space="preserve">. Patients, who demonstrate maintenance of </w:t>
      </w:r>
      <w:proofErr w:type="spellStart"/>
      <w:r w:rsidRPr="003C3F81">
        <w:t>HiSCR</w:t>
      </w:r>
      <w:proofErr w:type="spellEnd"/>
      <w:r w:rsidRPr="003C3F81">
        <w:t xml:space="preserve"> response, should be given ongoing maintenance treatment.</w:t>
      </w:r>
    </w:p>
    <w:p w:rsidR="008E7846" w:rsidRPr="00E41208" w:rsidRDefault="008E7846" w:rsidP="00546154">
      <w:pPr>
        <w:pStyle w:val="Heading2"/>
      </w:pPr>
      <w:bookmarkStart w:id="100" w:name="_Toc456951157"/>
      <w:r w:rsidRPr="00E41208">
        <w:t xml:space="preserve">V. Pharmacovigilance </w:t>
      </w:r>
      <w:r>
        <w:t>f</w:t>
      </w:r>
      <w:r w:rsidRPr="00E41208">
        <w:t>indings</w:t>
      </w:r>
      <w:bookmarkEnd w:id="75"/>
      <w:bookmarkEnd w:id="76"/>
      <w:bookmarkEnd w:id="100"/>
    </w:p>
    <w:p w:rsidR="008E7846" w:rsidRDefault="00386150" w:rsidP="008E7846">
      <w:pPr>
        <w:pStyle w:val="Heading3"/>
        <w:rPr>
          <w:lang w:eastAsia="en-AU"/>
        </w:rPr>
      </w:pPr>
      <w:bookmarkStart w:id="101" w:name="_Toc247691526"/>
      <w:bookmarkStart w:id="102" w:name="_Toc314842509"/>
      <w:bookmarkStart w:id="103" w:name="_Toc456951158"/>
      <w:r>
        <w:rPr>
          <w:lang w:eastAsia="en-AU"/>
        </w:rPr>
        <w:t>Risk m</w:t>
      </w:r>
      <w:r w:rsidR="008E7846">
        <w:rPr>
          <w:lang w:eastAsia="en-AU"/>
        </w:rPr>
        <w:t xml:space="preserve">anagement </w:t>
      </w:r>
      <w:r>
        <w:rPr>
          <w:lang w:eastAsia="en-AU"/>
        </w:rPr>
        <w:t>p</w:t>
      </w:r>
      <w:r w:rsidR="008E7846">
        <w:rPr>
          <w:lang w:eastAsia="en-AU"/>
        </w:rPr>
        <w:t>lan</w:t>
      </w:r>
      <w:bookmarkEnd w:id="101"/>
      <w:bookmarkEnd w:id="102"/>
      <w:bookmarkEnd w:id="103"/>
    </w:p>
    <w:p w:rsidR="008E7846" w:rsidRPr="002F4D6B" w:rsidRDefault="008E7846" w:rsidP="008E7846">
      <w:pPr>
        <w:rPr>
          <w:rFonts w:asciiTheme="minorHAnsi" w:hAnsiTheme="minorHAnsi"/>
          <w:lang w:eastAsia="en-AU"/>
        </w:rPr>
      </w:pPr>
      <w:r w:rsidRPr="002F4D6B">
        <w:rPr>
          <w:rFonts w:asciiTheme="minorHAnsi" w:hAnsiTheme="minorHAnsi"/>
          <w:lang w:eastAsia="en-AU"/>
        </w:rPr>
        <w:t>The sponsor submitted a Risk Management Plan</w:t>
      </w:r>
      <w:r w:rsidR="002F4D6B" w:rsidRPr="002F4D6B">
        <w:rPr>
          <w:rFonts w:asciiTheme="minorHAnsi" w:hAnsiTheme="minorHAnsi"/>
          <w:lang w:eastAsia="en-AU"/>
        </w:rPr>
        <w:t xml:space="preserve"> (EU</w:t>
      </w:r>
      <w:r w:rsidR="000C2FFA">
        <w:rPr>
          <w:rFonts w:asciiTheme="minorHAnsi" w:hAnsiTheme="minorHAnsi"/>
          <w:lang w:eastAsia="en-AU"/>
        </w:rPr>
        <w:t>–</w:t>
      </w:r>
      <w:r w:rsidR="002F4D6B" w:rsidRPr="002F4D6B">
        <w:rPr>
          <w:rFonts w:asciiTheme="minorHAnsi" w:hAnsiTheme="minorHAnsi"/>
          <w:lang w:eastAsia="en-AU"/>
        </w:rPr>
        <w:t xml:space="preserve">RMP </w:t>
      </w:r>
      <w:r w:rsidR="002F4D6B" w:rsidRPr="002F4D6B">
        <w:rPr>
          <w:rFonts w:asciiTheme="minorHAnsi" w:eastAsiaTheme="minorHAnsi" w:hAnsiTheme="minorHAnsi" w:cs="Arial"/>
        </w:rPr>
        <w:t xml:space="preserve">11.1.2 dated September 2014 with </w:t>
      </w:r>
      <w:r w:rsidR="002F4D6B">
        <w:rPr>
          <w:rFonts w:asciiTheme="minorHAnsi" w:hAnsiTheme="minorHAnsi"/>
        </w:rPr>
        <w:t>an Australian Specific Annex [ASA]</w:t>
      </w:r>
      <w:r w:rsidR="002F4D6B" w:rsidRPr="002F4D6B">
        <w:rPr>
          <w:rFonts w:asciiTheme="minorHAnsi" w:hAnsiTheme="minorHAnsi"/>
        </w:rPr>
        <w:t xml:space="preserve"> Version: 2.0 dated December 2014) </w:t>
      </w:r>
      <w:r w:rsidR="002F4D6B" w:rsidRPr="002F4D6B">
        <w:rPr>
          <w:rFonts w:asciiTheme="minorHAnsi" w:hAnsiTheme="minorHAnsi"/>
          <w:lang w:eastAsia="en-AU"/>
        </w:rPr>
        <w:t>which</w:t>
      </w:r>
      <w:r w:rsidRPr="002F4D6B">
        <w:rPr>
          <w:rFonts w:asciiTheme="minorHAnsi" w:hAnsiTheme="minorHAnsi"/>
          <w:lang w:eastAsia="en-AU"/>
        </w:rPr>
        <w:t xml:space="preserve"> was reviewed by the </w:t>
      </w:r>
      <w:r w:rsidR="00FC1FCA" w:rsidRPr="002F4D6B">
        <w:rPr>
          <w:rFonts w:asciiTheme="minorHAnsi" w:hAnsiTheme="minorHAnsi"/>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372CAD"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w:t>
      </w:r>
      <w:r w:rsidR="00045C09">
        <w:rPr>
          <w:lang w:eastAsia="en-AU"/>
        </w:rPr>
        <w:t>Table 8</w:t>
      </w:r>
      <w:r w:rsidRPr="001C1222">
        <w:rPr>
          <w:lang w:eastAsia="en-AU"/>
        </w:rPr>
        <w:t>.</w:t>
      </w:r>
    </w:p>
    <w:p w:rsidR="00372CAD" w:rsidRDefault="006426F0" w:rsidP="007E6835">
      <w:pPr>
        <w:pStyle w:val="Tabletitle0"/>
        <w:rPr>
          <w:lang w:eastAsia="en-AU"/>
        </w:rPr>
      </w:pPr>
      <w:r>
        <w:rPr>
          <w:lang w:eastAsia="en-AU"/>
        </w:rPr>
        <w:t>Table 8</w:t>
      </w:r>
      <w:r w:rsidR="00E5760A">
        <w:rPr>
          <w:lang w:eastAsia="en-AU"/>
        </w:rPr>
        <w:t>:</w:t>
      </w:r>
      <w:r w:rsidR="00372CAD">
        <w:rPr>
          <w:lang w:eastAsia="en-AU"/>
        </w:rPr>
        <w:t xml:space="preserve"> Summary of Safety </w:t>
      </w:r>
      <w:r w:rsidR="007E6835">
        <w:rPr>
          <w:lang w:eastAsia="en-AU"/>
        </w:rPr>
        <w:t>Concerns</w:t>
      </w:r>
    </w:p>
    <w:tbl>
      <w:tblPr>
        <w:tblStyle w:val="TableTGAblue"/>
        <w:tblW w:w="0" w:type="auto"/>
        <w:tblLayout w:type="fixed"/>
        <w:tblLook w:val="04A0" w:firstRow="1" w:lastRow="0" w:firstColumn="1" w:lastColumn="0" w:noHBand="0" w:noVBand="1"/>
      </w:tblPr>
      <w:tblGrid>
        <w:gridCol w:w="1668"/>
        <w:gridCol w:w="7052"/>
      </w:tblGrid>
      <w:tr w:rsidR="004009A0" w:rsidRPr="00422949" w:rsidTr="00FF08B1">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4009A0" w:rsidRPr="00422949" w:rsidRDefault="004009A0" w:rsidP="00BB5A93">
            <w:pPr>
              <w:ind w:left="0"/>
            </w:pPr>
            <w:r>
              <w:t>Summary of Safety Concerns</w:t>
            </w:r>
          </w:p>
        </w:tc>
      </w:tr>
      <w:tr w:rsidR="00422949" w:rsidRPr="00422949" w:rsidTr="00FF08B1">
        <w:tc>
          <w:tcPr>
            <w:tcW w:w="1668" w:type="dxa"/>
          </w:tcPr>
          <w:p w:rsidR="00422949" w:rsidRPr="00030575" w:rsidRDefault="00422949" w:rsidP="00BB5A93">
            <w:pPr>
              <w:ind w:left="0"/>
            </w:pPr>
            <w:r w:rsidRPr="00030575">
              <w:t>Important Identified Risks</w:t>
            </w:r>
          </w:p>
        </w:tc>
        <w:tc>
          <w:tcPr>
            <w:tcW w:w="7052" w:type="dxa"/>
          </w:tcPr>
          <w:p w:rsidR="00422949" w:rsidRPr="00422949" w:rsidRDefault="00422949" w:rsidP="00BB5A93">
            <w:pPr>
              <w:ind w:left="0"/>
            </w:pPr>
            <w:r w:rsidRPr="00422949">
              <w:t>Serious infections including diverticulitis a</w:t>
            </w:r>
            <w:r w:rsidR="00207ABA">
              <w:t>nd opportunistic infections for example</w:t>
            </w:r>
            <w:r w:rsidRPr="00422949">
              <w:t xml:space="preserve"> invasive fungal infections, parasitic infections, </w:t>
            </w:r>
            <w:proofErr w:type="spellStart"/>
            <w:r w:rsidRPr="00422949">
              <w:t>leg</w:t>
            </w:r>
            <w:r w:rsidR="000A49D3">
              <w:t>ionellosis</w:t>
            </w:r>
            <w:proofErr w:type="spellEnd"/>
            <w:r w:rsidR="000A49D3">
              <w:t xml:space="preserve"> and t</w:t>
            </w:r>
            <w:r w:rsidR="004009A0">
              <w:t>uberculosis</w:t>
            </w:r>
            <w:r w:rsidRPr="00422949">
              <w:t>.</w:t>
            </w:r>
          </w:p>
          <w:p w:rsidR="00422949" w:rsidRPr="00422949" w:rsidRDefault="00422949" w:rsidP="00BB5A93">
            <w:pPr>
              <w:ind w:left="0"/>
            </w:pPr>
            <w:r w:rsidRPr="00422949">
              <w:t>Reactivation of hepatitis B</w:t>
            </w:r>
          </w:p>
          <w:p w:rsidR="00422949" w:rsidRPr="00422949" w:rsidRDefault="00422949" w:rsidP="00BB5A93">
            <w:pPr>
              <w:ind w:left="0"/>
            </w:pPr>
            <w:r w:rsidRPr="00422949">
              <w:t>Pancreatitis</w:t>
            </w:r>
          </w:p>
          <w:p w:rsidR="00422949" w:rsidRPr="00422949" w:rsidRDefault="00422949" w:rsidP="00BB5A93">
            <w:pPr>
              <w:ind w:left="0"/>
            </w:pPr>
            <w:r w:rsidRPr="00422949">
              <w:t>Lymphoma</w:t>
            </w:r>
          </w:p>
          <w:p w:rsidR="00422949" w:rsidRPr="00422949" w:rsidRDefault="00422949" w:rsidP="00BB5A93">
            <w:pPr>
              <w:ind w:left="0"/>
            </w:pPr>
            <w:proofErr w:type="spellStart"/>
            <w:r w:rsidRPr="00422949">
              <w:t>Hepatosplenic</w:t>
            </w:r>
            <w:proofErr w:type="spellEnd"/>
            <w:r w:rsidRPr="00422949">
              <w:t xml:space="preserve"> T</w:t>
            </w:r>
            <w:r w:rsidR="000C2FFA">
              <w:t>–</w:t>
            </w:r>
            <w:r w:rsidRPr="00422949">
              <w:t>cell lymphoma (HSTCL)</w:t>
            </w:r>
          </w:p>
          <w:p w:rsidR="00422949" w:rsidRPr="00422949" w:rsidRDefault="00422949" w:rsidP="00BB5A93">
            <w:pPr>
              <w:ind w:left="0"/>
            </w:pPr>
            <w:r w:rsidRPr="00422949">
              <w:t>Leukaemia</w:t>
            </w:r>
          </w:p>
          <w:p w:rsidR="00422949" w:rsidRPr="00422949" w:rsidRDefault="00422949" w:rsidP="00BB5A93">
            <w:pPr>
              <w:ind w:left="0"/>
            </w:pPr>
            <w:r w:rsidRPr="00422949">
              <w:t>Non</w:t>
            </w:r>
            <w:r w:rsidR="000C2FFA">
              <w:t>–</w:t>
            </w:r>
            <w:r w:rsidRPr="00422949">
              <w:t>melanoma skin cancer (NMSC)</w:t>
            </w:r>
          </w:p>
          <w:p w:rsidR="00422949" w:rsidRPr="00422949" w:rsidRDefault="00422949" w:rsidP="00BB5A93">
            <w:pPr>
              <w:ind w:left="0"/>
            </w:pPr>
            <w:r w:rsidRPr="00422949">
              <w:t>Melanoma</w:t>
            </w:r>
          </w:p>
          <w:p w:rsidR="00422949" w:rsidRPr="00422949" w:rsidRDefault="00422949" w:rsidP="00BB5A93">
            <w:pPr>
              <w:ind w:left="0"/>
            </w:pPr>
            <w:r w:rsidRPr="00422949">
              <w:lastRenderedPageBreak/>
              <w:t>Merkel Cell Carcinoma</w:t>
            </w:r>
          </w:p>
          <w:p w:rsidR="00422949" w:rsidRPr="00422949" w:rsidRDefault="00422949" w:rsidP="00BB5A93">
            <w:pPr>
              <w:ind w:left="0"/>
            </w:pPr>
            <w:r w:rsidRPr="00422949">
              <w:t xml:space="preserve">Demyelinating disorders (including Multiple Sclerosis, </w:t>
            </w:r>
            <w:proofErr w:type="spellStart"/>
            <w:r w:rsidRPr="00422949">
              <w:t>Guillain</w:t>
            </w:r>
            <w:proofErr w:type="spellEnd"/>
            <w:r w:rsidRPr="00422949">
              <w:t xml:space="preserve"> </w:t>
            </w:r>
            <w:proofErr w:type="spellStart"/>
            <w:r w:rsidRPr="00422949">
              <w:t>Barré</w:t>
            </w:r>
            <w:proofErr w:type="spellEnd"/>
            <w:r w:rsidRPr="00422949">
              <w:t xml:space="preserve"> Syndrome and optic neuritis)</w:t>
            </w:r>
          </w:p>
          <w:p w:rsidR="00422949" w:rsidRPr="00422949" w:rsidRDefault="00422949" w:rsidP="00BB5A93">
            <w:pPr>
              <w:ind w:left="0"/>
            </w:pPr>
            <w:r w:rsidRPr="00422949">
              <w:t>Immune reactions (including lupus</w:t>
            </w:r>
            <w:r w:rsidR="000C2FFA">
              <w:t>–</w:t>
            </w:r>
            <w:r w:rsidRPr="00422949">
              <w:t>like reactions and allergic reactions)</w:t>
            </w:r>
          </w:p>
          <w:p w:rsidR="00422949" w:rsidRPr="00422949" w:rsidRDefault="00422949" w:rsidP="00BB5A93">
            <w:pPr>
              <w:ind w:left="0"/>
            </w:pPr>
            <w:r w:rsidRPr="00422949">
              <w:t>Sarcoidosis</w:t>
            </w:r>
          </w:p>
          <w:p w:rsidR="00422949" w:rsidRPr="00422949" w:rsidRDefault="004009A0" w:rsidP="00BB5A93">
            <w:pPr>
              <w:ind w:left="0"/>
            </w:pPr>
            <w:r>
              <w:t>Congestive Heart Failure</w:t>
            </w:r>
          </w:p>
          <w:p w:rsidR="00422949" w:rsidRPr="00422949" w:rsidRDefault="004009A0" w:rsidP="00BB5A93">
            <w:pPr>
              <w:ind w:left="0"/>
            </w:pPr>
            <w:r>
              <w:t>Myocardial Infarction</w:t>
            </w:r>
          </w:p>
          <w:p w:rsidR="00422949" w:rsidRPr="00422949" w:rsidRDefault="004009A0" w:rsidP="00BB5A93">
            <w:pPr>
              <w:ind w:left="0"/>
            </w:pPr>
            <w:r>
              <w:t>Cerebrovascular accident</w:t>
            </w:r>
          </w:p>
          <w:p w:rsidR="00422949" w:rsidRPr="00422949" w:rsidRDefault="004009A0" w:rsidP="00BB5A93">
            <w:pPr>
              <w:ind w:left="0"/>
            </w:pPr>
            <w:r>
              <w:t>Interstitial lung disease</w:t>
            </w:r>
          </w:p>
          <w:p w:rsidR="00422949" w:rsidRPr="00422949" w:rsidRDefault="00422949" w:rsidP="00BB5A93">
            <w:pPr>
              <w:ind w:left="0"/>
            </w:pPr>
            <w:r w:rsidRPr="00422949">
              <w:t>Pulmona</w:t>
            </w:r>
            <w:r w:rsidR="004009A0">
              <w:t>ry embolism</w:t>
            </w:r>
          </w:p>
          <w:p w:rsidR="00422949" w:rsidRPr="00422949" w:rsidRDefault="00422949" w:rsidP="00BB5A93">
            <w:pPr>
              <w:ind w:left="0"/>
            </w:pPr>
            <w:r w:rsidRPr="00422949">
              <w:t>Cutaneous vasculitis</w:t>
            </w:r>
          </w:p>
          <w:p w:rsidR="00422949" w:rsidRPr="00422949" w:rsidRDefault="004009A0" w:rsidP="00BB5A93">
            <w:pPr>
              <w:ind w:left="0"/>
            </w:pPr>
            <w:r>
              <w:t>Stevens</w:t>
            </w:r>
            <w:r w:rsidR="000C2FFA">
              <w:t>–</w:t>
            </w:r>
            <w:r>
              <w:t>Johnson Syndrome</w:t>
            </w:r>
            <w:r w:rsidR="00422949" w:rsidRPr="00422949">
              <w:t xml:space="preserve"> and erythema </w:t>
            </w:r>
            <w:proofErr w:type="spellStart"/>
            <w:r w:rsidR="00422949" w:rsidRPr="00422949">
              <w:t>multiforme</w:t>
            </w:r>
            <w:proofErr w:type="spellEnd"/>
          </w:p>
          <w:p w:rsidR="00422949" w:rsidRPr="00422949" w:rsidRDefault="00422949" w:rsidP="00BB5A93">
            <w:pPr>
              <w:ind w:left="0"/>
            </w:pPr>
            <w:r w:rsidRPr="00422949">
              <w:t>Worsening and new onset of Psoriasis</w:t>
            </w:r>
          </w:p>
          <w:p w:rsidR="00422949" w:rsidRPr="00422949" w:rsidRDefault="00422949" w:rsidP="00BB5A93">
            <w:pPr>
              <w:ind w:left="0"/>
            </w:pPr>
            <w:proofErr w:type="spellStart"/>
            <w:r w:rsidRPr="00422949">
              <w:t>Haematologic</w:t>
            </w:r>
            <w:proofErr w:type="spellEnd"/>
            <w:r w:rsidRPr="00422949">
              <w:t xml:space="preserve"> disorders</w:t>
            </w:r>
          </w:p>
          <w:p w:rsidR="00422949" w:rsidRPr="00422949" w:rsidRDefault="00422949" w:rsidP="00BB5A93">
            <w:pPr>
              <w:ind w:left="0"/>
            </w:pPr>
            <w:r w:rsidRPr="00422949">
              <w:t>Intestinal perforation</w:t>
            </w:r>
          </w:p>
          <w:p w:rsidR="00422949" w:rsidRPr="00422949" w:rsidRDefault="00422949" w:rsidP="00BB5A93">
            <w:pPr>
              <w:ind w:left="0"/>
            </w:pPr>
            <w:r w:rsidRPr="00422949">
              <w:t>Intestinal strictures in Crohn’s disease</w:t>
            </w:r>
          </w:p>
          <w:p w:rsidR="00422949" w:rsidRPr="00422949" w:rsidRDefault="00422949" w:rsidP="00BB5A93">
            <w:pPr>
              <w:ind w:left="0"/>
            </w:pPr>
            <w:r w:rsidRPr="00422949">
              <w:t>Liver failure and other liver events</w:t>
            </w:r>
          </w:p>
          <w:p w:rsidR="00422949" w:rsidRPr="00422949" w:rsidRDefault="00422949" w:rsidP="00BB5A93">
            <w:pPr>
              <w:ind w:left="0"/>
            </w:pPr>
            <w:r w:rsidRPr="00422949">
              <w:t>Elevated ALT levels</w:t>
            </w:r>
          </w:p>
          <w:p w:rsidR="00422949" w:rsidRPr="00422949" w:rsidRDefault="00422949" w:rsidP="00BB5A93">
            <w:pPr>
              <w:ind w:left="0"/>
            </w:pPr>
            <w:r w:rsidRPr="00422949">
              <w:t>Autoimmune hepatitis</w:t>
            </w:r>
          </w:p>
          <w:p w:rsidR="00422949" w:rsidRPr="00422949" w:rsidRDefault="00422949" w:rsidP="00BB5A93">
            <w:pPr>
              <w:ind w:left="0"/>
            </w:pPr>
            <w:r w:rsidRPr="00422949">
              <w:t>Medication errors and maladministration</w:t>
            </w:r>
          </w:p>
        </w:tc>
      </w:tr>
      <w:tr w:rsidR="00422949" w:rsidRPr="00422949" w:rsidTr="00FF08B1">
        <w:tc>
          <w:tcPr>
            <w:tcW w:w="1668" w:type="dxa"/>
          </w:tcPr>
          <w:p w:rsidR="00422949" w:rsidRPr="00030575" w:rsidRDefault="00422949" w:rsidP="00BB5A93">
            <w:pPr>
              <w:ind w:left="0"/>
            </w:pPr>
            <w:r w:rsidRPr="00030575">
              <w:lastRenderedPageBreak/>
              <w:t>Important Potential Risks</w:t>
            </w:r>
          </w:p>
        </w:tc>
        <w:tc>
          <w:tcPr>
            <w:tcW w:w="7052" w:type="dxa"/>
          </w:tcPr>
          <w:p w:rsidR="00422949" w:rsidRPr="00B70104" w:rsidRDefault="00422949" w:rsidP="00BB5A93">
            <w:pPr>
              <w:ind w:left="0"/>
            </w:pPr>
            <w:r w:rsidRPr="00B70104">
              <w:t>Other malignancies (except lymphoma, HSTCL, leukaemia, NMSC and melanoma)</w:t>
            </w:r>
          </w:p>
          <w:p w:rsidR="00422949" w:rsidRPr="00B70104" w:rsidRDefault="00422949" w:rsidP="00BB5A93">
            <w:pPr>
              <w:ind w:left="0"/>
            </w:pPr>
            <w:r w:rsidRPr="00B70104">
              <w:t>Vasculitis (non</w:t>
            </w:r>
            <w:r w:rsidR="000C2FFA" w:rsidRPr="00B70104">
              <w:t>–</w:t>
            </w:r>
            <w:r w:rsidRPr="00B70104">
              <w:t>cutaneous)</w:t>
            </w:r>
          </w:p>
          <w:p w:rsidR="00422949" w:rsidRPr="00FF08B1" w:rsidRDefault="00422949" w:rsidP="00BB5A93">
            <w:pPr>
              <w:ind w:left="0"/>
            </w:pPr>
            <w:r w:rsidRPr="00FF08B1">
              <w:t>Progressive mult</w:t>
            </w:r>
            <w:r w:rsidR="004009A0" w:rsidRPr="00FF08B1">
              <w:t>ifocal leukoencephalopathy</w:t>
            </w:r>
          </w:p>
          <w:p w:rsidR="00422949" w:rsidRPr="00FF08B1" w:rsidRDefault="00422949" w:rsidP="00BB5A93">
            <w:pPr>
              <w:ind w:left="0"/>
            </w:pPr>
            <w:r w:rsidRPr="00FF08B1">
              <w:t>Reversible posterior leu</w:t>
            </w:r>
            <w:r w:rsidR="004009A0" w:rsidRPr="00FF08B1">
              <w:t>koencephalopathy syndrome</w:t>
            </w:r>
          </w:p>
          <w:p w:rsidR="00422949" w:rsidRPr="00FF08B1" w:rsidRDefault="00422949" w:rsidP="00BB5A93">
            <w:pPr>
              <w:ind w:left="0"/>
            </w:pPr>
            <w:r w:rsidRPr="00FF08B1">
              <w:t>Amy</w:t>
            </w:r>
            <w:r w:rsidR="004009A0" w:rsidRPr="00FF08B1">
              <w:t>otrophic Lateral Sclerosis</w:t>
            </w:r>
          </w:p>
          <w:p w:rsidR="00422949" w:rsidRPr="00FF08B1" w:rsidRDefault="00422949" w:rsidP="00BB5A93">
            <w:pPr>
              <w:ind w:left="0"/>
            </w:pPr>
            <w:r w:rsidRPr="00FF08B1">
              <w:t>Colon cancer in Ulcerative Colitis patients</w:t>
            </w:r>
          </w:p>
          <w:p w:rsidR="00422949" w:rsidRPr="00FF08B1" w:rsidRDefault="00422949" w:rsidP="00BB5A93">
            <w:pPr>
              <w:ind w:left="0"/>
            </w:pPr>
            <w:r w:rsidRPr="00FF08B1">
              <w:t>Infections in infants exposed to adalimumab in utero</w:t>
            </w:r>
          </w:p>
          <w:p w:rsidR="00422949" w:rsidRPr="00FF08B1" w:rsidRDefault="00422949" w:rsidP="00BB5A93">
            <w:pPr>
              <w:ind w:left="0"/>
            </w:pPr>
            <w:r w:rsidRPr="00FF08B1">
              <w:t>Medication errors with paediatric vial</w:t>
            </w:r>
          </w:p>
          <w:p w:rsidR="00422949" w:rsidRPr="00422949" w:rsidRDefault="00422949" w:rsidP="00BB5A93">
            <w:pPr>
              <w:ind w:left="0"/>
            </w:pPr>
            <w:r w:rsidRPr="00FF08B1">
              <w:t>Off</w:t>
            </w:r>
            <w:r w:rsidR="000C2FFA" w:rsidRPr="00FF08B1">
              <w:t>–</w:t>
            </w:r>
            <w:r w:rsidRPr="00FF08B1">
              <w:t>label use</w:t>
            </w:r>
          </w:p>
        </w:tc>
      </w:tr>
      <w:tr w:rsidR="00422949" w:rsidRPr="00422949" w:rsidTr="00FF08B1">
        <w:tc>
          <w:tcPr>
            <w:tcW w:w="1668" w:type="dxa"/>
          </w:tcPr>
          <w:p w:rsidR="00422949" w:rsidRPr="00030575" w:rsidRDefault="00422949" w:rsidP="00BB5A93">
            <w:pPr>
              <w:ind w:left="0"/>
            </w:pPr>
            <w:r w:rsidRPr="00030575">
              <w:t>Missing information</w:t>
            </w:r>
          </w:p>
        </w:tc>
        <w:tc>
          <w:tcPr>
            <w:tcW w:w="7052" w:type="dxa"/>
          </w:tcPr>
          <w:p w:rsidR="00422949" w:rsidRPr="00FF08B1" w:rsidRDefault="00422949" w:rsidP="00BB5A93">
            <w:pPr>
              <w:ind w:left="0"/>
            </w:pPr>
            <w:r w:rsidRPr="00FF08B1">
              <w:t>Subjects with immune</w:t>
            </w:r>
            <w:r w:rsidR="000C2FFA" w:rsidRPr="00FF08B1">
              <w:t>–</w:t>
            </w:r>
            <w:r w:rsidRPr="00FF08B1">
              <w:t>compromised conditions (i.e. subjects with HIV, post</w:t>
            </w:r>
            <w:r w:rsidR="000C2FFA" w:rsidRPr="00FF08B1">
              <w:t>–</w:t>
            </w:r>
            <w:r w:rsidRPr="00FF08B1">
              <w:t>chemotherapy, organ transplant); subjects with a history of clinically significant drug or alcohol abuse</w:t>
            </w:r>
          </w:p>
          <w:p w:rsidR="00422949" w:rsidRPr="00FF08B1" w:rsidRDefault="00422949" w:rsidP="00BB5A93">
            <w:pPr>
              <w:ind w:left="0"/>
            </w:pPr>
            <w:r w:rsidRPr="00FF08B1">
              <w:t>Subjects with poorly controlled medical conditions such as uncontrolled diabetes or documented history of recurrent infections, unsta</w:t>
            </w:r>
            <w:r w:rsidR="004009A0" w:rsidRPr="00FF08B1">
              <w:t>ble ischaemic heart disease, congestive heart failure</w:t>
            </w:r>
            <w:r w:rsidRPr="00FF08B1">
              <w:t xml:space="preserve">, recent </w:t>
            </w:r>
            <w:r w:rsidRPr="00FF08B1">
              <w:lastRenderedPageBreak/>
              <w:t>cerebrovascular accidents</w:t>
            </w:r>
          </w:p>
          <w:p w:rsidR="00422949" w:rsidRPr="00FF08B1" w:rsidRDefault="00422949" w:rsidP="00BB5A93">
            <w:pPr>
              <w:ind w:left="0"/>
            </w:pPr>
            <w:r w:rsidRPr="00FF08B1">
              <w:t xml:space="preserve">Subjects with a history of </w:t>
            </w:r>
            <w:proofErr w:type="spellStart"/>
            <w:r w:rsidRPr="00FF08B1">
              <w:t>listeriosis</w:t>
            </w:r>
            <w:proofErr w:type="spellEnd"/>
            <w:r w:rsidRPr="00FF08B1">
              <w:t>, hist</w:t>
            </w:r>
            <w:r w:rsidR="004009A0" w:rsidRPr="00FF08B1">
              <w:t>ory of histoplasmosis, active tuberculosis</w:t>
            </w:r>
            <w:r w:rsidRPr="00FF08B1">
              <w:t>, persistent chronic or active infections requiring treatment with antibiotics, antivirals or antifungals, history of viral hepatitis</w:t>
            </w:r>
          </w:p>
          <w:p w:rsidR="00422949" w:rsidRPr="00FF08B1" w:rsidRDefault="00422949" w:rsidP="00BB5A93">
            <w:pPr>
              <w:ind w:left="0"/>
            </w:pPr>
            <w:r w:rsidRPr="00FF08B1">
              <w:t>Subjects with a history of cancer, lymphoma, leukaemia or lymphoproliferative disease; subjects with history of neurologic symptoms suggestive of demyelinating disorders</w:t>
            </w:r>
          </w:p>
          <w:p w:rsidR="00422949" w:rsidRPr="00FF08B1" w:rsidRDefault="00422949" w:rsidP="00BB5A93">
            <w:pPr>
              <w:ind w:left="0"/>
            </w:pPr>
            <w:r w:rsidRPr="00FF08B1">
              <w:t xml:space="preserve">Children &lt; 18 years of age for </w:t>
            </w:r>
            <w:proofErr w:type="spellStart"/>
            <w:r w:rsidR="00FF08B1">
              <w:t>PsA</w:t>
            </w:r>
            <w:proofErr w:type="spellEnd"/>
            <w:r w:rsidRPr="00FF08B1">
              <w:t xml:space="preserve">, </w:t>
            </w:r>
            <w:r w:rsidR="00FF08B1">
              <w:t>AS</w:t>
            </w:r>
            <w:r w:rsidRPr="00FF08B1">
              <w:t xml:space="preserve">, </w:t>
            </w:r>
            <w:r w:rsidR="00FF08B1">
              <w:t>P</w:t>
            </w:r>
            <w:r w:rsidRPr="00FF08B1">
              <w:t xml:space="preserve">s, </w:t>
            </w:r>
            <w:r w:rsidR="00FF08B1">
              <w:t>UC</w:t>
            </w:r>
            <w:r w:rsidRPr="00FF08B1">
              <w:t xml:space="preserve">, </w:t>
            </w:r>
            <w:proofErr w:type="spellStart"/>
            <w:r w:rsidR="00FF08B1">
              <w:t>SpA</w:t>
            </w:r>
            <w:proofErr w:type="spellEnd"/>
            <w:r w:rsidRPr="00FF08B1">
              <w:t xml:space="preserve">, </w:t>
            </w:r>
            <w:r w:rsidR="00FF08B1">
              <w:t>HS</w:t>
            </w:r>
            <w:r w:rsidRPr="00FF08B1">
              <w:t xml:space="preserve">, </w:t>
            </w:r>
            <w:proofErr w:type="spellStart"/>
            <w:r w:rsidRPr="00FF08B1">
              <w:t>enthesitis</w:t>
            </w:r>
            <w:proofErr w:type="spellEnd"/>
            <w:r w:rsidR="0095258E">
              <w:t xml:space="preserve"> </w:t>
            </w:r>
            <w:r w:rsidRPr="00FF08B1">
              <w:t>related arthritis, and uveitis indications</w:t>
            </w:r>
          </w:p>
          <w:p w:rsidR="00422949" w:rsidRPr="00FF08B1" w:rsidRDefault="00422949" w:rsidP="00BB5A93">
            <w:pPr>
              <w:ind w:left="0"/>
            </w:pPr>
            <w:r w:rsidRPr="00FF08B1">
              <w:t xml:space="preserve">Children &lt; 2 years of age for </w:t>
            </w:r>
            <w:r w:rsidR="00FF08B1">
              <w:t>JIA</w:t>
            </w:r>
          </w:p>
          <w:p w:rsidR="00422949" w:rsidRPr="00FF08B1" w:rsidRDefault="00422949" w:rsidP="00BB5A93">
            <w:pPr>
              <w:ind w:left="0"/>
            </w:pPr>
            <w:r w:rsidRPr="00FF08B1">
              <w:t xml:space="preserve">Children &lt; 6 </w:t>
            </w:r>
            <w:r w:rsidR="00FF08B1">
              <w:t>years of age for CD</w:t>
            </w:r>
            <w:r w:rsidRPr="00FF08B1">
              <w:t xml:space="preserve"> and </w:t>
            </w:r>
            <w:proofErr w:type="spellStart"/>
            <w:r w:rsidRPr="00FF08B1">
              <w:t>enthesitis</w:t>
            </w:r>
            <w:proofErr w:type="spellEnd"/>
            <w:r w:rsidR="0095258E">
              <w:t xml:space="preserve"> </w:t>
            </w:r>
            <w:r w:rsidRPr="00FF08B1">
              <w:t>related arthritis.</w:t>
            </w:r>
          </w:p>
          <w:p w:rsidR="00422949" w:rsidRPr="00FF08B1" w:rsidRDefault="00422949" w:rsidP="00BB5A93">
            <w:pPr>
              <w:ind w:left="0"/>
            </w:pPr>
            <w:r w:rsidRPr="00FF08B1">
              <w:t>Pregnant and lactating women</w:t>
            </w:r>
          </w:p>
          <w:p w:rsidR="00422949" w:rsidRPr="00FF08B1" w:rsidRDefault="00422949" w:rsidP="00BB5A93">
            <w:pPr>
              <w:ind w:left="0"/>
            </w:pPr>
            <w:r w:rsidRPr="00FF08B1">
              <w:t>Subjects with renal or liver impairment</w:t>
            </w:r>
          </w:p>
          <w:p w:rsidR="00422949" w:rsidRPr="00FF08B1" w:rsidRDefault="00422949" w:rsidP="00BB5A93">
            <w:pPr>
              <w:ind w:left="0"/>
            </w:pPr>
            <w:r w:rsidRPr="00FF08B1">
              <w:t>Patients taking concomitant biologic therapy</w:t>
            </w:r>
          </w:p>
          <w:p w:rsidR="00422949" w:rsidRPr="00FF08B1" w:rsidRDefault="00422949" w:rsidP="00BB5A93">
            <w:pPr>
              <w:ind w:left="0"/>
            </w:pPr>
            <w:r w:rsidRPr="00FF08B1">
              <w:t>Long</w:t>
            </w:r>
            <w:r w:rsidR="000C2FFA" w:rsidRPr="00FF08B1">
              <w:t>–</w:t>
            </w:r>
            <w:r w:rsidRPr="00FF08B1">
              <w:t>term rheumatoid arthritis data beyond 10 years</w:t>
            </w:r>
          </w:p>
          <w:p w:rsidR="00422949" w:rsidRPr="00FF08B1" w:rsidRDefault="00422949" w:rsidP="00BB5A93">
            <w:pPr>
              <w:ind w:left="0"/>
            </w:pPr>
            <w:r w:rsidRPr="00FF08B1">
              <w:t>Long</w:t>
            </w:r>
            <w:r w:rsidR="000C2FFA" w:rsidRPr="00FF08B1">
              <w:t>–</w:t>
            </w:r>
            <w:r w:rsidRPr="00FF08B1">
              <w:t>term juvenile idiopathic arthritis data beyond 7.5 years</w:t>
            </w:r>
          </w:p>
          <w:p w:rsidR="00422949" w:rsidRPr="00FF08B1" w:rsidRDefault="00422949" w:rsidP="00BB5A93">
            <w:pPr>
              <w:ind w:left="0"/>
            </w:pPr>
            <w:r w:rsidRPr="00FF08B1">
              <w:t>Episodic treatment in juvenile idiopathic arthritis</w:t>
            </w:r>
          </w:p>
          <w:p w:rsidR="00422949" w:rsidRPr="00FF08B1" w:rsidRDefault="00422949" w:rsidP="00BB5A93">
            <w:pPr>
              <w:ind w:left="0"/>
            </w:pPr>
            <w:r w:rsidRPr="00FF08B1">
              <w:t>Long</w:t>
            </w:r>
            <w:r w:rsidR="00E9533C">
              <w:t xml:space="preserve"> </w:t>
            </w:r>
            <w:r w:rsidRPr="00FF08B1">
              <w:t>term ankylosing spondylitis data beyond 5 years</w:t>
            </w:r>
          </w:p>
          <w:p w:rsidR="00422949" w:rsidRPr="00FF08B1" w:rsidRDefault="00422949" w:rsidP="00BB5A93">
            <w:pPr>
              <w:ind w:left="0"/>
            </w:pPr>
            <w:r w:rsidRPr="00FF08B1">
              <w:t>Long</w:t>
            </w:r>
            <w:r w:rsidR="00E9533C">
              <w:t xml:space="preserve"> </w:t>
            </w:r>
            <w:r w:rsidRPr="00FF08B1">
              <w:t xml:space="preserve">term axial </w:t>
            </w:r>
            <w:proofErr w:type="spellStart"/>
            <w:r w:rsidRPr="00FF08B1">
              <w:t>spondyloarthritis</w:t>
            </w:r>
            <w:proofErr w:type="spellEnd"/>
            <w:r w:rsidRPr="00FF08B1">
              <w:t xml:space="preserve"> </w:t>
            </w:r>
            <w:r w:rsidR="00050F4C">
              <w:t>(</w:t>
            </w:r>
            <w:proofErr w:type="spellStart"/>
            <w:r w:rsidR="00050F4C">
              <w:t>SpA</w:t>
            </w:r>
            <w:proofErr w:type="spellEnd"/>
            <w:r w:rsidR="00050F4C">
              <w:t xml:space="preserve">) </w:t>
            </w:r>
            <w:r w:rsidRPr="00FF08B1">
              <w:t>data beyond 1 year</w:t>
            </w:r>
          </w:p>
          <w:p w:rsidR="00422949" w:rsidRPr="00FF08B1" w:rsidRDefault="00422949" w:rsidP="00BB5A93">
            <w:pPr>
              <w:ind w:left="0"/>
            </w:pPr>
            <w:r w:rsidRPr="00FF08B1">
              <w:t>Short and long</w:t>
            </w:r>
            <w:r w:rsidR="00E9533C">
              <w:t xml:space="preserve"> </w:t>
            </w:r>
            <w:r w:rsidRPr="00FF08B1">
              <w:t xml:space="preserve">term peripheral </w:t>
            </w:r>
            <w:proofErr w:type="spellStart"/>
            <w:r w:rsidR="00FF08B1">
              <w:t>SpA</w:t>
            </w:r>
            <w:proofErr w:type="spellEnd"/>
            <w:r w:rsidRPr="00FF08B1">
              <w:t xml:space="preserve"> data</w:t>
            </w:r>
          </w:p>
          <w:p w:rsidR="00422949" w:rsidRPr="00FF08B1" w:rsidRDefault="00422949" w:rsidP="00BB5A93">
            <w:pPr>
              <w:ind w:left="0"/>
            </w:pPr>
            <w:r w:rsidRPr="00FF08B1">
              <w:t>Remission</w:t>
            </w:r>
            <w:r w:rsidR="000C2FFA" w:rsidRPr="00FF08B1">
              <w:t>–</w:t>
            </w:r>
            <w:r w:rsidRPr="00FF08B1">
              <w:t>withdrawal</w:t>
            </w:r>
            <w:r w:rsidR="000C2FFA" w:rsidRPr="00FF08B1">
              <w:t>–</w:t>
            </w:r>
            <w:r w:rsidRPr="00FF08B1">
              <w:t xml:space="preserve">retreatment axial </w:t>
            </w:r>
            <w:proofErr w:type="spellStart"/>
            <w:r w:rsidR="00FF08B1">
              <w:t>SpA</w:t>
            </w:r>
            <w:proofErr w:type="spellEnd"/>
            <w:r w:rsidRPr="00FF08B1">
              <w:t xml:space="preserve"> data</w:t>
            </w:r>
          </w:p>
          <w:p w:rsidR="00422949" w:rsidRPr="00FF08B1" w:rsidRDefault="00422949" w:rsidP="00BB5A93">
            <w:pPr>
              <w:ind w:left="0"/>
            </w:pPr>
            <w:r w:rsidRPr="00FF08B1">
              <w:t>Short and long</w:t>
            </w:r>
            <w:r w:rsidR="00E9533C">
              <w:t xml:space="preserve"> </w:t>
            </w:r>
            <w:r w:rsidRPr="00FF08B1">
              <w:t xml:space="preserve">term paediatric </w:t>
            </w:r>
            <w:proofErr w:type="spellStart"/>
            <w:r w:rsidRPr="00FF08B1">
              <w:t>enthesitis</w:t>
            </w:r>
            <w:proofErr w:type="spellEnd"/>
            <w:r w:rsidR="001629EE">
              <w:t xml:space="preserve"> </w:t>
            </w:r>
            <w:r w:rsidRPr="00FF08B1">
              <w:t xml:space="preserve">related arthritis </w:t>
            </w:r>
            <w:r w:rsidR="001629EE">
              <w:t>(</w:t>
            </w:r>
            <w:proofErr w:type="spellStart"/>
            <w:r w:rsidR="001629EE">
              <w:t>pedERA</w:t>
            </w:r>
            <w:proofErr w:type="spellEnd"/>
            <w:r w:rsidR="001629EE">
              <w:t>)</w:t>
            </w:r>
            <w:r w:rsidRPr="00FF08B1">
              <w:t>data</w:t>
            </w:r>
          </w:p>
          <w:p w:rsidR="00422949" w:rsidRPr="00FF08B1" w:rsidRDefault="00422949" w:rsidP="00BB5A93">
            <w:pPr>
              <w:ind w:left="0"/>
            </w:pPr>
            <w:r w:rsidRPr="00FF08B1">
              <w:t>Long</w:t>
            </w:r>
            <w:r w:rsidR="00E9533C">
              <w:t xml:space="preserve"> </w:t>
            </w:r>
            <w:r w:rsidRPr="00FF08B1">
              <w:t xml:space="preserve">term </w:t>
            </w:r>
            <w:proofErr w:type="spellStart"/>
            <w:r w:rsidR="00FF08B1">
              <w:t>PsA</w:t>
            </w:r>
            <w:proofErr w:type="spellEnd"/>
            <w:r w:rsidRPr="00FF08B1">
              <w:t xml:space="preserve"> data beyond 3 years</w:t>
            </w:r>
          </w:p>
          <w:p w:rsidR="00422949" w:rsidRPr="00FF08B1" w:rsidRDefault="00422949" w:rsidP="00BB5A93">
            <w:pPr>
              <w:ind w:left="0"/>
            </w:pPr>
            <w:r w:rsidRPr="00FF08B1">
              <w:t>Long</w:t>
            </w:r>
            <w:r w:rsidR="00E9533C">
              <w:t xml:space="preserve"> </w:t>
            </w:r>
            <w:r w:rsidRPr="00FF08B1">
              <w:t xml:space="preserve">term </w:t>
            </w:r>
            <w:r w:rsidR="00FF08B1">
              <w:t>Ps</w:t>
            </w:r>
            <w:r w:rsidRPr="00FF08B1">
              <w:t xml:space="preserve"> data beyond 6 years</w:t>
            </w:r>
          </w:p>
          <w:p w:rsidR="00422949" w:rsidRPr="00FF08B1" w:rsidRDefault="00422949" w:rsidP="00BB5A93">
            <w:pPr>
              <w:ind w:left="0"/>
            </w:pPr>
            <w:r w:rsidRPr="00FF08B1">
              <w:t xml:space="preserve">Episodic treatment in </w:t>
            </w:r>
            <w:r w:rsidR="00FF08B1">
              <w:t>Ps</w:t>
            </w:r>
          </w:p>
          <w:p w:rsidR="00422949" w:rsidRPr="001F1241" w:rsidRDefault="00422949" w:rsidP="00BB5A93">
            <w:pPr>
              <w:ind w:left="0"/>
            </w:pPr>
            <w:r w:rsidRPr="001F1241">
              <w:t>Short and long</w:t>
            </w:r>
            <w:r w:rsidR="00E9533C">
              <w:t xml:space="preserve"> </w:t>
            </w:r>
            <w:r w:rsidRPr="001F1241">
              <w:t xml:space="preserve">term hidradenitis </w:t>
            </w:r>
            <w:proofErr w:type="spellStart"/>
            <w:r w:rsidRPr="001F1241">
              <w:t>suppurativa</w:t>
            </w:r>
            <w:proofErr w:type="spellEnd"/>
            <w:r w:rsidRPr="001F1241">
              <w:t xml:space="preserve"> data</w:t>
            </w:r>
          </w:p>
          <w:p w:rsidR="00422949" w:rsidRPr="00FF08B1" w:rsidRDefault="00422949" w:rsidP="00BB5A93">
            <w:pPr>
              <w:ind w:left="0"/>
            </w:pPr>
            <w:r w:rsidRPr="00FF08B1">
              <w:t>Long</w:t>
            </w:r>
            <w:r w:rsidR="00E9533C">
              <w:t xml:space="preserve"> </w:t>
            </w:r>
            <w:r w:rsidR="00FF08B1" w:rsidRPr="00FF08B1">
              <w:t>term CD</w:t>
            </w:r>
            <w:r w:rsidRPr="00FF08B1">
              <w:t xml:space="preserve"> data beyond 5 years</w:t>
            </w:r>
          </w:p>
          <w:p w:rsidR="00422949" w:rsidRPr="00FF08B1" w:rsidRDefault="00422949" w:rsidP="00BB5A93">
            <w:pPr>
              <w:ind w:left="0"/>
            </w:pPr>
            <w:r w:rsidRPr="00FF08B1">
              <w:t>Episodic treatment in C</w:t>
            </w:r>
            <w:r w:rsidR="00FF08B1" w:rsidRPr="00FF08B1">
              <w:t>D</w:t>
            </w:r>
          </w:p>
          <w:p w:rsidR="00422949" w:rsidRPr="00FF08B1" w:rsidRDefault="00422949" w:rsidP="00BB5A93">
            <w:pPr>
              <w:ind w:left="0"/>
            </w:pPr>
            <w:r w:rsidRPr="00FF08B1">
              <w:t>Long</w:t>
            </w:r>
            <w:r w:rsidR="00E9533C">
              <w:t xml:space="preserve"> </w:t>
            </w:r>
            <w:r w:rsidRPr="00FF08B1">
              <w:t>term paediatric C</w:t>
            </w:r>
            <w:r w:rsidR="00FF08B1" w:rsidRPr="00FF08B1">
              <w:t>D</w:t>
            </w:r>
            <w:r w:rsidRPr="00FF08B1">
              <w:t xml:space="preserve"> data beyond 2 years</w:t>
            </w:r>
          </w:p>
          <w:p w:rsidR="00422949" w:rsidRPr="00FF08B1" w:rsidRDefault="00422949" w:rsidP="00BB5A93">
            <w:pPr>
              <w:ind w:left="0"/>
            </w:pPr>
            <w:r w:rsidRPr="00FF08B1">
              <w:t>Long</w:t>
            </w:r>
            <w:r w:rsidR="00E9533C">
              <w:t xml:space="preserve"> </w:t>
            </w:r>
            <w:r w:rsidRPr="00FF08B1">
              <w:t xml:space="preserve">term </w:t>
            </w:r>
            <w:r w:rsidR="00FF08B1" w:rsidRPr="00FF08B1">
              <w:t>UC</w:t>
            </w:r>
            <w:r w:rsidRPr="00FF08B1">
              <w:t xml:space="preserve"> data</w:t>
            </w:r>
          </w:p>
          <w:p w:rsidR="00422949" w:rsidRPr="00FF08B1" w:rsidRDefault="00422949" w:rsidP="00BB5A93">
            <w:pPr>
              <w:ind w:left="0"/>
            </w:pPr>
            <w:r w:rsidRPr="00FF08B1">
              <w:t xml:space="preserve">Episodic treatment in </w:t>
            </w:r>
            <w:r w:rsidR="00FF08B1" w:rsidRPr="00FF08B1">
              <w:t>UC</w:t>
            </w:r>
          </w:p>
          <w:p w:rsidR="00422949" w:rsidRPr="00422949" w:rsidRDefault="00422949" w:rsidP="00BB5A93">
            <w:pPr>
              <w:ind w:left="0"/>
            </w:pPr>
            <w:r w:rsidRPr="00FF08B1">
              <w:t>Short and long</w:t>
            </w:r>
            <w:r w:rsidR="00E9533C">
              <w:t xml:space="preserve"> </w:t>
            </w:r>
            <w:r w:rsidRPr="00FF08B1">
              <w:t>term uveitis data</w:t>
            </w:r>
          </w:p>
        </w:tc>
      </w:tr>
    </w:tbl>
    <w:p w:rsidR="00057E5A"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rsidR="00057E5A" w:rsidRDefault="00057E5A" w:rsidP="00057E5A">
      <w:pPr>
        <w:pStyle w:val="Heading5"/>
      </w:pPr>
      <w:bookmarkStart w:id="104" w:name="_Toc425501856"/>
      <w:r w:rsidRPr="00057E5A">
        <w:t>Proposed pharmacovigilance activities</w:t>
      </w:r>
      <w:bookmarkEnd w:id="104"/>
    </w:p>
    <w:p w:rsidR="00057E5A" w:rsidRPr="00057E5A" w:rsidRDefault="00057E5A" w:rsidP="00057E5A">
      <w:r w:rsidRPr="00057E5A">
        <w:t>The sponsor proposes routine pharmacovigilance activities to monitor all the specified safety con</w:t>
      </w:r>
      <w:r w:rsidR="005C6C90">
        <w:t>cerns and missing information.</w:t>
      </w:r>
    </w:p>
    <w:p w:rsidR="00057E5A" w:rsidRDefault="00057E5A" w:rsidP="00057E5A">
      <w:r w:rsidRPr="00057E5A">
        <w:t xml:space="preserve">The ASA states: </w:t>
      </w:r>
      <w:r w:rsidR="00E92D16">
        <w:t>‘</w:t>
      </w:r>
      <w:r w:rsidRPr="00057E5A">
        <w:rPr>
          <w:i/>
        </w:rPr>
        <w:t>AbbVie will continue to educate physicians about the appropriate use of adalimumab. If new important safety signals are detected through routine pharmacovigilance monitoring this will be reflected in the local approved product information. Any information that is received that may alter the content of the RMP will be updated and re</w:t>
      </w:r>
      <w:r w:rsidR="000C2FFA">
        <w:rPr>
          <w:i/>
        </w:rPr>
        <w:t>–</w:t>
      </w:r>
      <w:r w:rsidRPr="00057E5A">
        <w:rPr>
          <w:i/>
        </w:rPr>
        <w:t>submitted to Therapeutic Goods Administration for review. The AbbVie pharmacovigilance system will continue to monitor adalimumab on the market and guarantee that appropriate actions are taken when necessary</w:t>
      </w:r>
      <w:r w:rsidR="00E92D16">
        <w:t>’</w:t>
      </w:r>
      <w:r w:rsidRPr="00057E5A">
        <w:t>.</w:t>
      </w:r>
    </w:p>
    <w:p w:rsidR="00DB1300" w:rsidRPr="00503580" w:rsidRDefault="00DB1300" w:rsidP="00503580">
      <w:r w:rsidRPr="00503580">
        <w:t>Additional pharmacovigilance activities are also proposed to further monitor and characterise the following:</w:t>
      </w:r>
    </w:p>
    <w:p w:rsidR="00DB1300" w:rsidRPr="00503580" w:rsidRDefault="00DB1300" w:rsidP="00503580">
      <w:pPr>
        <w:pStyle w:val="ListBullet"/>
      </w:pPr>
      <w:r w:rsidRPr="00503580">
        <w:t xml:space="preserve">the important identified risks: ‘Serious infections including diverticulitis and opportunistic infections e.g. invasive fungal infections, parasitic infections, </w:t>
      </w:r>
      <w:proofErr w:type="spellStart"/>
      <w:r w:rsidRPr="00503580">
        <w:t>leg</w:t>
      </w:r>
      <w:r w:rsidR="007C4ABC">
        <w:t>ionellosis</w:t>
      </w:r>
      <w:proofErr w:type="spellEnd"/>
      <w:r w:rsidR="007C4ABC">
        <w:t xml:space="preserve"> and tuberculosis</w:t>
      </w:r>
      <w:r w:rsidRPr="00503580">
        <w:t>’, ‘Merkel Cell Carcinoma’, ‘Elevated ALT le</w:t>
      </w:r>
      <w:r w:rsidR="00503580">
        <w:t>vels’ &amp; ‘Autoimmune hepatitis’;</w:t>
      </w:r>
    </w:p>
    <w:p w:rsidR="00DB1300" w:rsidRPr="00503580" w:rsidRDefault="00DB1300" w:rsidP="00503580">
      <w:pPr>
        <w:pStyle w:val="ListBullet"/>
      </w:pPr>
      <w:r w:rsidRPr="00503580">
        <w:t>the important potential risk: ‘Co</w:t>
      </w:r>
      <w:r w:rsidR="00503580">
        <w:t>lon cancer in UC</w:t>
      </w:r>
      <w:r w:rsidR="007C4ABC">
        <w:t xml:space="preserve"> patients’; and</w:t>
      </w:r>
    </w:p>
    <w:p w:rsidR="00DB1300" w:rsidRPr="00503580" w:rsidRDefault="00DB1300" w:rsidP="00503580">
      <w:pPr>
        <w:pStyle w:val="ListBullet"/>
      </w:pPr>
      <w:r w:rsidRPr="00503580">
        <w:t>the missing information relating to safety information in the treatment of children &lt;</w:t>
      </w:r>
      <w:r w:rsidR="007C4ABC">
        <w:t> </w:t>
      </w:r>
      <w:r w:rsidRPr="00503580">
        <w:t xml:space="preserve">18 years of age for Ps, UC, </w:t>
      </w:r>
      <w:proofErr w:type="spellStart"/>
      <w:r w:rsidRPr="00503580">
        <w:t>nr-axSpA</w:t>
      </w:r>
      <w:proofErr w:type="spellEnd"/>
      <w:r w:rsidRPr="00503580">
        <w:t xml:space="preserve"> </w:t>
      </w:r>
      <w:r w:rsidR="00060BDA">
        <w:t>and</w:t>
      </w:r>
      <w:r w:rsidRPr="00503580">
        <w:t xml:space="preserve"> children &lt; 6 years of age for </w:t>
      </w:r>
      <w:proofErr w:type="spellStart"/>
      <w:r w:rsidRPr="00503580">
        <w:t>pedCD</w:t>
      </w:r>
      <w:proofErr w:type="spellEnd"/>
      <w:r w:rsidRPr="00503580">
        <w:t xml:space="preserve"> </w:t>
      </w:r>
      <w:r w:rsidR="00060BDA">
        <w:t>and</w:t>
      </w:r>
      <w:r w:rsidRPr="00503580">
        <w:t xml:space="preserve"> long</w:t>
      </w:r>
      <w:r w:rsidR="00DC7B13">
        <w:t xml:space="preserve"> </w:t>
      </w:r>
      <w:r w:rsidRPr="00503580">
        <w:t xml:space="preserve">term safety information in the treatment of children aged 6 years to &lt; 18 years with </w:t>
      </w:r>
      <w:proofErr w:type="spellStart"/>
      <w:r w:rsidR="007C4ABC">
        <w:t>pediatric</w:t>
      </w:r>
      <w:proofErr w:type="spellEnd"/>
      <w:r w:rsidR="007C4ABC">
        <w:t xml:space="preserve"> </w:t>
      </w:r>
      <w:proofErr w:type="spellStart"/>
      <w:r w:rsidR="007C4ABC">
        <w:t>enthesitis</w:t>
      </w:r>
      <w:proofErr w:type="spellEnd"/>
      <w:r w:rsidR="007C4ABC">
        <w:t xml:space="preserve"> related arthritis (</w:t>
      </w:r>
      <w:proofErr w:type="spellStart"/>
      <w:r w:rsidRPr="00503580">
        <w:t>pedERA</w:t>
      </w:r>
      <w:proofErr w:type="spellEnd"/>
      <w:r w:rsidR="007C4ABC">
        <w:t>)</w:t>
      </w:r>
      <w:r w:rsidRPr="00503580">
        <w:t xml:space="preserve">, pregnant </w:t>
      </w:r>
      <w:r w:rsidR="00060BDA">
        <w:t>and</w:t>
      </w:r>
      <w:r w:rsidRPr="00503580">
        <w:t xml:space="preserve"> lactating women, and remission-withdrawal retreatment </w:t>
      </w:r>
      <w:proofErr w:type="spellStart"/>
      <w:r w:rsidRPr="00503580">
        <w:t>nr</w:t>
      </w:r>
      <w:r w:rsidR="007C4ABC">
        <w:noBreakHyphen/>
      </w:r>
      <w:r w:rsidRPr="00503580">
        <w:t>axSpA</w:t>
      </w:r>
      <w:proofErr w:type="spellEnd"/>
      <w:r w:rsidRPr="00503580">
        <w:t xml:space="preserve"> data </w:t>
      </w:r>
      <w:r w:rsidR="00060BDA">
        <w:t>and</w:t>
      </w:r>
      <w:r w:rsidRPr="00503580">
        <w:t xml:space="preserve"> episodic t</w:t>
      </w:r>
      <w:r w:rsidR="00503580">
        <w:t>reatment in Ps, CD, UC, and JIA</w:t>
      </w:r>
      <w:r w:rsidRPr="00503580">
        <w:t>.</w:t>
      </w:r>
    </w:p>
    <w:p w:rsidR="00DB1300" w:rsidRPr="00503580" w:rsidRDefault="00DB1300" w:rsidP="00503580">
      <w:r w:rsidRPr="00966938">
        <w:t xml:space="preserve">The ASA states: </w:t>
      </w:r>
      <w:r w:rsidR="00E92D16" w:rsidRPr="00966938">
        <w:rPr>
          <w:i/>
        </w:rPr>
        <w:t>‘</w:t>
      </w:r>
      <w:r w:rsidRPr="00966938">
        <w:rPr>
          <w:i/>
        </w:rPr>
        <w:t>An overview of the ongoing and planned studies is summarized in Table 3</w:t>
      </w:r>
      <w:r w:rsidR="00E92D16" w:rsidRPr="00966938">
        <w:rPr>
          <w:i/>
        </w:rPr>
        <w:t>’</w:t>
      </w:r>
      <w:r w:rsidR="00F55DBD" w:rsidRPr="00966938">
        <w:rPr>
          <w:i/>
        </w:rPr>
        <w:t xml:space="preserve"> [</w:t>
      </w:r>
      <w:r w:rsidR="00F55DBD" w:rsidRPr="00966938">
        <w:rPr>
          <w:i/>
          <w:u w:val="single"/>
        </w:rPr>
        <w:t xml:space="preserve">not in this </w:t>
      </w:r>
      <w:proofErr w:type="spellStart"/>
      <w:r w:rsidR="00F55DBD" w:rsidRPr="00966938">
        <w:rPr>
          <w:i/>
          <w:u w:val="single"/>
        </w:rPr>
        <w:t>AusPar</w:t>
      </w:r>
      <w:proofErr w:type="spellEnd"/>
      <w:r w:rsidR="00F55DBD" w:rsidRPr="00966938">
        <w:rPr>
          <w:i/>
        </w:rPr>
        <w:t>]</w:t>
      </w:r>
      <w:r w:rsidRPr="00966938">
        <w:t>.</w:t>
      </w:r>
    </w:p>
    <w:p w:rsidR="00DB1300" w:rsidRPr="00503580" w:rsidRDefault="00DB1300" w:rsidP="00503580">
      <w:r w:rsidRPr="00503580">
        <w:t>There are no observed changes to the pharmacovigilance pla</w:t>
      </w:r>
      <w:r w:rsidR="00060BDA">
        <w:t xml:space="preserve">n previously accepted for </w:t>
      </w:r>
      <w:proofErr w:type="spellStart"/>
      <w:r w:rsidR="00060BDA">
        <w:t>H</w:t>
      </w:r>
      <w:r w:rsidR="00DF6E9E">
        <w:t>umira</w:t>
      </w:r>
      <w:proofErr w:type="spellEnd"/>
      <w:r w:rsidR="00DF6E9E">
        <w:t xml:space="preserve"> (adali</w:t>
      </w:r>
      <w:r w:rsidR="00060BDA">
        <w:t xml:space="preserve">mumab </w:t>
      </w:r>
      <w:r w:rsidR="00383E89">
        <w:t>(</w:t>
      </w:r>
      <w:proofErr w:type="spellStart"/>
      <w:r w:rsidR="00383E89">
        <w:t>rch</w:t>
      </w:r>
      <w:proofErr w:type="spellEnd"/>
      <w:r w:rsidR="00383E89">
        <w:t>)</w:t>
      </w:r>
      <w:r w:rsidR="00060BDA">
        <w:t>)</w:t>
      </w:r>
      <w:r w:rsidRPr="00503580">
        <w:t>.</w:t>
      </w:r>
    </w:p>
    <w:p w:rsidR="006F25B8" w:rsidRDefault="006F25B8" w:rsidP="006F25B8">
      <w:pPr>
        <w:pStyle w:val="Heading4"/>
        <w:rPr>
          <w:lang w:eastAsia="en-AU"/>
        </w:rPr>
      </w:pPr>
      <w:bookmarkStart w:id="105" w:name="_Toc247691527"/>
      <w:r w:rsidRPr="006F25B8">
        <w:rPr>
          <w:lang w:eastAsia="en-AU"/>
        </w:rPr>
        <w:t>Reconciliation of is</w:t>
      </w:r>
      <w:r w:rsidR="00080ED7">
        <w:rPr>
          <w:lang w:eastAsia="en-AU"/>
        </w:rPr>
        <w:t>sues outlined in the RMP report</w:t>
      </w:r>
    </w:p>
    <w:p w:rsidR="00DE2503" w:rsidRDefault="00080ED7" w:rsidP="006F25B8">
      <w:pPr>
        <w:rPr>
          <w:lang w:eastAsia="en-AU"/>
        </w:rPr>
      </w:pPr>
      <w:r w:rsidRPr="00080ED7">
        <w:rPr>
          <w:lang w:eastAsia="en-AU"/>
        </w:rPr>
        <w:t>Table</w:t>
      </w:r>
      <w:r w:rsidR="00ED3AAF">
        <w:rPr>
          <w:lang w:eastAsia="en-AU"/>
        </w:rPr>
        <w:t xml:space="preserve"> 9</w:t>
      </w:r>
      <w:r w:rsidR="006F25B8">
        <w:rPr>
          <w:lang w:eastAsia="en-AU"/>
        </w:rPr>
        <w:t xml:space="preserve"> summarises </w:t>
      </w:r>
      <w:r w:rsidR="008C3DEE">
        <w:rPr>
          <w:lang w:eastAsia="en-AU"/>
        </w:rPr>
        <w:t xml:space="preserve">recommendation of the RMP evaluation report and the </w:t>
      </w:r>
      <w:r w:rsidR="006F25B8">
        <w:rPr>
          <w:lang w:eastAsia="en-AU"/>
        </w:rPr>
        <w:t xml:space="preserve">sponsor’s responses to issues </w:t>
      </w:r>
      <w:proofErr w:type="gramStart"/>
      <w:r w:rsidR="006F25B8">
        <w:rPr>
          <w:lang w:eastAsia="en-AU"/>
        </w:rPr>
        <w:t>raised</w:t>
      </w:r>
      <w:proofErr w:type="gramEnd"/>
      <w:r w:rsidR="000D1957">
        <w:rPr>
          <w:lang w:eastAsia="en-AU"/>
        </w:rPr>
        <w:t>.</w:t>
      </w:r>
    </w:p>
    <w:p w:rsidR="000D1957" w:rsidRDefault="000D1957" w:rsidP="00BB5A93">
      <w:pPr>
        <w:pStyle w:val="Tabletitle0"/>
        <w:pageBreakBefore/>
        <w:rPr>
          <w:lang w:eastAsia="en-AU"/>
        </w:rPr>
      </w:pPr>
      <w:r w:rsidRPr="00080ED7">
        <w:rPr>
          <w:lang w:eastAsia="en-AU"/>
        </w:rPr>
        <w:lastRenderedPageBreak/>
        <w:t xml:space="preserve">Table </w:t>
      </w:r>
      <w:r w:rsidR="00F12762">
        <w:rPr>
          <w:lang w:eastAsia="en-AU"/>
        </w:rPr>
        <w:t>9</w:t>
      </w:r>
      <w:r w:rsidR="00651A20">
        <w:rPr>
          <w:lang w:eastAsia="en-AU"/>
        </w:rPr>
        <w:t>:</w:t>
      </w:r>
      <w:r>
        <w:rPr>
          <w:lang w:eastAsia="en-AU"/>
        </w:rPr>
        <w:t xml:space="preserve"> Reconciliation issues o</w:t>
      </w:r>
      <w:r w:rsidR="00524F6C">
        <w:rPr>
          <w:lang w:eastAsia="en-AU"/>
        </w:rPr>
        <w:t>utlined in the RMP</w:t>
      </w:r>
      <w:r>
        <w:rPr>
          <w:lang w:eastAsia="en-AU"/>
        </w:rPr>
        <w:t xml:space="preserve"> Evaluation Report</w:t>
      </w:r>
    </w:p>
    <w:tbl>
      <w:tblPr>
        <w:tblStyle w:val="TableTGAblue4"/>
        <w:tblW w:w="4758" w:type="pct"/>
        <w:jc w:val="center"/>
        <w:tblInd w:w="760" w:type="dxa"/>
        <w:tblLayout w:type="fixed"/>
        <w:tblLook w:val="04A0" w:firstRow="1" w:lastRow="0" w:firstColumn="1" w:lastColumn="0" w:noHBand="0" w:noVBand="1"/>
      </w:tblPr>
      <w:tblGrid>
        <w:gridCol w:w="3196"/>
        <w:gridCol w:w="2425"/>
        <w:gridCol w:w="2677"/>
      </w:tblGrid>
      <w:tr w:rsidR="00127052" w:rsidRPr="00BB5A93" w:rsidTr="00C4098F">
        <w:trPr>
          <w:cnfStyle w:val="100000000000" w:firstRow="1" w:lastRow="0" w:firstColumn="0" w:lastColumn="0" w:oddVBand="0" w:evenVBand="0" w:oddHBand="0" w:evenHBand="0" w:firstRowFirstColumn="0" w:firstRowLastColumn="0" w:lastRowFirstColumn="0" w:lastRowLastColumn="0"/>
          <w:jc w:val="center"/>
        </w:trPr>
        <w:tc>
          <w:tcPr>
            <w:tcW w:w="1926" w:type="pct"/>
            <w:noWrap/>
          </w:tcPr>
          <w:p w:rsidR="00127052" w:rsidRPr="00BB5A93" w:rsidRDefault="00127052" w:rsidP="00BB5A93">
            <w:pPr>
              <w:rPr>
                <w:sz w:val="20"/>
                <w:szCs w:val="20"/>
              </w:rPr>
            </w:pPr>
            <w:r w:rsidRPr="00BB5A93">
              <w:rPr>
                <w:sz w:val="20"/>
                <w:szCs w:val="20"/>
              </w:rPr>
              <w:t>Recommendation in RMP evaluation report</w:t>
            </w:r>
          </w:p>
        </w:tc>
        <w:tc>
          <w:tcPr>
            <w:tcW w:w="1461" w:type="pct"/>
            <w:noWrap/>
          </w:tcPr>
          <w:p w:rsidR="00127052" w:rsidRPr="00BB5A93" w:rsidRDefault="00127052" w:rsidP="00BB5A93">
            <w:pPr>
              <w:rPr>
                <w:sz w:val="20"/>
                <w:szCs w:val="20"/>
              </w:rPr>
            </w:pPr>
            <w:r w:rsidRPr="00BB5A93">
              <w:rPr>
                <w:sz w:val="20"/>
                <w:szCs w:val="20"/>
              </w:rPr>
              <w:t>Sponsor’s response</w:t>
            </w:r>
          </w:p>
        </w:tc>
        <w:tc>
          <w:tcPr>
            <w:tcW w:w="1613" w:type="pct"/>
            <w:noWrap/>
          </w:tcPr>
          <w:p w:rsidR="00127052" w:rsidRPr="00BB5A93" w:rsidRDefault="00127052" w:rsidP="00BB5A93">
            <w:pPr>
              <w:rPr>
                <w:sz w:val="20"/>
                <w:szCs w:val="20"/>
              </w:rPr>
            </w:pPr>
            <w:r w:rsidRPr="00BB5A93">
              <w:rPr>
                <w:sz w:val="20"/>
                <w:szCs w:val="20"/>
              </w:rPr>
              <w:t>RMP evaluator’s comment</w:t>
            </w:r>
          </w:p>
        </w:tc>
      </w:tr>
      <w:tr w:rsidR="00127052" w:rsidRPr="00BB5A93" w:rsidTr="00C4098F">
        <w:trPr>
          <w:trHeight w:val="1673"/>
          <w:jc w:val="center"/>
        </w:trPr>
        <w:tc>
          <w:tcPr>
            <w:tcW w:w="19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 xml:space="preserve">It is drawn to the Delegate’s attention that the foreshadowed new indication in the EU positions </w:t>
            </w:r>
            <w:proofErr w:type="spellStart"/>
            <w:r w:rsidRPr="00BB5A93">
              <w:rPr>
                <w:sz w:val="20"/>
                <w:szCs w:val="20"/>
              </w:rPr>
              <w:t>Humira</w:t>
            </w:r>
            <w:proofErr w:type="spellEnd"/>
            <w:r w:rsidRPr="00BB5A93">
              <w:rPr>
                <w:sz w:val="20"/>
                <w:szCs w:val="20"/>
              </w:rPr>
              <w:t xml:space="preserve"> as a second line therapy for the treatment of active moderate to severe </w:t>
            </w:r>
            <w:r w:rsidR="005C6C90" w:rsidRPr="00BB5A93">
              <w:rPr>
                <w:sz w:val="20"/>
                <w:szCs w:val="20"/>
              </w:rPr>
              <w:t>HS</w:t>
            </w:r>
            <w:r w:rsidRPr="00BB5A93">
              <w:rPr>
                <w:sz w:val="20"/>
                <w:szCs w:val="20"/>
              </w:rPr>
              <w:t xml:space="preserve"> in adult patients, rather than as first line thera</w:t>
            </w:r>
            <w:r w:rsidR="005C6C90" w:rsidRPr="00BB5A93">
              <w:rPr>
                <w:sz w:val="20"/>
                <w:szCs w:val="20"/>
              </w:rPr>
              <w:t xml:space="preserve">py as sought for in Australia. </w:t>
            </w:r>
            <w:r w:rsidRPr="00BB5A93">
              <w:rPr>
                <w:sz w:val="20"/>
                <w:szCs w:val="20"/>
              </w:rPr>
              <w:t>The sponsor should amend Table 2a: ‘Adalimumab Registrations Under Evaluation or Under Development in the European Union and Australia’ of the ASA to explain the reasons for this difference.</w:t>
            </w:r>
          </w:p>
        </w:tc>
        <w:tc>
          <w:tcPr>
            <w:tcW w:w="146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5C6C90" w:rsidP="00BB5A93">
            <w:pPr>
              <w:rPr>
                <w:sz w:val="20"/>
                <w:szCs w:val="20"/>
              </w:rPr>
            </w:pPr>
            <w:r w:rsidRPr="00BB5A93">
              <w:rPr>
                <w:sz w:val="20"/>
                <w:szCs w:val="20"/>
              </w:rPr>
              <w:t xml:space="preserve">The sponsor states: </w:t>
            </w:r>
            <w:r w:rsidR="00E92D16" w:rsidRPr="00BB5A93">
              <w:rPr>
                <w:sz w:val="20"/>
                <w:szCs w:val="20"/>
              </w:rPr>
              <w:t>‘</w:t>
            </w:r>
            <w:r w:rsidR="00127052" w:rsidRPr="00BB5A93">
              <w:rPr>
                <w:i/>
                <w:sz w:val="20"/>
                <w:szCs w:val="20"/>
              </w:rPr>
              <w:t xml:space="preserve">AbbVie's position for use of adalimumab in the treatment of HS is as a first line therapy because there is currently a </w:t>
            </w:r>
            <w:r w:rsidRPr="00BB5A93">
              <w:rPr>
                <w:i/>
                <w:sz w:val="20"/>
                <w:szCs w:val="20"/>
              </w:rPr>
              <w:t>lack of approved therapy for HS</w:t>
            </w:r>
            <w:r w:rsidR="00E92D16" w:rsidRPr="00BB5A93">
              <w:rPr>
                <w:sz w:val="20"/>
                <w:szCs w:val="20"/>
              </w:rPr>
              <w:t>’</w:t>
            </w:r>
            <w:r w:rsidRPr="00BB5A93">
              <w:rPr>
                <w:sz w:val="20"/>
                <w:szCs w:val="20"/>
              </w:rPr>
              <w:t xml:space="preserve"> and </w:t>
            </w:r>
            <w:r w:rsidR="00E92D16" w:rsidRPr="00BB5A93">
              <w:rPr>
                <w:sz w:val="20"/>
                <w:szCs w:val="20"/>
              </w:rPr>
              <w:t>‘</w:t>
            </w:r>
            <w:r w:rsidR="00331308" w:rsidRPr="00BB5A93">
              <w:rPr>
                <w:i/>
                <w:sz w:val="20"/>
                <w:szCs w:val="20"/>
              </w:rPr>
              <w:t>a</w:t>
            </w:r>
            <w:r w:rsidR="00127052" w:rsidRPr="00BB5A93">
              <w:rPr>
                <w:i/>
                <w:sz w:val="20"/>
                <w:szCs w:val="20"/>
              </w:rPr>
              <w:t>s requested, AbbVie has amended Table 2a of the revised ASA (version 5.0), Adalimumab Registrations Under Evaluation or Under Development in the European Union and Australia, to reflect the ind</w:t>
            </w:r>
            <w:r w:rsidRPr="00BB5A93">
              <w:rPr>
                <w:i/>
                <w:sz w:val="20"/>
                <w:szCs w:val="20"/>
              </w:rPr>
              <w:t>ication in Australia and the EU</w:t>
            </w:r>
            <w:r w:rsidR="00E92D16" w:rsidRPr="00BB5A93">
              <w:rPr>
                <w:sz w:val="20"/>
                <w:szCs w:val="20"/>
              </w:rPr>
              <w:t>’</w:t>
            </w:r>
            <w:r w:rsidR="00127052" w:rsidRPr="00BB5A93">
              <w:rPr>
                <w:sz w:val="20"/>
                <w:szCs w:val="20"/>
              </w:rPr>
              <w:t>.</w:t>
            </w:r>
          </w:p>
        </w:tc>
        <w:tc>
          <w:tcPr>
            <w:tcW w:w="16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The former response is for the Delegate’s consideration, while the latter is acceptable.</w:t>
            </w:r>
          </w:p>
        </w:tc>
      </w:tr>
      <w:tr w:rsidR="00127052" w:rsidRPr="00BB5A93" w:rsidTr="00C4098F">
        <w:trPr>
          <w:trHeight w:val="1084"/>
          <w:jc w:val="center"/>
        </w:trPr>
        <w:tc>
          <w:tcPr>
            <w:tcW w:w="19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 xml:space="preserve">The sponsor should update Table 1: ‘Adalimumab Formulations Registered in Australia’ and Table 2: ‘Adalimumab Registrations in the European Union and Australia’ (as it relates to </w:t>
            </w:r>
            <w:proofErr w:type="spellStart"/>
            <w:r w:rsidRPr="00BB5A93">
              <w:rPr>
                <w:sz w:val="20"/>
                <w:szCs w:val="20"/>
              </w:rPr>
              <w:t>polyarticular</w:t>
            </w:r>
            <w:proofErr w:type="spellEnd"/>
            <w:r w:rsidRPr="00BB5A93">
              <w:rPr>
                <w:sz w:val="20"/>
                <w:szCs w:val="20"/>
              </w:rPr>
              <w:t xml:space="preserve"> juvenile idiopathic arthritis) of the ASA.</w:t>
            </w:r>
          </w:p>
        </w:tc>
        <w:tc>
          <w:tcPr>
            <w:tcW w:w="146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331308" w:rsidP="00BB5A93">
            <w:pPr>
              <w:rPr>
                <w:sz w:val="20"/>
                <w:szCs w:val="20"/>
              </w:rPr>
            </w:pPr>
            <w:r w:rsidRPr="00BB5A93">
              <w:rPr>
                <w:sz w:val="20"/>
                <w:szCs w:val="20"/>
              </w:rPr>
              <w:t xml:space="preserve">The sponsor states: </w:t>
            </w:r>
            <w:r w:rsidR="00E92D16" w:rsidRPr="00BB5A93">
              <w:rPr>
                <w:sz w:val="20"/>
                <w:szCs w:val="20"/>
              </w:rPr>
              <w:t>‘</w:t>
            </w:r>
            <w:r w:rsidR="00127052" w:rsidRPr="00BB5A93">
              <w:rPr>
                <w:i/>
                <w:sz w:val="20"/>
                <w:szCs w:val="20"/>
              </w:rPr>
              <w:t>AbbVie has updated Table 1 and Table 2 o</w:t>
            </w:r>
            <w:r w:rsidRPr="00BB5A93">
              <w:rPr>
                <w:i/>
                <w:sz w:val="20"/>
                <w:szCs w:val="20"/>
              </w:rPr>
              <w:t>f the revised ASA (version 5.0)</w:t>
            </w:r>
            <w:r w:rsidR="00E92D16" w:rsidRPr="00BB5A93">
              <w:rPr>
                <w:sz w:val="20"/>
                <w:szCs w:val="20"/>
              </w:rPr>
              <w:t>’</w:t>
            </w:r>
            <w:r w:rsidR="00127052" w:rsidRPr="00BB5A93">
              <w:rPr>
                <w:sz w:val="20"/>
                <w:szCs w:val="20"/>
              </w:rPr>
              <w:t>.</w:t>
            </w:r>
          </w:p>
        </w:tc>
        <w:tc>
          <w:tcPr>
            <w:tcW w:w="16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This is acceptable.</w:t>
            </w:r>
          </w:p>
        </w:tc>
      </w:tr>
      <w:tr w:rsidR="00FA691A" w:rsidRPr="00BB5A93" w:rsidTr="00C4098F">
        <w:trPr>
          <w:trHeight w:val="1153"/>
          <w:jc w:val="center"/>
        </w:trPr>
        <w:tc>
          <w:tcPr>
            <w:tcW w:w="19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 xml:space="preserve">Safety considerations may be raised by the clinical evaluator through the TGA consolidated request. It is important to ensure that the information provided in response to these </w:t>
            </w:r>
            <w:proofErr w:type="gramStart"/>
            <w:r w:rsidRPr="00BB5A93">
              <w:rPr>
                <w:sz w:val="20"/>
                <w:szCs w:val="20"/>
              </w:rPr>
              <w:t>include</w:t>
            </w:r>
            <w:proofErr w:type="gramEnd"/>
            <w:r w:rsidRPr="00BB5A93">
              <w:rPr>
                <w:sz w:val="20"/>
                <w:szCs w:val="20"/>
              </w:rPr>
              <w:t xml:space="preserve"> a consideration of the relevance for the </w:t>
            </w:r>
            <w:r w:rsidR="00331308" w:rsidRPr="00BB5A93">
              <w:rPr>
                <w:sz w:val="20"/>
                <w:szCs w:val="20"/>
              </w:rPr>
              <w:t>RMP</w:t>
            </w:r>
            <w:r w:rsidRPr="00BB5A93">
              <w:rPr>
                <w:sz w:val="20"/>
                <w:szCs w:val="20"/>
              </w:rPr>
              <w:t xml:space="preserve">, and any specific information needed to </w:t>
            </w:r>
            <w:r w:rsidR="00D02E78" w:rsidRPr="00BB5A93">
              <w:rPr>
                <w:sz w:val="20"/>
                <w:szCs w:val="20"/>
              </w:rPr>
              <w:t xml:space="preserve">address this issue in the RMP. </w:t>
            </w:r>
            <w:r w:rsidRPr="00BB5A93">
              <w:rPr>
                <w:sz w:val="20"/>
                <w:szCs w:val="20"/>
              </w:rPr>
              <w:t>For any safety considerations so raised, the sponsor should provide information that is relevant and necessary to address the issue in the RMP.</w:t>
            </w:r>
          </w:p>
        </w:tc>
        <w:tc>
          <w:tcPr>
            <w:tcW w:w="1461" w:type="pct"/>
            <w:tcBorders>
              <w:top w:val="single" w:sz="8" w:space="0" w:color="000000" w:themeColor="text1"/>
              <w:left w:val="single" w:sz="8" w:space="0" w:color="000000" w:themeColor="text1"/>
              <w:bottom w:val="single" w:sz="4" w:space="0" w:color="auto"/>
              <w:right w:val="single" w:sz="8" w:space="0" w:color="000000" w:themeColor="text1"/>
            </w:tcBorders>
            <w:noWrap/>
          </w:tcPr>
          <w:p w:rsidR="00127052" w:rsidRPr="00BB5A93" w:rsidRDefault="00331308" w:rsidP="00BB5A93">
            <w:pPr>
              <w:rPr>
                <w:sz w:val="20"/>
                <w:szCs w:val="20"/>
              </w:rPr>
            </w:pPr>
            <w:r w:rsidRPr="00BB5A93">
              <w:rPr>
                <w:sz w:val="20"/>
                <w:szCs w:val="20"/>
              </w:rPr>
              <w:t xml:space="preserve">The sponsor states: </w:t>
            </w:r>
            <w:r w:rsidR="00E92D16" w:rsidRPr="00BB5A93">
              <w:rPr>
                <w:sz w:val="20"/>
                <w:szCs w:val="20"/>
              </w:rPr>
              <w:t>‘</w:t>
            </w:r>
            <w:r w:rsidR="00127052" w:rsidRPr="00BB5A93">
              <w:rPr>
                <w:i/>
                <w:sz w:val="20"/>
                <w:szCs w:val="20"/>
              </w:rPr>
              <w:t xml:space="preserve">AbbVie acknowledges that issues raised throughout the clinical evaluation process may impact the </w:t>
            </w:r>
            <w:proofErr w:type="spellStart"/>
            <w:r w:rsidR="00127052" w:rsidRPr="00BB5A93">
              <w:rPr>
                <w:i/>
                <w:sz w:val="20"/>
                <w:szCs w:val="20"/>
              </w:rPr>
              <w:t>Humira</w:t>
            </w:r>
            <w:proofErr w:type="spellEnd"/>
            <w:r w:rsidR="00127052" w:rsidRPr="00BB5A93">
              <w:rPr>
                <w:i/>
                <w:sz w:val="20"/>
                <w:szCs w:val="20"/>
              </w:rPr>
              <w:t xml:space="preserve"> RMP and an assurance is provided that the RMP will be revised to include relevant information needed to ad</w:t>
            </w:r>
            <w:r w:rsidRPr="00BB5A93">
              <w:rPr>
                <w:i/>
                <w:sz w:val="20"/>
                <w:szCs w:val="20"/>
              </w:rPr>
              <w:t>dress new safety considerations</w:t>
            </w:r>
            <w:r w:rsidR="00E92D16" w:rsidRPr="00BB5A93">
              <w:rPr>
                <w:sz w:val="20"/>
                <w:szCs w:val="20"/>
              </w:rPr>
              <w:t>’</w:t>
            </w:r>
            <w:r w:rsidR="00127052" w:rsidRPr="00BB5A93">
              <w:rPr>
                <w:sz w:val="20"/>
                <w:szCs w:val="20"/>
              </w:rPr>
              <w:t>.</w:t>
            </w:r>
          </w:p>
        </w:tc>
        <w:tc>
          <w:tcPr>
            <w:tcW w:w="16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437F8B" w:rsidP="00BB5A93">
            <w:pPr>
              <w:rPr>
                <w:sz w:val="20"/>
                <w:szCs w:val="20"/>
              </w:rPr>
            </w:pPr>
            <w:r w:rsidRPr="00BB5A93">
              <w:rPr>
                <w:sz w:val="20"/>
                <w:szCs w:val="20"/>
              </w:rPr>
              <w:t>This is acceptable.</w:t>
            </w:r>
          </w:p>
        </w:tc>
      </w:tr>
      <w:tr w:rsidR="00FA691A" w:rsidRPr="00BB5A93" w:rsidTr="00C4098F">
        <w:trPr>
          <w:trHeight w:val="869"/>
          <w:jc w:val="center"/>
        </w:trPr>
        <w:tc>
          <w:tcPr>
            <w:tcW w:w="19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lastRenderedPageBreak/>
              <w:t xml:space="preserve">For the missing information related to safety information in the treatment of children &lt; 6 years of age for </w:t>
            </w:r>
            <w:proofErr w:type="spellStart"/>
            <w:r w:rsidRPr="00BB5A93">
              <w:rPr>
                <w:sz w:val="20"/>
                <w:szCs w:val="20"/>
              </w:rPr>
              <w:t>pedCD</w:t>
            </w:r>
            <w:proofErr w:type="spellEnd"/>
            <w:r w:rsidRPr="00BB5A93">
              <w:rPr>
                <w:sz w:val="20"/>
                <w:szCs w:val="20"/>
              </w:rPr>
              <w:t>, and long</w:t>
            </w:r>
            <w:r w:rsidR="00DC7B13" w:rsidRPr="00BB5A93">
              <w:rPr>
                <w:sz w:val="20"/>
                <w:szCs w:val="20"/>
              </w:rPr>
              <w:t xml:space="preserve"> </w:t>
            </w:r>
            <w:r w:rsidRPr="00BB5A93">
              <w:rPr>
                <w:sz w:val="20"/>
                <w:szCs w:val="20"/>
              </w:rPr>
              <w:t xml:space="preserve">term safety information in the treatment of children aged 6 years to &lt; 18 years with </w:t>
            </w:r>
            <w:proofErr w:type="spellStart"/>
            <w:r w:rsidRPr="00BB5A93">
              <w:rPr>
                <w:sz w:val="20"/>
                <w:szCs w:val="20"/>
              </w:rPr>
              <w:t>pedERA</w:t>
            </w:r>
            <w:proofErr w:type="spellEnd"/>
            <w:r w:rsidRPr="00BB5A93">
              <w:rPr>
                <w:sz w:val="20"/>
                <w:szCs w:val="20"/>
              </w:rPr>
              <w:t>’, Table 3: ‘Overview of Ongoing and Planned Pharmacovigilance Actions’ of the ASA should be amended to include details of Study M11</w:t>
            </w:r>
            <w:r w:rsidR="00DC7B13" w:rsidRPr="00BB5A93">
              <w:rPr>
                <w:sz w:val="20"/>
                <w:szCs w:val="20"/>
              </w:rPr>
              <w:noBreakHyphen/>
            </w:r>
            <w:r w:rsidRPr="00BB5A93">
              <w:rPr>
                <w:sz w:val="20"/>
                <w:szCs w:val="20"/>
              </w:rPr>
              <w:t>328 to be consistent with Table 100: ‘Required Additional Pharmacovigilance Activities’ of the EU</w:t>
            </w:r>
            <w:r w:rsidR="000C2FFA" w:rsidRPr="00BB5A93">
              <w:rPr>
                <w:sz w:val="20"/>
                <w:szCs w:val="20"/>
              </w:rPr>
              <w:t>–</w:t>
            </w:r>
            <w:r w:rsidR="00F078C6" w:rsidRPr="00BB5A93">
              <w:rPr>
                <w:sz w:val="20"/>
                <w:szCs w:val="20"/>
              </w:rPr>
              <w:t>RMP.</w:t>
            </w:r>
          </w:p>
        </w:tc>
        <w:tc>
          <w:tcPr>
            <w:tcW w:w="1461" w:type="pct"/>
            <w:tcBorders>
              <w:top w:val="single" w:sz="4" w:space="0" w:color="auto"/>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The sponsor states: “AbbVie would like to point out that this information has been captured in version 4.0 of the ASA, which was submitted recently in PM</w:t>
            </w:r>
            <w:r w:rsidR="000C2FFA" w:rsidRPr="00BB5A93">
              <w:rPr>
                <w:sz w:val="20"/>
                <w:szCs w:val="20"/>
              </w:rPr>
              <w:t>–</w:t>
            </w:r>
            <w:r w:rsidRPr="00BB5A93">
              <w:rPr>
                <w:sz w:val="20"/>
                <w:szCs w:val="20"/>
              </w:rPr>
              <w:t>2015</w:t>
            </w:r>
            <w:r w:rsidR="000C2FFA" w:rsidRPr="00BB5A93">
              <w:rPr>
                <w:sz w:val="20"/>
                <w:szCs w:val="20"/>
              </w:rPr>
              <w:t>–</w:t>
            </w:r>
            <w:r w:rsidRPr="00BB5A93">
              <w:rPr>
                <w:sz w:val="20"/>
                <w:szCs w:val="20"/>
              </w:rPr>
              <w:t>01149</w:t>
            </w:r>
            <w:r w:rsidR="000C2FFA" w:rsidRPr="00BB5A93">
              <w:rPr>
                <w:sz w:val="20"/>
                <w:szCs w:val="20"/>
              </w:rPr>
              <w:t>–</w:t>
            </w:r>
            <w:r w:rsidRPr="00BB5A93">
              <w:rPr>
                <w:sz w:val="20"/>
                <w:szCs w:val="20"/>
              </w:rPr>
              <w:t>1</w:t>
            </w:r>
            <w:r w:rsidR="000C2FFA" w:rsidRPr="00BB5A93">
              <w:rPr>
                <w:sz w:val="20"/>
                <w:szCs w:val="20"/>
              </w:rPr>
              <w:t>–</w:t>
            </w:r>
            <w:r w:rsidRPr="00BB5A93">
              <w:rPr>
                <w:sz w:val="20"/>
                <w:szCs w:val="20"/>
              </w:rPr>
              <w:t>3. Please refer to Table 3, Overview of Ongoing and Planned Pharmacovigilance Actions, on page 46 (of 79)”.</w:t>
            </w:r>
          </w:p>
        </w:tc>
        <w:tc>
          <w:tcPr>
            <w:tcW w:w="16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437F8B" w:rsidP="00BB5A93">
            <w:pPr>
              <w:rPr>
                <w:sz w:val="20"/>
                <w:szCs w:val="20"/>
              </w:rPr>
            </w:pPr>
            <w:r w:rsidRPr="00BB5A93">
              <w:rPr>
                <w:sz w:val="20"/>
                <w:szCs w:val="20"/>
              </w:rPr>
              <w:t>This is acceptable.</w:t>
            </w:r>
          </w:p>
        </w:tc>
      </w:tr>
      <w:tr w:rsidR="00127052" w:rsidRPr="00BB5A93" w:rsidTr="00C4098F">
        <w:trPr>
          <w:trHeight w:val="967"/>
          <w:jc w:val="center"/>
        </w:trPr>
        <w:tc>
          <w:tcPr>
            <w:tcW w:w="192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 xml:space="preserve">For clarity and as per the </w:t>
            </w:r>
            <w:r w:rsidR="00331308" w:rsidRPr="00BB5A93">
              <w:rPr>
                <w:sz w:val="20"/>
                <w:szCs w:val="20"/>
              </w:rPr>
              <w:t>ASA</w:t>
            </w:r>
            <w:r w:rsidRPr="00BB5A93">
              <w:rPr>
                <w:sz w:val="20"/>
                <w:szCs w:val="20"/>
              </w:rPr>
              <w:t xml:space="preserve"> template, as found on the TGA website as of 4 May 2015, the sponsor should include a table briefly summarising the pharmacovigilance and risk minimisation activities proposed for Australia in a revised ASA.</w:t>
            </w:r>
          </w:p>
        </w:tc>
        <w:tc>
          <w:tcPr>
            <w:tcW w:w="146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331308" w:rsidP="00BB5A93">
            <w:pPr>
              <w:rPr>
                <w:sz w:val="20"/>
                <w:szCs w:val="20"/>
              </w:rPr>
            </w:pPr>
            <w:r w:rsidRPr="00BB5A93">
              <w:rPr>
                <w:sz w:val="20"/>
                <w:szCs w:val="20"/>
              </w:rPr>
              <w:t xml:space="preserve">The sponsor states: </w:t>
            </w:r>
            <w:r w:rsidR="00E92D16" w:rsidRPr="00BB5A93">
              <w:rPr>
                <w:sz w:val="20"/>
                <w:szCs w:val="20"/>
              </w:rPr>
              <w:t>‘</w:t>
            </w:r>
            <w:r w:rsidR="00127052" w:rsidRPr="00BB5A93">
              <w:rPr>
                <w:i/>
                <w:sz w:val="20"/>
                <w:szCs w:val="20"/>
              </w:rPr>
              <w:t>AbbVie would like to point out that this information has been captured in version 4.0 of the ASA, which was submitted recently in PM</w:t>
            </w:r>
            <w:r w:rsidR="000C2FFA" w:rsidRPr="00BB5A93">
              <w:rPr>
                <w:i/>
                <w:sz w:val="20"/>
                <w:szCs w:val="20"/>
              </w:rPr>
              <w:t>–</w:t>
            </w:r>
            <w:r w:rsidR="00127052" w:rsidRPr="00BB5A93">
              <w:rPr>
                <w:i/>
                <w:sz w:val="20"/>
                <w:szCs w:val="20"/>
              </w:rPr>
              <w:t>2015</w:t>
            </w:r>
            <w:r w:rsidR="000C2FFA" w:rsidRPr="00BB5A93">
              <w:rPr>
                <w:i/>
                <w:sz w:val="20"/>
                <w:szCs w:val="20"/>
              </w:rPr>
              <w:t>–</w:t>
            </w:r>
            <w:r w:rsidR="00127052" w:rsidRPr="00BB5A93">
              <w:rPr>
                <w:i/>
                <w:sz w:val="20"/>
                <w:szCs w:val="20"/>
              </w:rPr>
              <w:t>01149</w:t>
            </w:r>
            <w:r w:rsidR="000C2FFA" w:rsidRPr="00BB5A93">
              <w:rPr>
                <w:i/>
                <w:sz w:val="20"/>
                <w:szCs w:val="20"/>
              </w:rPr>
              <w:t>–</w:t>
            </w:r>
            <w:r w:rsidR="00127052" w:rsidRPr="00BB5A93">
              <w:rPr>
                <w:i/>
                <w:sz w:val="20"/>
                <w:szCs w:val="20"/>
              </w:rPr>
              <w:t>1</w:t>
            </w:r>
            <w:r w:rsidR="000C2FFA" w:rsidRPr="00BB5A93">
              <w:rPr>
                <w:i/>
                <w:sz w:val="20"/>
                <w:szCs w:val="20"/>
              </w:rPr>
              <w:t>–</w:t>
            </w:r>
            <w:r w:rsidR="00127052" w:rsidRPr="00BB5A93">
              <w:rPr>
                <w:i/>
                <w:sz w:val="20"/>
                <w:szCs w:val="20"/>
              </w:rPr>
              <w:t>3. Please refer to Table 5, Summary of the Risk Minimisation Plan in Aus</w:t>
            </w:r>
            <w:r w:rsidR="009B220F" w:rsidRPr="00BB5A93">
              <w:rPr>
                <w:i/>
                <w:sz w:val="20"/>
                <w:szCs w:val="20"/>
              </w:rPr>
              <w:t>tralia, on pages 58 –68 (of 79)</w:t>
            </w:r>
            <w:r w:rsidR="00E92D16" w:rsidRPr="00BB5A93">
              <w:rPr>
                <w:sz w:val="20"/>
                <w:szCs w:val="20"/>
              </w:rPr>
              <w:t>’</w:t>
            </w:r>
            <w:r w:rsidR="009B220F" w:rsidRPr="00BB5A93">
              <w:rPr>
                <w:sz w:val="20"/>
                <w:szCs w:val="20"/>
              </w:rPr>
              <w:t>.</w:t>
            </w:r>
          </w:p>
        </w:tc>
        <w:tc>
          <w:tcPr>
            <w:tcW w:w="161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127052" w:rsidRPr="00BB5A93" w:rsidRDefault="00127052" w:rsidP="00BB5A93">
            <w:pPr>
              <w:rPr>
                <w:sz w:val="20"/>
                <w:szCs w:val="20"/>
              </w:rPr>
            </w:pPr>
            <w:r w:rsidRPr="00BB5A93">
              <w:rPr>
                <w:sz w:val="20"/>
                <w:szCs w:val="20"/>
              </w:rPr>
              <w:t>In the first instance Table 5 should be renamed and corrected to ‘Summary of the Risk Management Plan in Australia’.  Secondly it is apparent that the specified missing information in Table 4: ‘Summary of the Risk Minimisation Plan in Australia’ and Table 5 of the updated ASA has been significantly rationalised, including the deletion of ‘Subjects with renal or liver impairment’, compared to what wa</w:t>
            </w:r>
            <w:r w:rsidR="009B220F" w:rsidRPr="00BB5A93">
              <w:rPr>
                <w:sz w:val="20"/>
                <w:szCs w:val="20"/>
              </w:rPr>
              <w:t xml:space="preserve">s previously accepted for </w:t>
            </w:r>
            <w:proofErr w:type="spellStart"/>
            <w:r w:rsidR="009B220F" w:rsidRPr="00BB5A93">
              <w:rPr>
                <w:sz w:val="20"/>
                <w:szCs w:val="20"/>
              </w:rPr>
              <w:t>Humira</w:t>
            </w:r>
            <w:proofErr w:type="spellEnd"/>
            <w:r w:rsidR="009B220F" w:rsidRPr="00BB5A93">
              <w:rPr>
                <w:sz w:val="20"/>
                <w:szCs w:val="20"/>
              </w:rPr>
              <w:t xml:space="preserve">. </w:t>
            </w:r>
            <w:r w:rsidRPr="00BB5A93">
              <w:rPr>
                <w:sz w:val="20"/>
                <w:szCs w:val="20"/>
              </w:rPr>
              <w:t>It would appear the only justificati</w:t>
            </w:r>
            <w:r w:rsidR="009B220F" w:rsidRPr="00BB5A93">
              <w:rPr>
                <w:sz w:val="20"/>
                <w:szCs w:val="20"/>
              </w:rPr>
              <w:t xml:space="preserve">on offered for such change was </w:t>
            </w:r>
            <w:r w:rsidR="00E92D16" w:rsidRPr="00BB5A93">
              <w:rPr>
                <w:sz w:val="20"/>
                <w:szCs w:val="20"/>
              </w:rPr>
              <w:t>‘</w:t>
            </w:r>
            <w:r w:rsidR="009B220F" w:rsidRPr="00BB5A93">
              <w:rPr>
                <w:sz w:val="20"/>
                <w:szCs w:val="20"/>
              </w:rPr>
              <w:t>Missing information was updated</w:t>
            </w:r>
            <w:r w:rsidR="00E92D16" w:rsidRPr="00BB5A93">
              <w:rPr>
                <w:sz w:val="20"/>
                <w:szCs w:val="20"/>
              </w:rPr>
              <w:t>’</w:t>
            </w:r>
            <w:r w:rsidRPr="00BB5A93">
              <w:rPr>
                <w:sz w:val="20"/>
                <w:szCs w:val="20"/>
              </w:rPr>
              <w:t>, which i</w:t>
            </w:r>
            <w:r w:rsidR="009B220F" w:rsidRPr="00BB5A93">
              <w:rPr>
                <w:sz w:val="20"/>
                <w:szCs w:val="20"/>
              </w:rPr>
              <w:t xml:space="preserve">s considered to be inadequate. </w:t>
            </w:r>
            <w:r w:rsidRPr="00BB5A93">
              <w:rPr>
                <w:sz w:val="20"/>
                <w:szCs w:val="20"/>
              </w:rPr>
              <w:t>Consequently the sponsor should provide compelling justification for apparent changes to the missing information item</w:t>
            </w:r>
            <w:r w:rsidR="009B220F" w:rsidRPr="00BB5A93">
              <w:rPr>
                <w:sz w:val="20"/>
                <w:szCs w:val="20"/>
              </w:rPr>
              <w:t xml:space="preserve">s previously accepted for </w:t>
            </w:r>
            <w:proofErr w:type="spellStart"/>
            <w:r w:rsidR="009B220F" w:rsidRPr="00BB5A93">
              <w:rPr>
                <w:sz w:val="20"/>
                <w:szCs w:val="20"/>
              </w:rPr>
              <w:t>Humira</w:t>
            </w:r>
            <w:proofErr w:type="spellEnd"/>
            <w:r w:rsidRPr="00BB5A93">
              <w:rPr>
                <w:sz w:val="20"/>
                <w:szCs w:val="20"/>
              </w:rPr>
              <w:t xml:space="preserve"> or alternatively reinstate these safety concerns, which need only be reflected in a revised ASA preferably before this application is approved.</w:t>
            </w:r>
          </w:p>
        </w:tc>
      </w:tr>
    </w:tbl>
    <w:p w:rsidR="00FA691A" w:rsidRPr="00FA691A" w:rsidRDefault="00FA691A" w:rsidP="00BB5A93">
      <w:pPr>
        <w:pStyle w:val="Heading5"/>
        <w:pageBreakBefore/>
      </w:pPr>
      <w:r w:rsidRPr="00FA691A">
        <w:lastRenderedPageBreak/>
        <w:t>Advice from the Advisory Committee on the Safety of Medicines (ACSOM)</w:t>
      </w:r>
    </w:p>
    <w:p w:rsidR="00FA691A" w:rsidRPr="00FA691A" w:rsidRDefault="00FA691A" w:rsidP="00FA691A">
      <w:r w:rsidRPr="00FA691A">
        <w:t>ACSOM advice was not sought for this submission.</w:t>
      </w:r>
    </w:p>
    <w:p w:rsidR="00A31464" w:rsidRDefault="00FA691A" w:rsidP="00FA691A">
      <w:pPr>
        <w:pStyle w:val="Heading5"/>
      </w:pPr>
      <w:r w:rsidRPr="00FA691A">
        <w:t>Suggested wording for conditions of registration</w:t>
      </w:r>
    </w:p>
    <w:p w:rsidR="00FA691A" w:rsidRPr="00FA691A" w:rsidRDefault="00FA691A" w:rsidP="00FA691A">
      <w:pPr>
        <w:pStyle w:val="Heading6"/>
      </w:pPr>
      <w:r w:rsidRPr="00FA691A">
        <w:t>RMP</w:t>
      </w:r>
    </w:p>
    <w:p w:rsidR="00FA691A" w:rsidRPr="00FA691A" w:rsidRDefault="00FA691A" w:rsidP="00FA691A">
      <w:r w:rsidRPr="00FA691A">
        <w:t>Any changes to which the sponsor agreed become part of the risk management system, whether they are included in the currently available version of the RMP document, or not included, inadvertently or otherwise.</w:t>
      </w:r>
    </w:p>
    <w:p w:rsidR="00127052" w:rsidRDefault="00FA691A" w:rsidP="00FA691A">
      <w:pPr>
        <w:rPr>
          <w:lang w:eastAsia="en-AU"/>
        </w:rPr>
      </w:pPr>
      <w:r w:rsidRPr="00FA691A">
        <w:t>At this time no wording can be provided, as it is recommended that an acceptably revised ASA be submitted before this application is approved.</w:t>
      </w:r>
    </w:p>
    <w:p w:rsidR="008E7846" w:rsidRDefault="00FA691A" w:rsidP="008E7846">
      <w:pPr>
        <w:pStyle w:val="Heading4"/>
        <w:rPr>
          <w:lang w:eastAsia="en-AU"/>
        </w:rPr>
      </w:pPr>
      <w:r>
        <w:rPr>
          <w:lang w:eastAsia="en-AU"/>
        </w:rPr>
        <w:t>S</w:t>
      </w:r>
      <w:r w:rsidR="008E7846" w:rsidRPr="00EB5837">
        <w:rPr>
          <w:lang w:eastAsia="en-AU"/>
        </w:rPr>
        <w:t xml:space="preserve">ummary of </w:t>
      </w:r>
      <w:r w:rsidR="003A7F6C" w:rsidRPr="00EB5837">
        <w:rPr>
          <w:lang w:eastAsia="en-AU"/>
        </w:rPr>
        <w:t>r</w:t>
      </w:r>
      <w:r w:rsidR="008E7846" w:rsidRPr="00EB5837">
        <w:rPr>
          <w:lang w:eastAsia="en-AU"/>
        </w:rPr>
        <w:t>ecommendations</w:t>
      </w:r>
    </w:p>
    <w:p w:rsidR="00442B6C" w:rsidRPr="00442B6C" w:rsidRDefault="00442B6C" w:rsidP="00442B6C">
      <w:pPr>
        <w:rPr>
          <w:lang w:eastAsia="en-AU"/>
        </w:rPr>
      </w:pPr>
      <w:r>
        <w:rPr>
          <w:lang w:eastAsia="en-AU"/>
        </w:rPr>
        <w:t>See second round RMP report</w:t>
      </w:r>
      <w:r w:rsidR="003557D0">
        <w:rPr>
          <w:lang w:eastAsia="en-AU"/>
        </w:rPr>
        <w:t>.</w:t>
      </w:r>
    </w:p>
    <w:p w:rsidR="008E7846" w:rsidRPr="00792A32" w:rsidRDefault="008E7846" w:rsidP="008E7846">
      <w:pPr>
        <w:pStyle w:val="Heading2"/>
      </w:pPr>
      <w:bookmarkStart w:id="106" w:name="_Toc314842510"/>
      <w:bookmarkStart w:id="107" w:name="_Toc45695115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7"/>
      <w:bookmarkEnd w:id="105"/>
      <w:bookmarkEnd w:id="106"/>
      <w:bookmarkEnd w:id="107"/>
    </w:p>
    <w:p w:rsidR="005B3FF3" w:rsidRDefault="008E7846" w:rsidP="008E7846">
      <w:bookmarkStart w:id="108" w:name="_Toc247691528"/>
      <w:r>
        <w:t xml:space="preserve">The submission was summarised in the following </w:t>
      </w:r>
      <w:r w:rsidRPr="00EF5C48">
        <w:t xml:space="preserve">Delegate’s </w:t>
      </w:r>
      <w:r>
        <w:t>overview</w:t>
      </w:r>
      <w:r w:rsidRPr="00EF5C48">
        <w:t xml:space="preserve"> and recommendation</w:t>
      </w:r>
      <w:r>
        <w:t>s:</w:t>
      </w:r>
    </w:p>
    <w:p w:rsidR="005B3FF3" w:rsidRDefault="005B3FF3" w:rsidP="005B3FF3">
      <w:pPr>
        <w:pStyle w:val="Heading3"/>
      </w:pPr>
      <w:bookmarkStart w:id="109" w:name="_Toc456951160"/>
      <w:r>
        <w:t>Introduction</w:t>
      </w:r>
      <w:bookmarkEnd w:id="109"/>
    </w:p>
    <w:p w:rsidR="005B3FF3" w:rsidRPr="005B3FF3" w:rsidRDefault="005B3FF3" w:rsidP="005B3FF3">
      <w:r w:rsidRPr="005B3FF3">
        <w:t xml:space="preserve">HS is a chronic follicular occlusive disease involving the follicular portion of </w:t>
      </w:r>
      <w:proofErr w:type="spellStart"/>
      <w:r w:rsidRPr="005B3FF3">
        <w:t>folliculo</w:t>
      </w:r>
      <w:proofErr w:type="spellEnd"/>
      <w:r w:rsidR="009B220F">
        <w:noBreakHyphen/>
      </w:r>
      <w:proofErr w:type="spellStart"/>
      <w:r w:rsidRPr="005B3FF3">
        <w:t>pilo</w:t>
      </w:r>
      <w:proofErr w:type="spellEnd"/>
      <w:r w:rsidR="009B220F">
        <w:noBreakHyphen/>
      </w:r>
      <w:r w:rsidRPr="005B3FF3">
        <w:t xml:space="preserve">sebaceous </w:t>
      </w:r>
      <w:r w:rsidR="00C52458" w:rsidRPr="005B3FF3">
        <w:t>units</w:t>
      </w:r>
      <w:r w:rsidR="00F17B49">
        <w:fldChar w:fldCharType="begin"/>
      </w:r>
      <w:r w:rsidR="00F17B49">
        <w:instrText xml:space="preserve"> NOTEREF _Ref450829488 \f \h </w:instrText>
      </w:r>
      <w:r w:rsidR="00F17B49">
        <w:fldChar w:fldCharType="separate"/>
      </w:r>
      <w:r w:rsidR="00120CC3" w:rsidRPr="00120CC3">
        <w:rPr>
          <w:rStyle w:val="FootnoteReference"/>
        </w:rPr>
        <w:t>1</w:t>
      </w:r>
      <w:r w:rsidR="00F17B49">
        <w:fldChar w:fldCharType="end"/>
      </w:r>
      <w:r w:rsidR="00F17B49">
        <w:t>.</w:t>
      </w:r>
      <w:r w:rsidR="00C52458">
        <w:t xml:space="preserve"> </w:t>
      </w:r>
      <w:r w:rsidRPr="005B3FF3">
        <w:t xml:space="preserve">Primary sites are intertriginous skin areas of the axillary, groin, perianal, perineal and inframammary </w:t>
      </w:r>
      <w:r w:rsidR="0037334C" w:rsidRPr="005B3FF3">
        <w:t>regions</w:t>
      </w:r>
      <w:r w:rsidR="0037334C">
        <w:t xml:space="preserve">. </w:t>
      </w:r>
      <w:r w:rsidRPr="005B3FF3">
        <w:t xml:space="preserve">Clinical manifestations range from recurrent inflamed nodules and </w:t>
      </w:r>
      <w:r w:rsidR="0037334C" w:rsidRPr="005B3FF3">
        <w:t>abscesses</w:t>
      </w:r>
      <w:r w:rsidRPr="005B3FF3">
        <w:t xml:space="preserve"> through to draining sinus tracts</w:t>
      </w:r>
      <w:r w:rsidR="00C52458">
        <w:t xml:space="preserve"> and bands of severe scarring. </w:t>
      </w:r>
      <w:r w:rsidRPr="005B3FF3">
        <w:t>Pain, malodour, drainage and disfigurement contribute to a profound psychosocial impac</w:t>
      </w:r>
      <w:r w:rsidR="00C52458">
        <w:t xml:space="preserve">t. </w:t>
      </w:r>
      <w:r w:rsidRPr="005B3FF3">
        <w:t>Onset is usually between puberty and 40 years</w:t>
      </w:r>
      <w:r w:rsidR="00C52458">
        <w:t xml:space="preserve">. </w:t>
      </w:r>
      <w:r w:rsidRPr="005B3FF3">
        <w:t>Incidence is higher in women.</w:t>
      </w:r>
      <w:r w:rsidR="00C52458">
        <w:t xml:space="preserve"> </w:t>
      </w:r>
      <w:r w:rsidRPr="005B3FF3">
        <w:t>There is a strong correlation with smoking, and a weaker correlation with obesity.</w:t>
      </w:r>
    </w:p>
    <w:p w:rsidR="00730F8A" w:rsidRDefault="008E7846" w:rsidP="00CC4CD6">
      <w:pPr>
        <w:pStyle w:val="Heading3"/>
      </w:pPr>
      <w:bookmarkStart w:id="110" w:name="_Toc314842511"/>
      <w:bookmarkStart w:id="111" w:name="_Toc456951161"/>
      <w:r>
        <w:t>Quality</w:t>
      </w:r>
      <w:bookmarkEnd w:id="108"/>
      <w:bookmarkEnd w:id="110"/>
      <w:bookmarkEnd w:id="111"/>
    </w:p>
    <w:p w:rsidR="00E45619" w:rsidRDefault="008E7846" w:rsidP="003A7F6C">
      <w:r>
        <w:t>There was no requirement for a quality evaluation in a submission of this type.</w:t>
      </w:r>
    </w:p>
    <w:p w:rsidR="008E7846" w:rsidRDefault="008E7846" w:rsidP="008E7846">
      <w:pPr>
        <w:pStyle w:val="Heading3"/>
      </w:pPr>
      <w:bookmarkStart w:id="112" w:name="_Toc314842512"/>
      <w:bookmarkStart w:id="113" w:name="_Toc456951162"/>
      <w:r>
        <w:t>Nonclinical</w:t>
      </w:r>
      <w:bookmarkEnd w:id="112"/>
      <w:bookmarkEnd w:id="113"/>
    </w:p>
    <w:p w:rsidR="00082C41" w:rsidRPr="00082C41" w:rsidRDefault="00082C41" w:rsidP="00082C41">
      <w:r>
        <w:t>There was no requirement for a quality evaluation in a submission of this type.</w:t>
      </w:r>
    </w:p>
    <w:p w:rsidR="008E7846" w:rsidRDefault="008E7846" w:rsidP="008E7846">
      <w:pPr>
        <w:pStyle w:val="Heading3"/>
      </w:pPr>
      <w:bookmarkStart w:id="114" w:name="_Toc247691530"/>
      <w:bookmarkStart w:id="115" w:name="_Toc314842513"/>
      <w:bookmarkStart w:id="116" w:name="_Toc456951163"/>
      <w:r>
        <w:t>Clinical</w:t>
      </w:r>
      <w:bookmarkEnd w:id="114"/>
      <w:bookmarkEnd w:id="115"/>
      <w:bookmarkEnd w:id="116"/>
    </w:p>
    <w:p w:rsidR="00082C41" w:rsidRDefault="00082C41" w:rsidP="00082C41">
      <w:bookmarkStart w:id="117" w:name="_Toc314842514"/>
      <w:r w:rsidRPr="00082C41">
        <w:t>There were two pivotal studies (M11</w:t>
      </w:r>
      <w:r w:rsidR="000C2FFA">
        <w:t>–</w:t>
      </w:r>
      <w:r w:rsidRPr="00082C41">
        <w:t>313 and M11</w:t>
      </w:r>
      <w:r w:rsidR="000C2FFA">
        <w:t>–</w:t>
      </w:r>
      <w:r w:rsidRPr="00082C41">
        <w:t>810), with similar design (including use of a newly validated endpoint, HiSCR</w:t>
      </w:r>
      <w:r w:rsidR="00F17B49">
        <w:fldChar w:fldCharType="begin"/>
      </w:r>
      <w:r w:rsidR="00F17B49">
        <w:instrText xml:space="preserve"> NOTEREF _Ref450817154 \f \h </w:instrText>
      </w:r>
      <w:r w:rsidR="00F17B49">
        <w:fldChar w:fldCharType="separate"/>
      </w:r>
      <w:r w:rsidR="00120CC3" w:rsidRPr="00120CC3">
        <w:rPr>
          <w:rStyle w:val="FootnoteReference"/>
        </w:rPr>
        <w:t>2</w:t>
      </w:r>
      <w:r w:rsidR="00F17B49">
        <w:fldChar w:fldCharType="end"/>
      </w:r>
      <w:r w:rsidRPr="00082C41">
        <w:t xml:space="preserve">). These studies examined efficacy </w:t>
      </w:r>
      <w:r w:rsidR="00F17B49">
        <w:t xml:space="preserve">in </w:t>
      </w:r>
      <w:r w:rsidR="00E92D16">
        <w:t>‘</w:t>
      </w:r>
      <w:r w:rsidR="00F17B49">
        <w:t>Period A</w:t>
      </w:r>
      <w:r w:rsidR="00E92D16">
        <w:t>’</w:t>
      </w:r>
      <w:r w:rsidR="00F17B49">
        <w:t xml:space="preserve"> up </w:t>
      </w:r>
      <w:r w:rsidRPr="00082C41">
        <w:t xml:space="preserve">to week 12, when </w:t>
      </w:r>
      <w:proofErr w:type="spellStart"/>
      <w:r w:rsidRPr="00082C41">
        <w:t>HiSCR</w:t>
      </w:r>
      <w:proofErr w:type="spellEnd"/>
      <w:r w:rsidRPr="00082C41">
        <w:t xml:space="preserve"> was assessed. After week 12, patients entered ‘Period B’ for 24 weeks and generated evidence about</w:t>
      </w:r>
      <w:r w:rsidR="00ED388A">
        <w:t xml:space="preserve"> maintenance treatment. Beyond W</w:t>
      </w:r>
      <w:r w:rsidRPr="00082C41">
        <w:t>eek 36, some evidence</w:t>
      </w:r>
      <w:r w:rsidR="00F17B49">
        <w:t xml:space="preserve"> has been generated in the open </w:t>
      </w:r>
      <w:r w:rsidRPr="00082C41">
        <w:t>label extension study M12</w:t>
      </w:r>
      <w:r w:rsidR="000C2FFA">
        <w:t>–</w:t>
      </w:r>
      <w:r w:rsidRPr="00082C41">
        <w:t>555.</w:t>
      </w:r>
    </w:p>
    <w:p w:rsidR="00082C41" w:rsidRDefault="003645D9" w:rsidP="00082C41">
      <w:r>
        <w:t xml:space="preserve">The </w:t>
      </w:r>
      <w:r w:rsidR="00F17B49">
        <w:t>clinical evaluator</w:t>
      </w:r>
      <w:r>
        <w:t xml:space="preserve"> </w:t>
      </w:r>
      <w:r w:rsidR="00082C41" w:rsidRPr="00082C41">
        <w:t>considered that a 12 week course of adalimumab was beneficial in management of HS, but did not initially consider there to be a significant benefit from ongoing ‘maint</w:t>
      </w:r>
      <w:r w:rsidR="006A1B5D">
        <w:t>enance’ treatment</w:t>
      </w:r>
      <w:r w:rsidR="00082C41" w:rsidRPr="00082C41">
        <w:t>. The final recommendation took into account further justification from the sponsor, and was to allow m</w:t>
      </w:r>
      <w:r w:rsidR="006A1B5D">
        <w:t>aintenance use</w:t>
      </w:r>
      <w:r w:rsidR="00082C41" w:rsidRPr="00082C41">
        <w:t xml:space="preserve">. However, the </w:t>
      </w:r>
      <w:r w:rsidR="00F17B49">
        <w:t xml:space="preserve">clinical </w:t>
      </w:r>
      <w:r w:rsidR="00082C41" w:rsidRPr="00082C41">
        <w:lastRenderedPageBreak/>
        <w:t>eva</w:t>
      </w:r>
      <w:r w:rsidR="006A1B5D">
        <w:t>luator’s view</w:t>
      </w:r>
      <w:r w:rsidR="00082C41" w:rsidRPr="00082C41">
        <w:t xml:space="preserve"> is that only with ongoing evidence of efficacy should maintenance co</w:t>
      </w:r>
      <w:r w:rsidR="00082C41">
        <w:t>ntinue.</w:t>
      </w:r>
    </w:p>
    <w:p w:rsidR="00082C41" w:rsidRDefault="00F17B49" w:rsidP="006A1B5D">
      <w:pPr>
        <w:pStyle w:val="ListBullet"/>
      </w:pPr>
      <w:r>
        <w:t>The clinical evaluator</w:t>
      </w:r>
      <w:r w:rsidR="00082C41" w:rsidRPr="0097799F">
        <w:t xml:space="preserve"> recommends assessment of </w:t>
      </w:r>
      <w:proofErr w:type="spellStart"/>
      <w:r w:rsidR="00082C41" w:rsidRPr="0097799F">
        <w:t>HiSCR</w:t>
      </w:r>
      <w:proofErr w:type="spellEnd"/>
      <w:r w:rsidR="00082C41" w:rsidRPr="0097799F">
        <w:t xml:space="preserve"> response at Weeks 12 and 24. </w:t>
      </w:r>
      <w:proofErr w:type="spellStart"/>
      <w:r w:rsidR="00082C41" w:rsidRPr="0097799F">
        <w:t>HiSCR</w:t>
      </w:r>
      <w:proofErr w:type="spellEnd"/>
      <w:r w:rsidR="00082C41" w:rsidRPr="0097799F">
        <w:t xml:space="preserve"> responses should be assessed every 6 months thereafter. </w:t>
      </w:r>
      <w:r w:rsidR="00082C41" w:rsidRPr="00947B45">
        <w:t xml:space="preserve">A </w:t>
      </w:r>
      <w:r w:rsidR="00980CFD" w:rsidRPr="00947B45">
        <w:t xml:space="preserve">positive </w:t>
      </w:r>
      <w:proofErr w:type="spellStart"/>
      <w:r w:rsidR="00980CFD" w:rsidRPr="00947B45">
        <w:t>HiSCR</w:t>
      </w:r>
      <w:proofErr w:type="spellEnd"/>
      <w:r w:rsidR="00980CFD" w:rsidRPr="00947B45">
        <w:t xml:space="preserve"> response</w:t>
      </w:r>
      <w:r w:rsidR="00366002">
        <w:t xml:space="preserve"> </w:t>
      </w:r>
      <w:r w:rsidR="00082C41" w:rsidRPr="0097799F">
        <w:t xml:space="preserve">should be present for continuation of treatment at the assessment </w:t>
      </w:r>
      <w:proofErr w:type="spellStart"/>
      <w:r w:rsidR="00082C41" w:rsidRPr="0097799F">
        <w:t>timepoints</w:t>
      </w:r>
      <w:proofErr w:type="spellEnd"/>
      <w:r w:rsidR="00082C41" w:rsidRPr="0097799F">
        <w:t xml:space="preserve">. Patients, who demonstrate maintenance of </w:t>
      </w:r>
      <w:proofErr w:type="spellStart"/>
      <w:r w:rsidR="00082C41" w:rsidRPr="0097799F">
        <w:t>HiSCR</w:t>
      </w:r>
      <w:proofErr w:type="spellEnd"/>
      <w:r w:rsidR="00082C41" w:rsidRPr="0097799F">
        <w:t xml:space="preserve"> response, should be given ongoing maintenance treatment.</w:t>
      </w:r>
    </w:p>
    <w:p w:rsidR="00082C41" w:rsidRPr="00082C41" w:rsidRDefault="00082C41" w:rsidP="00082C41">
      <w:r w:rsidRPr="00082C41">
        <w:t>The implication is that onl</w:t>
      </w:r>
      <w:r w:rsidR="00CB1F9E">
        <w:t>y responders at W</w:t>
      </w:r>
      <w:r w:rsidRPr="00082C41">
        <w:t>eek 12 should continue treatment (and so on, with re</w:t>
      </w:r>
      <w:r w:rsidR="000C2FFA">
        <w:t>–</w:t>
      </w:r>
      <w:r w:rsidR="00556BF9">
        <w:t>assessment at W</w:t>
      </w:r>
      <w:r w:rsidRPr="00082C41">
        <w:t>eek 24 and every 6 months thereafter).</w:t>
      </w:r>
    </w:p>
    <w:p w:rsidR="00082C41" w:rsidRPr="00082C41" w:rsidRDefault="00082C41" w:rsidP="005B3FF3">
      <w:pPr>
        <w:pStyle w:val="Heading4"/>
      </w:pPr>
      <w:r>
        <w:t>Pharmacokinetics (PK)</w:t>
      </w:r>
    </w:p>
    <w:p w:rsidR="00082C41" w:rsidRPr="00082C41" w:rsidRDefault="00082C41" w:rsidP="00082C41">
      <w:r w:rsidRPr="00082C41">
        <w:t>PK and immunogenicity were evaluated in pati</w:t>
      </w:r>
      <w:r>
        <w:t>ents enrolled in the two Phase III</w:t>
      </w:r>
      <w:r w:rsidRPr="00082C41">
        <w:t xml:space="preserve"> studies (M11</w:t>
      </w:r>
      <w:r w:rsidR="000C2FFA">
        <w:t>–</w:t>
      </w:r>
      <w:r>
        <w:t>313 and M11</w:t>
      </w:r>
      <w:r w:rsidR="000C2FFA">
        <w:t>–</w:t>
      </w:r>
      <w:r>
        <w:t>810) and the Phase II</w:t>
      </w:r>
      <w:r w:rsidR="0097799F">
        <w:t xml:space="preserve"> </w:t>
      </w:r>
      <w:proofErr w:type="gramStart"/>
      <w:r w:rsidR="0097799F">
        <w:t>study</w:t>
      </w:r>
      <w:proofErr w:type="gramEnd"/>
      <w:r w:rsidR="0097799F">
        <w:t xml:space="preserve"> (M10</w:t>
      </w:r>
      <w:r w:rsidR="000C2FFA">
        <w:t>–</w:t>
      </w:r>
      <w:r w:rsidR="0097799F">
        <w:t>467).</w:t>
      </w:r>
    </w:p>
    <w:p w:rsidR="00082C41" w:rsidRPr="00082C41" w:rsidRDefault="00082C41" w:rsidP="00082C41">
      <w:r>
        <w:t xml:space="preserve">A key finding </w:t>
      </w:r>
      <w:r w:rsidRPr="00082C41">
        <w:t>was th</w:t>
      </w:r>
      <w:r w:rsidR="003703CE">
        <w:t>at:</w:t>
      </w:r>
    </w:p>
    <w:p w:rsidR="00082C41" w:rsidRPr="00082C41" w:rsidRDefault="00082C41" w:rsidP="00082C41">
      <w:pPr>
        <w:pStyle w:val="ListBullet"/>
      </w:pPr>
      <w:r w:rsidRPr="00082C41">
        <w:t xml:space="preserve">At the end of Period A (Week 12), subjects were evaluated for the primary efficacy endpoint of </w:t>
      </w:r>
      <w:proofErr w:type="spellStart"/>
      <w:r w:rsidRPr="00082C41">
        <w:t>HiSCR</w:t>
      </w:r>
      <w:proofErr w:type="spellEnd"/>
      <w:r w:rsidRPr="00082C41">
        <w:t xml:space="preserve">. In subjects that received adalimumab 40 mg </w:t>
      </w:r>
      <w:proofErr w:type="spellStart"/>
      <w:r w:rsidRPr="00082C41">
        <w:t>ew</w:t>
      </w:r>
      <w:proofErr w:type="spellEnd"/>
      <w:r w:rsidRPr="00082C41">
        <w:t>, responders had slightly higher adalimumab concentrations</w:t>
      </w:r>
      <w:r w:rsidR="000A5BEF">
        <w:t xml:space="preserve"> compared to </w:t>
      </w:r>
      <w:r w:rsidR="00712729">
        <w:t>non-responders</w:t>
      </w:r>
      <w:r w:rsidR="000A5BEF">
        <w:t xml:space="preserve"> (8 to</w:t>
      </w:r>
      <w:r w:rsidRPr="00082C41">
        <w:t xml:space="preserve"> 11 </w:t>
      </w:r>
      <w:r w:rsidR="0010250D">
        <w:t>µ</w:t>
      </w:r>
      <w:r w:rsidR="00690980">
        <w:t>g</w:t>
      </w:r>
      <w:r w:rsidRPr="00082C41">
        <w:t>/mL ver</w:t>
      </w:r>
      <w:r>
        <w:t xml:space="preserve">sus 6 </w:t>
      </w:r>
      <w:r w:rsidR="003703CE">
        <w:t>to</w:t>
      </w:r>
      <w:r>
        <w:t xml:space="preserve"> 7 </w:t>
      </w:r>
      <w:r w:rsidR="0010250D">
        <w:t>µ</w:t>
      </w:r>
      <w:r w:rsidR="00690980">
        <w:t>g</w:t>
      </w:r>
      <w:r>
        <w:t>/mL) in both Phase III</w:t>
      </w:r>
      <w:r w:rsidRPr="00082C41">
        <w:t xml:space="preserve"> studies.</w:t>
      </w:r>
    </w:p>
    <w:p w:rsidR="00A93339" w:rsidRPr="00A93339" w:rsidRDefault="00A93339" w:rsidP="00A93339">
      <w:r w:rsidRPr="00A93339">
        <w:t>There w</w:t>
      </w:r>
      <w:r>
        <w:t>as some suggestion</w:t>
      </w:r>
      <w:r w:rsidRPr="00A93339">
        <w:t xml:space="preserve"> that with like dosing, exposure was lower in HS than in other diseas</w:t>
      </w:r>
      <w:r w:rsidR="00D43BA2">
        <w:t>e states such as CD</w:t>
      </w:r>
      <w:r w:rsidRPr="00A93339">
        <w:t xml:space="preserve">, </w:t>
      </w:r>
      <w:r w:rsidR="00D43BA2">
        <w:t>UC</w:t>
      </w:r>
      <w:r w:rsidRPr="00A93339">
        <w:t xml:space="preserve"> and </w:t>
      </w:r>
      <w:r w:rsidR="00D43BA2">
        <w:t>Ps</w:t>
      </w:r>
      <w:r w:rsidRPr="00A93339">
        <w:t>, however this was not conclusively demonstrated, and no explanation was apparen</w:t>
      </w:r>
      <w:r>
        <w:t>t for such a difference.</w:t>
      </w:r>
    </w:p>
    <w:p w:rsidR="00A93339" w:rsidRPr="00A93339" w:rsidRDefault="00A93339" w:rsidP="00A93339">
      <w:r w:rsidRPr="00A93339">
        <w:t>Another s</w:t>
      </w:r>
      <w:r>
        <w:t>ignificant finding</w:t>
      </w:r>
      <w:r w:rsidRPr="00A93339">
        <w:t xml:space="preserve"> was that </w:t>
      </w:r>
      <w:r w:rsidR="00D43BA2">
        <w:t>AAAs</w:t>
      </w:r>
      <w:r w:rsidRPr="00A93339">
        <w:t xml:space="preserve"> helped explain var</w:t>
      </w:r>
      <w:r w:rsidR="00ED388A">
        <w:t>iability in apparent clearance.</w:t>
      </w:r>
    </w:p>
    <w:p w:rsidR="00082C41" w:rsidRDefault="00A93339" w:rsidP="00A93339">
      <w:r w:rsidRPr="00A93339">
        <w:t>In exposure</w:t>
      </w:r>
      <w:r w:rsidR="000C2FFA">
        <w:t>–</w:t>
      </w:r>
      <w:r>
        <w:t>response analysis</w:t>
      </w:r>
      <w:r w:rsidRPr="00A93339">
        <w:t>:</w:t>
      </w:r>
    </w:p>
    <w:p w:rsidR="00A93339" w:rsidRPr="00A93339" w:rsidRDefault="00A93339" w:rsidP="00A93339">
      <w:pPr>
        <w:pStyle w:val="ListBullet"/>
      </w:pPr>
      <w:r w:rsidRPr="00A93339">
        <w:t>Serum adalimumab concentration was a significant predictor for LOR</w:t>
      </w:r>
      <w:r w:rsidR="001E5F78">
        <w:fldChar w:fldCharType="begin"/>
      </w:r>
      <w:r w:rsidR="001E5F78">
        <w:instrText xml:space="preserve"> NOTEREF _Ref451161897 \f \h </w:instrText>
      </w:r>
      <w:r w:rsidR="001E5F78">
        <w:fldChar w:fldCharType="separate"/>
      </w:r>
      <w:r w:rsidR="001E5F78" w:rsidRPr="001E5F78">
        <w:rPr>
          <w:rStyle w:val="FootnoteReference"/>
        </w:rPr>
        <w:t>4</w:t>
      </w:r>
      <w:r w:rsidR="001E5F78">
        <w:fldChar w:fldCharType="end"/>
      </w:r>
      <w:r w:rsidRPr="00A93339">
        <w:t xml:space="preserve"> </w:t>
      </w:r>
      <w:r w:rsidR="00980CFD">
        <w:t xml:space="preserve">in </w:t>
      </w:r>
      <w:r w:rsidR="004C6871" w:rsidRPr="00D14161">
        <w:rPr>
          <w:i/>
        </w:rPr>
        <w:t xml:space="preserve">subjects who achieved </w:t>
      </w:r>
      <w:proofErr w:type="spellStart"/>
      <w:r w:rsidR="004C6871" w:rsidRPr="00D14161">
        <w:rPr>
          <w:i/>
        </w:rPr>
        <w:t>HiSCR</w:t>
      </w:r>
      <w:proofErr w:type="spellEnd"/>
      <w:r w:rsidR="004C6871">
        <w:t xml:space="preserve"> </w:t>
      </w:r>
      <w:r w:rsidRPr="00A93339">
        <w:t>and for HS reported as an AE (exacerbation of underlying disease). Subjects with higher adalimumab concentrations were less likely to experience LOR or HS as an AE.</w:t>
      </w:r>
    </w:p>
    <w:p w:rsidR="00A93339" w:rsidRDefault="00BF3D84" w:rsidP="00A93339">
      <w:r>
        <w:t>In the Phase III studies a</w:t>
      </w:r>
      <w:r w:rsidR="00A93339" w:rsidRPr="00A93339">
        <w:t xml:space="preserve">round 10% of HS patients developed </w:t>
      </w:r>
      <w:r w:rsidR="00D43BA2">
        <w:t>AAAs</w:t>
      </w:r>
      <w:r w:rsidR="00A93339" w:rsidRPr="00A93339">
        <w:t xml:space="preserve"> over periods ranging up to one year. </w:t>
      </w:r>
      <w:r>
        <w:t>From the</w:t>
      </w:r>
      <w:r w:rsidR="00A93339">
        <w:t xml:space="preserve"> small number </w:t>
      </w:r>
      <w:r w:rsidR="00A93339" w:rsidRPr="00BF3D84">
        <w:t>of antibody</w:t>
      </w:r>
      <w:r w:rsidR="00746BFC">
        <w:t xml:space="preserve"> </w:t>
      </w:r>
      <w:r w:rsidR="00A93339" w:rsidRPr="00BF3D84">
        <w:t>positive patients</w:t>
      </w:r>
      <w:r w:rsidR="00FA691A">
        <w:t xml:space="preserve"> (n = 10), no </w:t>
      </w:r>
      <w:r w:rsidR="00A93339" w:rsidRPr="00A93339">
        <w:t xml:space="preserve">one achieved </w:t>
      </w:r>
      <w:proofErr w:type="spellStart"/>
      <w:r w:rsidR="00A93339" w:rsidRPr="00A93339">
        <w:t>HiSCR</w:t>
      </w:r>
      <w:proofErr w:type="spellEnd"/>
      <w:r w:rsidR="00A93339" w:rsidRPr="00A93339">
        <w:t xml:space="preserve"> at week 12. Numbers were too small to allow conclusions about correlation with safety.</w:t>
      </w:r>
    </w:p>
    <w:p w:rsidR="003703CE" w:rsidRDefault="00FA691A" w:rsidP="003703CE">
      <w:pPr>
        <w:pStyle w:val="Heading4"/>
      </w:pPr>
      <w:r>
        <w:t>Pharmacodynamics (PD)</w:t>
      </w:r>
    </w:p>
    <w:p w:rsidR="0081597E" w:rsidRPr="0081597E" w:rsidRDefault="00FA691A" w:rsidP="0081597E">
      <w:r>
        <w:t>N</w:t>
      </w:r>
      <w:r w:rsidR="0081597E" w:rsidRPr="0081597E">
        <w:t>o data were submitted.</w:t>
      </w:r>
    </w:p>
    <w:p w:rsidR="0081597E" w:rsidRPr="0081597E" w:rsidRDefault="007C0383" w:rsidP="003703CE">
      <w:pPr>
        <w:pStyle w:val="Heading4"/>
      </w:pPr>
      <w:r>
        <w:t>Efficacy</w:t>
      </w:r>
    </w:p>
    <w:p w:rsidR="0081597E" w:rsidRPr="0081597E" w:rsidRDefault="0081597E" w:rsidP="003703CE">
      <w:pPr>
        <w:pStyle w:val="Heading5"/>
      </w:pPr>
      <w:r w:rsidRPr="0081597E">
        <w:t>Study M11</w:t>
      </w:r>
      <w:r w:rsidR="000C2FFA">
        <w:t>–</w:t>
      </w:r>
      <w:r w:rsidR="00FA691A">
        <w:t>313</w:t>
      </w:r>
    </w:p>
    <w:p w:rsidR="00A93339" w:rsidRDefault="0081597E" w:rsidP="0081597E">
      <w:r w:rsidRPr="0081597E">
        <w:t>This was a randomised, double</w:t>
      </w:r>
      <w:r w:rsidR="000C2FFA">
        <w:t>–</w:t>
      </w:r>
      <w:r w:rsidR="0010250D">
        <w:t>blind study of adalimumab versus</w:t>
      </w:r>
      <w:r w:rsidRPr="0081597E">
        <w:t xml:space="preserve"> placebo conducted across</w:t>
      </w:r>
      <w:r w:rsidR="00FA691A">
        <w:t xml:space="preserve"> 48 centres globally, from 2011 to</w:t>
      </w:r>
      <w:r w:rsidRPr="0081597E">
        <w:t xml:space="preserve">2014. Period A was the initial 12 week treatment phase; Period B was a 24 </w:t>
      </w:r>
      <w:r>
        <w:t>week treatment phase.</w:t>
      </w:r>
      <w:r w:rsidR="00503580">
        <w:t xml:space="preserve"> Study design is best</w:t>
      </w:r>
      <w:r w:rsidR="007E7BC5">
        <w:t xml:space="preserve"> described by diagram (Figure 1</w:t>
      </w:r>
      <w:r w:rsidR="00503580">
        <w:t>)</w:t>
      </w:r>
      <w:r w:rsidR="007E7BC5">
        <w:t>.</w:t>
      </w:r>
    </w:p>
    <w:p w:rsidR="00503580" w:rsidRDefault="00F43BCC" w:rsidP="00503580">
      <w:pPr>
        <w:pStyle w:val="FigureTitle"/>
      </w:pPr>
      <w:r>
        <w:lastRenderedPageBreak/>
        <w:t>Figure 1:</w:t>
      </w:r>
      <w:r w:rsidR="00503580">
        <w:t xml:space="preserve"> Study M11-313</w:t>
      </w:r>
    </w:p>
    <w:p w:rsidR="00503580" w:rsidRDefault="00503580" w:rsidP="0081597E">
      <w:r w:rsidRPr="00766788">
        <w:rPr>
          <w:rFonts w:asciiTheme="minorHAnsi" w:hAnsiTheme="minorHAnsi"/>
          <w:noProof/>
          <w:sz w:val="24"/>
          <w:szCs w:val="24"/>
          <w:lang w:eastAsia="en-AU"/>
        </w:rPr>
        <w:drawing>
          <wp:inline distT="0" distB="0" distL="0" distR="0" wp14:anchorId="1124B766" wp14:editId="489C86F7">
            <wp:extent cx="4856155" cy="2543175"/>
            <wp:effectExtent l="0" t="0" r="1905" b="0"/>
            <wp:docPr id="1" name="Picture 7" descr="Figure 1: Study M11-313. During period A (Weeks 0- 12) subjects were enrolled to receive either placebo or 40 mg adalimumab every week. Subjects receiving placebo during  Period A were administered 40 mg adalimumab every week during Period B (Weeks 12-36). Subjects receiving 40 mg adalimumab every week during Period A were administered placebo or 40 mg adalimumab every week or 40 mg adalimumab every other week during Perio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8811" b="19425"/>
                    <a:stretch/>
                  </pic:blipFill>
                  <pic:spPr bwMode="auto">
                    <a:xfrm>
                      <a:off x="0" y="0"/>
                      <a:ext cx="4860273" cy="2545332"/>
                    </a:xfrm>
                    <a:prstGeom prst="rect">
                      <a:avLst/>
                    </a:prstGeom>
                    <a:noFill/>
                    <a:ln>
                      <a:noFill/>
                    </a:ln>
                    <a:extLst>
                      <a:ext uri="{53640926-AAD7-44D8-BBD7-CCE9431645EC}">
                        <a14:shadowObscured xmlns:a14="http://schemas.microsoft.com/office/drawing/2010/main"/>
                      </a:ext>
                    </a:extLst>
                  </pic:spPr>
                </pic:pic>
              </a:graphicData>
            </a:graphic>
          </wp:inline>
        </w:drawing>
      </w:r>
    </w:p>
    <w:p w:rsidR="0081597E" w:rsidRPr="0081597E" w:rsidRDefault="0081597E" w:rsidP="0081597E">
      <w:r w:rsidRPr="0081597E">
        <w:t>Adults with HR in at least two anatomic areas, one of which had at least Hurley Stage II disease</w:t>
      </w:r>
      <w:r w:rsidR="007E7BC5">
        <w:t xml:space="preserve"> (Table 1</w:t>
      </w:r>
      <w:r w:rsidR="004C6871">
        <w:t>)</w:t>
      </w:r>
      <w:r w:rsidRPr="0081597E">
        <w:t>, and who had failed a 90 day trial of oral antibio</w:t>
      </w:r>
      <w:r>
        <w:t>tics, were eligible.</w:t>
      </w:r>
    </w:p>
    <w:p w:rsidR="0081597E" w:rsidRDefault="0081597E" w:rsidP="0081597E">
      <w:r>
        <w:t>The primary end</w:t>
      </w:r>
      <w:r w:rsidR="006F7DD2">
        <w:t>point was:</w:t>
      </w:r>
    </w:p>
    <w:p w:rsidR="0081597E" w:rsidRDefault="0081597E" w:rsidP="0081597E">
      <w:pPr>
        <w:pStyle w:val="ListBullet"/>
      </w:pPr>
      <w:proofErr w:type="gramStart"/>
      <w:r w:rsidRPr="0081597E">
        <w:t>the</w:t>
      </w:r>
      <w:proofErr w:type="gramEnd"/>
      <w:r w:rsidRPr="0081597E">
        <w:t xml:space="preserve"> proportion of subjects achieving HiSCR</w:t>
      </w:r>
      <w:r w:rsidR="004220B1">
        <w:fldChar w:fldCharType="begin"/>
      </w:r>
      <w:r w:rsidR="004220B1">
        <w:instrText xml:space="preserve"> NOTEREF _Ref450912456 \f \h </w:instrText>
      </w:r>
      <w:r w:rsidR="004220B1">
        <w:fldChar w:fldCharType="separate"/>
      </w:r>
      <w:r w:rsidR="004220B1" w:rsidRPr="004220B1">
        <w:rPr>
          <w:rStyle w:val="FootnoteReference"/>
        </w:rPr>
        <w:t>2</w:t>
      </w:r>
      <w:r w:rsidR="004220B1">
        <w:fldChar w:fldCharType="end"/>
      </w:r>
      <w:r w:rsidRPr="0081597E">
        <w:t xml:space="preserve"> at Week 12</w:t>
      </w:r>
      <w:r w:rsidR="00BF3D84">
        <w:t>.</w:t>
      </w:r>
    </w:p>
    <w:p w:rsidR="006A1B5D" w:rsidRPr="006A1B5D" w:rsidRDefault="006A1B5D" w:rsidP="006A1B5D">
      <w:r w:rsidRPr="006A1B5D">
        <w:t xml:space="preserve">The </w:t>
      </w:r>
      <w:r w:rsidR="00FA691A">
        <w:t>clinical evaluator</w:t>
      </w:r>
      <w:r w:rsidRPr="006A1B5D">
        <w:t xml:space="preserve"> thought this endpoint </w:t>
      </w:r>
      <w:r>
        <w:t>validated and meaningful</w:t>
      </w:r>
      <w:r w:rsidR="00493B56">
        <w:t>.</w:t>
      </w:r>
    </w:p>
    <w:p w:rsidR="006A1B5D" w:rsidRPr="006A1B5D" w:rsidRDefault="00D35C03" w:rsidP="006A1B5D">
      <w:r>
        <w:t xml:space="preserve">Some </w:t>
      </w:r>
      <w:r w:rsidR="006A1B5D" w:rsidRPr="006A1B5D">
        <w:t>307 patients were randomised (n</w:t>
      </w:r>
      <w:r w:rsidR="00886D1F">
        <w:t xml:space="preserve"> </w:t>
      </w:r>
      <w:r w:rsidR="006A1B5D" w:rsidRPr="006A1B5D">
        <w:t>=</w:t>
      </w:r>
      <w:r w:rsidR="00886D1F">
        <w:t xml:space="preserve"> </w:t>
      </w:r>
      <w:r w:rsidR="006A1B5D" w:rsidRPr="006A1B5D">
        <w:t>154 to placebo, n</w:t>
      </w:r>
      <w:r w:rsidR="00886D1F">
        <w:t xml:space="preserve"> </w:t>
      </w:r>
      <w:r w:rsidR="006A1B5D" w:rsidRPr="006A1B5D">
        <w:t>=</w:t>
      </w:r>
      <w:r w:rsidR="00886D1F">
        <w:t xml:space="preserve"> </w:t>
      </w:r>
      <w:r w:rsidR="006A1B5D" w:rsidRPr="006A1B5D">
        <w:t>153 to adalimumab). There was a moderate disparity in gender distribution (68% female for placebo, 60% for adalimumab), age &lt;</w:t>
      </w:r>
      <w:r w:rsidR="00886D1F">
        <w:t xml:space="preserve"> </w:t>
      </w:r>
      <w:r w:rsidR="006A1B5D" w:rsidRPr="006A1B5D">
        <w:t>40 y</w:t>
      </w:r>
      <w:r w:rsidR="00C31253">
        <w:t>ea</w:t>
      </w:r>
      <w:r w:rsidR="006A1B5D" w:rsidRPr="006A1B5D">
        <w:t>rs (58% v</w:t>
      </w:r>
      <w:r w:rsidR="006A1B5D">
        <w:t>ersu</w:t>
      </w:r>
      <w:r w:rsidR="006A1B5D" w:rsidRPr="006A1B5D">
        <w:t>s 67% respe</w:t>
      </w:r>
      <w:r w:rsidR="006A1B5D">
        <w:t>ctively) and BMI (median 33.6 versus</w:t>
      </w:r>
      <w:r w:rsidR="006A1B5D" w:rsidRPr="006A1B5D">
        <w:t xml:space="preserve"> 32.1</w:t>
      </w:r>
      <w:r w:rsidR="00BF3D84">
        <w:t xml:space="preserve"> respectively).</w:t>
      </w:r>
    </w:p>
    <w:p w:rsidR="006A1B5D" w:rsidRPr="006A1B5D" w:rsidRDefault="006A1B5D" w:rsidP="006A1B5D">
      <w:proofErr w:type="spellStart"/>
      <w:r w:rsidRPr="006A1B5D">
        <w:t>HiSCR</w:t>
      </w:r>
      <w:proofErr w:type="spellEnd"/>
      <w:r w:rsidRPr="006A1B5D">
        <w:t xml:space="preserve"> at Week 12 wa</w:t>
      </w:r>
      <w:r w:rsidR="00886D1F">
        <w:t>s achieved in 26.0% (placebo) versus</w:t>
      </w:r>
      <w:r w:rsidRPr="006A1B5D">
        <w:t xml:space="preserve"> 41.8% (adalimumab). Broadly, this difference was maintained ac</w:t>
      </w:r>
      <w:r>
        <w:t>ross subgroups</w:t>
      </w:r>
      <w:r w:rsidR="004220B1">
        <w:t>.</w:t>
      </w:r>
    </w:p>
    <w:p w:rsidR="006A1B5D" w:rsidRPr="006A1B5D" w:rsidRDefault="006A1B5D" w:rsidP="006A1B5D">
      <w:r w:rsidRPr="006A1B5D">
        <w:t>There was no difference in several important secondary endp</w:t>
      </w:r>
      <w:r>
        <w:t>oints, across arms</w:t>
      </w:r>
      <w:r w:rsidRPr="006A1B5D">
        <w:t xml:space="preserve">. However, quality of life was </w:t>
      </w:r>
      <w:r w:rsidR="00BF3D84">
        <w:t>better in the adalimumab arm.</w:t>
      </w:r>
    </w:p>
    <w:p w:rsidR="0081597E" w:rsidRDefault="006A1B5D" w:rsidP="006A1B5D">
      <w:r w:rsidRPr="006A1B5D">
        <w:t xml:space="preserve">In Period B, randomisation tested whether </w:t>
      </w:r>
      <w:proofErr w:type="gramStart"/>
      <w:r w:rsidRPr="006A1B5D">
        <w:t>an</w:t>
      </w:r>
      <w:proofErr w:type="gramEnd"/>
      <w:r w:rsidRPr="006A1B5D">
        <w:t xml:space="preserve"> </w:t>
      </w:r>
      <w:r w:rsidR="00367086">
        <w:t>q2w</w:t>
      </w:r>
      <w:r w:rsidRPr="006A1B5D">
        <w:t xml:space="preserve"> </w:t>
      </w:r>
      <w:r w:rsidR="00493B56" w:rsidRPr="006A1B5D">
        <w:t>regime</w:t>
      </w:r>
      <w:r w:rsidR="00493B56">
        <w:t>n or even no further treatment</w:t>
      </w:r>
      <w:r w:rsidRPr="006A1B5D">
        <w:t xml:space="preserve"> provided better outcomes than ongoing </w:t>
      </w:r>
      <w:proofErr w:type="spellStart"/>
      <w:r w:rsidRPr="006A1B5D">
        <w:t>ew</w:t>
      </w:r>
      <w:proofErr w:type="spellEnd"/>
      <w:r w:rsidRPr="006A1B5D">
        <w:t xml:space="preserve"> treatment. Retention of Week 12 response was similar in the randomised </w:t>
      </w:r>
      <w:proofErr w:type="spellStart"/>
      <w:r w:rsidR="00367086">
        <w:t>qw</w:t>
      </w:r>
      <w:proofErr w:type="spellEnd"/>
      <w:r w:rsidRPr="006A1B5D">
        <w:t xml:space="preserve"> and </w:t>
      </w:r>
      <w:r w:rsidR="00367086">
        <w:t>q2w</w:t>
      </w:r>
      <w:r w:rsidR="0010250D">
        <w:t xml:space="preserve"> arms, to W</w:t>
      </w:r>
      <w:r>
        <w:t>eek 36</w:t>
      </w:r>
      <w:r w:rsidRPr="006A1B5D">
        <w:t>, but not statistically significantly better than i</w:t>
      </w:r>
      <w:r w:rsidR="00C31253">
        <w:t>n the placebo arm. Dermatology quality of l</w:t>
      </w:r>
      <w:r w:rsidRPr="006A1B5D">
        <w:t xml:space="preserve">ife indices were similar in the three arms. Results were based on small sample sizes. </w:t>
      </w:r>
      <w:r w:rsidR="001153FF">
        <w:t>Conversion to response amongst W</w:t>
      </w:r>
      <w:r w:rsidRPr="006A1B5D">
        <w:t>eek 12 non</w:t>
      </w:r>
      <w:r w:rsidR="00712729">
        <w:t>-</w:t>
      </w:r>
      <w:r w:rsidRPr="006A1B5D">
        <w:t xml:space="preserve">responders was seen in 37% for </w:t>
      </w:r>
      <w:proofErr w:type="spellStart"/>
      <w:r w:rsidR="00367086">
        <w:t>qw</w:t>
      </w:r>
      <w:proofErr w:type="spellEnd"/>
      <w:r w:rsidRPr="006A1B5D">
        <w:t>/</w:t>
      </w:r>
      <w:proofErr w:type="spellStart"/>
      <w:r w:rsidR="00367086">
        <w:t>qw</w:t>
      </w:r>
      <w:proofErr w:type="spellEnd"/>
      <w:r w:rsidRPr="006A1B5D">
        <w:t xml:space="preserve">, but 26% for </w:t>
      </w:r>
      <w:proofErr w:type="spellStart"/>
      <w:r w:rsidR="00367086">
        <w:t>qw</w:t>
      </w:r>
      <w:proofErr w:type="spellEnd"/>
      <w:r w:rsidRPr="006A1B5D">
        <w:t>/</w:t>
      </w:r>
      <w:r>
        <w:t xml:space="preserve">placebo. The </w:t>
      </w:r>
      <w:r w:rsidR="00886D1F">
        <w:t>clinical evaluator</w:t>
      </w:r>
      <w:r>
        <w:t xml:space="preserve"> writes: </w:t>
      </w:r>
      <w:r w:rsidR="00E92D16">
        <w:rPr>
          <w:i/>
        </w:rPr>
        <w:t>‘</w:t>
      </w:r>
      <w:r w:rsidRPr="006A1B5D">
        <w:rPr>
          <w:i/>
        </w:rPr>
        <w:t>continuation of adalimumab had no benefit over placebo for subjects who were classified as non</w:t>
      </w:r>
      <w:r w:rsidR="00712729">
        <w:rPr>
          <w:i/>
        </w:rPr>
        <w:t>-</w:t>
      </w:r>
      <w:r w:rsidRPr="006A1B5D">
        <w:rPr>
          <w:i/>
        </w:rPr>
        <w:t>responders at Week 12</w:t>
      </w:r>
      <w:r w:rsidR="00E92D16">
        <w:rPr>
          <w:i/>
        </w:rPr>
        <w:t>’</w:t>
      </w:r>
      <w:r w:rsidRPr="006A1B5D">
        <w:t>.</w:t>
      </w:r>
    </w:p>
    <w:p w:rsidR="002F3C57" w:rsidRDefault="002F3C57" w:rsidP="003703CE">
      <w:pPr>
        <w:pStyle w:val="Heading5"/>
      </w:pPr>
      <w:r w:rsidRPr="002F3C57">
        <w:t>Study M11</w:t>
      </w:r>
      <w:r w:rsidR="000C2FFA">
        <w:t>–</w:t>
      </w:r>
      <w:r w:rsidRPr="002F3C57">
        <w:t>8</w:t>
      </w:r>
      <w:r w:rsidR="00886D1F">
        <w:t>10</w:t>
      </w:r>
    </w:p>
    <w:p w:rsidR="002F3C57" w:rsidRPr="00B4590E" w:rsidRDefault="00B4590E" w:rsidP="00B4590E">
      <w:r w:rsidRPr="00B4590E">
        <w:t xml:space="preserve">This study had a similar design to </w:t>
      </w:r>
      <w:r w:rsidR="00886D1F">
        <w:t>Study M11</w:t>
      </w:r>
      <w:r w:rsidR="000C2FFA">
        <w:t>–</w:t>
      </w:r>
      <w:r w:rsidR="00886D1F">
        <w:t>313.</w:t>
      </w:r>
      <w:r w:rsidRPr="00B4590E">
        <w:t xml:space="preserve"> It was conducted at 53 sites globally from 2011 to 2014. Key inclusion and exclusion criteria were as per </w:t>
      </w:r>
      <w:r w:rsidR="00886D1F">
        <w:t>Study M11</w:t>
      </w:r>
      <w:r w:rsidR="000C2FFA">
        <w:t>–</w:t>
      </w:r>
      <w:r w:rsidR="00886D1F">
        <w:t>313</w:t>
      </w:r>
      <w:r w:rsidR="00177295">
        <w:t>.</w:t>
      </w:r>
      <w:r w:rsidRPr="00B4590E">
        <w:t xml:space="preserve"> </w:t>
      </w:r>
      <w:r w:rsidR="00177295">
        <w:t>Dose regime was as per Study M11-313</w:t>
      </w:r>
      <w:r w:rsidRPr="00B4590E">
        <w:t>, except that patients initially randomised to placebo (</w:t>
      </w:r>
      <w:r>
        <w:t>that is</w:t>
      </w:r>
      <w:r w:rsidRPr="00B4590E">
        <w:t xml:space="preserve"> in Period A</w:t>
      </w:r>
      <w:r w:rsidR="00B3270D">
        <w:fldChar w:fldCharType="begin"/>
      </w:r>
      <w:r w:rsidR="00B3270D">
        <w:instrText xml:space="preserve"> NOTEREF _Ref450923197 \f \h </w:instrText>
      </w:r>
      <w:r w:rsidR="00B3270D">
        <w:fldChar w:fldCharType="separate"/>
      </w:r>
      <w:r w:rsidR="00B3270D" w:rsidRPr="00B3270D">
        <w:rPr>
          <w:rStyle w:val="FootnoteReference"/>
        </w:rPr>
        <w:t>3</w:t>
      </w:r>
      <w:r w:rsidR="00B3270D">
        <w:fldChar w:fldCharType="end"/>
      </w:r>
      <w:r w:rsidRPr="00B4590E">
        <w:t xml:space="preserve">) were kept on placebo in Period B. The primary endpoint was as per </w:t>
      </w:r>
      <w:r w:rsidR="00886D1F">
        <w:t>Study M11</w:t>
      </w:r>
      <w:r w:rsidR="000C2FFA">
        <w:t>–</w:t>
      </w:r>
      <w:r w:rsidR="00886D1F">
        <w:t>313</w:t>
      </w:r>
      <w:r w:rsidR="00177295">
        <w:t>.</w:t>
      </w:r>
    </w:p>
    <w:p w:rsidR="008101CF" w:rsidRPr="008101CF" w:rsidRDefault="003703CE" w:rsidP="008101CF">
      <w:r>
        <w:t xml:space="preserve">Some </w:t>
      </w:r>
      <w:r w:rsidR="008101CF" w:rsidRPr="008101CF">
        <w:t>163 patients were randomised to placebo, and 163 to adalimumab (</w:t>
      </w:r>
      <w:r w:rsidR="008101CF">
        <w:t>in Period A)</w:t>
      </w:r>
      <w:r w:rsidR="008101CF" w:rsidRPr="008101CF">
        <w:t>. There wer</w:t>
      </w:r>
      <w:r w:rsidR="008101CF">
        <w:t>e some baseline imbalances, for example race, weight</w:t>
      </w:r>
      <w:r w:rsidR="00ED388A">
        <w:t>.</w:t>
      </w:r>
    </w:p>
    <w:p w:rsidR="0081597E" w:rsidRPr="008101CF" w:rsidRDefault="00CA5345" w:rsidP="008101CF">
      <w:r>
        <w:t xml:space="preserve">Some </w:t>
      </w:r>
      <w:r w:rsidR="008101CF" w:rsidRPr="008101CF">
        <w:t xml:space="preserve">58.9% of adalimumab </w:t>
      </w:r>
      <w:proofErr w:type="spellStart"/>
      <w:r w:rsidR="00367086">
        <w:t>qw</w:t>
      </w:r>
      <w:proofErr w:type="spellEnd"/>
      <w:r w:rsidR="00886D1F">
        <w:t xml:space="preserve"> patients versus</w:t>
      </w:r>
      <w:r w:rsidR="008101CF" w:rsidRPr="008101CF">
        <w:t xml:space="preserve"> 27.6% of placebo arm patients attained HiSCR</w:t>
      </w:r>
      <w:r w:rsidR="00CE3AA0">
        <w:fldChar w:fldCharType="begin"/>
      </w:r>
      <w:r w:rsidR="00CE3AA0">
        <w:instrText xml:space="preserve"> NOTEREF _Ref450912456 \f \h </w:instrText>
      </w:r>
      <w:r w:rsidR="00CE3AA0">
        <w:fldChar w:fldCharType="separate"/>
      </w:r>
      <w:r w:rsidR="00CE3AA0" w:rsidRPr="00CE3AA0">
        <w:rPr>
          <w:rStyle w:val="FootnoteReference"/>
        </w:rPr>
        <w:t>2</w:t>
      </w:r>
      <w:r w:rsidR="00CE3AA0">
        <w:fldChar w:fldCharType="end"/>
      </w:r>
      <w:r w:rsidR="008101CF" w:rsidRPr="008101CF">
        <w:t xml:space="preserve"> at week 12. This difference was maintaine</w:t>
      </w:r>
      <w:r w:rsidR="00193BB4">
        <w:t>d across subgroups</w:t>
      </w:r>
      <w:r w:rsidR="008101CF" w:rsidRPr="008101CF">
        <w:t xml:space="preserve">. Secondary efficacy </w:t>
      </w:r>
      <w:r w:rsidR="008101CF" w:rsidRPr="008101CF">
        <w:lastRenderedPageBreak/>
        <w:t>endpoints were also in favour</w:t>
      </w:r>
      <w:r w:rsidR="00193BB4">
        <w:t xml:space="preserve"> of adalimumab</w:t>
      </w:r>
      <w:r w:rsidR="008101CF" w:rsidRPr="008101CF">
        <w:t xml:space="preserve">, which was not consistently the case in </w:t>
      </w:r>
      <w:r w:rsidR="00886D1F">
        <w:t>Study M11</w:t>
      </w:r>
      <w:r w:rsidR="000C2FFA">
        <w:t>–</w:t>
      </w:r>
      <w:r w:rsidR="00886D1F">
        <w:t>313.</w:t>
      </w:r>
    </w:p>
    <w:p w:rsidR="0081597E" w:rsidRDefault="00F07030" w:rsidP="00F07030">
      <w:r w:rsidRPr="00F07030">
        <w:t>In Period B, in responders re</w:t>
      </w:r>
      <w:r w:rsidR="000C2FFA">
        <w:t>–</w:t>
      </w:r>
      <w:r w:rsidRPr="00F07030">
        <w:t xml:space="preserve">randomised to </w:t>
      </w:r>
      <w:proofErr w:type="spellStart"/>
      <w:r w:rsidR="00367086">
        <w:t>qw</w:t>
      </w:r>
      <w:proofErr w:type="spellEnd"/>
      <w:r w:rsidRPr="00F07030">
        <w:t xml:space="preserve">, </w:t>
      </w:r>
      <w:r w:rsidR="00367086">
        <w:t>q2w</w:t>
      </w:r>
      <w:r w:rsidRPr="00F07030">
        <w:t xml:space="preserve"> or placebo, retention of response was similar across </w:t>
      </w:r>
      <w:proofErr w:type="spellStart"/>
      <w:r w:rsidR="00367086">
        <w:t>qw</w:t>
      </w:r>
      <w:proofErr w:type="spellEnd"/>
      <w:r w:rsidRPr="00F07030">
        <w:t xml:space="preserve"> and </w:t>
      </w:r>
      <w:r w:rsidR="00367086">
        <w:t>q2w</w:t>
      </w:r>
      <w:r w:rsidRPr="00F07030">
        <w:t xml:space="preserve"> adalimumab arms at 44</w:t>
      </w:r>
      <w:r w:rsidR="00CA5345">
        <w:t xml:space="preserve"> to </w:t>
      </w:r>
      <w:r w:rsidRPr="00F07030">
        <w:t>45% and only marginally better than in the Phase B placebo arm, at 35.5%. There was also little difference</w:t>
      </w:r>
      <w:r w:rsidR="00886D1F">
        <w:t xml:space="preserve"> across the three arms (in the W</w:t>
      </w:r>
      <w:r w:rsidRPr="00F07030">
        <w:t xml:space="preserve">eek 12 responder population) in </w:t>
      </w:r>
      <w:r w:rsidR="0037157D">
        <w:t>the DLQIs</w:t>
      </w:r>
      <w:r w:rsidR="00B3270D">
        <w:fldChar w:fldCharType="begin"/>
      </w:r>
      <w:r w:rsidR="00B3270D">
        <w:instrText xml:space="preserve"> NOTEREF _Ref450832775 \f \h </w:instrText>
      </w:r>
      <w:r w:rsidR="00B3270D">
        <w:fldChar w:fldCharType="separate"/>
      </w:r>
      <w:r w:rsidR="00B3270D" w:rsidRPr="00B3270D">
        <w:rPr>
          <w:rStyle w:val="FootnoteReference"/>
        </w:rPr>
        <w:t>5</w:t>
      </w:r>
      <w:r w:rsidR="00B3270D">
        <w:fldChar w:fldCharType="end"/>
      </w:r>
      <w:r w:rsidRPr="00F07030">
        <w:t xml:space="preserve">. The evaluator concluded that there was no significant difference in </w:t>
      </w:r>
      <w:proofErr w:type="spellStart"/>
      <w:r w:rsidRPr="00F07030">
        <w:t>HiSCR</w:t>
      </w:r>
      <w:proofErr w:type="spellEnd"/>
      <w:r w:rsidRPr="00F07030">
        <w:t xml:space="preserve"> or DLQI across the three groups (in the </w:t>
      </w:r>
      <w:r w:rsidR="005A41ED">
        <w:t>W</w:t>
      </w:r>
      <w:r w:rsidRPr="00F07030">
        <w:t>eek 12 responder cohort) and that con</w:t>
      </w:r>
      <w:r w:rsidR="00CF2E37">
        <w:t>tinuation of adalimumab beyond W</w:t>
      </w:r>
      <w:r w:rsidRPr="00F07030">
        <w:t>eek 12 h</w:t>
      </w:r>
      <w:r w:rsidR="00CE3AA0">
        <w:t>as no benefit over placebo for W</w:t>
      </w:r>
      <w:r w:rsidRPr="00F07030">
        <w:t>eek 12 responders (bas</w:t>
      </w:r>
      <w:r w:rsidR="00CE3AA0">
        <w:t>ed on these study results). In W</w:t>
      </w:r>
      <w:r w:rsidRPr="00F07030">
        <w:t>eek 12 non</w:t>
      </w:r>
      <w:r w:rsidR="00712729">
        <w:t>-</w:t>
      </w:r>
      <w:r w:rsidRPr="00F07030">
        <w:t xml:space="preserve">responders, </w:t>
      </w:r>
      <w:proofErr w:type="spellStart"/>
      <w:r w:rsidR="00367086">
        <w:t>qw</w:t>
      </w:r>
      <w:proofErr w:type="spellEnd"/>
      <w:r w:rsidRPr="00F07030">
        <w:t>/</w:t>
      </w:r>
      <w:proofErr w:type="spellStart"/>
      <w:r w:rsidR="00367086">
        <w:t>qw</w:t>
      </w:r>
      <w:proofErr w:type="spellEnd"/>
      <w:r w:rsidRPr="00F07030">
        <w:t xml:space="preserve"> patients did better, although no statistical analysi</w:t>
      </w:r>
      <w:r>
        <w:t>s was provided</w:t>
      </w:r>
      <w:r w:rsidRPr="00F07030">
        <w:t>.</w:t>
      </w:r>
    </w:p>
    <w:p w:rsidR="0001553A" w:rsidRPr="0001553A" w:rsidRDefault="0001553A" w:rsidP="00886D1F">
      <w:pPr>
        <w:pStyle w:val="Heading5"/>
      </w:pPr>
      <w:r>
        <w:t>Study M10</w:t>
      </w:r>
      <w:r w:rsidR="000C2FFA">
        <w:t>–</w:t>
      </w:r>
      <w:r>
        <w:t>467</w:t>
      </w:r>
    </w:p>
    <w:p w:rsidR="0001553A" w:rsidRPr="0001553A" w:rsidRDefault="0001553A" w:rsidP="0001553A">
      <w:r>
        <w:t>This Phase II</w:t>
      </w:r>
      <w:r w:rsidRPr="0001553A">
        <w:t xml:space="preserve"> study of adalimumab in HS patients provided a basis for the </w:t>
      </w:r>
      <w:r>
        <w:t>dose regimen used in the Phase III</w:t>
      </w:r>
      <w:r w:rsidRPr="0001553A">
        <w:t xml:space="preserve"> studies, in that 40 mg </w:t>
      </w:r>
      <w:proofErr w:type="spellStart"/>
      <w:r w:rsidR="00367086">
        <w:t>qw</w:t>
      </w:r>
      <w:proofErr w:type="spellEnd"/>
      <w:r w:rsidRPr="0001553A">
        <w:t xml:space="preserve"> produced better results than 4</w:t>
      </w:r>
      <w:r w:rsidR="0037157D">
        <w:t xml:space="preserve">0 mg </w:t>
      </w:r>
      <w:r w:rsidR="00367086">
        <w:t>q2w</w:t>
      </w:r>
      <w:r w:rsidR="00886D1F">
        <w:t>. The clinical evaluator</w:t>
      </w:r>
      <w:r w:rsidRPr="0001553A">
        <w:t xml:space="preserve"> notes a lower response rate in th</w:t>
      </w:r>
      <w:r>
        <w:t>is study than in the two Phase III</w:t>
      </w:r>
      <w:r w:rsidRPr="0001553A">
        <w:t xml:space="preserve"> studies, although in response to a question about this, the sponsor noted that primary endpoints and study popul</w:t>
      </w:r>
      <w:r>
        <w:t>ations differed from the Phase II to the Phase III studies</w:t>
      </w:r>
      <w:r w:rsidRPr="0001553A">
        <w:t>.</w:t>
      </w:r>
    </w:p>
    <w:p w:rsidR="0001553A" w:rsidRPr="0001553A" w:rsidRDefault="0001553A" w:rsidP="00886D1F">
      <w:pPr>
        <w:pStyle w:val="Heading5"/>
      </w:pPr>
      <w:r>
        <w:t>Study M12</w:t>
      </w:r>
      <w:r w:rsidR="000C2FFA">
        <w:t>–</w:t>
      </w:r>
      <w:r>
        <w:t>555</w:t>
      </w:r>
    </w:p>
    <w:p w:rsidR="0001553A" w:rsidRPr="0001553A" w:rsidRDefault="00886D1F" w:rsidP="0001553A">
      <w:r>
        <w:t xml:space="preserve">This was an open </w:t>
      </w:r>
      <w:r w:rsidR="0001553A" w:rsidRPr="0001553A">
        <w:t xml:space="preserve">label extension study for subjects participating in </w:t>
      </w:r>
      <w:r>
        <w:t>Studies M 11</w:t>
      </w:r>
      <w:r w:rsidR="000C2FFA">
        <w:t>–</w:t>
      </w:r>
      <w:r>
        <w:t>313 and M11</w:t>
      </w:r>
      <w:r w:rsidR="000C2FFA">
        <w:t>–</w:t>
      </w:r>
      <w:r>
        <w:t>810</w:t>
      </w:r>
      <w:r w:rsidR="00BF3D84">
        <w:t>. Inclusion criteria included:</w:t>
      </w:r>
    </w:p>
    <w:p w:rsidR="0001553A" w:rsidRPr="0001553A" w:rsidRDefault="0001553A" w:rsidP="0001553A">
      <w:pPr>
        <w:pStyle w:val="ListBullet"/>
      </w:pPr>
      <w:r w:rsidRPr="0001553A">
        <w:t>Subjects who</w:t>
      </w:r>
      <w:r>
        <w:t xml:space="preserve"> participated in a prior Phase III</w:t>
      </w:r>
      <w:r w:rsidRPr="0001553A">
        <w:t xml:space="preserve"> study (S</w:t>
      </w:r>
      <w:r w:rsidR="00BF3D84">
        <w:t>tudies M11</w:t>
      </w:r>
      <w:r w:rsidR="000C2FFA">
        <w:t>–</w:t>
      </w:r>
      <w:r w:rsidR="00BF3D84">
        <w:t>810 or M11</w:t>
      </w:r>
      <w:r w:rsidR="000C2FFA">
        <w:t>–</w:t>
      </w:r>
      <w:r w:rsidR="00BF3D84">
        <w:t>313) and:</w:t>
      </w:r>
    </w:p>
    <w:p w:rsidR="0001553A" w:rsidRPr="0001553A" w:rsidRDefault="00BF3D84" w:rsidP="0001553A">
      <w:pPr>
        <w:pStyle w:val="ListBullet"/>
      </w:pPr>
      <w:r>
        <w:t>Completed the study; or</w:t>
      </w:r>
    </w:p>
    <w:p w:rsidR="0001553A" w:rsidRPr="0001553A" w:rsidRDefault="0001553A" w:rsidP="0001553A">
      <w:pPr>
        <w:pStyle w:val="ListBullet"/>
      </w:pPr>
      <w:r w:rsidRPr="0001553A">
        <w:t>Achieved HiSCR</w:t>
      </w:r>
      <w:r w:rsidR="006218AF">
        <w:fldChar w:fldCharType="begin"/>
      </w:r>
      <w:r w:rsidR="006218AF">
        <w:instrText xml:space="preserve"> NOTEREF _Ref450912456 \f \h </w:instrText>
      </w:r>
      <w:r w:rsidR="006218AF">
        <w:fldChar w:fldCharType="separate"/>
      </w:r>
      <w:r w:rsidR="006218AF" w:rsidRPr="006218AF">
        <w:rPr>
          <w:rStyle w:val="FootnoteReference"/>
        </w:rPr>
        <w:t>2</w:t>
      </w:r>
      <w:r w:rsidR="006218AF">
        <w:fldChar w:fldCharType="end"/>
      </w:r>
      <w:r w:rsidRPr="0001553A">
        <w:t xml:space="preserve"> at the entry of Period B, then experienced </w:t>
      </w:r>
      <w:r w:rsidR="00CA5345">
        <w:t>LOR</w:t>
      </w:r>
      <w:r w:rsidR="00886D1F">
        <w:t xml:space="preserve"> defined as an </w:t>
      </w:r>
      <w:r w:rsidRPr="0001553A">
        <w:t>ab</w:t>
      </w:r>
      <w:r w:rsidR="00886D1F">
        <w:t>s</w:t>
      </w:r>
      <w:r w:rsidRPr="0001553A">
        <w:t>cess</w:t>
      </w:r>
      <w:r w:rsidR="004E0B95">
        <w:t> </w:t>
      </w:r>
      <w:r w:rsidRPr="0001553A">
        <w:t>+ nodu</w:t>
      </w:r>
      <w:r w:rsidR="00886D1F">
        <w:t>le</w:t>
      </w:r>
      <w:r w:rsidRPr="0001553A">
        <w:t xml:space="preserve"> count that was greater than the average of AN counts at Baseline </w:t>
      </w:r>
      <w:r>
        <w:t>and Week 12 of the prior Phase III</w:t>
      </w:r>
      <w:r w:rsidR="009200C7">
        <w:t xml:space="preserve"> study; or</w:t>
      </w:r>
    </w:p>
    <w:p w:rsidR="0081597E" w:rsidRDefault="0001553A" w:rsidP="0001553A">
      <w:pPr>
        <w:pStyle w:val="ListBullet"/>
      </w:pPr>
      <w:r w:rsidRPr="0001553A">
        <w:t xml:space="preserve">Did not achieve </w:t>
      </w:r>
      <w:proofErr w:type="spellStart"/>
      <w:r w:rsidRPr="0001553A">
        <w:t>HiSCR</w:t>
      </w:r>
      <w:proofErr w:type="spellEnd"/>
      <w:r w:rsidRPr="0001553A">
        <w:t xml:space="preserve"> at the entry of Period B, then experienced Wors</w:t>
      </w:r>
      <w:r w:rsidR="00886D1F">
        <w:t>ening or Absence of Improvement</w:t>
      </w:r>
      <w:r w:rsidR="00493B56">
        <w:t xml:space="preserve"> </w:t>
      </w:r>
      <w:r w:rsidRPr="0001553A">
        <w:t>on or af</w:t>
      </w:r>
      <w:r>
        <w:t>ter Week 16 of the prior Phase III</w:t>
      </w:r>
      <w:r w:rsidRPr="0001553A">
        <w:t xml:space="preserve"> study, defined as an </w:t>
      </w:r>
      <w:proofErr w:type="spellStart"/>
      <w:r w:rsidRPr="0001553A">
        <w:t>AN</w:t>
      </w:r>
      <w:proofErr w:type="spellEnd"/>
      <w:r w:rsidRPr="0001553A">
        <w:t xml:space="preserve"> count </w:t>
      </w:r>
      <w:r w:rsidR="00690980">
        <w:t>≥</w:t>
      </w:r>
      <w:r w:rsidRPr="0001553A">
        <w:t xml:space="preserve"> Baseline AN count at 2 consecutive visits (excluding Week 12) occurring </w:t>
      </w:r>
      <w:r w:rsidR="00690980">
        <w:t>≥</w:t>
      </w:r>
      <w:r w:rsidRPr="0001553A">
        <w:t xml:space="preserve"> 14 days apart</w:t>
      </w:r>
      <w:r w:rsidR="009200C7">
        <w:t>.</w:t>
      </w:r>
    </w:p>
    <w:p w:rsidR="0001553A" w:rsidRPr="0001553A" w:rsidRDefault="0001553A" w:rsidP="0001553A">
      <w:r w:rsidRPr="0001553A">
        <w:t xml:space="preserve">All subjects received adalimumab 40 mg </w:t>
      </w:r>
      <w:proofErr w:type="spellStart"/>
      <w:r w:rsidR="00367086">
        <w:t>qw</w:t>
      </w:r>
      <w:proofErr w:type="spellEnd"/>
      <w:r w:rsidRPr="0001553A">
        <w:t xml:space="preserve">. Given the design of the </w:t>
      </w:r>
      <w:r w:rsidR="00690980">
        <w:t>M11-313, M11-810 and M12-555</w:t>
      </w:r>
      <w:r w:rsidR="00CF2E37">
        <w:t xml:space="preserve"> S</w:t>
      </w:r>
      <w:r w:rsidRPr="0001553A">
        <w:t>tudies, there were multiple populations under study (</w:t>
      </w:r>
      <w:r w:rsidR="00690980">
        <w:t>for example</w:t>
      </w:r>
      <w:r w:rsidRPr="0001553A">
        <w:t xml:space="preserve"> </w:t>
      </w:r>
      <w:proofErr w:type="spellStart"/>
      <w:r w:rsidR="00367086">
        <w:t>qw</w:t>
      </w:r>
      <w:proofErr w:type="spellEnd"/>
      <w:r w:rsidRPr="0001553A">
        <w:t>/</w:t>
      </w:r>
      <w:proofErr w:type="spellStart"/>
      <w:r w:rsidR="00367086">
        <w:t>qw</w:t>
      </w:r>
      <w:proofErr w:type="spellEnd"/>
      <w:r w:rsidRPr="0001553A">
        <w:t>/</w:t>
      </w:r>
      <w:proofErr w:type="spellStart"/>
      <w:r w:rsidR="00367086">
        <w:t>qw</w:t>
      </w:r>
      <w:proofErr w:type="spellEnd"/>
      <w:r w:rsidR="00690980">
        <w:t xml:space="preserve"> versus</w:t>
      </w:r>
      <w:r w:rsidRPr="0001553A">
        <w:t xml:space="preserve"> </w:t>
      </w:r>
      <w:proofErr w:type="spellStart"/>
      <w:r w:rsidR="00367086">
        <w:t>qw</w:t>
      </w:r>
      <w:proofErr w:type="spellEnd"/>
      <w:r w:rsidRPr="0001553A">
        <w:t>/</w:t>
      </w:r>
      <w:r w:rsidR="00367086">
        <w:t>q2w</w:t>
      </w:r>
      <w:r w:rsidRPr="0001553A">
        <w:t>/</w:t>
      </w:r>
      <w:proofErr w:type="spellStart"/>
      <w:r w:rsidR="00367086">
        <w:t>qw</w:t>
      </w:r>
      <w:proofErr w:type="spellEnd"/>
      <w:r w:rsidR="00690980">
        <w:t xml:space="preserve">, </w:t>
      </w:r>
      <w:r w:rsidR="00CF2E37">
        <w:t>and so on</w:t>
      </w:r>
      <w:r w:rsidRPr="0001553A">
        <w:t>). As of 29 April 2014, n</w:t>
      </w:r>
      <w:r w:rsidR="004E0B95">
        <w:t xml:space="preserve"> </w:t>
      </w:r>
      <w:r w:rsidRPr="0001553A">
        <w:t>=</w:t>
      </w:r>
      <w:r w:rsidR="004E0B95">
        <w:t xml:space="preserve"> </w:t>
      </w:r>
      <w:r w:rsidRPr="0001553A">
        <w:t xml:space="preserve">497 </w:t>
      </w:r>
      <w:r w:rsidR="00690980">
        <w:t>subjects had been analysed. At W</w:t>
      </w:r>
      <w:r w:rsidRPr="0001553A">
        <w:t xml:space="preserve">eek 72, the rate of subjects achieving </w:t>
      </w:r>
      <w:proofErr w:type="spellStart"/>
      <w:r w:rsidRPr="0001553A">
        <w:t>HiSCR</w:t>
      </w:r>
      <w:proofErr w:type="spellEnd"/>
      <w:r w:rsidRPr="0001553A">
        <w:t xml:space="preserve"> was highest in the </w:t>
      </w:r>
      <w:proofErr w:type="spellStart"/>
      <w:r w:rsidR="00367086">
        <w:t>qw</w:t>
      </w:r>
      <w:proofErr w:type="spellEnd"/>
      <w:r w:rsidRPr="0001553A">
        <w:t>/</w:t>
      </w:r>
      <w:r w:rsidR="00367086">
        <w:t>q2w</w:t>
      </w:r>
      <w:r w:rsidRPr="0001553A">
        <w:t>/</w:t>
      </w:r>
      <w:proofErr w:type="spellStart"/>
      <w:r w:rsidR="00367086">
        <w:t>qw</w:t>
      </w:r>
      <w:proofErr w:type="spellEnd"/>
      <w:r w:rsidRPr="0001553A">
        <w:t xml:space="preserve"> arm, at 62%; although the </w:t>
      </w:r>
      <w:proofErr w:type="spellStart"/>
      <w:r w:rsidR="00367086">
        <w:t>qw</w:t>
      </w:r>
      <w:proofErr w:type="spellEnd"/>
      <w:r w:rsidRPr="0001553A">
        <w:t>/</w:t>
      </w:r>
      <w:proofErr w:type="spellStart"/>
      <w:r w:rsidR="00367086">
        <w:t>qw</w:t>
      </w:r>
      <w:proofErr w:type="spellEnd"/>
      <w:r w:rsidRPr="0001553A">
        <w:t>/</w:t>
      </w:r>
      <w:proofErr w:type="spellStart"/>
      <w:r w:rsidR="00367086">
        <w:t>qw</w:t>
      </w:r>
      <w:proofErr w:type="spellEnd"/>
      <w:r w:rsidRPr="0001553A">
        <w:t xml:space="preserve"> patients had a similar response rate, at 58%. The </w:t>
      </w:r>
      <w:r w:rsidR="00886D1F">
        <w:t>clinical evaluator</w:t>
      </w:r>
      <w:r w:rsidRPr="0001553A">
        <w:t xml:space="preserve"> considered results descriptive, and that efficacy conclusions should not be drawn from these population.</w:t>
      </w:r>
    </w:p>
    <w:p w:rsidR="0001553A" w:rsidRPr="0001553A" w:rsidRDefault="0001553A" w:rsidP="00886D1F">
      <w:pPr>
        <w:pStyle w:val="Heading5"/>
      </w:pPr>
      <w:r w:rsidRPr="0001553A">
        <w:t>Po</w:t>
      </w:r>
      <w:r>
        <w:t>oled analysis</w:t>
      </w:r>
    </w:p>
    <w:p w:rsidR="0081597E" w:rsidRDefault="0001553A" w:rsidP="0001553A">
      <w:r w:rsidRPr="0001553A">
        <w:t xml:space="preserve">With </w:t>
      </w:r>
      <w:r w:rsidR="00F078C6">
        <w:t>the pre-specified pooled</w:t>
      </w:r>
      <w:r w:rsidRPr="0001553A">
        <w:t xml:space="preserve"> Period B</w:t>
      </w:r>
      <w:r w:rsidR="00690980">
        <w:fldChar w:fldCharType="begin"/>
      </w:r>
      <w:r w:rsidR="00690980">
        <w:instrText xml:space="preserve"> NOTEREF _Ref450923197 \f \h </w:instrText>
      </w:r>
      <w:r w:rsidR="00690980">
        <w:fldChar w:fldCharType="separate"/>
      </w:r>
      <w:r w:rsidR="00690980" w:rsidRPr="00690980">
        <w:rPr>
          <w:rStyle w:val="FootnoteReference"/>
        </w:rPr>
        <w:t>3</w:t>
      </w:r>
      <w:r w:rsidR="00690980">
        <w:fldChar w:fldCharType="end"/>
      </w:r>
      <w:r w:rsidR="00D310F4">
        <w:t xml:space="preserve"> analysis</w:t>
      </w:r>
      <w:r w:rsidRPr="0001553A">
        <w:t xml:space="preserve">, there was a statistically significant improvement in the rate of retention of response in the </w:t>
      </w:r>
      <w:proofErr w:type="spellStart"/>
      <w:r w:rsidR="00367086">
        <w:t>qw</w:t>
      </w:r>
      <w:proofErr w:type="spellEnd"/>
      <w:r w:rsidRPr="0001553A">
        <w:t>/</w:t>
      </w:r>
      <w:proofErr w:type="spellStart"/>
      <w:r w:rsidR="00367086">
        <w:t>qw</w:t>
      </w:r>
      <w:proofErr w:type="spellEnd"/>
      <w:r w:rsidR="00273F4A">
        <w:t xml:space="preserve"> arm versus</w:t>
      </w:r>
      <w:r w:rsidRPr="0001553A">
        <w:t xml:space="preserve"> the </w:t>
      </w:r>
      <w:proofErr w:type="spellStart"/>
      <w:r w:rsidR="00367086">
        <w:t>qw</w:t>
      </w:r>
      <w:proofErr w:type="spellEnd"/>
      <w:r w:rsidR="00273F4A">
        <w:t>/placebo arm (43.4% at W</w:t>
      </w:r>
      <w:r>
        <w:t xml:space="preserve">eek 36 </w:t>
      </w:r>
      <w:r w:rsidRPr="0001553A">
        <w:t xml:space="preserve">for </w:t>
      </w:r>
      <w:proofErr w:type="spellStart"/>
      <w:r w:rsidR="00367086">
        <w:t>qw</w:t>
      </w:r>
      <w:proofErr w:type="spellEnd"/>
      <w:r w:rsidRPr="0001553A">
        <w:t>/</w:t>
      </w:r>
      <w:proofErr w:type="spellStart"/>
      <w:r w:rsidR="00367086">
        <w:t>qw</w:t>
      </w:r>
      <w:proofErr w:type="spellEnd"/>
      <w:r w:rsidR="00886D1F">
        <w:t>, versus</w:t>
      </w:r>
      <w:r>
        <w:t xml:space="preserve"> 28% for </w:t>
      </w:r>
      <w:proofErr w:type="spellStart"/>
      <w:r w:rsidR="00367086">
        <w:t>qw</w:t>
      </w:r>
      <w:proofErr w:type="spellEnd"/>
      <w:r>
        <w:t>/placebo)</w:t>
      </w:r>
      <w:r w:rsidRPr="0001553A">
        <w:t>.</w:t>
      </w:r>
    </w:p>
    <w:p w:rsidR="0001553A" w:rsidRDefault="0001553A" w:rsidP="003703CE">
      <w:pPr>
        <w:pStyle w:val="Heading4"/>
      </w:pPr>
      <w:r>
        <w:t>Safety</w:t>
      </w:r>
    </w:p>
    <w:p w:rsidR="0001553A" w:rsidRPr="000D09EE" w:rsidRDefault="0001553A" w:rsidP="000D09EE">
      <w:r w:rsidRPr="000D09EE">
        <w:t>Safety of adalimumab in HS was examined in the four studies refere</w:t>
      </w:r>
      <w:r w:rsidR="00ED388A">
        <w:t>nced above. K</w:t>
      </w:r>
      <w:r w:rsidRPr="000D09EE">
        <w:t>ey are the placebo</w:t>
      </w:r>
      <w:r w:rsidR="00233D13">
        <w:t>-</w:t>
      </w:r>
      <w:r w:rsidRPr="000D09EE">
        <w:t>controlled analysis set (n</w:t>
      </w:r>
      <w:r w:rsidR="00886D1F">
        <w:t xml:space="preserve"> </w:t>
      </w:r>
      <w:r w:rsidRPr="000D09EE">
        <w:t>=</w:t>
      </w:r>
      <w:r w:rsidR="00886D1F">
        <w:t xml:space="preserve"> </w:t>
      </w:r>
      <w:r w:rsidRPr="000D09EE">
        <w:t>785) for short</w:t>
      </w:r>
      <w:r w:rsidR="00D912D0">
        <w:t xml:space="preserve"> </w:t>
      </w:r>
      <w:r w:rsidRPr="000D09EE">
        <w:t>term safety, and the maintenance analysis set (n</w:t>
      </w:r>
      <w:r w:rsidR="00886D1F">
        <w:t xml:space="preserve"> </w:t>
      </w:r>
      <w:r w:rsidRPr="000D09EE">
        <w:t>=</w:t>
      </w:r>
      <w:r w:rsidR="00886D1F">
        <w:t xml:space="preserve"> </w:t>
      </w:r>
      <w:r w:rsidR="00D9634D">
        <w:t>3</w:t>
      </w:r>
      <w:r w:rsidR="00D912D0">
        <w:t>00) to W</w:t>
      </w:r>
      <w:r w:rsidRPr="000D09EE">
        <w:t>eek 36 for slightly longer term safety. Across studies, n</w:t>
      </w:r>
      <w:r w:rsidR="00886D1F">
        <w:t xml:space="preserve"> </w:t>
      </w:r>
      <w:r w:rsidRPr="000D09EE">
        <w:t>=</w:t>
      </w:r>
      <w:r w:rsidR="00886D1F">
        <w:t xml:space="preserve"> </w:t>
      </w:r>
      <w:r w:rsidRPr="000D09EE">
        <w:t>336 were exposed to adalimumab for ≥</w:t>
      </w:r>
      <w:r w:rsidR="003703CE">
        <w:t xml:space="preserve"> </w:t>
      </w:r>
      <w:r w:rsidRPr="000D09EE">
        <w:t xml:space="preserve">1 year, and </w:t>
      </w:r>
      <w:r w:rsidR="00ED388A">
        <w:t>n</w:t>
      </w:r>
      <w:r w:rsidR="003703CE">
        <w:t xml:space="preserve"> </w:t>
      </w:r>
      <w:r w:rsidR="00ED388A">
        <w:t>=</w:t>
      </w:r>
      <w:r w:rsidR="003703CE">
        <w:t xml:space="preserve"> </w:t>
      </w:r>
      <w:r w:rsidR="00ED388A">
        <w:t xml:space="preserve">69 were exposed for </w:t>
      </w:r>
      <w:r w:rsidR="00F078C6">
        <w:t>≥</w:t>
      </w:r>
      <w:r w:rsidR="003703CE">
        <w:t xml:space="preserve"> </w:t>
      </w:r>
      <w:r w:rsidR="00ED388A">
        <w:t>2 years.</w:t>
      </w:r>
    </w:p>
    <w:p w:rsidR="0001553A" w:rsidRDefault="003703CE" w:rsidP="003703CE">
      <w:pPr>
        <w:pStyle w:val="Comment"/>
      </w:pPr>
      <w:r w:rsidRPr="003703CE">
        <w:rPr>
          <w:b/>
        </w:rPr>
        <w:lastRenderedPageBreak/>
        <w:t>Comment:</w:t>
      </w:r>
      <w:r>
        <w:t xml:space="preserve"> </w:t>
      </w:r>
      <w:r w:rsidR="00291447">
        <w:t>S</w:t>
      </w:r>
      <w:r w:rsidR="0051609F">
        <w:t xml:space="preserve">ome of the </w:t>
      </w:r>
      <w:r w:rsidR="00E92D16">
        <w:t>‘</w:t>
      </w:r>
      <w:r w:rsidR="0001553A" w:rsidRPr="000D09EE">
        <w:t>treatment</w:t>
      </w:r>
      <w:r w:rsidR="0095258E">
        <w:t xml:space="preserve"> </w:t>
      </w:r>
      <w:r w:rsidR="0001553A" w:rsidRPr="000D09EE">
        <w:t>emergent</w:t>
      </w:r>
      <w:r w:rsidR="00E92D16">
        <w:t>’</w:t>
      </w:r>
      <w:r w:rsidR="0051609F">
        <w:t xml:space="preserve"> AEs </w:t>
      </w:r>
      <w:r w:rsidR="0001553A" w:rsidRPr="000D09EE">
        <w:t xml:space="preserve">may be considered </w:t>
      </w:r>
      <w:r w:rsidR="0051609F">
        <w:t xml:space="preserve">to be </w:t>
      </w:r>
      <w:r w:rsidR="0001553A" w:rsidRPr="000D09EE">
        <w:t>‘treatment</w:t>
      </w:r>
      <w:r w:rsidR="0095258E">
        <w:t xml:space="preserve"> </w:t>
      </w:r>
      <w:r w:rsidR="0001553A" w:rsidRPr="000D09EE">
        <w:t>related’</w:t>
      </w:r>
      <w:r w:rsidR="00152458">
        <w:t xml:space="preserve">. </w:t>
      </w:r>
      <w:r w:rsidR="0001553A" w:rsidRPr="000D09EE">
        <w:t>A prominent finding in Period A was that treatment</w:t>
      </w:r>
      <w:r w:rsidR="0095258E">
        <w:t xml:space="preserve"> </w:t>
      </w:r>
      <w:r w:rsidR="0001553A" w:rsidRPr="000D09EE">
        <w:t xml:space="preserve">emergent AEs were less frequent in patients given </w:t>
      </w:r>
      <w:proofErr w:type="spellStart"/>
      <w:r w:rsidR="00367086">
        <w:t>qw</w:t>
      </w:r>
      <w:proofErr w:type="spellEnd"/>
      <w:r w:rsidR="0001553A" w:rsidRPr="000D09EE">
        <w:t xml:space="preserve"> adalimumab than in patients on placebo</w:t>
      </w:r>
      <w:r w:rsidR="00D912D0">
        <w:t xml:space="preserve">, </w:t>
      </w:r>
      <w:r w:rsidR="0001553A" w:rsidRPr="000D09EE">
        <w:t>and the finding extended to analysis of inciden</w:t>
      </w:r>
      <w:r w:rsidR="00ED388A">
        <w:t>ce rates</w:t>
      </w:r>
      <w:r w:rsidR="0001553A" w:rsidRPr="000D09EE">
        <w:t xml:space="preserve">. This was also so for major classes of AEs such as </w:t>
      </w:r>
      <w:r w:rsidR="00980228">
        <w:t>SAEs or</w:t>
      </w:r>
      <w:r w:rsidR="0001553A" w:rsidRPr="000D09EE">
        <w:t xml:space="preserve"> AEs leadin</w:t>
      </w:r>
      <w:r w:rsidR="00980228">
        <w:t>g to discontinuation.</w:t>
      </w:r>
      <w:r w:rsidR="0001553A" w:rsidRPr="000D09EE">
        <w:t xml:space="preserve"> Only for serious infection was frequency higher on adalimumab than on placebo, based on few events (2 amongst n</w:t>
      </w:r>
      <w:r w:rsidR="00291447">
        <w:t xml:space="preserve"> </w:t>
      </w:r>
      <w:r w:rsidR="0001553A" w:rsidRPr="000D09EE">
        <w:t>=</w:t>
      </w:r>
      <w:r w:rsidR="00291447">
        <w:t xml:space="preserve"> </w:t>
      </w:r>
      <w:r w:rsidR="0001553A" w:rsidRPr="000D09EE">
        <w:t>366 for placebo, 3 am</w:t>
      </w:r>
      <w:r w:rsidR="00ED388A">
        <w:t>ongst n</w:t>
      </w:r>
      <w:r w:rsidR="00291447">
        <w:t xml:space="preserve"> </w:t>
      </w:r>
      <w:r w:rsidR="00ED388A">
        <w:t>=</w:t>
      </w:r>
      <w:r w:rsidR="00291447">
        <w:t xml:space="preserve"> </w:t>
      </w:r>
      <w:r w:rsidR="00ED388A">
        <w:t xml:space="preserve">367 for </w:t>
      </w:r>
      <w:proofErr w:type="spellStart"/>
      <w:r w:rsidR="00367086">
        <w:t>qw</w:t>
      </w:r>
      <w:proofErr w:type="spellEnd"/>
      <w:r w:rsidR="00ED388A">
        <w:t xml:space="preserve"> adalimumab).</w:t>
      </w:r>
    </w:p>
    <w:p w:rsidR="00980228" w:rsidRPr="000D09EE" w:rsidRDefault="00980228" w:rsidP="000D09EE">
      <w:r>
        <w:t>In the Period B (</w:t>
      </w:r>
      <w:r w:rsidR="00E92D16">
        <w:t>‘</w:t>
      </w:r>
      <w:r>
        <w:t>maintenance</w:t>
      </w:r>
      <w:r w:rsidR="00E92D16">
        <w:t>’</w:t>
      </w:r>
      <w:r>
        <w:t xml:space="preserve">) set, again, there was no indication that adalimumab was linked more to AEs than with placebo. However </w:t>
      </w:r>
      <w:r w:rsidR="00CC0BCE">
        <w:t>i</w:t>
      </w:r>
      <w:r>
        <w:t xml:space="preserve">t is assumed that AEs </w:t>
      </w:r>
      <w:r w:rsidR="00EA19CC">
        <w:t xml:space="preserve">analysed during Period B had their onset </w:t>
      </w:r>
      <w:r w:rsidR="00632528">
        <w:t>essentially in Period A</w:t>
      </w:r>
      <w:r w:rsidR="00EA19CC">
        <w:t>.</w:t>
      </w:r>
      <w:r w:rsidR="00CC0BCE">
        <w:t xml:space="preserve"> </w:t>
      </w:r>
      <w:r w:rsidR="00CC0BCE" w:rsidRPr="00E44AF7">
        <w:t>These results are</w:t>
      </w:r>
      <w:r w:rsidR="0031391C" w:rsidRPr="00E44AF7">
        <w:t xml:space="preserve"> supported by </w:t>
      </w:r>
      <w:r w:rsidR="00977993" w:rsidRPr="00E44AF7">
        <w:t xml:space="preserve">the overall safety </w:t>
      </w:r>
      <w:r w:rsidR="0031391C" w:rsidRPr="00E44AF7">
        <w:t xml:space="preserve">data </w:t>
      </w:r>
      <w:r w:rsidR="00977993" w:rsidRPr="00E44AF7">
        <w:t xml:space="preserve">in the document </w:t>
      </w:r>
      <w:r w:rsidR="00E92D16">
        <w:t>‘</w:t>
      </w:r>
      <w:r w:rsidR="00D56279" w:rsidRPr="00E44AF7">
        <w:t>Integrated Summary of Safety R&amp;D/13/1033)</w:t>
      </w:r>
      <w:r w:rsidR="00CA5345" w:rsidRPr="00E44AF7">
        <w:t>\</w:t>
      </w:r>
      <w:r w:rsidR="00E92D16">
        <w:t>’</w:t>
      </w:r>
      <w:r w:rsidR="00DD5AC9" w:rsidRPr="00E44AF7">
        <w:rPr>
          <w:rStyle w:val="FootnoteReference"/>
        </w:rPr>
        <w:footnoteReference w:id="7"/>
      </w:r>
      <w:r w:rsidR="0031391C" w:rsidRPr="00E44AF7">
        <w:t>.</w:t>
      </w:r>
      <w:r w:rsidR="0031391C">
        <w:t xml:space="preserve"> </w:t>
      </w:r>
      <w:r w:rsidR="005866AC">
        <w:t>In this summary</w:t>
      </w:r>
      <w:r w:rsidR="0031391C">
        <w:t xml:space="preserve"> certain major types of AEs were seen more often in </w:t>
      </w:r>
      <w:proofErr w:type="spellStart"/>
      <w:r w:rsidR="00367086">
        <w:t>qw</w:t>
      </w:r>
      <w:proofErr w:type="spellEnd"/>
      <w:r w:rsidR="0031391C">
        <w:t>/</w:t>
      </w:r>
      <w:proofErr w:type="spellStart"/>
      <w:r w:rsidR="00367086">
        <w:t>qw</w:t>
      </w:r>
      <w:proofErr w:type="spellEnd"/>
      <w:r w:rsidR="0031391C">
        <w:t xml:space="preserve"> patients than in </w:t>
      </w:r>
      <w:proofErr w:type="spellStart"/>
      <w:r w:rsidR="00367086">
        <w:t>qw</w:t>
      </w:r>
      <w:proofErr w:type="spellEnd"/>
      <w:r w:rsidR="0031391C">
        <w:t xml:space="preserve">/placebo patients, for example TEAEs </w:t>
      </w:r>
      <w:r w:rsidR="00C4098F">
        <w:t>(14.1 events / 100 PY versus</w:t>
      </w:r>
      <w:r w:rsidR="0031391C" w:rsidRPr="0031391C">
        <w:t xml:space="preserve"> 6.3 events / 100 PY, respectively).</w:t>
      </w:r>
    </w:p>
    <w:p w:rsidR="0001553A" w:rsidRPr="000D09EE" w:rsidRDefault="0001553A" w:rsidP="000D09EE">
      <w:r w:rsidRPr="000D09EE">
        <w:t>To some extent, this picture of ‘safety’ is distorted by efficacy of adalimumab in treating HS, since hidradenitis was commonly reported as an</w:t>
      </w:r>
      <w:r w:rsidR="00E72278">
        <w:t xml:space="preserve"> AE</w:t>
      </w:r>
      <w:r w:rsidRPr="000D09EE">
        <w:t>. In examining common AEs, no major imbalances were observed between placebo and the t</w:t>
      </w:r>
      <w:r w:rsidR="00E72278">
        <w:t>wo adalimumab groups (</w:t>
      </w:r>
      <w:proofErr w:type="spellStart"/>
      <w:r w:rsidR="00367086">
        <w:t>qw</w:t>
      </w:r>
      <w:proofErr w:type="spellEnd"/>
      <w:r w:rsidR="00E72278">
        <w:t xml:space="preserve">, </w:t>
      </w:r>
      <w:r w:rsidR="00367086">
        <w:t>q2w</w:t>
      </w:r>
      <w:r w:rsidR="00E72278">
        <w:t>).</w:t>
      </w:r>
    </w:p>
    <w:p w:rsidR="0001553A" w:rsidRPr="000D09EE" w:rsidRDefault="0001553A" w:rsidP="000D09EE">
      <w:r w:rsidRPr="000D09EE">
        <w:t>In discussion of the subject in M12</w:t>
      </w:r>
      <w:r w:rsidR="000C2FFA">
        <w:t>–</w:t>
      </w:r>
      <w:r w:rsidRPr="000D09EE">
        <w:t>555 who died due to complications of pancreatitis, it is notable that the adalimumab PI mentioned p</w:t>
      </w:r>
      <w:r w:rsidR="00E72278">
        <w:t xml:space="preserve">ancreatitis as an uncommon </w:t>
      </w:r>
      <w:r w:rsidR="00167B04">
        <w:t>adverse drug reaction</w:t>
      </w:r>
      <w:r w:rsidR="00E72278">
        <w:t>.</w:t>
      </w:r>
    </w:p>
    <w:p w:rsidR="0001553A" w:rsidRPr="000D09EE" w:rsidRDefault="0001553A" w:rsidP="000D09EE">
      <w:r w:rsidRPr="000D09EE">
        <w:t>Analysis of laboratory findings revealed no remarkable sign of toxicity for adalimumab, but triglyceride elevation was more common with ad</w:t>
      </w:r>
      <w:r w:rsidR="00641FE2">
        <w:t>alimumab</w:t>
      </w:r>
      <w:r w:rsidRPr="000D09EE">
        <w:t xml:space="preserve"> at </w:t>
      </w:r>
      <w:r w:rsidR="00641FE2">
        <w:t>2.3% (versus</w:t>
      </w:r>
      <w:r w:rsidRPr="000D09EE">
        <w:t xml:space="preserve"> 0% for placebo), which might be relevant given other cardiac risk fa</w:t>
      </w:r>
      <w:r w:rsidR="00641FE2">
        <w:t>ctors in the HS population (that is</w:t>
      </w:r>
      <w:r w:rsidRPr="000D09EE">
        <w:t xml:space="preserve"> overweight and smoking history). To a lesser extent, </w:t>
      </w:r>
      <w:r w:rsidR="00181C27">
        <w:t>cholesterol was also elevated versus</w:t>
      </w:r>
      <w:r w:rsidRPr="000D09EE">
        <w:t xml:space="preserve"> placebo (0.9% v</w:t>
      </w:r>
      <w:r w:rsidR="00F90F27">
        <w:t>er</w:t>
      </w:r>
      <w:r w:rsidRPr="000D09EE">
        <w:t>s</w:t>
      </w:r>
      <w:r w:rsidR="00F90F27">
        <w:t>us</w:t>
      </w:r>
      <w:r w:rsidRPr="000D09EE">
        <w:t xml:space="preserve"> 0.3%). One 35 y</w:t>
      </w:r>
      <w:r w:rsidR="00641FE2">
        <w:t>ea</w:t>
      </w:r>
      <w:r w:rsidRPr="000D09EE">
        <w:t>r old male in the Study M11</w:t>
      </w:r>
      <w:r w:rsidR="000C2FFA">
        <w:t>–</w:t>
      </w:r>
      <w:r w:rsidRPr="000D09EE">
        <w:t xml:space="preserve">810 </w:t>
      </w:r>
      <w:proofErr w:type="spellStart"/>
      <w:r w:rsidR="00367086">
        <w:t>qw</w:t>
      </w:r>
      <w:proofErr w:type="spellEnd"/>
      <w:r w:rsidRPr="000D09EE">
        <w:t>/</w:t>
      </w:r>
      <w:r w:rsidR="00367086">
        <w:t>q2w</w:t>
      </w:r>
      <w:r w:rsidRPr="000D09EE">
        <w:t xml:space="preserve"> arm did indeed have a myocardial infarction on</w:t>
      </w:r>
      <w:r w:rsidR="00181C27">
        <w:t xml:space="preserve"> day 196 (and died on day 234)</w:t>
      </w:r>
      <w:proofErr w:type="gramStart"/>
      <w:r w:rsidR="00181C27">
        <w:t>,</w:t>
      </w:r>
      <w:proofErr w:type="gramEnd"/>
      <w:r w:rsidRPr="000D09EE">
        <w:t xml:space="preserve"> risk factors includ</w:t>
      </w:r>
      <w:r w:rsidR="00181C27">
        <w:t>ed diabetes mellitus and a 16 year</w:t>
      </w:r>
      <w:r w:rsidRPr="000D09EE">
        <w:t xml:space="preserve"> history of heavy smoking, as well as a fam</w:t>
      </w:r>
      <w:r w:rsidR="00641FE2">
        <w:t xml:space="preserve">ily history of early onset </w:t>
      </w:r>
      <w:r w:rsidR="00C4098F">
        <w:t>coronary heart disease</w:t>
      </w:r>
      <w:r w:rsidR="00641FE2">
        <w:t>.</w:t>
      </w:r>
    </w:p>
    <w:p w:rsidR="0001553A" w:rsidRPr="000D09EE" w:rsidRDefault="0001553A" w:rsidP="000D09EE">
      <w:r w:rsidRPr="000D09EE">
        <w:t xml:space="preserve">The </w:t>
      </w:r>
      <w:r w:rsidR="003703CE">
        <w:t xml:space="preserve">clinical </w:t>
      </w:r>
      <w:r w:rsidRPr="000D09EE">
        <w:t xml:space="preserve">evaluator notes that the observation period of 36 weeks in the Phase III trials </w:t>
      </w:r>
      <w:r w:rsidR="00E92D16">
        <w:rPr>
          <w:i/>
        </w:rPr>
        <w:t>‘</w:t>
      </w:r>
      <w:r w:rsidRPr="00641FE2">
        <w:rPr>
          <w:i/>
        </w:rPr>
        <w:t>does not allow evalu</w:t>
      </w:r>
      <w:r w:rsidR="00641FE2" w:rsidRPr="00641FE2">
        <w:rPr>
          <w:i/>
        </w:rPr>
        <w:t>ation of risks in the long</w:t>
      </w:r>
      <w:r w:rsidR="000C2FFA">
        <w:rPr>
          <w:i/>
        </w:rPr>
        <w:t>–</w:t>
      </w:r>
      <w:r w:rsidR="00641FE2" w:rsidRPr="00641FE2">
        <w:rPr>
          <w:i/>
        </w:rPr>
        <w:t>term</w:t>
      </w:r>
      <w:r w:rsidR="00E92D16">
        <w:rPr>
          <w:i/>
        </w:rPr>
        <w:t>’</w:t>
      </w:r>
      <w:r w:rsidRPr="000D09EE">
        <w:t>.</w:t>
      </w:r>
    </w:p>
    <w:p w:rsidR="008E7846" w:rsidRDefault="00386150" w:rsidP="007B6132">
      <w:pPr>
        <w:pStyle w:val="Heading3"/>
        <w:rPr>
          <w:lang w:eastAsia="en-AU"/>
        </w:rPr>
      </w:pPr>
      <w:bookmarkStart w:id="118" w:name="_Toc456951164"/>
      <w:r>
        <w:rPr>
          <w:lang w:eastAsia="en-AU"/>
        </w:rPr>
        <w:t>Risk m</w:t>
      </w:r>
      <w:r w:rsidR="008E7846">
        <w:rPr>
          <w:lang w:eastAsia="en-AU"/>
        </w:rPr>
        <w:t xml:space="preserve">anagement </w:t>
      </w:r>
      <w:r>
        <w:rPr>
          <w:lang w:eastAsia="en-AU"/>
        </w:rPr>
        <w:t>p</w:t>
      </w:r>
      <w:r w:rsidR="008E7846">
        <w:rPr>
          <w:lang w:eastAsia="en-AU"/>
        </w:rPr>
        <w:t>lan</w:t>
      </w:r>
      <w:bookmarkEnd w:id="117"/>
      <w:bookmarkEnd w:id="118"/>
    </w:p>
    <w:p w:rsidR="00EC0CFE" w:rsidRPr="00EC0CFE" w:rsidRDefault="00EC0CFE" w:rsidP="00EC0CFE">
      <w:bookmarkStart w:id="119" w:name="_Toc247691531"/>
      <w:bookmarkStart w:id="120" w:name="_Toc314842515"/>
      <w:bookmarkStart w:id="121" w:name="_Toc196046505"/>
      <w:bookmarkStart w:id="122" w:name="_Toc196046949"/>
      <w:r w:rsidRPr="00EC0CFE">
        <w:t xml:space="preserve">The RMP Evaluator has requested that the </w:t>
      </w:r>
      <w:r w:rsidR="00FB7BF5">
        <w:t>ASA</w:t>
      </w:r>
      <w:r w:rsidRPr="00EC0CFE">
        <w:t xml:space="preserve"> to the EU</w:t>
      </w:r>
      <w:r w:rsidR="000C2FFA">
        <w:t>–</w:t>
      </w:r>
      <w:r w:rsidRPr="00EC0CFE">
        <w:t xml:space="preserve">RMP be revised to summarise pharmacovigilance and risk minimisation activities proposed for </w:t>
      </w:r>
      <w:r w:rsidRPr="00C4098F">
        <w:t>Australia</w:t>
      </w:r>
      <w:r w:rsidR="00C4098F" w:rsidRPr="00C4098F">
        <w:t>. The Delegate</w:t>
      </w:r>
      <w:r w:rsidRPr="00C4098F">
        <w:t xml:space="preserve"> </w:t>
      </w:r>
      <w:r w:rsidRPr="00EC0CFE">
        <w:t>agree</w:t>
      </w:r>
      <w:r w:rsidR="00C4098F">
        <w:t>s</w:t>
      </w:r>
      <w:r w:rsidRPr="00EC0CFE">
        <w:t xml:space="preserve"> that the sponsor should justify a</w:t>
      </w:r>
      <w:r w:rsidR="00FB7BF5">
        <w:t>pparent significant changes, for example</w:t>
      </w:r>
      <w:r w:rsidRPr="00EC0CFE">
        <w:t xml:space="preserve"> the deletion of reference to subjects w</w:t>
      </w:r>
      <w:r w:rsidR="00FB7BF5">
        <w:t xml:space="preserve">ith renal or liver impairment. </w:t>
      </w:r>
      <w:r w:rsidRPr="00EC0CFE">
        <w:t>The sponsor is asked to resolve this issue to the satisfaction of the TGA’s RMP Evaluation area.</w:t>
      </w:r>
      <w:r>
        <w:t xml:space="preserve"> </w:t>
      </w:r>
      <w:r w:rsidRPr="00EC0CFE">
        <w:t>This can proceed in parallel with a decision about the HS application.</w:t>
      </w:r>
    </w:p>
    <w:p w:rsidR="00EC0CFE" w:rsidRPr="00EC0CFE" w:rsidRDefault="00EC0CFE" w:rsidP="00EC0CFE">
      <w:r>
        <w:t>The Delegate</w:t>
      </w:r>
      <w:r w:rsidRPr="00EC0CFE">
        <w:t xml:space="preserve"> propose</w:t>
      </w:r>
      <w:r>
        <w:t>s</w:t>
      </w:r>
      <w:r w:rsidRPr="00EC0CFE">
        <w:t xml:space="preserve"> to include the following RMP</w:t>
      </w:r>
      <w:r w:rsidR="00FB7BF5">
        <w:t xml:space="preserve"> </w:t>
      </w:r>
      <w:r w:rsidRPr="00EC0CFE">
        <w:t>specific condition of registration:</w:t>
      </w:r>
    </w:p>
    <w:p w:rsidR="00EC0CFE" w:rsidRPr="00EC0CFE" w:rsidRDefault="00EC0CFE" w:rsidP="00F078C6">
      <w:pPr>
        <w:ind w:left="720"/>
      </w:pPr>
      <w:r w:rsidRPr="00EC0CFE">
        <w:t>Implement EU</w:t>
      </w:r>
      <w:r w:rsidR="000C2FFA">
        <w:t>–</w:t>
      </w:r>
      <w:r w:rsidRPr="00EC0CFE">
        <w:t>RMP Version 11.3.1, dated June 2015, with ASA Version 5.0, dated September 2015, and any updates accepted by the TGA’s RMP Evaluation section.</w:t>
      </w:r>
    </w:p>
    <w:p w:rsidR="008E7846" w:rsidRDefault="00AA0ED0" w:rsidP="008E7846">
      <w:pPr>
        <w:pStyle w:val="Heading3"/>
      </w:pPr>
      <w:bookmarkStart w:id="123" w:name="_Toc456951165"/>
      <w:r>
        <w:lastRenderedPageBreak/>
        <w:t>Risk</w:t>
      </w:r>
      <w:r w:rsidR="0030665F">
        <w:t>-</w:t>
      </w:r>
      <w:r>
        <w:t>benefit a</w:t>
      </w:r>
      <w:r w:rsidR="008E7846">
        <w:t>nalysis</w:t>
      </w:r>
      <w:bookmarkEnd w:id="119"/>
      <w:bookmarkEnd w:id="120"/>
      <w:bookmarkEnd w:id="123"/>
    </w:p>
    <w:p w:rsidR="00D23139" w:rsidRDefault="006730CA" w:rsidP="00D23139">
      <w:pPr>
        <w:pStyle w:val="Heading4"/>
      </w:pPr>
      <w:r>
        <w:t>Delegate’s considerations</w:t>
      </w:r>
    </w:p>
    <w:p w:rsidR="00EC0CFE" w:rsidRDefault="00EC0CFE" w:rsidP="00EC0CFE">
      <w:pPr>
        <w:pStyle w:val="Heading5"/>
      </w:pPr>
      <w:r>
        <w:t>Issues</w:t>
      </w:r>
    </w:p>
    <w:p w:rsidR="00C4098F" w:rsidRPr="00C4098F" w:rsidRDefault="00C4098F" w:rsidP="00C4098F">
      <w:pPr>
        <w:pStyle w:val="Heading6"/>
      </w:pPr>
      <w:r w:rsidRPr="00C4098F">
        <w:t>Efficacy in maintenance</w:t>
      </w:r>
    </w:p>
    <w:p w:rsidR="00C4098F" w:rsidRDefault="00FA6C28" w:rsidP="00C4098F">
      <w:r>
        <w:t>The clinical e</w:t>
      </w:r>
      <w:r w:rsidR="00C4098F" w:rsidRPr="00C4098F">
        <w:t>valuator considers that there is convincing evidence of a benefit for short</w:t>
      </w:r>
      <w:r w:rsidR="004E0B95">
        <w:t xml:space="preserve"> </w:t>
      </w:r>
      <w:r w:rsidR="00C4098F" w:rsidRPr="00C4098F">
        <w:t>term ad</w:t>
      </w:r>
      <w:r w:rsidR="00B749C8">
        <w:t>alimumab therapy (supported by W</w:t>
      </w:r>
      <w:r w:rsidR="00C4098F" w:rsidRPr="00C4098F">
        <w:t>eek 12 HiSCR</w:t>
      </w:r>
      <w:r w:rsidR="00B749C8">
        <w:fldChar w:fldCharType="begin"/>
      </w:r>
      <w:r w:rsidR="00B749C8">
        <w:instrText xml:space="preserve"> NOTEREF _Ref450912456 \f \h </w:instrText>
      </w:r>
      <w:r w:rsidR="00B749C8">
        <w:fldChar w:fldCharType="separate"/>
      </w:r>
      <w:r w:rsidR="00B749C8" w:rsidRPr="00B749C8">
        <w:rPr>
          <w:rStyle w:val="FootnoteReference"/>
        </w:rPr>
        <w:t>2</w:t>
      </w:r>
      <w:r w:rsidR="00B749C8">
        <w:fldChar w:fldCharType="end"/>
      </w:r>
      <w:r w:rsidR="00C4098F" w:rsidRPr="00C4098F">
        <w:t xml:space="preserve"> outcomes in </w:t>
      </w:r>
      <w:r>
        <w:t>Studies M11</w:t>
      </w:r>
      <w:r w:rsidR="000C2FFA">
        <w:t>–</w:t>
      </w:r>
      <w:r>
        <w:t>313 and M11</w:t>
      </w:r>
      <w:r w:rsidR="000C2FFA">
        <w:t>–</w:t>
      </w:r>
      <w:r>
        <w:t xml:space="preserve">810, </w:t>
      </w:r>
      <w:r w:rsidR="00C4098F" w:rsidRPr="00C4098F">
        <w:t>but does not consider the evidence for maintenance therap</w:t>
      </w:r>
      <w:r>
        <w:t>y to be convincing</w:t>
      </w:r>
      <w:r w:rsidR="00C4098F" w:rsidRPr="00C4098F">
        <w:t xml:space="preserve">. In particular, the </w:t>
      </w:r>
      <w:r>
        <w:t xml:space="preserve">clinical </w:t>
      </w:r>
      <w:r w:rsidR="00C4098F" w:rsidRPr="00C4098F">
        <w:t>evaluator noted a substanti</w:t>
      </w:r>
      <w:r w:rsidR="00CA5345">
        <w:t>al LOR</w:t>
      </w:r>
      <w:r w:rsidR="00B749C8">
        <w:fldChar w:fldCharType="begin"/>
      </w:r>
      <w:r w:rsidR="00B749C8">
        <w:instrText xml:space="preserve"> NOTEREF _Ref451161897 \f \h </w:instrText>
      </w:r>
      <w:r w:rsidR="00B749C8">
        <w:fldChar w:fldCharType="separate"/>
      </w:r>
      <w:r w:rsidR="00B749C8" w:rsidRPr="00B749C8">
        <w:rPr>
          <w:rStyle w:val="FootnoteReference"/>
        </w:rPr>
        <w:t>4</w:t>
      </w:r>
      <w:r w:rsidR="00B749C8">
        <w:fldChar w:fldCharType="end"/>
      </w:r>
      <w:r w:rsidR="00C4098F" w:rsidRPr="00C4098F">
        <w:t xml:space="preserve"> despite either </w:t>
      </w:r>
      <w:proofErr w:type="spellStart"/>
      <w:r>
        <w:t>qw</w:t>
      </w:r>
      <w:proofErr w:type="spellEnd"/>
      <w:r w:rsidR="00C4098F" w:rsidRPr="00C4098F">
        <w:t xml:space="preserve"> or </w:t>
      </w:r>
      <w:r>
        <w:t xml:space="preserve">q2w maintenance. </w:t>
      </w:r>
      <w:r w:rsidR="00C4098F" w:rsidRPr="00C4098F">
        <w:t xml:space="preserve">The </w:t>
      </w:r>
      <w:r w:rsidR="00CA5345">
        <w:t xml:space="preserve">clinical </w:t>
      </w:r>
      <w:r w:rsidR="00C4098F" w:rsidRPr="00C4098F">
        <w:t>evaluator also notes the lack of HS treatment options.</w:t>
      </w:r>
    </w:p>
    <w:p w:rsidR="0063208D" w:rsidRPr="0063208D" w:rsidRDefault="0063208D" w:rsidP="0063208D">
      <w:r w:rsidRPr="0063208D">
        <w:t xml:space="preserve">The following table </w:t>
      </w:r>
      <w:r w:rsidR="007E7BC5">
        <w:t>(Table 10</w:t>
      </w:r>
      <w:r w:rsidR="00CA5345">
        <w:t xml:space="preserve">) </w:t>
      </w:r>
      <w:r w:rsidRPr="0063208D">
        <w:t>is relevant from extension study M12</w:t>
      </w:r>
      <w:r w:rsidR="000C2FFA">
        <w:t>–</w:t>
      </w:r>
      <w:r w:rsidRPr="0063208D">
        <w:t>555:</w:t>
      </w:r>
    </w:p>
    <w:p w:rsidR="0063208D" w:rsidRDefault="002A3C3A" w:rsidP="0063208D">
      <w:pPr>
        <w:pStyle w:val="Tabletitle0"/>
      </w:pPr>
      <w:r>
        <w:t>Table10:</w:t>
      </w:r>
      <w:r w:rsidR="0063208D">
        <w:t xml:space="preserve"> Prop</w:t>
      </w:r>
      <w:r>
        <w:t>ortion of s</w:t>
      </w:r>
      <w:r w:rsidR="0063208D">
        <w:t xml:space="preserve">ubjects </w:t>
      </w:r>
      <w:r>
        <w:t>a</w:t>
      </w:r>
      <w:r w:rsidR="009D5903">
        <w:t>chieving</w:t>
      </w:r>
      <w:r w:rsidR="0063208D">
        <w:t xml:space="preserve"> HiSCR</w:t>
      </w:r>
      <w:r w:rsidR="00F168A2">
        <w:fldChar w:fldCharType="begin"/>
      </w:r>
      <w:r w:rsidR="00F168A2">
        <w:instrText xml:space="preserve"> NOTEREF _Ref450912456 \f \h </w:instrText>
      </w:r>
      <w:r w:rsidR="00F168A2">
        <w:fldChar w:fldCharType="separate"/>
      </w:r>
      <w:r w:rsidR="00F168A2" w:rsidRPr="00F168A2">
        <w:rPr>
          <w:rStyle w:val="FootnoteReference"/>
        </w:rPr>
        <w:t>2</w:t>
      </w:r>
      <w:r w:rsidR="00F168A2">
        <w:fldChar w:fldCharType="end"/>
      </w:r>
      <w:r>
        <w:t xml:space="preserve"> during s</w:t>
      </w:r>
      <w:r w:rsidR="0063208D">
        <w:t>tudy M12</w:t>
      </w:r>
      <w:r w:rsidR="000C2FFA">
        <w:t>–</w:t>
      </w:r>
      <w:r w:rsidR="0063208D">
        <w:t xml:space="preserve">555 </w:t>
      </w:r>
      <w:r w:rsidR="0063208D" w:rsidRPr="00E44AF7">
        <w:t>(</w:t>
      </w:r>
      <w:r>
        <w:t>l</w:t>
      </w:r>
      <w:r w:rsidR="004D7939" w:rsidRPr="00E44AF7">
        <w:t>ast observation carried forward [</w:t>
      </w:r>
      <w:r w:rsidR="0063208D" w:rsidRPr="00E44AF7">
        <w:t>LOCF</w:t>
      </w:r>
      <w:bookmarkStart w:id="124" w:name="_Ref451169050"/>
      <w:r w:rsidR="004D7939" w:rsidRPr="00E44AF7">
        <w:rPr>
          <w:rStyle w:val="FootnoteReference"/>
        </w:rPr>
        <w:footnoteReference w:id="8"/>
      </w:r>
      <w:bookmarkEnd w:id="124"/>
      <w:r w:rsidR="009D5903">
        <w:t>]</w:t>
      </w:r>
      <w:r w:rsidR="0063208D" w:rsidRPr="00E44AF7">
        <w:t>)</w:t>
      </w:r>
      <w:r w:rsidR="009D5903">
        <w:t xml:space="preserve">: </w:t>
      </w:r>
      <w:proofErr w:type="spellStart"/>
      <w:r w:rsidR="0063208D">
        <w:t>qw</w:t>
      </w:r>
      <w:proofErr w:type="spellEnd"/>
      <w:r w:rsidR="0063208D">
        <w:t>/</w:t>
      </w:r>
      <w:proofErr w:type="spellStart"/>
      <w:r w:rsidR="0063208D">
        <w:t>qw</w:t>
      </w:r>
      <w:proofErr w:type="spellEnd"/>
      <w:r w:rsidR="0063208D">
        <w:t>/</w:t>
      </w:r>
      <w:proofErr w:type="spellStart"/>
      <w:r w:rsidR="0063208D">
        <w:t>qw</w:t>
      </w:r>
      <w:proofErr w:type="spellEnd"/>
      <w:r w:rsidR="0063208D">
        <w:t xml:space="preserve">, </w:t>
      </w:r>
      <w:proofErr w:type="spellStart"/>
      <w:r w:rsidR="0063208D">
        <w:t>qw</w:t>
      </w:r>
      <w:proofErr w:type="spellEnd"/>
      <w:r w:rsidR="0063208D">
        <w:t>/q2w/</w:t>
      </w:r>
      <w:proofErr w:type="spellStart"/>
      <w:r w:rsidR="0063208D">
        <w:t>qw</w:t>
      </w:r>
      <w:proofErr w:type="spellEnd"/>
      <w:r w:rsidR="0063208D">
        <w:t xml:space="preserve">, and </w:t>
      </w:r>
      <w:proofErr w:type="spellStart"/>
      <w:r w:rsidR="0063208D">
        <w:t>qw</w:t>
      </w:r>
      <w:proofErr w:type="spellEnd"/>
      <w:r w:rsidR="0063208D">
        <w:t>/</w:t>
      </w:r>
      <w:proofErr w:type="spellStart"/>
      <w:r w:rsidR="0063208D">
        <w:t>pbo</w:t>
      </w:r>
      <w:proofErr w:type="spellEnd"/>
      <w:r w:rsidR="0063208D">
        <w:t>/</w:t>
      </w:r>
      <w:proofErr w:type="spellStart"/>
      <w:r w:rsidR="007523F0">
        <w:t>q</w:t>
      </w:r>
      <w:r>
        <w:t>ew</w:t>
      </w:r>
      <w:proofErr w:type="spellEnd"/>
      <w:r>
        <w:t xml:space="preserve"> p</w:t>
      </w:r>
      <w:r w:rsidR="0063208D">
        <w:t>opulations</w:t>
      </w:r>
    </w:p>
    <w:p w:rsidR="00FD6171" w:rsidRPr="00FD6171" w:rsidRDefault="00FD6171" w:rsidP="00FD6171">
      <w:r>
        <w:rPr>
          <w:noProof/>
          <w:lang w:eastAsia="en-AU"/>
        </w:rPr>
        <w:drawing>
          <wp:inline distT="0" distB="0" distL="0" distR="0" wp14:anchorId="37F29370" wp14:editId="700F0421">
            <wp:extent cx="5400040" cy="2983865"/>
            <wp:effectExtent l="0" t="0" r="0" b="6985"/>
            <wp:docPr id="5" name="Picture 5" descr="Table10: Proportion of subjects achieving HiSCR2 during study M12–555 (last observation carried forward [LOCF ]): qw/qw/qw, qw/q2w/qw, and qw/pbo/qew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983865"/>
                    </a:xfrm>
                    <a:prstGeom prst="rect">
                      <a:avLst/>
                    </a:prstGeom>
                  </pic:spPr>
                </pic:pic>
              </a:graphicData>
            </a:graphic>
          </wp:inline>
        </w:drawing>
      </w:r>
    </w:p>
    <w:p w:rsidR="00FD6171" w:rsidRPr="002A6F35" w:rsidRDefault="00E92D16" w:rsidP="002A6F35">
      <w:pPr>
        <w:pStyle w:val="TableDescription"/>
      </w:pPr>
      <w:r w:rsidRPr="00A310C5">
        <w:t>‘</w:t>
      </w:r>
      <w:r w:rsidR="00FD6171" w:rsidRPr="00A310C5">
        <w:t xml:space="preserve">Adalimumab </w:t>
      </w:r>
      <w:proofErr w:type="spellStart"/>
      <w:r w:rsidR="00FD6171" w:rsidRPr="00A310C5">
        <w:t>ew</w:t>
      </w:r>
      <w:proofErr w:type="spellEnd"/>
      <w:r w:rsidRPr="00A310C5">
        <w:t>’</w:t>
      </w:r>
      <w:r w:rsidR="00FD6171" w:rsidRPr="00A310C5">
        <w:t xml:space="preserve"> in Tables 11-12 </w:t>
      </w:r>
      <w:r w:rsidR="002505C1" w:rsidRPr="00A310C5">
        <w:t>stands for</w:t>
      </w:r>
      <w:r w:rsidR="00FD6171" w:rsidRPr="00A310C5">
        <w:t xml:space="preserve"> adalimumab every week (</w:t>
      </w:r>
      <w:proofErr w:type="spellStart"/>
      <w:r w:rsidR="00FD6171" w:rsidRPr="00A310C5">
        <w:t>qw</w:t>
      </w:r>
      <w:proofErr w:type="spellEnd"/>
      <w:r w:rsidR="00FD6171" w:rsidRPr="00A310C5">
        <w:t xml:space="preserve">), </w:t>
      </w:r>
      <w:r w:rsidRPr="00A310C5">
        <w:t>‘</w:t>
      </w:r>
      <w:r w:rsidR="00FD6171" w:rsidRPr="00A310C5">
        <w:t xml:space="preserve">adalimumab </w:t>
      </w:r>
      <w:proofErr w:type="spellStart"/>
      <w:r w:rsidR="00FD6171" w:rsidRPr="00A310C5">
        <w:t>eow</w:t>
      </w:r>
      <w:proofErr w:type="spellEnd"/>
      <w:r w:rsidRPr="00A310C5">
        <w:t>’</w:t>
      </w:r>
      <w:r w:rsidR="00FD6171" w:rsidRPr="00A310C5">
        <w:t xml:space="preserve"> treatment </w:t>
      </w:r>
      <w:r w:rsidR="002505C1" w:rsidRPr="00A310C5">
        <w:t>stands for</w:t>
      </w:r>
      <w:r w:rsidR="00FD6171" w:rsidRPr="00A310C5">
        <w:t xml:space="preserve"> adalimumab every other week (q2w) treatment.</w:t>
      </w:r>
    </w:p>
    <w:p w:rsidR="0063208D" w:rsidRPr="008F5935" w:rsidRDefault="0063208D" w:rsidP="008F5935">
      <w:r w:rsidRPr="008F5935">
        <w:t>Fro</w:t>
      </w:r>
      <w:r w:rsidR="008F5935" w:rsidRPr="008F5935">
        <w:t xml:space="preserve">m this, it appears that in the </w:t>
      </w:r>
      <w:proofErr w:type="spellStart"/>
      <w:r w:rsidR="008F5935" w:rsidRPr="008F5935">
        <w:t>qw</w:t>
      </w:r>
      <w:proofErr w:type="spellEnd"/>
      <w:r w:rsidR="008F5935" w:rsidRPr="008F5935">
        <w:t>/</w:t>
      </w:r>
      <w:proofErr w:type="spellStart"/>
      <w:r w:rsidR="008F5935" w:rsidRPr="008F5935">
        <w:t>qw</w:t>
      </w:r>
      <w:proofErr w:type="spellEnd"/>
      <w:r w:rsidR="008F5935" w:rsidRPr="008F5935">
        <w:t>/</w:t>
      </w:r>
      <w:proofErr w:type="spellStart"/>
      <w:r w:rsidR="008F5935" w:rsidRPr="008F5935">
        <w:t>q</w:t>
      </w:r>
      <w:r w:rsidRPr="008F5935">
        <w:t>w</w:t>
      </w:r>
      <w:proofErr w:type="spellEnd"/>
      <w:r w:rsidRPr="008F5935">
        <w:t xml:space="preserve"> cohort, few patients other than those who were already responders at extension study entry</w:t>
      </w:r>
      <w:r w:rsidR="008F5935" w:rsidRPr="008F5935">
        <w:t xml:space="preserve"> actually attained a response. </w:t>
      </w:r>
      <w:r w:rsidR="008F5935">
        <w:t>Other cohorts (</w:t>
      </w:r>
      <w:proofErr w:type="spellStart"/>
      <w:r w:rsidR="008F5935">
        <w:t>qw</w:t>
      </w:r>
      <w:proofErr w:type="spellEnd"/>
      <w:r w:rsidR="008F5935">
        <w:t>/q2w/</w:t>
      </w:r>
      <w:proofErr w:type="spellStart"/>
      <w:r w:rsidR="008F5935">
        <w:t>qw</w:t>
      </w:r>
      <w:proofErr w:type="spellEnd"/>
      <w:r w:rsidR="008F5935">
        <w:t xml:space="preserve">, </w:t>
      </w:r>
      <w:proofErr w:type="spellStart"/>
      <w:r w:rsidR="008F5935">
        <w:t>q</w:t>
      </w:r>
      <w:r w:rsidRPr="008F5935">
        <w:t>w</w:t>
      </w:r>
      <w:proofErr w:type="spellEnd"/>
      <w:r w:rsidRPr="008F5935">
        <w:t>/</w:t>
      </w:r>
      <w:proofErr w:type="spellStart"/>
      <w:r w:rsidRPr="008F5935">
        <w:t>pbo</w:t>
      </w:r>
      <w:proofErr w:type="spellEnd"/>
      <w:r w:rsidRPr="008F5935">
        <w:t>/</w:t>
      </w:r>
      <w:proofErr w:type="spellStart"/>
      <w:r w:rsidRPr="008F5935">
        <w:t>ew</w:t>
      </w:r>
      <w:proofErr w:type="spellEnd"/>
      <w:r w:rsidRPr="008F5935">
        <w:t xml:space="preserve">) are less relevant as they do not conform </w:t>
      </w:r>
      <w:proofErr w:type="gramStart"/>
      <w:r w:rsidRPr="008F5935">
        <w:t>with</w:t>
      </w:r>
      <w:proofErr w:type="gramEnd"/>
      <w:r w:rsidRPr="008F5935">
        <w:t xml:space="preserve"> the PI</w:t>
      </w:r>
      <w:r w:rsidR="00314F80">
        <w:noBreakHyphen/>
      </w:r>
      <w:r w:rsidRPr="008F5935">
        <w:t>proposed dose regimen.</w:t>
      </w:r>
    </w:p>
    <w:p w:rsidR="0063208D" w:rsidRPr="008F5935" w:rsidRDefault="0063208D" w:rsidP="008F5935">
      <w:r w:rsidRPr="008F5935">
        <w:t xml:space="preserve">This and similar tables using other </w:t>
      </w:r>
      <w:r w:rsidR="008F5935">
        <w:t>efficacy endpoints support the clinical e</w:t>
      </w:r>
      <w:r w:rsidRPr="008F5935">
        <w:t>valuator’s notion that maintenance is only justified if there is (</w:t>
      </w:r>
      <w:r w:rsidR="00B749C8">
        <w:t xml:space="preserve">ongoing) evidence of efficacy. </w:t>
      </w:r>
      <w:r w:rsidRPr="008F5935">
        <w:t>There is no strong signal that non</w:t>
      </w:r>
      <w:r w:rsidR="00712729">
        <w:t>-</w:t>
      </w:r>
      <w:r w:rsidRPr="008F5935">
        <w:t>responders will gain significant benefit with further weeks or months of therapy.</w:t>
      </w:r>
    </w:p>
    <w:p w:rsidR="0063208D" w:rsidRPr="008F5935" w:rsidRDefault="008F5935" w:rsidP="008F5935">
      <w:pPr>
        <w:pStyle w:val="Comment"/>
      </w:pPr>
      <w:r w:rsidRPr="008F5935">
        <w:rPr>
          <w:b/>
        </w:rPr>
        <w:t>Comment:</w:t>
      </w:r>
      <w:r>
        <w:t xml:space="preserve"> </w:t>
      </w:r>
      <w:r w:rsidRPr="00E44AF7">
        <w:t>T</w:t>
      </w:r>
      <w:r w:rsidR="0063208D" w:rsidRPr="00E44AF7">
        <w:t xml:space="preserve">he sponsor includes a letter from a local expert regarding adalimumab in HS, </w:t>
      </w:r>
      <w:r w:rsidR="00634C4C">
        <w:t xml:space="preserve">  </w:t>
      </w:r>
      <w:r w:rsidR="0063208D" w:rsidRPr="00E44AF7">
        <w:t>which states in part:</w:t>
      </w:r>
      <w:r w:rsidRPr="00E44AF7">
        <w:t xml:space="preserve"> </w:t>
      </w:r>
      <w:r w:rsidR="00E92D16">
        <w:t>‘</w:t>
      </w:r>
      <w:r w:rsidR="00B27EA5" w:rsidRPr="00E44AF7">
        <w:rPr>
          <w:i/>
        </w:rPr>
        <w:t>Adalimumab has been</w:t>
      </w:r>
      <w:r w:rsidRPr="00E44AF7">
        <w:rPr>
          <w:i/>
        </w:rPr>
        <w:t xml:space="preserve"> the first</w:t>
      </w:r>
      <w:r w:rsidR="000C2FFA" w:rsidRPr="00E44AF7">
        <w:rPr>
          <w:i/>
        </w:rPr>
        <w:t>–</w:t>
      </w:r>
      <w:r w:rsidRPr="00E44AF7">
        <w:rPr>
          <w:i/>
        </w:rPr>
        <w:t xml:space="preserve"> and so far the only</w:t>
      </w:r>
      <w:r w:rsidR="000C2FFA" w:rsidRPr="00E44AF7">
        <w:rPr>
          <w:i/>
        </w:rPr>
        <w:t>–</w:t>
      </w:r>
      <w:r w:rsidRPr="00E44AF7">
        <w:rPr>
          <w:i/>
        </w:rPr>
        <w:t xml:space="preserve"> therapy to enter Phase III studies in patients with moderate</w:t>
      </w:r>
      <w:r w:rsidR="000C2FFA" w:rsidRPr="00E44AF7">
        <w:rPr>
          <w:i/>
        </w:rPr>
        <w:t>–</w:t>
      </w:r>
      <w:r w:rsidRPr="00E44AF7">
        <w:rPr>
          <w:i/>
        </w:rPr>
        <w:t>to</w:t>
      </w:r>
      <w:r w:rsidR="000C2FFA" w:rsidRPr="00E44AF7">
        <w:rPr>
          <w:i/>
        </w:rPr>
        <w:t>–</w:t>
      </w:r>
      <w:r w:rsidRPr="00E44AF7">
        <w:rPr>
          <w:i/>
        </w:rPr>
        <w:t>severe HS. The expert recommendations recently presented at the 23</w:t>
      </w:r>
      <w:r w:rsidRPr="00E44AF7">
        <w:rPr>
          <w:i/>
          <w:vertAlign w:val="superscript"/>
        </w:rPr>
        <w:t>rd</w:t>
      </w:r>
      <w:r w:rsidRPr="00E44AF7">
        <w:rPr>
          <w:i/>
        </w:rPr>
        <w:t xml:space="preserve"> World Congress of </w:t>
      </w:r>
      <w:r w:rsidRPr="00E44AF7">
        <w:rPr>
          <w:i/>
        </w:rPr>
        <w:lastRenderedPageBreak/>
        <w:t>Dermatology support the use of adalimumab after antibiotics have failed (</w:t>
      </w:r>
      <w:r w:rsidR="00B1113F" w:rsidRPr="00E44AF7">
        <w:rPr>
          <w:i/>
        </w:rPr>
        <w:t xml:space="preserve">level of evidence </w:t>
      </w:r>
      <w:r w:rsidR="00B1113F" w:rsidRPr="00E44AF7">
        <w:rPr>
          <w:rStyle w:val="FootnoteReference"/>
          <w:i/>
        </w:rPr>
        <w:footnoteReference w:id="9"/>
      </w:r>
      <w:r w:rsidR="00B27EA5" w:rsidRPr="00E44AF7">
        <w:rPr>
          <w:i/>
        </w:rPr>
        <w:t>1</w:t>
      </w:r>
      <w:r w:rsidR="00B27EA5" w:rsidRPr="00E44AF7">
        <w:rPr>
          <w:i/>
          <w:vertAlign w:val="superscript"/>
        </w:rPr>
        <w:t>b</w:t>
      </w:r>
      <w:r w:rsidR="00B1113F" w:rsidRPr="00E44AF7">
        <w:rPr>
          <w:i/>
        </w:rPr>
        <w:t>, strength of recommendation</w:t>
      </w:r>
      <w:r w:rsidR="00B27EA5" w:rsidRPr="00E44AF7">
        <w:rPr>
          <w:i/>
        </w:rPr>
        <w:t xml:space="preserve"> </w:t>
      </w:r>
      <w:r w:rsidR="00B27EA5" w:rsidRPr="00E44AF7">
        <w:rPr>
          <w:rStyle w:val="FootnoteReference"/>
          <w:i/>
        </w:rPr>
        <w:footnoteReference w:id="10"/>
      </w:r>
      <w:r w:rsidR="00B27EA5" w:rsidRPr="00E44AF7">
        <w:rPr>
          <w:i/>
        </w:rPr>
        <w:t>A</w:t>
      </w:r>
      <w:r w:rsidR="00B27EA5" w:rsidRPr="00E44AF7">
        <w:rPr>
          <w:i/>
          <w:vertAlign w:val="superscript"/>
        </w:rPr>
        <w:t>2</w:t>
      </w:r>
      <w:r w:rsidR="00B27EA5" w:rsidRPr="00E44AF7">
        <w:rPr>
          <w:i/>
        </w:rPr>
        <w:t>)</w:t>
      </w:r>
      <w:r w:rsidR="00B27EA5" w:rsidRPr="00E44AF7">
        <w:rPr>
          <w:rStyle w:val="FootnoteReference"/>
          <w:i/>
        </w:rPr>
        <w:footnoteReference w:id="11"/>
      </w:r>
      <w:r w:rsidR="00E92D16">
        <w:t>‘</w:t>
      </w:r>
      <w:r w:rsidR="00B27EA5" w:rsidRPr="00E44AF7">
        <w:t>.</w:t>
      </w:r>
    </w:p>
    <w:p w:rsidR="006476CE" w:rsidRPr="006476CE" w:rsidRDefault="006476CE" w:rsidP="006476CE">
      <w:r w:rsidRPr="006476CE">
        <w:t xml:space="preserve">As per the extract, the view is </w:t>
      </w:r>
      <w:r>
        <w:t xml:space="preserve">that maintenance applies </w:t>
      </w:r>
      <w:r w:rsidR="00E92D16">
        <w:t>‘</w:t>
      </w:r>
      <w:r w:rsidRPr="00CA5345">
        <w:rPr>
          <w:i/>
        </w:rPr>
        <w:t>if improvement occurs</w:t>
      </w:r>
      <w:r w:rsidR="00E92D16">
        <w:t>’</w:t>
      </w:r>
      <w:r w:rsidRPr="006476CE">
        <w:t>.</w:t>
      </w:r>
    </w:p>
    <w:p w:rsidR="006476CE" w:rsidRPr="006476CE" w:rsidRDefault="006476CE" w:rsidP="006476CE">
      <w:r>
        <w:t>The TGA e</w:t>
      </w:r>
      <w:r w:rsidRPr="006476CE">
        <w:t>valuator’s proposal is to ensur</w:t>
      </w:r>
      <w:r w:rsidR="00750D37">
        <w:t>e ongoing use is in those with ≥</w:t>
      </w:r>
      <w:r w:rsidR="000E6B02">
        <w:t xml:space="preserve"> </w:t>
      </w:r>
      <w:r w:rsidRPr="006476CE">
        <w:t xml:space="preserve">50% reduction from baseline in total abscess and inflammatory nodule (AN) count, with no observed increase in either abscess </w:t>
      </w:r>
      <w:r>
        <w:t>or draining fistula counts, at Week 12, W</w:t>
      </w:r>
      <w:r w:rsidRPr="006476CE">
        <w:t xml:space="preserve">eek 24 </w:t>
      </w:r>
      <w:r>
        <w:t xml:space="preserve">and every 6 months thereafter. </w:t>
      </w:r>
      <w:r w:rsidRPr="006476CE">
        <w:t xml:space="preserve">This provides a concrete way to measure benefit and is an extension of the advice </w:t>
      </w:r>
      <w:r>
        <w:t xml:space="preserve">of the </w:t>
      </w:r>
      <w:r w:rsidRPr="00EC0CFE">
        <w:t>Summary of Product Characteristics</w:t>
      </w:r>
      <w:r w:rsidRPr="006476CE">
        <w:t xml:space="preserve"> </w:t>
      </w:r>
      <w:r>
        <w:t>(</w:t>
      </w:r>
      <w:proofErr w:type="spellStart"/>
      <w:r w:rsidRPr="006476CE">
        <w:t>SmPC</w:t>
      </w:r>
      <w:proofErr w:type="spellEnd"/>
      <w:r>
        <w:t>)</w:t>
      </w:r>
      <w:r w:rsidRPr="006476CE">
        <w:t xml:space="preserve"> that ongoing use </w:t>
      </w:r>
      <w:proofErr w:type="gramStart"/>
      <w:r w:rsidRPr="006476CE">
        <w:t>be</w:t>
      </w:r>
      <w:proofErr w:type="gramEnd"/>
      <w:r w:rsidRPr="006476CE">
        <w:t xml:space="preserve"> in patients showing improvement on therapy.</w:t>
      </w:r>
    </w:p>
    <w:p w:rsidR="006476CE" w:rsidRPr="006476CE" w:rsidRDefault="006476CE" w:rsidP="006476CE">
      <w:r w:rsidRPr="006476CE">
        <w:t>In the latest version of the proposed PI, the Dosage and Administration sec</w:t>
      </w:r>
      <w:r>
        <w:t xml:space="preserve">tion includes text as follows: </w:t>
      </w:r>
      <w:r w:rsidR="00E92D16">
        <w:t>‘</w:t>
      </w:r>
      <w:r w:rsidRPr="000934D6">
        <w:rPr>
          <w:i/>
        </w:rPr>
        <w:t>In patients without any benefit after 12 weeks of treatment, continued therapy should be reconsidered.</w:t>
      </w:r>
      <w:r w:rsidR="00E92D16">
        <w:t>’</w:t>
      </w:r>
      <w:r>
        <w:t xml:space="preserve"> The clinical e</w:t>
      </w:r>
      <w:r w:rsidRPr="006476CE">
        <w:t>valuator’s text provides more concrete advice in that it specifies how ‘benefit’ should be measured (</w:t>
      </w:r>
      <w:proofErr w:type="spellStart"/>
      <w:r w:rsidRPr="006476CE">
        <w:t>HiSCR</w:t>
      </w:r>
      <w:proofErr w:type="spellEnd"/>
      <w:r w:rsidRPr="006476CE">
        <w:t>)</w:t>
      </w:r>
      <w:r w:rsidR="00750D37">
        <w:fldChar w:fldCharType="begin"/>
      </w:r>
      <w:r w:rsidR="00750D37">
        <w:instrText xml:space="preserve"> NOTEREF _Ref450912456 \f \h </w:instrText>
      </w:r>
      <w:r w:rsidR="00750D37">
        <w:fldChar w:fldCharType="separate"/>
      </w:r>
      <w:r w:rsidR="00750D37" w:rsidRPr="00750D37">
        <w:rPr>
          <w:rStyle w:val="FootnoteReference"/>
        </w:rPr>
        <w:t>2</w:t>
      </w:r>
      <w:r w:rsidR="00750D37">
        <w:fldChar w:fldCharType="end"/>
      </w:r>
      <w:r w:rsidRPr="006476CE">
        <w:t xml:space="preserve"> and when it should be measured (12 weeks, 24 weeks, then every 6 months), and requires that for ongoing use there should be maintenance of </w:t>
      </w:r>
      <w:proofErr w:type="spellStart"/>
      <w:r w:rsidRPr="006476CE">
        <w:t>HiSCR</w:t>
      </w:r>
      <w:proofErr w:type="spellEnd"/>
      <w:r w:rsidRPr="006476CE">
        <w:t>.</w:t>
      </w:r>
      <w:r>
        <w:t xml:space="preserve"> </w:t>
      </w:r>
      <w:r w:rsidR="00EE5FF0">
        <w:t>The Delegate</w:t>
      </w:r>
      <w:r>
        <w:t xml:space="preserve"> support</w:t>
      </w:r>
      <w:r w:rsidR="00EE5FF0">
        <w:t>s</w:t>
      </w:r>
      <w:r>
        <w:t xml:space="preserve"> the clinical e</w:t>
      </w:r>
      <w:r w:rsidRPr="006476CE">
        <w:t>valuator’s proposal.</w:t>
      </w:r>
      <w:r>
        <w:t xml:space="preserve"> </w:t>
      </w:r>
      <w:r w:rsidRPr="006476CE">
        <w:t>The ACPM’s advice has been asked about this issue.</w:t>
      </w:r>
    </w:p>
    <w:p w:rsidR="006476CE" w:rsidRPr="006476CE" w:rsidRDefault="006476CE" w:rsidP="006476CE">
      <w:pPr>
        <w:pStyle w:val="Heading6"/>
      </w:pPr>
      <w:r w:rsidRPr="006476CE">
        <w:t>Indication</w:t>
      </w:r>
    </w:p>
    <w:p w:rsidR="00A742D7" w:rsidRPr="00A742D7" w:rsidRDefault="00A742D7" w:rsidP="00A742D7">
      <w:r w:rsidRPr="00A742D7">
        <w:t>The proposed indication differs from the EU an</w:t>
      </w:r>
      <w:r>
        <w:t xml:space="preserve">d US indications in specifying </w:t>
      </w:r>
      <w:r w:rsidR="00E92D16">
        <w:t>‘</w:t>
      </w:r>
      <w:r w:rsidRPr="00A742D7">
        <w:t>treatment of inflammatory lesions and prevention of worsening of abscesses</w:t>
      </w:r>
      <w:r>
        <w:t xml:space="preserve"> and draining fistulas</w:t>
      </w:r>
      <w:r w:rsidR="00E92D16">
        <w:t>’</w:t>
      </w:r>
      <w:r>
        <w:t xml:space="preserve">. </w:t>
      </w:r>
      <w:r w:rsidRPr="00A742D7">
        <w:t xml:space="preserve">This wording reflects the definition of the newly validated </w:t>
      </w:r>
      <w:proofErr w:type="spellStart"/>
      <w:r w:rsidRPr="00A742D7">
        <w:t>HiSCR</w:t>
      </w:r>
      <w:proofErr w:type="spellEnd"/>
      <w:r w:rsidRPr="00A742D7">
        <w:t xml:space="preserve"> endpoint and its use in the indication is acceptable, though perhaps not strictly necessary.</w:t>
      </w:r>
    </w:p>
    <w:p w:rsidR="00A742D7" w:rsidRPr="00A742D7" w:rsidRDefault="00A742D7" w:rsidP="00A742D7">
      <w:r w:rsidRPr="00A742D7">
        <w:t xml:space="preserve">The EU indication requires inadequate response to </w:t>
      </w:r>
      <w:r w:rsidR="00647189">
        <w:t>conventional systemic therapy. The TGA clinical e</w:t>
      </w:r>
      <w:r w:rsidRPr="00A742D7">
        <w:t xml:space="preserve">valuator did not consider this necessary in the wording of the indication. The Clinical Trials section notes that patients studied in pivotal trials were </w:t>
      </w:r>
      <w:proofErr w:type="gramStart"/>
      <w:r w:rsidRPr="00A742D7">
        <w:t>intolerant,</w:t>
      </w:r>
      <w:proofErr w:type="gramEnd"/>
      <w:r w:rsidRPr="00A742D7">
        <w:t xml:space="preserve"> had a contraindication or an inadequate response t</w:t>
      </w:r>
      <w:r w:rsidR="00647189">
        <w:t xml:space="preserve">o systemic antibiotic therapy. </w:t>
      </w:r>
      <w:r w:rsidRPr="00A742D7">
        <w:t>There is a suggestion to provide more detail about this (</w:t>
      </w:r>
      <w:r w:rsidR="00647189">
        <w:t xml:space="preserve">that is </w:t>
      </w:r>
      <w:r w:rsidRPr="00A742D7">
        <w:t>to note that trial of antibiotics was for 3 months</w:t>
      </w:r>
      <w:r w:rsidR="00647189">
        <w:t>).</w:t>
      </w:r>
      <w:r w:rsidRPr="00A742D7">
        <w:t xml:space="preserve"> With this information provided in the PI, the wording of the indication is acceptable.</w:t>
      </w:r>
      <w:r w:rsidR="00647189">
        <w:t xml:space="preserve"> </w:t>
      </w:r>
      <w:r w:rsidRPr="00A742D7">
        <w:t>The ACPM’s advice has been asked about this issue.</w:t>
      </w:r>
    </w:p>
    <w:p w:rsidR="00EC0CFE" w:rsidRPr="00EC0CFE" w:rsidRDefault="00EC0CFE" w:rsidP="00EC0CFE">
      <w:pPr>
        <w:pStyle w:val="Heading5"/>
      </w:pPr>
      <w:r>
        <w:t>Conclusion</w:t>
      </w:r>
    </w:p>
    <w:p w:rsidR="006730CA" w:rsidRPr="006730CA" w:rsidRDefault="006730CA" w:rsidP="006730CA">
      <w:r w:rsidRPr="006730CA">
        <w:t>The Delegate stated there is evidence of benefit, using the newly validated efficacy endpoint</w:t>
      </w:r>
      <w:r w:rsidR="00DC4864">
        <w:t xml:space="preserve">, </w:t>
      </w:r>
      <w:r w:rsidRPr="006730CA">
        <w:t>HiSCR</w:t>
      </w:r>
      <w:r w:rsidR="00DC4864">
        <w:fldChar w:fldCharType="begin"/>
      </w:r>
      <w:r w:rsidR="00DC4864">
        <w:instrText xml:space="preserve"> NOTEREF _Ref450912456 \f \h </w:instrText>
      </w:r>
      <w:r w:rsidR="00DC4864">
        <w:fldChar w:fldCharType="separate"/>
      </w:r>
      <w:r w:rsidR="00DC4864" w:rsidRPr="00DC4864">
        <w:rPr>
          <w:rStyle w:val="FootnoteReference"/>
        </w:rPr>
        <w:t>2</w:t>
      </w:r>
      <w:r w:rsidR="00DC4864">
        <w:fldChar w:fldCharType="end"/>
      </w:r>
      <w:r w:rsidRPr="006730CA">
        <w:t>, after a 12 week course of therapy. In non</w:t>
      </w:r>
      <w:r w:rsidR="00712729">
        <w:t>-</w:t>
      </w:r>
      <w:r w:rsidR="00B63879">
        <w:t>responders at W</w:t>
      </w:r>
      <w:r w:rsidRPr="006730CA">
        <w:t xml:space="preserve">eek 12, there is no adequate evidence that ongoing use is beneficial. In responders, there is evidence that benefit may be maintained with ongoing weekly treatment, in a reasonable proportion of patients. Evidence of ongoing efficacy is </w:t>
      </w:r>
      <w:r w:rsidR="00B63879">
        <w:t>strongest to W</w:t>
      </w:r>
      <w:r w:rsidRPr="006730CA">
        <w:t xml:space="preserve">eek 36; an extension study is gathering evidence beyond this </w:t>
      </w:r>
      <w:proofErr w:type="spellStart"/>
      <w:r w:rsidRPr="006730CA">
        <w:t>timepoint</w:t>
      </w:r>
      <w:proofErr w:type="spellEnd"/>
      <w:r w:rsidRPr="006730CA">
        <w:t>.</w:t>
      </w:r>
    </w:p>
    <w:p w:rsidR="006730CA" w:rsidRPr="006730CA" w:rsidRDefault="006730CA" w:rsidP="006730CA">
      <w:r w:rsidRPr="006730CA">
        <w:t>A key issue is what level of detail should be provided in the PI for a</w:t>
      </w:r>
      <w:r w:rsidR="00024D15">
        <w:t>dvice about ‘maintenance’. The s</w:t>
      </w:r>
      <w:r w:rsidRPr="006730CA">
        <w:t>po</w:t>
      </w:r>
      <w:r w:rsidR="00DC4864">
        <w:t xml:space="preserve">nsor proposes a statement that </w:t>
      </w:r>
      <w:r w:rsidR="00E92D16">
        <w:t>‘</w:t>
      </w:r>
      <w:r w:rsidRPr="00DC4864">
        <w:rPr>
          <w:i/>
        </w:rPr>
        <w:t>In patients without any benefit after 12 weeks of treatment, continued therapy shou</w:t>
      </w:r>
      <w:r w:rsidR="00DC4864" w:rsidRPr="00DC4864">
        <w:rPr>
          <w:i/>
        </w:rPr>
        <w:t>ld be reconsidered</w:t>
      </w:r>
      <w:r w:rsidR="00E92D16">
        <w:t>’</w:t>
      </w:r>
      <w:r w:rsidRPr="006730CA">
        <w:t>. The TGA Evaluator recommends more specific advice.</w:t>
      </w:r>
    </w:p>
    <w:p w:rsidR="006730CA" w:rsidRDefault="006730CA" w:rsidP="006730CA">
      <w:r w:rsidRPr="006730CA">
        <w:t xml:space="preserve">Another issue is that in the EU, this use of adalimumab has been restricted to second line after trial of antibiotics (where possible). In this submission, this is not built into the proposed indication. However, it is noted in the PI’s Clinical Trials section that patients </w:t>
      </w:r>
      <w:r w:rsidRPr="006730CA">
        <w:lastRenderedPageBreak/>
        <w:t>enrolled in the pivotal studies had in fact failed</w:t>
      </w:r>
      <w:r w:rsidR="0051609F">
        <w:t xml:space="preserve"> or could not use antibiotics. </w:t>
      </w:r>
      <w:r w:rsidR="00A756B2">
        <w:t>It should be noted that</w:t>
      </w:r>
      <w:r w:rsidR="0051609F">
        <w:t xml:space="preserve"> </w:t>
      </w:r>
      <w:r w:rsidRPr="006730CA">
        <w:t>antibiotics are not formally indicated for this use by the TGA.</w:t>
      </w:r>
    </w:p>
    <w:p w:rsidR="00022651" w:rsidRDefault="00022651" w:rsidP="00022651">
      <w:pPr>
        <w:pStyle w:val="Heading4"/>
      </w:pPr>
      <w:r>
        <w:t>Proposed action</w:t>
      </w:r>
    </w:p>
    <w:p w:rsidR="004A301B" w:rsidRDefault="004A301B" w:rsidP="004A301B">
      <w:r w:rsidRPr="006730CA">
        <w:t xml:space="preserve">The application to extend </w:t>
      </w:r>
      <w:r w:rsidR="00C75618" w:rsidRPr="006730CA">
        <w:t>adalimumab</w:t>
      </w:r>
      <w:r w:rsidR="00C75618">
        <w:t>’s</w:t>
      </w:r>
      <w:r w:rsidRPr="006730CA">
        <w:t xml:space="preserve"> indications to include a subset of patients</w:t>
      </w:r>
      <w:r w:rsidR="002A598C">
        <w:t xml:space="preserve"> with HS</w:t>
      </w:r>
      <w:r w:rsidRPr="006730CA">
        <w:t xml:space="preserve"> is acceptable. Several details (the exact wording of the indication; advice about maintenance use) require the advice of the </w:t>
      </w:r>
      <w:r>
        <w:t>Advisory Committee on Prescription Medicines (</w:t>
      </w:r>
      <w:r w:rsidRPr="006730CA">
        <w:t>ACPM</w:t>
      </w:r>
      <w:r>
        <w:t>)</w:t>
      </w:r>
      <w:r w:rsidRPr="006730CA">
        <w:t>.</w:t>
      </w:r>
    </w:p>
    <w:p w:rsidR="00A66949" w:rsidRDefault="00A66949" w:rsidP="00A66949">
      <w:pPr>
        <w:pStyle w:val="Heading5"/>
      </w:pPr>
      <w:r>
        <w:t>Proposed conditions of registration</w:t>
      </w:r>
    </w:p>
    <w:p w:rsidR="00A66949" w:rsidRPr="00A66949" w:rsidRDefault="00A66949" w:rsidP="00A66949">
      <w:pPr>
        <w:pStyle w:val="ListBullet"/>
      </w:pPr>
      <w:r w:rsidRPr="00A66949">
        <w:t>Implementa</w:t>
      </w:r>
      <w:r w:rsidR="002A598C">
        <w:t>tion of the RMP</w:t>
      </w:r>
      <w:r w:rsidRPr="00A66949">
        <w:t xml:space="preserve"> version most recently approved by the TGA’s Pharmacovigilance &amp; Special Access Branch.</w:t>
      </w:r>
    </w:p>
    <w:p w:rsidR="00A66949" w:rsidRPr="00A66949" w:rsidRDefault="00A66949" w:rsidP="00A66949">
      <w:pPr>
        <w:pStyle w:val="ListBullet"/>
      </w:pPr>
      <w:r w:rsidRPr="00A66949">
        <w:t>Finalisation of the Product Information to the satisfaction of the TGA.</w:t>
      </w:r>
    </w:p>
    <w:p w:rsidR="00A66949" w:rsidRPr="00A66949" w:rsidRDefault="00A66949" w:rsidP="00A66949">
      <w:r w:rsidRPr="00A66949">
        <w:t>Proposed PI and Consumer Medicine Information (CMI) amendments to the:</w:t>
      </w:r>
    </w:p>
    <w:p w:rsidR="00A66949" w:rsidRPr="00A66949" w:rsidRDefault="00A66949" w:rsidP="00A66949">
      <w:pPr>
        <w:pStyle w:val="ListBullet"/>
      </w:pPr>
      <w:r w:rsidRPr="00A66949">
        <w:t>Clinical t</w:t>
      </w:r>
      <w:r w:rsidR="00C75618">
        <w:t>rials</w:t>
      </w:r>
    </w:p>
    <w:p w:rsidR="00A66949" w:rsidRPr="00A66949" w:rsidRDefault="00A66949" w:rsidP="00A66949">
      <w:pPr>
        <w:pStyle w:val="ListBullet"/>
      </w:pPr>
      <w:r w:rsidRPr="00A66949">
        <w:t>Adverse effects and</w:t>
      </w:r>
    </w:p>
    <w:p w:rsidR="00A66949" w:rsidRPr="00A66949" w:rsidRDefault="00A66949" w:rsidP="00A66949">
      <w:pPr>
        <w:pStyle w:val="ListBullet"/>
      </w:pPr>
      <w:r w:rsidRPr="00A66949">
        <w:t>Dosage and administration sections.</w:t>
      </w:r>
    </w:p>
    <w:p w:rsidR="00D23139" w:rsidRDefault="00D23139" w:rsidP="00EC0CFE">
      <w:pPr>
        <w:pStyle w:val="Heading5"/>
      </w:pPr>
      <w:r w:rsidRPr="00D23139">
        <w:t>Request for ACPM advice</w:t>
      </w:r>
    </w:p>
    <w:p w:rsidR="00E94E1F" w:rsidRPr="003A2F50" w:rsidRDefault="00EC0CFE" w:rsidP="00E94E1F">
      <w:r>
        <w:t>T</w:t>
      </w:r>
      <w:r w:rsidR="00E94E1F" w:rsidRPr="003A2F50">
        <w:t>he Delegate requested advice on the following specific issues:</w:t>
      </w:r>
    </w:p>
    <w:p w:rsidR="00E94E1F" w:rsidRPr="00EC0CFE" w:rsidRDefault="00E94E1F" w:rsidP="00FA691A">
      <w:pPr>
        <w:pStyle w:val="Numberbullet0"/>
        <w:numPr>
          <w:ilvl w:val="0"/>
          <w:numId w:val="8"/>
        </w:numPr>
      </w:pPr>
      <w:r w:rsidRPr="00EC0CFE">
        <w:t>Should the PI include specific advice about how and when to measure ongoing treatment benefit, and should ongoing use be contingent on evidence of benefit measured in this way?</w:t>
      </w:r>
    </w:p>
    <w:p w:rsidR="00E94E1F" w:rsidRPr="00EC0CFE" w:rsidRDefault="00E94E1F" w:rsidP="00FA691A">
      <w:pPr>
        <w:pStyle w:val="Numberbullet0"/>
        <w:numPr>
          <w:ilvl w:val="0"/>
          <w:numId w:val="8"/>
        </w:numPr>
      </w:pPr>
      <w:r w:rsidRPr="00EC0CFE">
        <w:t xml:space="preserve">Is the sponsor’s proposed indication wording acceptable, or should the indication specifically reference failure of a trial of systemic antibiotics (or inability to </w:t>
      </w:r>
      <w:r w:rsidR="002A598C">
        <w:t xml:space="preserve">use antibiotics), as per the EU </w:t>
      </w:r>
      <w:proofErr w:type="spellStart"/>
      <w:r w:rsidRPr="00EC0CFE">
        <w:t>SmPC</w:t>
      </w:r>
      <w:proofErr w:type="spellEnd"/>
      <w:r w:rsidRPr="00EC0CFE">
        <w:t xml:space="preserve"> (but not the US PI)?</w:t>
      </w:r>
    </w:p>
    <w:p w:rsidR="00EC0CFE" w:rsidRPr="00EC0CFE" w:rsidRDefault="00EC0CFE" w:rsidP="00EC0CFE">
      <w:r w:rsidRPr="00EC0CFE">
        <w:t xml:space="preserve">The Delegate </w:t>
      </w:r>
      <w:r>
        <w:t xml:space="preserve">also </w:t>
      </w:r>
      <w:r w:rsidRPr="00EC0CFE">
        <w:t>requested advice on any issues that the ACPM thinks may be relevant to a decision on whether or not to approve this application, including the proposed changes to the PI and CMI; the requirements for an a</w:t>
      </w:r>
      <w:r w:rsidR="00DC4864">
        <w:t>cceptable RMP</w:t>
      </w:r>
      <w:r w:rsidRPr="00EC0CFE">
        <w:t xml:space="preserve">, </w:t>
      </w:r>
      <w:r w:rsidRPr="00A66949">
        <w:t>the clinical significance and likely place of the product in clinical prac</w:t>
      </w:r>
      <w:r w:rsidR="00DC4864">
        <w:t>tice and the comments from the s</w:t>
      </w:r>
      <w:r w:rsidRPr="00A66949">
        <w:t>ponsor in the pre</w:t>
      </w:r>
      <w:r w:rsidR="000C2FFA">
        <w:t>–</w:t>
      </w:r>
      <w:r w:rsidRPr="00A66949">
        <w:t>ACPM response.</w:t>
      </w:r>
    </w:p>
    <w:p w:rsidR="00D23139" w:rsidRDefault="00210194" w:rsidP="00D23139">
      <w:pPr>
        <w:pStyle w:val="Heading4"/>
      </w:pPr>
      <w:r>
        <w:t xml:space="preserve">Response from </w:t>
      </w:r>
      <w:r w:rsidR="0030665F">
        <w:t>s</w:t>
      </w:r>
      <w:r>
        <w:t>ponsor</w:t>
      </w:r>
    </w:p>
    <w:p w:rsidR="00EC0CFE" w:rsidRDefault="00EC0CFE" w:rsidP="00EC0CFE">
      <w:r w:rsidRPr="00EC0CFE">
        <w:t>AbbVie Pty Ltd would like to take this opportunity to respond to the TGA review of the</w:t>
      </w:r>
      <w:r>
        <w:t xml:space="preserve"> </w:t>
      </w:r>
      <w:r w:rsidR="00DC4864">
        <w:t xml:space="preserve">application to register </w:t>
      </w:r>
      <w:proofErr w:type="spellStart"/>
      <w:r w:rsidR="00DC4864">
        <w:t>Humira</w:t>
      </w:r>
      <w:proofErr w:type="spellEnd"/>
      <w:r w:rsidRPr="00EC0CFE">
        <w:t xml:space="preserve"> (adalimumab) solution for </w:t>
      </w:r>
      <w:r>
        <w:t xml:space="preserve">injection for the indication of </w:t>
      </w:r>
      <w:r w:rsidR="00DC4864">
        <w:t>HS</w:t>
      </w:r>
      <w:r w:rsidRPr="00EC0CFE">
        <w:t>.</w:t>
      </w:r>
    </w:p>
    <w:p w:rsidR="009E20A0" w:rsidRPr="00EC0CFE" w:rsidRDefault="009E20A0" w:rsidP="009E20A0">
      <w:pPr>
        <w:pStyle w:val="Heading5"/>
      </w:pPr>
      <w:r>
        <w:t>Question 1</w:t>
      </w:r>
    </w:p>
    <w:p w:rsidR="00210194" w:rsidRPr="00C75618" w:rsidRDefault="00210194" w:rsidP="009E20A0">
      <w:pPr>
        <w:pStyle w:val="Numberbullet0"/>
        <w:numPr>
          <w:ilvl w:val="0"/>
          <w:numId w:val="0"/>
        </w:numPr>
        <w:rPr>
          <w:i/>
        </w:rPr>
      </w:pPr>
      <w:r w:rsidRPr="00C75618">
        <w:rPr>
          <w:i/>
        </w:rPr>
        <w:t>Should the PI include specific advice about how and when to measure ongoing treatment benefit, and should ongoing use be contingent on evidence of benefit measured in this way?</w:t>
      </w:r>
    </w:p>
    <w:p w:rsidR="00E76A7F" w:rsidRDefault="00E76A7F" w:rsidP="009E20A0">
      <w:pPr>
        <w:pStyle w:val="Heading6"/>
      </w:pPr>
      <w:r>
        <w:t>Sponsor’s</w:t>
      </w:r>
      <w:r w:rsidR="00210194" w:rsidRPr="009A7E58">
        <w:t xml:space="preserve"> </w:t>
      </w:r>
      <w:r w:rsidR="009A7E58" w:rsidRPr="009A7E58">
        <w:t>response:</w:t>
      </w:r>
    </w:p>
    <w:p w:rsidR="00210194" w:rsidRDefault="00210194" w:rsidP="00210194">
      <w:r w:rsidRPr="00210194">
        <w:t>AbbVie supports providing advice to clinicians regarding which patients are most likely</w:t>
      </w:r>
      <w:r>
        <w:t xml:space="preserve"> </w:t>
      </w:r>
      <w:r w:rsidRPr="00210194">
        <w:t>to benefit from continued treatment with adalimumab. The complex and variable clinical</w:t>
      </w:r>
      <w:r>
        <w:t xml:space="preserve"> </w:t>
      </w:r>
      <w:r w:rsidRPr="00210194">
        <w:t>manifestations of HS, however, make it impractical to define rigid criteria to identify</w:t>
      </w:r>
      <w:r>
        <w:t xml:space="preserve"> </w:t>
      </w:r>
      <w:r w:rsidRPr="00210194">
        <w:t>which patients would benefit from continued treatm</w:t>
      </w:r>
      <w:r w:rsidR="00DC4864">
        <w:t xml:space="preserve">ent with adalimumab. The </w:t>
      </w:r>
      <w:r w:rsidRPr="00210194">
        <w:t>PI should provide guidance, but continua</w:t>
      </w:r>
      <w:r>
        <w:t xml:space="preserve">tion of treatment is a clinical </w:t>
      </w:r>
      <w:r w:rsidRPr="00210194">
        <w:t>decision made by the prescribing physician and is based on an assessment of benefit</w:t>
      </w:r>
      <w:r w:rsidR="000C2FFA">
        <w:t>–</w:t>
      </w:r>
      <w:r w:rsidRPr="00210194">
        <w:t>risk</w:t>
      </w:r>
      <w:r>
        <w:t xml:space="preserve"> </w:t>
      </w:r>
      <w:r w:rsidRPr="00210194">
        <w:t>for an individual patient.</w:t>
      </w:r>
    </w:p>
    <w:p w:rsidR="00210194" w:rsidRDefault="00A347A2" w:rsidP="00E241F7">
      <w:pPr>
        <w:spacing w:before="0" w:after="0" w:line="240" w:lineRule="auto"/>
      </w:pPr>
      <w:r w:rsidRPr="00E241F7">
        <w:lastRenderedPageBreak/>
        <w:t xml:space="preserve">There is evidence that not only patients with HS </w:t>
      </w:r>
      <w:r w:rsidRPr="00813C25">
        <w:t xml:space="preserve">who </w:t>
      </w:r>
      <w:r w:rsidR="007F4826" w:rsidRPr="00813C25">
        <w:t xml:space="preserve">achieve </w:t>
      </w:r>
      <w:proofErr w:type="spellStart"/>
      <w:r w:rsidRPr="00813C25">
        <w:t>HiSCR</w:t>
      </w:r>
      <w:proofErr w:type="spellEnd"/>
      <w:r w:rsidRPr="00813C25">
        <w:t xml:space="preserve"> </w:t>
      </w:r>
      <w:r w:rsidRPr="00E241F7">
        <w:t>after 12 weeks of treatment,</w:t>
      </w:r>
      <w:r w:rsidR="00E241F7">
        <w:t xml:space="preserve"> but also those who are partial responders (that is</w:t>
      </w:r>
      <w:r w:rsidRPr="00E241F7">
        <w:t>, those who had at least a 25% reduct</w:t>
      </w:r>
      <w:r w:rsidR="00E241F7">
        <w:t xml:space="preserve">ion in abscess and inflammatory </w:t>
      </w:r>
      <w:r w:rsidRPr="00E241F7">
        <w:t>nodule [AN] count) after 12 weeks of treatment, may b</w:t>
      </w:r>
      <w:r w:rsidR="00E241F7">
        <w:t>enefit f</w:t>
      </w:r>
      <w:r w:rsidR="00A46BA2">
        <w:t>rom continued treatment (Table 11</w:t>
      </w:r>
      <w:r w:rsidRPr="00E241F7">
        <w:t>). AbbVie recommends advising clinicians th</w:t>
      </w:r>
      <w:r w:rsidR="00E241F7">
        <w:t xml:space="preserve">at continuation of treatment is </w:t>
      </w:r>
      <w:r w:rsidRPr="00E241F7">
        <w:t>appropriate in patients who have at least a partial response</w:t>
      </w:r>
      <w:r w:rsidR="00E241F7">
        <w:t xml:space="preserve"> to initial treatment. Patients </w:t>
      </w:r>
      <w:r w:rsidRPr="00E241F7">
        <w:t>who do not have at least a partial response by Week 1</w:t>
      </w:r>
      <w:r w:rsidR="00E241F7">
        <w:t xml:space="preserve">2 are unlikely to achieve </w:t>
      </w:r>
      <w:proofErr w:type="spellStart"/>
      <w:r w:rsidR="00E241F7">
        <w:t>HiSCR</w:t>
      </w:r>
      <w:proofErr w:type="spellEnd"/>
      <w:r w:rsidR="00E241F7">
        <w:t xml:space="preserve"> </w:t>
      </w:r>
      <w:r w:rsidRPr="00E241F7">
        <w:t>response with continued adalimumab treatment.</w:t>
      </w:r>
    </w:p>
    <w:p w:rsidR="00E241F7" w:rsidRDefault="00A46BA2" w:rsidP="00E241F7">
      <w:pPr>
        <w:pStyle w:val="Tabletitle0"/>
      </w:pPr>
      <w:r>
        <w:t>Table 11</w:t>
      </w:r>
      <w:r w:rsidR="00CA0DB1">
        <w:t>: Proportion of subjects who a</w:t>
      </w:r>
      <w:r w:rsidR="00E241F7">
        <w:t>chieved HiSCR</w:t>
      </w:r>
      <w:r w:rsidR="00B66039">
        <w:fldChar w:fldCharType="begin"/>
      </w:r>
      <w:r w:rsidR="00B66039">
        <w:instrText xml:space="preserve"> NOTEREF _Ref450912456 \f \h </w:instrText>
      </w:r>
      <w:r w:rsidR="00B66039">
        <w:fldChar w:fldCharType="separate"/>
      </w:r>
      <w:r w:rsidR="00B66039" w:rsidRPr="00B66039">
        <w:rPr>
          <w:rStyle w:val="FootnoteReference"/>
        </w:rPr>
        <w:t>2</w:t>
      </w:r>
      <w:r w:rsidR="00B66039">
        <w:fldChar w:fldCharType="end"/>
      </w:r>
      <w:r w:rsidR="00E241F7">
        <w:t xml:space="preserve"> </w:t>
      </w:r>
      <w:r w:rsidR="00CA0DB1">
        <w:t>at week 36 by AN25 status at entry to period B (NRI</w:t>
      </w:r>
      <w:proofErr w:type="gramStart"/>
      <w:r w:rsidR="00CA0DB1">
        <w:t>)(</w:t>
      </w:r>
      <w:proofErr w:type="gramEnd"/>
      <w:r w:rsidR="00CA0DB1">
        <w:t>ITT_B_NR population, integrated a</w:t>
      </w:r>
      <w:r w:rsidR="00E241F7">
        <w:t>nalysis)</w:t>
      </w:r>
    </w:p>
    <w:p w:rsidR="00E241F7" w:rsidRDefault="00E241F7" w:rsidP="00E241F7">
      <w:r>
        <w:rPr>
          <w:noProof/>
          <w:lang w:eastAsia="en-AU"/>
        </w:rPr>
        <w:drawing>
          <wp:inline distT="0" distB="0" distL="0" distR="0" wp14:anchorId="0B1E5B08" wp14:editId="2696EABE">
            <wp:extent cx="5400040" cy="2228670"/>
            <wp:effectExtent l="0" t="0" r="0" b="635"/>
            <wp:docPr id="2" name="Picture 2" descr="Table 11: Proportion of subjects who achieved HiSCR2 at week 36 by AN25 status at entry to period B (NRI)(ITT_B_NR population, integr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228670"/>
                    </a:xfrm>
                    <a:prstGeom prst="rect">
                      <a:avLst/>
                    </a:prstGeom>
                  </pic:spPr>
                </pic:pic>
              </a:graphicData>
            </a:graphic>
          </wp:inline>
        </w:drawing>
      </w:r>
    </w:p>
    <w:p w:rsidR="00E241F7" w:rsidRPr="00B40DF4" w:rsidRDefault="00E241F7" w:rsidP="00B40DF4">
      <w:r w:rsidRPr="00B40DF4">
        <w:t xml:space="preserve">AbbVie recommends advising clinicians to periodically assess patients. This assessment should include evidence of benefit (improvement in HS signs and symptoms from baseline value), as well as consideration of potential adverse effects associated with adalimumab treatment, as was done in the clinical studies. This is the basis for AbbVie's recommendation that the statement, </w:t>
      </w:r>
      <w:r w:rsidR="00E92D16">
        <w:t>‘</w:t>
      </w:r>
      <w:r w:rsidRPr="00DC4864">
        <w:rPr>
          <w:i/>
        </w:rPr>
        <w:t>The benefit and risk of patients on continued long</w:t>
      </w:r>
      <w:r w:rsidR="00AD1267">
        <w:rPr>
          <w:i/>
        </w:rPr>
        <w:t xml:space="preserve"> </w:t>
      </w:r>
      <w:r w:rsidRPr="00DC4864">
        <w:rPr>
          <w:i/>
        </w:rPr>
        <w:t>term treatment s</w:t>
      </w:r>
      <w:r w:rsidR="00C75618">
        <w:rPr>
          <w:i/>
        </w:rPr>
        <w:t>hould be periodically evaluated</w:t>
      </w:r>
      <w:r w:rsidR="00E92D16">
        <w:t>’</w:t>
      </w:r>
      <w:r w:rsidRPr="00B40DF4">
        <w:t>, be added to the section on Dosage a</w:t>
      </w:r>
      <w:r w:rsidR="00DC4864">
        <w:t xml:space="preserve">nd Administration of the </w:t>
      </w:r>
      <w:proofErr w:type="spellStart"/>
      <w:r w:rsidR="00DC4864">
        <w:t>Humira</w:t>
      </w:r>
      <w:proofErr w:type="spellEnd"/>
      <w:r w:rsidR="00DC4864">
        <w:t xml:space="preserve"> (adalimumab)</w:t>
      </w:r>
      <w:r w:rsidRPr="00B40DF4">
        <w:t xml:space="preserve"> </w:t>
      </w:r>
      <w:r w:rsidR="00B40DF4" w:rsidRPr="00B40DF4">
        <w:t>PI.</w:t>
      </w:r>
    </w:p>
    <w:p w:rsidR="00E241F7" w:rsidRPr="00B40DF4" w:rsidRDefault="00B40DF4" w:rsidP="00B40DF4">
      <w:pPr>
        <w:spacing w:before="0" w:after="0" w:line="240" w:lineRule="auto"/>
      </w:pPr>
      <w:r w:rsidRPr="00B40DF4">
        <w:t>Period B</w:t>
      </w:r>
      <w:r w:rsidR="004D7939">
        <w:fldChar w:fldCharType="begin"/>
      </w:r>
      <w:r w:rsidR="004D7939">
        <w:instrText xml:space="preserve"> NOTEREF _Ref450923197 \f \h </w:instrText>
      </w:r>
      <w:r w:rsidR="004D7939">
        <w:fldChar w:fldCharType="separate"/>
      </w:r>
      <w:r w:rsidR="004D7939" w:rsidRPr="004D7939">
        <w:rPr>
          <w:rStyle w:val="FootnoteReference"/>
        </w:rPr>
        <w:t>3</w:t>
      </w:r>
      <w:r w:rsidR="004D7939">
        <w:fldChar w:fldCharType="end"/>
      </w:r>
      <w:r w:rsidRPr="00B40DF4">
        <w:t xml:space="preserve"> of Studies M11</w:t>
      </w:r>
      <w:r w:rsidR="000C2FFA">
        <w:t>–</w:t>
      </w:r>
      <w:r w:rsidRPr="00B40DF4">
        <w:t>810 and M11</w:t>
      </w:r>
      <w:r w:rsidR="000C2FFA">
        <w:t>–</w:t>
      </w:r>
      <w:r w:rsidRPr="00B40DF4">
        <w:t>313 was designed to assess the efficacy and safety</w:t>
      </w:r>
      <w:r>
        <w:t xml:space="preserve"> </w:t>
      </w:r>
      <w:r w:rsidRPr="00B40DF4">
        <w:t>of subjects treated with adalimumab after re</w:t>
      </w:r>
      <w:r w:rsidR="000C2FFA">
        <w:t>–</w:t>
      </w:r>
      <w:r w:rsidRPr="00B40DF4">
        <w:t>randomiza</w:t>
      </w:r>
      <w:r>
        <w:t xml:space="preserve">tion to 40 mg </w:t>
      </w:r>
      <w:proofErr w:type="spellStart"/>
      <w:r w:rsidR="00367086">
        <w:t>qw</w:t>
      </w:r>
      <w:proofErr w:type="spellEnd"/>
      <w:r>
        <w:t xml:space="preserve">, 40 mg </w:t>
      </w:r>
      <w:r w:rsidR="00367086">
        <w:t>q2w</w:t>
      </w:r>
      <w:r>
        <w:t xml:space="preserve">, or </w:t>
      </w:r>
      <w:r w:rsidRPr="00B40DF4">
        <w:t>placebo. To minimize the time that subjects received</w:t>
      </w:r>
      <w:r>
        <w:t xml:space="preserve"> a potentially ineffective dose </w:t>
      </w:r>
      <w:r w:rsidRPr="00B40DF4">
        <w:t>regimen, a pre</w:t>
      </w:r>
      <w:r w:rsidR="000C2FFA">
        <w:t>–</w:t>
      </w:r>
      <w:r w:rsidRPr="00B40DF4">
        <w:t>specified criterion was included in the protocol in which subjects were</w:t>
      </w:r>
      <w:r>
        <w:t xml:space="preserve"> </w:t>
      </w:r>
      <w:r w:rsidRPr="00B40DF4">
        <w:t>allowed to escape from Period B to the open</w:t>
      </w:r>
      <w:r w:rsidR="00AD1267">
        <w:t xml:space="preserve"> </w:t>
      </w:r>
      <w:r w:rsidRPr="00B40DF4">
        <w:t>label e</w:t>
      </w:r>
      <w:r>
        <w:t>xtension study (Study M12</w:t>
      </w:r>
      <w:r w:rsidR="000C2FFA">
        <w:t>–</w:t>
      </w:r>
      <w:r>
        <w:t xml:space="preserve">555), </w:t>
      </w:r>
      <w:r w:rsidRPr="00B40DF4">
        <w:t xml:space="preserve">where they could receive adalimumab 40 mg </w:t>
      </w:r>
      <w:proofErr w:type="spellStart"/>
      <w:r w:rsidR="00367086">
        <w:t>qw</w:t>
      </w:r>
      <w:proofErr w:type="spellEnd"/>
      <w:r w:rsidRPr="00B40DF4">
        <w:t xml:space="preserve">. Subjects </w:t>
      </w:r>
      <w:r w:rsidRPr="00121993">
        <w:t xml:space="preserve">who </w:t>
      </w:r>
      <w:r w:rsidR="007F4826" w:rsidRPr="00121993">
        <w:t>achieved</w:t>
      </w:r>
      <w:r w:rsidRPr="00121993">
        <w:t xml:space="preserve"> </w:t>
      </w:r>
      <w:proofErr w:type="spellStart"/>
      <w:r w:rsidRPr="00121993">
        <w:t>HiSCR</w:t>
      </w:r>
      <w:proofErr w:type="spellEnd"/>
      <w:r w:rsidRPr="00121993">
        <w:t xml:space="preserve"> </w:t>
      </w:r>
      <w:r w:rsidRPr="00B40DF4">
        <w:t>at Week 12 were forced to escape from Period B into Stud</w:t>
      </w:r>
      <w:r>
        <w:t>y M12</w:t>
      </w:r>
      <w:r w:rsidR="000C2FFA">
        <w:t>–</w:t>
      </w:r>
      <w:r>
        <w:t xml:space="preserve">555 if they lost at least </w:t>
      </w:r>
      <w:r w:rsidRPr="00B40DF4">
        <w:t xml:space="preserve">50% of the response they had gained in Period A. Subjects </w:t>
      </w:r>
      <w:r w:rsidRPr="00121993">
        <w:t xml:space="preserve">who </w:t>
      </w:r>
      <w:r w:rsidR="007F4826" w:rsidRPr="00121993">
        <w:t xml:space="preserve">did not achieve </w:t>
      </w:r>
      <w:proofErr w:type="spellStart"/>
      <w:r w:rsidRPr="00121993">
        <w:t>HiSCR</w:t>
      </w:r>
      <w:proofErr w:type="spellEnd"/>
      <w:r w:rsidRPr="00B40DF4">
        <w:t xml:space="preserve"> at Week 12 were forced to escape if they experienced either worsening of</w:t>
      </w:r>
      <w:r>
        <w:t xml:space="preserve"> </w:t>
      </w:r>
      <w:r w:rsidRPr="00B40DF4">
        <w:t xml:space="preserve">their AN count or an </w:t>
      </w:r>
      <w:proofErr w:type="spellStart"/>
      <w:r w:rsidRPr="00B40DF4">
        <w:t>AN</w:t>
      </w:r>
      <w:proofErr w:type="spellEnd"/>
      <w:r w:rsidRPr="00B40DF4">
        <w:t xml:space="preserve"> count that was equivalent to their baseline AN count at</w:t>
      </w:r>
      <w:r>
        <w:t xml:space="preserve"> </w:t>
      </w:r>
      <w:r w:rsidRPr="00B40DF4">
        <w:t>2 consecutive visits. These criteria established a very low threshold for subjects in all</w:t>
      </w:r>
      <w:r>
        <w:t xml:space="preserve"> </w:t>
      </w:r>
      <w:r w:rsidRPr="00B40DF4">
        <w:t>treatment groups to escape from Period B. In addition, subjects who escaped were</w:t>
      </w:r>
      <w:r>
        <w:t xml:space="preserve"> </w:t>
      </w:r>
      <w:r w:rsidRPr="00B40DF4">
        <w:t xml:space="preserve">imputed as </w:t>
      </w:r>
      <w:r w:rsidR="00712729" w:rsidRPr="00B40DF4">
        <w:t>non</w:t>
      </w:r>
      <w:r w:rsidR="00712729">
        <w:t>-</w:t>
      </w:r>
      <w:r w:rsidR="00712729" w:rsidRPr="00B40DF4">
        <w:t>responders</w:t>
      </w:r>
      <w:r w:rsidRPr="00B40DF4">
        <w:t xml:space="preserve"> at all subsequent Period B visits. As a result of this escape</w:t>
      </w:r>
      <w:r>
        <w:t xml:space="preserve"> </w:t>
      </w:r>
      <w:r w:rsidRPr="00B40DF4">
        <w:t>option, the effect of continuous treatment after a temporary loss of response could not be</w:t>
      </w:r>
      <w:r>
        <w:t xml:space="preserve"> </w:t>
      </w:r>
      <w:r w:rsidRPr="00B40DF4">
        <w:t>assessed by focusing solely on Period B data, as that data does not necessarily reflect the</w:t>
      </w:r>
      <w:r>
        <w:t xml:space="preserve"> </w:t>
      </w:r>
      <w:r w:rsidRPr="00B40DF4">
        <w:t>benefit of continuous adalimumab treatment beyond Week 12. To assess the benefit of</w:t>
      </w:r>
      <w:r>
        <w:t xml:space="preserve"> </w:t>
      </w:r>
      <w:r w:rsidRPr="00B40DF4">
        <w:t>continuous treatment, it is necessary to include results from Study M12</w:t>
      </w:r>
      <w:r w:rsidR="000C2FFA">
        <w:t>–</w:t>
      </w:r>
      <w:r w:rsidRPr="00B40DF4">
        <w:t>555. All subjects</w:t>
      </w:r>
      <w:r>
        <w:t xml:space="preserve"> </w:t>
      </w:r>
      <w:r w:rsidRPr="00B40DF4">
        <w:t xml:space="preserve">received adalimumab 40 mg </w:t>
      </w:r>
      <w:proofErr w:type="spellStart"/>
      <w:r w:rsidR="00367086">
        <w:t>qw</w:t>
      </w:r>
      <w:proofErr w:type="spellEnd"/>
      <w:r w:rsidRPr="00B40DF4">
        <w:t xml:space="preserve"> when they entered Study M12</w:t>
      </w:r>
      <w:r w:rsidR="000C2FFA">
        <w:t>–</w:t>
      </w:r>
      <w:r w:rsidRPr="00B40DF4">
        <w:t>555. For ease of</w:t>
      </w:r>
      <w:r>
        <w:t xml:space="preserve"> </w:t>
      </w:r>
      <w:r w:rsidRPr="00B40DF4">
        <w:t>description, the populations are referenced by the treatment sequence in</w:t>
      </w:r>
      <w:r>
        <w:t xml:space="preserve"> </w:t>
      </w:r>
      <w:r w:rsidRPr="00B40DF4">
        <w:t>Period A/Period B/Study M12</w:t>
      </w:r>
      <w:r w:rsidR="000C2FFA">
        <w:t>–</w:t>
      </w:r>
      <w:r w:rsidRPr="00B40DF4">
        <w:t>555. Twelve weeks after entry into Study M12</w:t>
      </w:r>
      <w:r w:rsidR="000C2FFA">
        <w:t>–</w:t>
      </w:r>
      <w:r w:rsidRPr="00B40DF4">
        <w:t>555, the</w:t>
      </w:r>
      <w:r>
        <w:t xml:space="preserve"> </w:t>
      </w:r>
      <w:proofErr w:type="spellStart"/>
      <w:r w:rsidRPr="00B40DF4">
        <w:t>HiSCR</w:t>
      </w:r>
      <w:proofErr w:type="spellEnd"/>
      <w:r w:rsidRPr="00B40DF4">
        <w:t xml:space="preserve"> rate for subjects who received continuous adalimumab </w:t>
      </w:r>
      <w:proofErr w:type="spellStart"/>
      <w:r w:rsidR="00367086">
        <w:t>qw</w:t>
      </w:r>
      <w:proofErr w:type="spellEnd"/>
      <w:r w:rsidRPr="00B40DF4">
        <w:t xml:space="preserve"> (</w:t>
      </w:r>
      <w:proofErr w:type="spellStart"/>
      <w:r w:rsidR="004D7939">
        <w:t>qw</w:t>
      </w:r>
      <w:proofErr w:type="spellEnd"/>
      <w:r w:rsidRPr="00B40DF4">
        <w:t>/</w:t>
      </w:r>
      <w:proofErr w:type="spellStart"/>
      <w:r w:rsidR="004D7939">
        <w:t>qw</w:t>
      </w:r>
      <w:proofErr w:type="spellEnd"/>
      <w:r w:rsidRPr="00B40DF4">
        <w:t>/</w:t>
      </w:r>
      <w:proofErr w:type="spellStart"/>
      <w:r w:rsidR="004D7939">
        <w:t>qw</w:t>
      </w:r>
      <w:proofErr w:type="spellEnd"/>
      <w:r w:rsidRPr="00B40DF4">
        <w:t xml:space="preserve"> group) is</w:t>
      </w:r>
      <w:r>
        <w:t xml:space="preserve"> </w:t>
      </w:r>
      <w:r w:rsidRPr="00B40DF4">
        <w:t xml:space="preserve">maintained </w:t>
      </w:r>
      <w:r>
        <w:t xml:space="preserve">(Table </w:t>
      </w:r>
      <w:r w:rsidR="002C58AF">
        <w:t>10</w:t>
      </w:r>
      <w:r w:rsidRPr="00B40DF4">
        <w:t xml:space="preserve">). In addition, the </w:t>
      </w:r>
      <w:proofErr w:type="spellStart"/>
      <w:r w:rsidRPr="00B40DF4">
        <w:t>HiSCR</w:t>
      </w:r>
      <w:proofErr w:type="spellEnd"/>
      <w:r w:rsidRPr="00B40DF4">
        <w:t xml:space="preserve"> rates for subjects who dose re</w:t>
      </w:r>
      <w:r w:rsidR="000C2FFA">
        <w:t>–</w:t>
      </w:r>
      <w:r w:rsidRPr="00B40DF4">
        <w:t>escalated</w:t>
      </w:r>
      <w:r>
        <w:t xml:space="preserve"> </w:t>
      </w:r>
      <w:r w:rsidRPr="00B40DF4">
        <w:t>(</w:t>
      </w:r>
      <w:proofErr w:type="spellStart"/>
      <w:r w:rsidR="004D7939">
        <w:t>qw</w:t>
      </w:r>
      <w:proofErr w:type="spellEnd"/>
      <w:r w:rsidRPr="00B40DF4">
        <w:t>/</w:t>
      </w:r>
      <w:r w:rsidR="004D7939">
        <w:t>q2w</w:t>
      </w:r>
      <w:r w:rsidRPr="00B40DF4">
        <w:t>/</w:t>
      </w:r>
      <w:proofErr w:type="spellStart"/>
      <w:r w:rsidR="004D7939">
        <w:t>qw</w:t>
      </w:r>
      <w:proofErr w:type="spellEnd"/>
      <w:r w:rsidRPr="00B40DF4">
        <w:t xml:space="preserve"> group) and for subjects who re</w:t>
      </w:r>
      <w:r w:rsidR="000C2FFA">
        <w:t>–</w:t>
      </w:r>
      <w:r w:rsidRPr="00B40DF4">
        <w:t>started active treatment (</w:t>
      </w:r>
      <w:proofErr w:type="spellStart"/>
      <w:r w:rsidR="004D7939">
        <w:t>qw</w:t>
      </w:r>
      <w:proofErr w:type="spellEnd"/>
      <w:r w:rsidR="004D7939">
        <w:t>/</w:t>
      </w:r>
      <w:proofErr w:type="spellStart"/>
      <w:r w:rsidR="004D7939">
        <w:t>pbo</w:t>
      </w:r>
      <w:proofErr w:type="spellEnd"/>
      <w:r w:rsidRPr="00B40DF4">
        <w:t>/</w:t>
      </w:r>
      <w:proofErr w:type="spellStart"/>
      <w:r w:rsidR="004D7939">
        <w:t>qw</w:t>
      </w:r>
      <w:proofErr w:type="spellEnd"/>
      <w:r>
        <w:t xml:space="preserve"> </w:t>
      </w:r>
      <w:r w:rsidRPr="00B40DF4">
        <w:t xml:space="preserve">group) ultimately reached a level similar to that of subjects who received </w:t>
      </w:r>
      <w:r w:rsidRPr="00B40DF4">
        <w:lastRenderedPageBreak/>
        <w:t>continuous</w:t>
      </w:r>
      <w:r>
        <w:t xml:space="preserve"> </w:t>
      </w:r>
      <w:r w:rsidRPr="00B40DF4">
        <w:t xml:space="preserve">adalimumab </w:t>
      </w:r>
      <w:proofErr w:type="spellStart"/>
      <w:r w:rsidR="00367086">
        <w:t>qw</w:t>
      </w:r>
      <w:proofErr w:type="spellEnd"/>
      <w:r w:rsidRPr="00B40DF4">
        <w:t xml:space="preserve"> (</w:t>
      </w:r>
      <w:proofErr w:type="spellStart"/>
      <w:r w:rsidR="004D7939">
        <w:t>qw</w:t>
      </w:r>
      <w:proofErr w:type="spellEnd"/>
      <w:r w:rsidRPr="00B40DF4">
        <w:t>/</w:t>
      </w:r>
      <w:proofErr w:type="spellStart"/>
      <w:r w:rsidR="004D7939">
        <w:t>qw</w:t>
      </w:r>
      <w:proofErr w:type="spellEnd"/>
      <w:r w:rsidRPr="00B40DF4">
        <w:t>/</w:t>
      </w:r>
      <w:proofErr w:type="spellStart"/>
      <w:r w:rsidR="004D7939">
        <w:t>qw</w:t>
      </w:r>
      <w:proofErr w:type="spellEnd"/>
      <w:r w:rsidRPr="00B40DF4">
        <w:t xml:space="preserve"> group). These </w:t>
      </w:r>
      <w:proofErr w:type="spellStart"/>
      <w:r w:rsidRPr="00B40DF4">
        <w:t>HiSCR</w:t>
      </w:r>
      <w:proofErr w:type="spellEnd"/>
      <w:r w:rsidRPr="00B40DF4">
        <w:t xml:space="preserve"> rates were maintained through</w:t>
      </w:r>
      <w:r>
        <w:t xml:space="preserve"> </w:t>
      </w:r>
      <w:r w:rsidRPr="00B40DF4">
        <w:t>Week 48 for all 3 groups, supporting the long</w:t>
      </w:r>
      <w:r w:rsidR="00AD1267">
        <w:t xml:space="preserve"> </w:t>
      </w:r>
      <w:r w:rsidRPr="00B40DF4">
        <w:t>term benefit of continued adalimumab</w:t>
      </w:r>
      <w:r>
        <w:t xml:space="preserve"> </w:t>
      </w:r>
      <w:r w:rsidR="00FD6171">
        <w:t>treatment</w:t>
      </w:r>
      <w:r w:rsidR="007E7BC5">
        <w:t xml:space="preserve"> (Table 10</w:t>
      </w:r>
      <w:r w:rsidR="00FD6171">
        <w:t>).</w:t>
      </w:r>
    </w:p>
    <w:p w:rsidR="002D5A3E" w:rsidRDefault="002D5A3E" w:rsidP="002D5A3E">
      <w:pPr>
        <w:spacing w:before="0" w:after="0"/>
      </w:pPr>
      <w:r w:rsidRPr="002D5A3E">
        <w:t>In addition, if one assesses those subjects receiving weekly adalimumab at Week 12 who</w:t>
      </w:r>
      <w:r w:rsidR="00214414">
        <w:t xml:space="preserve"> </w:t>
      </w:r>
      <w:r w:rsidRPr="002D5A3E">
        <w:t>demonstrated at least a 25% improvement in their AN count (</w:t>
      </w:r>
      <w:r w:rsidR="00214414">
        <w:t xml:space="preserve">that is </w:t>
      </w:r>
      <w:r w:rsidRPr="002D5A3E">
        <w:t>partial responders and</w:t>
      </w:r>
      <w:r w:rsidR="00214414">
        <w:t xml:space="preserve"> </w:t>
      </w:r>
      <w:r w:rsidRPr="002D5A3E">
        <w:t>responders) at Week 12, the data demonstrate continued improvement in disease control</w:t>
      </w:r>
      <w:r w:rsidR="00214414">
        <w:t xml:space="preserve"> </w:t>
      </w:r>
      <w:r w:rsidRPr="002D5A3E">
        <w:t xml:space="preserve">and maintenance of the </w:t>
      </w:r>
      <w:proofErr w:type="spellStart"/>
      <w:r w:rsidRPr="002D5A3E">
        <w:t>HiSCR</w:t>
      </w:r>
      <w:proofErr w:type="spellEnd"/>
      <w:r w:rsidRPr="002D5A3E">
        <w:t xml:space="preserve"> rate. For subjects who met this criteria and thus were</w:t>
      </w:r>
      <w:r w:rsidR="00214414">
        <w:t xml:space="preserve"> </w:t>
      </w:r>
      <w:r w:rsidRPr="002D5A3E">
        <w:t xml:space="preserve">considered at least partial responders, the </w:t>
      </w:r>
      <w:proofErr w:type="spellStart"/>
      <w:r w:rsidRPr="002D5A3E">
        <w:t>HiSCR</w:t>
      </w:r>
      <w:proofErr w:type="spellEnd"/>
      <w:r w:rsidRPr="002D5A3E">
        <w:t xml:space="preserve"> rate at Week 36 was higher in subjects</w:t>
      </w:r>
      <w:r w:rsidR="00214414">
        <w:t xml:space="preserve"> </w:t>
      </w:r>
      <w:r w:rsidRPr="002D5A3E">
        <w:t>who continued weekly adalimumab than in subjects for whom dosing frequency was</w:t>
      </w:r>
      <w:r w:rsidR="00214414">
        <w:t xml:space="preserve"> </w:t>
      </w:r>
      <w:r w:rsidRPr="002D5A3E">
        <w:t xml:space="preserve">reduced to every other week or withdrawn (Table </w:t>
      </w:r>
      <w:r w:rsidR="00FD6171">
        <w:t>12</w:t>
      </w:r>
      <w:r w:rsidRPr="002D5A3E">
        <w:t>). Integrating data from the pivotal</w:t>
      </w:r>
      <w:r w:rsidR="00214414">
        <w:t xml:space="preserve"> </w:t>
      </w:r>
      <w:r w:rsidRPr="002D5A3E">
        <w:t>studies and Study M12</w:t>
      </w:r>
      <w:r w:rsidR="000C2FFA">
        <w:t>–</w:t>
      </w:r>
      <w:r w:rsidRPr="002D5A3E">
        <w:t>555, patients who achieved an AN25 after 12 weeks of initial</w:t>
      </w:r>
      <w:r w:rsidR="00214414">
        <w:t xml:space="preserve"> </w:t>
      </w:r>
      <w:r w:rsidRPr="002D5A3E">
        <w:t>adalimumab treatment and received continuous adalimumab dosing in Period B and/or in</w:t>
      </w:r>
      <w:r w:rsidR="00214414">
        <w:t xml:space="preserve"> </w:t>
      </w:r>
      <w:r w:rsidRPr="002D5A3E">
        <w:t>Study M12</w:t>
      </w:r>
      <w:r w:rsidR="000C2FFA">
        <w:t>–</w:t>
      </w:r>
      <w:r w:rsidRPr="002D5A3E">
        <w:t xml:space="preserve">555, the </w:t>
      </w:r>
      <w:proofErr w:type="spellStart"/>
      <w:r w:rsidRPr="002D5A3E">
        <w:t>HiSCR</w:t>
      </w:r>
      <w:proofErr w:type="spellEnd"/>
      <w:r w:rsidRPr="002D5A3E">
        <w:t xml:space="preserve"> rate at Week 48 was 64.3% after continuous weekly dosing</w:t>
      </w:r>
      <w:r w:rsidR="00505856">
        <w:t>.</w:t>
      </w:r>
    </w:p>
    <w:p w:rsidR="00D11ADC" w:rsidRDefault="00D11ADC" w:rsidP="00D11ADC">
      <w:pPr>
        <w:pStyle w:val="Tabletitle0"/>
      </w:pPr>
      <w:r w:rsidRPr="009A7E58">
        <w:t xml:space="preserve">Table </w:t>
      </w:r>
      <w:r w:rsidR="00FD6171">
        <w:t>12</w:t>
      </w:r>
      <w:r w:rsidR="00CA0DB1">
        <w:t>:</w:t>
      </w:r>
      <w:r w:rsidRPr="009A7E58">
        <w:t xml:space="preserve"> Number</w:t>
      </w:r>
      <w:r w:rsidR="00C75618">
        <w:t xml:space="preserve"> and proportion of AN25 r</w:t>
      </w:r>
      <w:r>
        <w:t xml:space="preserve">esponders </w:t>
      </w:r>
      <w:r w:rsidR="00C75618">
        <w:t xml:space="preserve">who achieved </w:t>
      </w:r>
      <w:r>
        <w:t>HiSCR</w:t>
      </w:r>
      <w:r w:rsidR="00726652">
        <w:fldChar w:fldCharType="begin"/>
      </w:r>
      <w:r w:rsidR="00726652">
        <w:instrText xml:space="preserve"> NOTEREF _Ref450912456 \f \h </w:instrText>
      </w:r>
      <w:r w:rsidR="00726652">
        <w:fldChar w:fldCharType="separate"/>
      </w:r>
      <w:r w:rsidR="00726652" w:rsidRPr="00726652">
        <w:rPr>
          <w:rStyle w:val="FootnoteReference"/>
        </w:rPr>
        <w:t>2</w:t>
      </w:r>
      <w:r w:rsidR="00726652">
        <w:fldChar w:fldCharType="end"/>
      </w:r>
      <w:r>
        <w:t xml:space="preserve"> at Week 24 and 36 </w:t>
      </w:r>
      <w:r w:rsidR="00C75618">
        <w:t xml:space="preserve">after treatment re–assignment from weekly adalimumab </w:t>
      </w:r>
      <w:r w:rsidR="00CA0DB1">
        <w:t>at Week 12</w:t>
      </w:r>
    </w:p>
    <w:p w:rsidR="00D11ADC" w:rsidRDefault="004D7939" w:rsidP="00D11ADC">
      <w:r>
        <w:rPr>
          <w:noProof/>
          <w:lang w:eastAsia="en-AU"/>
        </w:rPr>
        <w:drawing>
          <wp:inline distT="0" distB="0" distL="0" distR="0" wp14:anchorId="06B854A4" wp14:editId="6893D458">
            <wp:extent cx="5400040" cy="1234048"/>
            <wp:effectExtent l="0" t="0" r="0" b="4445"/>
            <wp:docPr id="4" name="Picture 4" descr="Table 12: Number and proportion of AN25 responders who achieved HiSCR2 at Week 24 and 36 after treatment re–assignment from weekly adalimumab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234048"/>
                    </a:xfrm>
                    <a:prstGeom prst="rect">
                      <a:avLst/>
                    </a:prstGeom>
                  </pic:spPr>
                </pic:pic>
              </a:graphicData>
            </a:graphic>
          </wp:inline>
        </w:drawing>
      </w:r>
    </w:p>
    <w:p w:rsidR="00D11ADC" w:rsidRPr="00CD2137" w:rsidRDefault="00CD2137" w:rsidP="00CD2137">
      <w:pPr>
        <w:spacing w:before="0" w:after="0"/>
      </w:pPr>
      <w:r w:rsidRPr="00CD2137">
        <w:t xml:space="preserve">The consistency of the </w:t>
      </w:r>
      <w:proofErr w:type="spellStart"/>
      <w:r w:rsidRPr="00CD2137">
        <w:t>HiSCR</w:t>
      </w:r>
      <w:proofErr w:type="spellEnd"/>
      <w:r w:rsidRPr="00CD2137">
        <w:t xml:space="preserve"> rate for subjects assigned to receive continuous</w:t>
      </w:r>
      <w:r>
        <w:t xml:space="preserve"> </w:t>
      </w:r>
      <w:r w:rsidRPr="00CD2137">
        <w:t>adalimumab every week, for those who received weekly adalimumab irrespective of</w:t>
      </w:r>
      <w:r>
        <w:t xml:space="preserve"> </w:t>
      </w:r>
      <w:r w:rsidRPr="00CD2137">
        <w:t xml:space="preserve">whether </w:t>
      </w:r>
      <w:r>
        <w:t>they entered Study M12</w:t>
      </w:r>
      <w:r w:rsidR="000C2FFA">
        <w:t>–</w:t>
      </w:r>
      <w:r>
        <w:t>555 (that is</w:t>
      </w:r>
      <w:r w:rsidRPr="00CD2137">
        <w:t xml:space="preserve"> the </w:t>
      </w:r>
      <w:proofErr w:type="spellStart"/>
      <w:r w:rsidR="005752DF">
        <w:t>qw</w:t>
      </w:r>
      <w:proofErr w:type="spellEnd"/>
      <w:r w:rsidRPr="00CD2137">
        <w:t>/</w:t>
      </w:r>
      <w:proofErr w:type="spellStart"/>
      <w:proofErr w:type="gramStart"/>
      <w:r w:rsidR="005752DF">
        <w:t>qw</w:t>
      </w:r>
      <w:proofErr w:type="spellEnd"/>
      <w:r w:rsidRPr="00CD2137">
        <w:t>[</w:t>
      </w:r>
      <w:proofErr w:type="spellStart"/>
      <w:proofErr w:type="gramEnd"/>
      <w:r w:rsidR="005752DF">
        <w:t>qw</w:t>
      </w:r>
      <w:proofErr w:type="spellEnd"/>
      <w:r>
        <w:t xml:space="preserve">] group), and for the subset of </w:t>
      </w:r>
      <w:r w:rsidRPr="00CD2137">
        <w:t xml:space="preserve">partial responders (AN25 population), demonstrates the </w:t>
      </w:r>
      <w:r>
        <w:t>long</w:t>
      </w:r>
      <w:r w:rsidR="00AD1267">
        <w:t xml:space="preserve"> </w:t>
      </w:r>
      <w:r>
        <w:t xml:space="preserve">term benefit of continuous </w:t>
      </w:r>
      <w:r w:rsidRPr="00CD2137">
        <w:t>adalimumab treatment and is important information to gui</w:t>
      </w:r>
      <w:r w:rsidR="002B4FDE">
        <w:t xml:space="preserve">de prescribers in the treatment </w:t>
      </w:r>
      <w:r w:rsidRPr="00CD2137">
        <w:t>of patients with moderate to severe HS with adalimumab.</w:t>
      </w:r>
    </w:p>
    <w:p w:rsidR="00CD2137" w:rsidRPr="00CD2137" w:rsidRDefault="00CD2137" w:rsidP="00CD2137">
      <w:pPr>
        <w:spacing w:before="0" w:after="0"/>
      </w:pPr>
      <w:r w:rsidRPr="00CD2137">
        <w:t>AbbVie has proposed the following modifications to the section on Dosage and</w:t>
      </w:r>
      <w:r>
        <w:t xml:space="preserve"> </w:t>
      </w:r>
      <w:r w:rsidRPr="00CD2137">
        <w:t xml:space="preserve">Administration, Hidradenitis </w:t>
      </w:r>
      <w:proofErr w:type="spellStart"/>
      <w:r w:rsidRPr="00CD2137">
        <w:t>Suppurativa</w:t>
      </w:r>
      <w:proofErr w:type="spellEnd"/>
      <w:r w:rsidRPr="00CD2137">
        <w:t>, to reflect that use in HS patients after 12 weeks</w:t>
      </w:r>
    </w:p>
    <w:p w:rsidR="00D11ADC" w:rsidRPr="00CD2137" w:rsidRDefault="00CD2137" w:rsidP="00CD2137">
      <w:pPr>
        <w:spacing w:before="0" w:after="0"/>
      </w:pPr>
      <w:proofErr w:type="gramStart"/>
      <w:r w:rsidRPr="00CD2137">
        <w:t>should</w:t>
      </w:r>
      <w:proofErr w:type="gramEnd"/>
      <w:r w:rsidRPr="00CD2137">
        <w:t xml:space="preserve"> be subject to evidence of benefit:</w:t>
      </w:r>
    </w:p>
    <w:p w:rsidR="00CD2137" w:rsidRPr="00E76A7F" w:rsidRDefault="00CD2137" w:rsidP="00E76A7F">
      <w:pPr>
        <w:ind w:left="720"/>
      </w:pPr>
      <w:r w:rsidRPr="00E76A7F">
        <w:t xml:space="preserve">The recommended </w:t>
      </w:r>
      <w:proofErr w:type="spellStart"/>
      <w:r w:rsidRPr="00E76A7F">
        <w:t>Humira</w:t>
      </w:r>
      <w:proofErr w:type="spellEnd"/>
      <w:r w:rsidRPr="00E76A7F">
        <w:t xml:space="preserve"> </w:t>
      </w:r>
      <w:r w:rsidR="005752DF">
        <w:t>(adalimumab)</w:t>
      </w:r>
      <w:r w:rsidRPr="00E76A7F">
        <w:t>dose regimen for adult patients</w:t>
      </w:r>
      <w:r w:rsidR="005752DF">
        <w:t xml:space="preserve"> with </w:t>
      </w:r>
      <w:r w:rsidRPr="00E76A7F">
        <w:t xml:space="preserve">HS is 160 mg initially at Day 1 (given as four 40 mg injections in one day or as two 40 mg injections per day for two consecutive days), followed by 80 mg two weeks later at Day 15 (given as two 40 mg injections in one day). Two weeks later (Day 29) continue with a dose of 40 mg every week. Antibiotics may be continued during treatment with </w:t>
      </w:r>
      <w:proofErr w:type="spellStart"/>
      <w:r w:rsidRPr="00E76A7F">
        <w:t>Humira</w:t>
      </w:r>
      <w:proofErr w:type="spellEnd"/>
      <w:r w:rsidRPr="00E76A7F">
        <w:t xml:space="preserve"> </w:t>
      </w:r>
      <w:r w:rsidR="005752DF">
        <w:t>(adalimumab)</w:t>
      </w:r>
      <w:r w:rsidR="0095258E">
        <w:t xml:space="preserve"> </w:t>
      </w:r>
      <w:r w:rsidRPr="00E76A7F">
        <w:t>if necessary.</w:t>
      </w:r>
    </w:p>
    <w:p w:rsidR="00CD2137" w:rsidRPr="00E76A7F" w:rsidRDefault="00CD2137" w:rsidP="00E76A7F">
      <w:pPr>
        <w:ind w:left="720"/>
      </w:pPr>
      <w:r w:rsidRPr="00E76A7F">
        <w:t>In patients without any benefit after 12 weeks of treatment, continued therapy should be reconsidered.</w:t>
      </w:r>
    </w:p>
    <w:p w:rsidR="0020097F" w:rsidRPr="00E76A7F" w:rsidRDefault="0020097F" w:rsidP="00E76A7F">
      <w:pPr>
        <w:ind w:left="720"/>
      </w:pPr>
      <w:r w:rsidRPr="00E76A7F">
        <w:t xml:space="preserve">Should treatment need to be interrupted, </w:t>
      </w:r>
      <w:proofErr w:type="spellStart"/>
      <w:r w:rsidRPr="00E76A7F">
        <w:t>Humira</w:t>
      </w:r>
      <w:proofErr w:type="spellEnd"/>
      <w:r w:rsidRPr="00E76A7F">
        <w:t xml:space="preserve"> </w:t>
      </w:r>
      <w:r w:rsidR="006E7A12">
        <w:t>(adalimumab)</w:t>
      </w:r>
      <w:r w:rsidR="0095258E">
        <w:t xml:space="preserve"> </w:t>
      </w:r>
      <w:r w:rsidRPr="00E76A7F">
        <w:t>may be re</w:t>
      </w:r>
      <w:r w:rsidR="006E7A12">
        <w:noBreakHyphen/>
      </w:r>
      <w:r w:rsidRPr="00E76A7F">
        <w:t>introduced.</w:t>
      </w:r>
    </w:p>
    <w:p w:rsidR="00CD2137" w:rsidRPr="00E76A7F" w:rsidRDefault="0020097F" w:rsidP="00E76A7F">
      <w:pPr>
        <w:ind w:left="720"/>
      </w:pPr>
      <w:r w:rsidRPr="00E76A7F">
        <w:t>The benefit and risk of patients on continued long</w:t>
      </w:r>
      <w:r w:rsidR="000C2FFA">
        <w:t>–</w:t>
      </w:r>
      <w:r w:rsidRPr="00E76A7F">
        <w:t>term treatment should be periodically evaluated.</w:t>
      </w:r>
    </w:p>
    <w:p w:rsidR="00A66949" w:rsidRPr="00A66949" w:rsidRDefault="00A66949" w:rsidP="009E20A0">
      <w:pPr>
        <w:pStyle w:val="Heading5"/>
      </w:pPr>
      <w:r w:rsidRPr="00A66949">
        <w:t>Question 2</w:t>
      </w:r>
    </w:p>
    <w:p w:rsidR="00E76A7F" w:rsidRDefault="00A66949" w:rsidP="009E20A0">
      <w:pPr>
        <w:pStyle w:val="Heading6"/>
      </w:pPr>
      <w:r>
        <w:t>Sponsor</w:t>
      </w:r>
      <w:r w:rsidR="00714C78">
        <w:t>`s</w:t>
      </w:r>
      <w:r w:rsidR="009A7E58" w:rsidRPr="009A7E58">
        <w:t xml:space="preserve"> response:</w:t>
      </w:r>
    </w:p>
    <w:p w:rsidR="00DE1E5F" w:rsidRPr="009A7E58" w:rsidRDefault="00DE1E5F" w:rsidP="009A7E58">
      <w:r w:rsidRPr="00DE1E5F">
        <w:t>There is limited scientific data available on the efficacy of treatments other than</w:t>
      </w:r>
      <w:r>
        <w:t xml:space="preserve"> </w:t>
      </w:r>
      <w:r w:rsidRPr="00DE1E5F">
        <w:t>adalimumab (</w:t>
      </w:r>
      <w:r>
        <w:t>for example</w:t>
      </w:r>
      <w:r w:rsidRPr="00DE1E5F">
        <w:t xml:space="preserve"> antibiotics) for patients with HS</w:t>
      </w:r>
      <w:r>
        <w:t xml:space="preserve">. AbbVie recommends keeping </w:t>
      </w:r>
      <w:r>
        <w:lastRenderedPageBreak/>
        <w:t xml:space="preserve">the </w:t>
      </w:r>
      <w:r w:rsidRPr="00DE1E5F">
        <w:t>proposed indication language in order to avoid recommen</w:t>
      </w:r>
      <w:r>
        <w:t xml:space="preserve">ding a treatment for which data </w:t>
      </w:r>
      <w:r w:rsidRPr="00DE1E5F">
        <w:t xml:space="preserve">are not available. Inclusion of such language in the </w:t>
      </w:r>
      <w:proofErr w:type="spellStart"/>
      <w:r w:rsidRPr="00DE1E5F">
        <w:t>Humi</w:t>
      </w:r>
      <w:r w:rsidR="005752DF">
        <w:t>ra</w:t>
      </w:r>
      <w:proofErr w:type="spellEnd"/>
      <w:r w:rsidR="005752DF">
        <w:t xml:space="preserve"> (adalimumab)</w:t>
      </w:r>
      <w:r>
        <w:t xml:space="preserve"> PI may imply to prescribers </w:t>
      </w:r>
      <w:r w:rsidRPr="00DE1E5F">
        <w:t>a level of data quality/robustness that does not exist for other treatments (</w:t>
      </w:r>
      <w:r>
        <w:t>for example</w:t>
      </w:r>
      <w:r w:rsidRPr="00DE1E5F">
        <w:t xml:space="preserve"> antibiotics)</w:t>
      </w:r>
      <w:r>
        <w:t xml:space="preserve"> </w:t>
      </w:r>
      <w:r>
        <w:rPr>
          <w:rFonts w:ascii="TimesNewRomanPSMT" w:eastAsiaTheme="minorHAnsi" w:hAnsi="TimesNewRomanPSMT" w:cs="TimesNewRomanPSMT"/>
          <w:sz w:val="24"/>
          <w:szCs w:val="24"/>
        </w:rPr>
        <w:t>that may be used to treat patients with HS.</w:t>
      </w:r>
    </w:p>
    <w:p w:rsidR="00A828AC" w:rsidRDefault="00A828AC" w:rsidP="00A828AC">
      <w:pPr>
        <w:spacing w:before="0" w:after="0"/>
      </w:pPr>
      <w:r w:rsidRPr="00A828AC">
        <w:t>AbbVie appreciates the assessors’ consideration to amend the indication statement to</w:t>
      </w:r>
      <w:r>
        <w:t xml:space="preserve"> </w:t>
      </w:r>
      <w:r w:rsidRPr="00A828AC">
        <w:t>refl</w:t>
      </w:r>
      <w:r w:rsidR="005752DF">
        <w:t xml:space="preserve">ect second line usage of </w:t>
      </w:r>
      <w:proofErr w:type="spellStart"/>
      <w:r w:rsidR="005752DF">
        <w:t>Humira</w:t>
      </w:r>
      <w:proofErr w:type="spellEnd"/>
      <w:r w:rsidR="005752DF">
        <w:t xml:space="preserve"> (adalimumab)</w:t>
      </w:r>
      <w:r w:rsidRPr="00A828AC">
        <w:t>. While AbbVie m</w:t>
      </w:r>
      <w:r>
        <w:t xml:space="preserve">aintains its preference, if the </w:t>
      </w:r>
      <w:r w:rsidRPr="00A828AC">
        <w:t>assessor does not agree, AbbVie would accept an amended indication, as follows:</w:t>
      </w:r>
    </w:p>
    <w:p w:rsidR="00A828AC" w:rsidRPr="00A828AC" w:rsidRDefault="00A828AC" w:rsidP="00C75618">
      <w:pPr>
        <w:spacing w:before="0" w:after="0"/>
        <w:ind w:left="720"/>
        <w:rPr>
          <w:i/>
        </w:rPr>
      </w:pPr>
      <w:proofErr w:type="spellStart"/>
      <w:r w:rsidRPr="00A828AC">
        <w:rPr>
          <w:i/>
        </w:rPr>
        <w:t>Humira</w:t>
      </w:r>
      <w:proofErr w:type="spellEnd"/>
      <w:r w:rsidRPr="00A828AC">
        <w:rPr>
          <w:i/>
        </w:rPr>
        <w:t xml:space="preserve"> is indicated for the treatment of active moderate to severe hidradenitis </w:t>
      </w:r>
      <w:proofErr w:type="spellStart"/>
      <w:r w:rsidRPr="00A828AC">
        <w:rPr>
          <w:i/>
        </w:rPr>
        <w:t>suppurativa</w:t>
      </w:r>
      <w:proofErr w:type="spellEnd"/>
      <w:r w:rsidRPr="00A828AC">
        <w:rPr>
          <w:i/>
        </w:rPr>
        <w:t xml:space="preserve"> (acne </w:t>
      </w:r>
      <w:proofErr w:type="spellStart"/>
      <w:r w:rsidRPr="00A828AC">
        <w:rPr>
          <w:i/>
        </w:rPr>
        <w:t>inversa</w:t>
      </w:r>
      <w:proofErr w:type="spellEnd"/>
      <w:r w:rsidRPr="00A828AC">
        <w:rPr>
          <w:i/>
        </w:rPr>
        <w:t>) including treatment of inflammatory lesions and prevention of worsening of abscesses and draining fistulas in adult patients who have had an inadequate response to or are intolerant to antibiotic therapy.</w:t>
      </w:r>
    </w:p>
    <w:p w:rsidR="008E7846" w:rsidRDefault="008E7846" w:rsidP="008E7846">
      <w:pPr>
        <w:pStyle w:val="Heading4"/>
      </w:pPr>
      <w:r>
        <w:t xml:space="preserve">Advisory </w:t>
      </w:r>
      <w:r w:rsidR="0030665F">
        <w:t>committee considerations</w:t>
      </w:r>
    </w:p>
    <w:p w:rsidR="00714C78" w:rsidRPr="00E76A7F" w:rsidRDefault="00714C78" w:rsidP="00714C78">
      <w:bookmarkStart w:id="125" w:name="_Toc247691532"/>
      <w:bookmarkStart w:id="126" w:name="_Toc314842516"/>
      <w:bookmarkEnd w:id="78"/>
      <w:bookmarkEnd w:id="121"/>
      <w:bookmarkEnd w:id="122"/>
      <w:r w:rsidRPr="00E76A7F">
        <w:t>In making this recommendation the ACPM;</w:t>
      </w:r>
    </w:p>
    <w:p w:rsidR="00714C78" w:rsidRPr="00E76A7F" w:rsidRDefault="00714C78" w:rsidP="00714C78">
      <w:pPr>
        <w:pStyle w:val="ListBullet"/>
      </w:pPr>
      <w:r w:rsidRPr="00E76A7F">
        <w:t>noted pivotal studies demonstrated a 20</w:t>
      </w:r>
      <w:r w:rsidR="00C75618">
        <w:t xml:space="preserve"> to </w:t>
      </w:r>
      <w:r w:rsidRPr="00E76A7F">
        <w:t>30% responses compared to placebo in first 3 m</w:t>
      </w:r>
      <w:r w:rsidR="00726652">
        <w:t>onths of weekly adalimumab</w:t>
      </w:r>
    </w:p>
    <w:p w:rsidR="00714C78" w:rsidRPr="00E76A7F" w:rsidRDefault="00714C78" w:rsidP="00714C78">
      <w:pPr>
        <w:pStyle w:val="ListBullet"/>
      </w:pPr>
      <w:r w:rsidRPr="00E76A7F">
        <w:t>noted no data was submitted for interruption of therapy beyond 36 weeks in patients responding at that time</w:t>
      </w:r>
    </w:p>
    <w:p w:rsidR="00E76A7F" w:rsidRPr="00E76A7F" w:rsidRDefault="00E76A7F" w:rsidP="00E76A7F">
      <w:r w:rsidRPr="00E76A7F">
        <w:t>The ACPM resolved to recommend to the TGA Delegate of t</w:t>
      </w:r>
      <w:r>
        <w:t xml:space="preserve">he Minister and Secretary that </w:t>
      </w:r>
      <w:r w:rsidRPr="00E76A7F">
        <w:t>taking into account the submitted evidence of efficacy, safet</w:t>
      </w:r>
      <w:r>
        <w:t>y and quality, agreed with the D</w:t>
      </w:r>
      <w:r w:rsidRPr="00E76A7F">
        <w:t xml:space="preserve">elegate and considered </w:t>
      </w:r>
      <w:proofErr w:type="spellStart"/>
      <w:r w:rsidRPr="00E76A7F">
        <w:t>Humira</w:t>
      </w:r>
      <w:proofErr w:type="spellEnd"/>
      <w:r w:rsidRPr="00E76A7F">
        <w:t xml:space="preserve"> solut</w:t>
      </w:r>
      <w:r w:rsidR="005752DF">
        <w:t xml:space="preserve">ion for injection containing 10 mg, 20 mg and 40 </w:t>
      </w:r>
      <w:r w:rsidRPr="00E76A7F">
        <w:t>mg adalimumab to have an overall positive benefit–risk prof</w:t>
      </w:r>
      <w:r w:rsidR="005752DF">
        <w:t>ile for the amended indication;</w:t>
      </w:r>
    </w:p>
    <w:p w:rsidR="00E76A7F" w:rsidRPr="00E76A7F" w:rsidRDefault="00E76A7F" w:rsidP="00E76A7F">
      <w:pPr>
        <w:ind w:left="720"/>
        <w:rPr>
          <w:i/>
        </w:rPr>
      </w:pPr>
      <w:proofErr w:type="spellStart"/>
      <w:r w:rsidRPr="00E76A7F">
        <w:rPr>
          <w:i/>
        </w:rPr>
        <w:t>Humira</w:t>
      </w:r>
      <w:proofErr w:type="spellEnd"/>
      <w:r w:rsidRPr="00E76A7F">
        <w:rPr>
          <w:i/>
        </w:rPr>
        <w:t xml:space="preserve"> is indicated for the treatment of active moderate to severe hidradenitis </w:t>
      </w:r>
      <w:proofErr w:type="spellStart"/>
      <w:r w:rsidRPr="00E76A7F">
        <w:rPr>
          <w:i/>
        </w:rPr>
        <w:t>suppurativa</w:t>
      </w:r>
      <w:proofErr w:type="spellEnd"/>
      <w:r w:rsidRPr="00E76A7F">
        <w:rPr>
          <w:i/>
        </w:rPr>
        <w:t xml:space="preserve"> (acne </w:t>
      </w:r>
      <w:proofErr w:type="spellStart"/>
      <w:r w:rsidRPr="00E76A7F">
        <w:rPr>
          <w:i/>
        </w:rPr>
        <w:t>inversa</w:t>
      </w:r>
      <w:proofErr w:type="spellEnd"/>
      <w:r w:rsidRPr="00E76A7F">
        <w:rPr>
          <w:i/>
        </w:rPr>
        <w:t>) in adult patients with an inadequate response to conventional HS therapy.</w:t>
      </w:r>
    </w:p>
    <w:p w:rsidR="00E76A7F" w:rsidRPr="00E76A7F" w:rsidRDefault="00E76A7F" w:rsidP="006D6238">
      <w:pPr>
        <w:pStyle w:val="Heading5"/>
        <w:rPr>
          <w:rFonts w:eastAsia="MS Mincho"/>
        </w:rPr>
      </w:pPr>
      <w:r w:rsidRPr="00E76A7F">
        <w:rPr>
          <w:rFonts w:eastAsia="MS Mincho"/>
        </w:rPr>
        <w:t>Proposed conditions of registration</w:t>
      </w:r>
    </w:p>
    <w:p w:rsidR="00E76A7F" w:rsidRPr="00E76A7F" w:rsidRDefault="006D6238" w:rsidP="00E76A7F">
      <w:r>
        <w:t>The ACPM agreed with the D</w:t>
      </w:r>
      <w:r w:rsidR="00E76A7F" w:rsidRPr="00E76A7F">
        <w:t>elegate on the propo</w:t>
      </w:r>
      <w:r>
        <w:t>sed conditions of registration.</w:t>
      </w:r>
    </w:p>
    <w:p w:rsidR="00E76A7F" w:rsidRPr="00E76A7F" w:rsidRDefault="00E76A7F" w:rsidP="00714C78">
      <w:pPr>
        <w:pStyle w:val="Heading5"/>
      </w:pPr>
      <w:r w:rsidRPr="00E76A7F">
        <w:t>Proposed Product Information (PI)/Consumer Medicine Information (CMI) amendments</w:t>
      </w:r>
    </w:p>
    <w:p w:rsidR="00A31464" w:rsidRDefault="00E76A7F" w:rsidP="00E76A7F">
      <w:r w:rsidRPr="00E76A7F">
        <w:t>The ACPM agreed with the delegate to the proposed amendments to the Product Information (PI) and Consumer Medicine Information (CMI) and specifically advised on the inclusion of the following:</w:t>
      </w:r>
    </w:p>
    <w:p w:rsidR="00E76A7F" w:rsidRPr="00E76A7F" w:rsidRDefault="00E76A7F" w:rsidP="006D6238">
      <w:pPr>
        <w:pStyle w:val="ListBullet"/>
      </w:pPr>
      <w:r w:rsidRPr="00E76A7F">
        <w:t>a statement in the DOSAGE AND ADMINISTRATION section of the PI and relevant sections of the CMI should be modified to reflect that use in HS patients after 12 weeks should be subject to evidence of benefit and patients who had not responded by week 12 should di</w:t>
      </w:r>
      <w:r w:rsidR="00DA2D9D">
        <w:t xml:space="preserve">scontinue, not treatment to be </w:t>
      </w:r>
      <w:r w:rsidR="00E92D16">
        <w:t>‘</w:t>
      </w:r>
      <w:r w:rsidR="00DA2D9D">
        <w:t>reconsidered</w:t>
      </w:r>
      <w:r w:rsidR="00E92D16">
        <w:t>’</w:t>
      </w:r>
    </w:p>
    <w:p w:rsidR="00E76A7F" w:rsidRPr="00E76A7F" w:rsidRDefault="00E76A7F" w:rsidP="006D6238">
      <w:pPr>
        <w:pStyle w:val="ListBullet"/>
      </w:pPr>
      <w:proofErr w:type="gramStart"/>
      <w:r w:rsidRPr="00E76A7F">
        <w:t>a</w:t>
      </w:r>
      <w:proofErr w:type="gramEnd"/>
      <w:r w:rsidRPr="00E76A7F">
        <w:t xml:space="preserve"> statement in the PI to be reflected in the relevant section of the CMI should refer to trial patients all having had a prior course of antibiotics or had intolerance or contraindication to oral antibiotics.</w:t>
      </w:r>
    </w:p>
    <w:p w:rsidR="00E76A7F" w:rsidRPr="00E76A7F" w:rsidRDefault="00E76A7F" w:rsidP="006D6238">
      <w:pPr>
        <w:pStyle w:val="Heading5"/>
        <w:rPr>
          <w:rFonts w:eastAsia="MS Mincho"/>
          <w:highlight w:val="yellow"/>
        </w:rPr>
      </w:pPr>
      <w:r w:rsidRPr="00E76A7F">
        <w:rPr>
          <w:rFonts w:eastAsia="MS Mincho"/>
        </w:rPr>
        <w:t xml:space="preserve">Specific </w:t>
      </w:r>
      <w:r w:rsidR="00984200">
        <w:rPr>
          <w:rFonts w:eastAsia="MS Mincho"/>
        </w:rPr>
        <w:t>a</w:t>
      </w:r>
      <w:r w:rsidRPr="00E76A7F">
        <w:rPr>
          <w:rFonts w:eastAsia="MS Mincho"/>
        </w:rPr>
        <w:t>dvice</w:t>
      </w:r>
    </w:p>
    <w:p w:rsidR="00E76A7F" w:rsidRPr="00E76A7F" w:rsidRDefault="00E76A7F" w:rsidP="00E76A7F">
      <w:pPr>
        <w:rPr>
          <w:highlight w:val="yellow"/>
        </w:rPr>
      </w:pPr>
      <w:r w:rsidRPr="00E76A7F">
        <w:t>The ACPM advised the following in response to the delegate’s specific questions on this submission:</w:t>
      </w:r>
    </w:p>
    <w:p w:rsidR="00E76A7F" w:rsidRPr="00C75618" w:rsidRDefault="00E76A7F" w:rsidP="00FA691A">
      <w:pPr>
        <w:pStyle w:val="Numberbullet0"/>
        <w:numPr>
          <w:ilvl w:val="0"/>
          <w:numId w:val="10"/>
        </w:numPr>
        <w:rPr>
          <w:i/>
        </w:rPr>
      </w:pPr>
      <w:r w:rsidRPr="00C75618">
        <w:rPr>
          <w:i/>
        </w:rPr>
        <w:t>Should the PI include specific advice about how and when to measure ongoing treatment benefit, and should ongoing use be contingent on evidence of benefit measured in this way?</w:t>
      </w:r>
    </w:p>
    <w:p w:rsidR="00E76A7F" w:rsidRPr="00E76A7F" w:rsidRDefault="00E76A7F" w:rsidP="00E76A7F">
      <w:r w:rsidRPr="00E76A7F">
        <w:lastRenderedPageBreak/>
        <w:t>The ACPM noted no good evidence was submitted for new responses after 12 weeks of therapy; however, that for patients that achieve response a reasonable percentage continue to respond up to one year.</w:t>
      </w:r>
    </w:p>
    <w:p w:rsidR="00E76A7F" w:rsidRPr="00E76A7F" w:rsidRDefault="00E76A7F" w:rsidP="00E76A7F">
      <w:r w:rsidRPr="00E76A7F">
        <w:t xml:space="preserve">The ACPM advised that use beyond 12 weeks should be contingent on evidence of benefit and </w:t>
      </w:r>
      <w:r w:rsidR="005752DF">
        <w:t xml:space="preserve">agreed with the evaluator that </w:t>
      </w:r>
      <w:r w:rsidR="00E92D16">
        <w:t>‘</w:t>
      </w:r>
      <w:r w:rsidRPr="00E76A7F">
        <w:t>Ongoing us</w:t>
      </w:r>
      <w:r w:rsidR="00DA2D9D">
        <w:t>e should be only in those with ≥</w:t>
      </w:r>
      <w:r w:rsidR="005752DF">
        <w:t xml:space="preserve"> </w:t>
      </w:r>
      <w:r w:rsidRPr="00E76A7F">
        <w:t xml:space="preserve">50% reduction from baseline in total abscess and inflammatory nodule (AN) count, with no observed increase in either abscess </w:t>
      </w:r>
      <w:r w:rsidR="005752DF">
        <w:t>or draining fistula counts, at Week 12, W</w:t>
      </w:r>
      <w:r w:rsidRPr="00E76A7F">
        <w:t>eek 2</w:t>
      </w:r>
      <w:r w:rsidR="005752DF">
        <w:t>4 and every 6 months thereafter</w:t>
      </w:r>
      <w:r w:rsidR="00E92D16">
        <w:t>’</w:t>
      </w:r>
      <w:r w:rsidRPr="00E76A7F">
        <w:t>.</w:t>
      </w:r>
    </w:p>
    <w:p w:rsidR="00E76A7F" w:rsidRPr="00E76A7F" w:rsidRDefault="00E76A7F" w:rsidP="00E76A7F">
      <w:r w:rsidRPr="00E76A7F">
        <w:t>The ACPM was of the view that treatment shou</w:t>
      </w:r>
      <w:r w:rsidR="00DA2D9D">
        <w:t xml:space="preserve">ld be discontinued (not simply </w:t>
      </w:r>
      <w:r w:rsidR="00E92D16">
        <w:t>‘</w:t>
      </w:r>
      <w:r w:rsidR="00615D6C">
        <w:t>reconsidered</w:t>
      </w:r>
      <w:r w:rsidR="00E92D16">
        <w:t>’</w:t>
      </w:r>
      <w:r w:rsidRPr="00E76A7F">
        <w:t>) in those who have had an inadequate response at 12 weeks.</w:t>
      </w:r>
    </w:p>
    <w:p w:rsidR="00E76A7F" w:rsidRPr="00C75618" w:rsidRDefault="00E76A7F" w:rsidP="00127052">
      <w:pPr>
        <w:pStyle w:val="Numberbullet0"/>
        <w:rPr>
          <w:i/>
        </w:rPr>
      </w:pPr>
      <w:r w:rsidRPr="00C75618">
        <w:rPr>
          <w:i/>
        </w:rPr>
        <w:t xml:space="preserve">Is the sponsor’s proposed indication wording acceptable, or should the indication specifically reference failure of a trial of systemic antibiotics (or inability to use antibiotics), as per the EU </w:t>
      </w:r>
      <w:proofErr w:type="spellStart"/>
      <w:r w:rsidRPr="00C75618">
        <w:rPr>
          <w:i/>
        </w:rPr>
        <w:t>SmPC</w:t>
      </w:r>
      <w:proofErr w:type="spellEnd"/>
      <w:r w:rsidRPr="00C75618">
        <w:rPr>
          <w:i/>
        </w:rPr>
        <w:t xml:space="preserve"> (but not the US PI)?</w:t>
      </w:r>
    </w:p>
    <w:p w:rsidR="00E76A7F" w:rsidRPr="00E76A7F" w:rsidRDefault="00E76A7F" w:rsidP="00E76A7F">
      <w:r w:rsidRPr="00E76A7F">
        <w:t>T</w:t>
      </w:r>
      <w:r w:rsidR="006D6238" w:rsidRPr="00E76A7F">
        <w:t>he</w:t>
      </w:r>
      <w:r w:rsidRPr="00E76A7F">
        <w:t xml:space="preserve"> ACPM noted there was no good evidence of value of antibiotic treatment other than to treat </w:t>
      </w:r>
      <w:proofErr w:type="spellStart"/>
      <w:r w:rsidRPr="00E76A7F">
        <w:t>intercurrent</w:t>
      </w:r>
      <w:proofErr w:type="spellEnd"/>
      <w:r w:rsidRPr="00E76A7F">
        <w:t xml:space="preserve"> infections and, in addition, there are no antibiotics approved for use i</w:t>
      </w:r>
      <w:r w:rsidR="005752DF">
        <w:t>n this indication in Australia.</w:t>
      </w:r>
    </w:p>
    <w:p w:rsidR="00E76A7F" w:rsidRPr="00E76A7F" w:rsidRDefault="00E76A7F" w:rsidP="00E76A7F">
      <w:r w:rsidRPr="00E76A7F">
        <w:t xml:space="preserve">However; all patients in the pivotal studies had failed (or were unable to receive) three months antibiotic therapy. This information could be clearly provided in PI (other than the </w:t>
      </w:r>
      <w:r w:rsidR="00C75618" w:rsidRPr="00E76A7F">
        <w:t xml:space="preserve">clinical trials </w:t>
      </w:r>
      <w:r w:rsidRPr="00E76A7F">
        <w:t>section) and in the CMI, for patient information.</w:t>
      </w:r>
    </w:p>
    <w:p w:rsidR="00E76A7F" w:rsidRPr="006D6238" w:rsidRDefault="00E76A7F" w:rsidP="006D6238">
      <w:r w:rsidRPr="00E76A7F">
        <w:t>The ACPM advised that implementation by the sponsor of the recommendations outlined above to the satisfaction of the TGA, in addition to the evidence of efficacy and safety provided would support the safe and e</w:t>
      </w:r>
      <w:r w:rsidR="0087113B">
        <w:t>ffective use of these products.</w:t>
      </w:r>
    </w:p>
    <w:p w:rsidR="008E7846" w:rsidRPr="002E238E" w:rsidRDefault="008E7846" w:rsidP="008E7846">
      <w:pPr>
        <w:pStyle w:val="Heading3"/>
      </w:pPr>
      <w:bookmarkStart w:id="127" w:name="_Toc456951166"/>
      <w:r>
        <w:t>Outcome</w:t>
      </w:r>
      <w:bookmarkEnd w:id="125"/>
      <w:bookmarkEnd w:id="126"/>
      <w:bookmarkEnd w:id="127"/>
    </w:p>
    <w:p w:rsidR="00915D41" w:rsidRDefault="00D23139" w:rsidP="00D23139">
      <w:bookmarkStart w:id="128" w:name="_Toc247691533"/>
      <w:bookmarkStart w:id="129" w:name="_Toc314842517"/>
      <w:r w:rsidRPr="00D23139">
        <w:t xml:space="preserve">Based on a review of quality, safety and efficacy, TGA approved the registration of </w:t>
      </w:r>
      <w:proofErr w:type="spellStart"/>
      <w:r w:rsidR="005D786B">
        <w:t>H</w:t>
      </w:r>
      <w:r w:rsidR="00F55DBD">
        <w:t>umira</w:t>
      </w:r>
      <w:proofErr w:type="spellEnd"/>
      <w:r w:rsidRPr="00D23139">
        <w:t xml:space="preserve"> </w:t>
      </w:r>
      <w:r w:rsidR="00915D41">
        <w:t>adalimumab (</w:t>
      </w:r>
      <w:proofErr w:type="spellStart"/>
      <w:r w:rsidR="00915D41">
        <w:t>rch</w:t>
      </w:r>
      <w:proofErr w:type="spellEnd"/>
      <w:r w:rsidR="00915D41">
        <w:t>) 10 mg, 20 mg and 40 mg solution for the new indication:</w:t>
      </w:r>
    </w:p>
    <w:p w:rsidR="00915D41" w:rsidRDefault="00915D41" w:rsidP="00C75618">
      <w:pPr>
        <w:ind w:left="720"/>
        <w:rPr>
          <w:i/>
        </w:rPr>
      </w:pPr>
      <w:proofErr w:type="spellStart"/>
      <w:r w:rsidRPr="00915D41">
        <w:rPr>
          <w:i/>
        </w:rPr>
        <w:t>Humira</w:t>
      </w:r>
      <w:proofErr w:type="spellEnd"/>
      <w:r w:rsidRPr="00915D41">
        <w:rPr>
          <w:i/>
        </w:rPr>
        <w:t xml:space="preserve"> is indicated for the treatment of active moderate to severe hidradenitis </w:t>
      </w:r>
      <w:proofErr w:type="spellStart"/>
      <w:r w:rsidRPr="00915D41">
        <w:rPr>
          <w:i/>
        </w:rPr>
        <w:t>suppurativa</w:t>
      </w:r>
      <w:proofErr w:type="spellEnd"/>
      <w:r w:rsidRPr="00915D41">
        <w:rPr>
          <w:i/>
        </w:rPr>
        <w:t xml:space="preserve"> (acne </w:t>
      </w:r>
      <w:proofErr w:type="spellStart"/>
      <w:r w:rsidRPr="00915D41">
        <w:rPr>
          <w:i/>
        </w:rPr>
        <w:t>inversa</w:t>
      </w:r>
      <w:proofErr w:type="spellEnd"/>
      <w:r w:rsidRPr="00915D41">
        <w:rPr>
          <w:i/>
        </w:rPr>
        <w:t>) in adult patients with an inadequate response to conventional</w:t>
      </w:r>
      <w:r w:rsidR="00173399" w:rsidRPr="00173399">
        <w:rPr>
          <w:i/>
        </w:rPr>
        <w:t xml:space="preserve"> </w:t>
      </w:r>
      <w:r w:rsidR="00173399">
        <w:rPr>
          <w:i/>
        </w:rPr>
        <w:t xml:space="preserve">systemic </w:t>
      </w:r>
      <w:r w:rsidR="00173399" w:rsidRPr="00915D41">
        <w:rPr>
          <w:i/>
        </w:rPr>
        <w:t xml:space="preserve">hidradenitis </w:t>
      </w:r>
      <w:proofErr w:type="spellStart"/>
      <w:r w:rsidR="00173399" w:rsidRPr="00915D41">
        <w:rPr>
          <w:i/>
        </w:rPr>
        <w:t>suppurativa</w:t>
      </w:r>
      <w:proofErr w:type="spellEnd"/>
      <w:r w:rsidRPr="00915D41">
        <w:rPr>
          <w:i/>
        </w:rPr>
        <w:t xml:space="preserve"> therapy.</w:t>
      </w:r>
    </w:p>
    <w:p w:rsidR="00173399" w:rsidRDefault="00F55DBD" w:rsidP="00F55DBD">
      <w:pPr>
        <w:pStyle w:val="Heading4"/>
      </w:pPr>
      <w:r>
        <w:t>Specific conditions of registration</w:t>
      </w:r>
    </w:p>
    <w:p w:rsidR="00EC0CFE" w:rsidRPr="00173399" w:rsidRDefault="00F55DBD" w:rsidP="00173399">
      <w:r>
        <w:t xml:space="preserve">The </w:t>
      </w:r>
      <w:proofErr w:type="spellStart"/>
      <w:r>
        <w:t>Humira</w:t>
      </w:r>
      <w:proofErr w:type="spellEnd"/>
      <w:r w:rsidR="00173399" w:rsidRPr="00173399">
        <w:t xml:space="preserve"> EU</w:t>
      </w:r>
      <w:r w:rsidR="000C2FFA">
        <w:t>–</w:t>
      </w:r>
      <w:r w:rsidR="00173399" w:rsidRPr="00173399">
        <w:t>Risk Management Plan (RMP)</w:t>
      </w:r>
      <w:r w:rsidR="007523F0">
        <w:t xml:space="preserve"> 11.3.1, dated June 2015 with ASA Version 5.0 dated September 2015</w:t>
      </w:r>
      <w:r w:rsidR="00173399" w:rsidRPr="00173399">
        <w:t>, and any subsequent revisions,</w:t>
      </w:r>
      <w:r w:rsidR="00173399">
        <w:t xml:space="preserve"> as agreed with the TGA will be</w:t>
      </w:r>
      <w:r w:rsidR="00D16A60">
        <w:t xml:space="preserve"> </w:t>
      </w:r>
      <w:r w:rsidR="00173399" w:rsidRPr="00173399">
        <w:t>implemented in Australia.</w:t>
      </w:r>
    </w:p>
    <w:p w:rsidR="008E7846" w:rsidRDefault="00A80B5B" w:rsidP="00D23139">
      <w:pPr>
        <w:pStyle w:val="Heading2"/>
      </w:pPr>
      <w:bookmarkStart w:id="130" w:name="_Toc456951167"/>
      <w:proofErr w:type="gramStart"/>
      <w:r>
        <w:t>Attachment 1.</w:t>
      </w:r>
      <w:proofErr w:type="gramEnd"/>
      <w:r>
        <w:t xml:space="preserve"> </w:t>
      </w:r>
      <w:r w:rsidR="008E7846">
        <w:t xml:space="preserve">Product </w:t>
      </w:r>
      <w:r w:rsidR="00AA0ED0">
        <w:t>I</w:t>
      </w:r>
      <w:r w:rsidR="008E7846">
        <w:t>nformation</w:t>
      </w:r>
      <w:bookmarkEnd w:id="128"/>
      <w:bookmarkEnd w:id="129"/>
      <w:bookmarkEnd w:id="130"/>
    </w:p>
    <w:p w:rsidR="00C75618" w:rsidRDefault="00C75618" w:rsidP="00C80137">
      <w:pPr>
        <w:rPr>
          <w:color w:val="000000"/>
          <w:lang w:eastAsia="en-AU"/>
        </w:rPr>
      </w:pPr>
      <w:r w:rsidRPr="002B3624">
        <w:t xml:space="preserve">The </w:t>
      </w:r>
      <w:r>
        <w:t>PI</w:t>
      </w:r>
      <w:r w:rsidRPr="002B3624">
        <w:t xml:space="preserve"> for </w:t>
      </w:r>
      <w:proofErr w:type="spellStart"/>
      <w:r>
        <w:t>Humira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24" w:history="1">
        <w:r w:rsidRPr="007C6B9B">
          <w:rPr>
            <w:rStyle w:val="Hyperlink"/>
          </w:rPr>
          <w:t>https://www.tga.gov.au/product-information-pi</w:t>
        </w:r>
      </w:hyperlink>
      <w:r w:rsidRPr="007C6B9B">
        <w:t>&gt;.</w:t>
      </w:r>
    </w:p>
    <w:p w:rsidR="00C80137" w:rsidRDefault="00C80137" w:rsidP="00C80137">
      <w:pPr>
        <w:pStyle w:val="Heading2"/>
        <w:rPr>
          <w:lang w:eastAsia="en-AU"/>
        </w:rPr>
      </w:pPr>
      <w:bookmarkStart w:id="131" w:name="_Toc456951168"/>
      <w:proofErr w:type="gramStart"/>
      <w:r>
        <w:rPr>
          <w:lang w:eastAsia="en-AU"/>
        </w:rPr>
        <w:t>Attachment 2.</w:t>
      </w:r>
      <w:proofErr w:type="gramEnd"/>
      <w:r w:rsidR="00A80B5B">
        <w:rPr>
          <w:lang w:eastAsia="en-AU"/>
        </w:rPr>
        <w:t xml:space="preserve"> </w:t>
      </w:r>
      <w:r>
        <w:rPr>
          <w:lang w:eastAsia="en-AU"/>
        </w:rPr>
        <w:t>Extract from the Clinical Evaluation Report</w:t>
      </w:r>
      <w:bookmarkEnd w:id="131"/>
    </w:p>
    <w:p w:rsidR="00984200" w:rsidRDefault="00984200" w:rsidP="00984200">
      <w:pPr>
        <w:rPr>
          <w:lang w:eastAsia="ja-JP"/>
        </w:rPr>
      </w:pPr>
    </w:p>
    <w:p w:rsidR="00984200" w:rsidRPr="001D043B" w:rsidRDefault="00984200" w:rsidP="00984200">
      <w:pPr>
        <w:pStyle w:val="TableTitle"/>
        <w:sectPr w:rsidR="00984200"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302F26" w:rsidRPr="00487162" w:rsidTr="004A02BB">
        <w:trPr>
          <w:trHeight w:hRule="exact" w:val="704"/>
        </w:trPr>
        <w:tc>
          <w:tcPr>
            <w:tcW w:w="9175" w:type="dxa"/>
          </w:tcPr>
          <w:p w:rsidR="00302F26" w:rsidRPr="00487162" w:rsidRDefault="00302F26" w:rsidP="004A02BB">
            <w:pPr>
              <w:pStyle w:val="TGASignoff"/>
            </w:pPr>
            <w:r w:rsidRPr="00487162">
              <w:lastRenderedPageBreak/>
              <w:t>Therapeutic Goods Administration</w:t>
            </w:r>
          </w:p>
        </w:tc>
      </w:tr>
      <w:tr w:rsidR="00302F26" w:rsidRPr="004C239D" w:rsidTr="004A02BB">
        <w:trPr>
          <w:trHeight w:val="1221"/>
        </w:trPr>
        <w:tc>
          <w:tcPr>
            <w:tcW w:w="9175" w:type="dxa"/>
            <w:tcMar>
              <w:top w:w="28" w:type="dxa"/>
            </w:tcMar>
          </w:tcPr>
          <w:p w:rsidR="00302F26" w:rsidRPr="00487162" w:rsidRDefault="00302F26" w:rsidP="004A02BB">
            <w:pPr>
              <w:pStyle w:val="Address"/>
            </w:pPr>
            <w:r w:rsidRPr="00487162">
              <w:t>PO Box 100 Woden ACT 2606 Australia</w:t>
            </w:r>
          </w:p>
          <w:p w:rsidR="00302F26" w:rsidRPr="00487162" w:rsidRDefault="00302F26" w:rsidP="004A02BB">
            <w:pPr>
              <w:pStyle w:val="Address"/>
            </w:pPr>
            <w:r w:rsidRPr="00487162">
              <w:t xml:space="preserve">Email: </w:t>
            </w:r>
            <w:hyperlink r:id="rId29" w:history="1">
              <w:r w:rsidRPr="004C239D">
                <w:rPr>
                  <w:rStyle w:val="Hyperlink"/>
                </w:rPr>
                <w:t>info@tga.gov.au</w:t>
              </w:r>
            </w:hyperlink>
            <w:r w:rsidRPr="00487162">
              <w:t xml:space="preserve">  Phone: 1800 020 653  Fax: 02 6232 8605</w:t>
            </w:r>
          </w:p>
          <w:p w:rsidR="00302F26" w:rsidRPr="004C239D" w:rsidRDefault="00302F26" w:rsidP="004A02BB">
            <w:pPr>
              <w:pStyle w:val="Address"/>
              <w:spacing w:line="260" w:lineRule="atLeast"/>
              <w:rPr>
                <w:b/>
                <w:color w:val="0000FF"/>
                <w:u w:val="single"/>
              </w:rPr>
            </w:pPr>
            <w:hyperlink r:id="rId30" w:history="1">
              <w:r w:rsidRPr="007C6B9B">
                <w:rPr>
                  <w:rStyle w:val="Hyperlink"/>
                  <w:b/>
                </w:rPr>
                <w:t>https://www.tga.gov.au</w:t>
              </w:r>
            </w:hyperlink>
          </w:p>
        </w:tc>
      </w:tr>
    </w:tbl>
    <w:p w:rsidR="00774E1D" w:rsidRPr="008A5E0B" w:rsidRDefault="00774E1D" w:rsidP="00302F26"/>
    <w:sectPr w:rsidR="00774E1D" w:rsidRPr="008A5E0B" w:rsidSect="00FE64BA">
      <w:headerReference w:type="even" r:id="rId31"/>
      <w:headerReference w:type="default" r:id="rId32"/>
      <w:footerReference w:type="default" r:id="rId33"/>
      <w:headerReference w:type="first" r:id="rId34"/>
      <w:footerReference w:type="first" r:id="rId35"/>
      <w:pgSz w:w="11906" w:h="16838" w:code="9"/>
      <w:pgMar w:top="13325" w:right="1701" w:bottom="567" w:left="1701" w:header="907" w:footer="4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464" w:rsidRDefault="00A31464" w:rsidP="00C40A36">
      <w:pPr>
        <w:spacing w:after="0"/>
      </w:pPr>
      <w:r>
        <w:separator/>
      </w:r>
    </w:p>
  </w:endnote>
  <w:endnote w:type="continuationSeparator" w:id="0">
    <w:p w:rsidR="00A31464" w:rsidRDefault="00A3146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31464" w:rsidRPr="00487162" w:rsidTr="00DB750B">
      <w:trPr>
        <w:trHeight w:val="269"/>
      </w:trPr>
      <w:tc>
        <w:tcPr>
          <w:tcW w:w="7371" w:type="dxa"/>
          <w:tcMar>
            <w:top w:w="142" w:type="dxa"/>
            <w:bottom w:w="0" w:type="dxa"/>
          </w:tcMar>
        </w:tcPr>
        <w:p w:rsidR="00A31464" w:rsidRPr="00487162" w:rsidRDefault="00A31464" w:rsidP="00E24208">
          <w:pPr>
            <w:pStyle w:val="Footer"/>
          </w:pPr>
          <w:r w:rsidRPr="00487162">
            <w:t>AusPA</w:t>
          </w:r>
          <w:r>
            <w:t xml:space="preserve">R </w:t>
          </w:r>
          <w:proofErr w:type="spellStart"/>
          <w:r>
            <w:t>Humira</w:t>
          </w:r>
          <w:proofErr w:type="spellEnd"/>
          <w:r>
            <w:t xml:space="preserve"> adalimumab (</w:t>
          </w:r>
          <w:proofErr w:type="spellStart"/>
          <w:r>
            <w:t>rch</w:t>
          </w:r>
          <w:proofErr w:type="spellEnd"/>
          <w:r>
            <w:t xml:space="preserve">) Sponsor: </w:t>
          </w:r>
          <w:proofErr w:type="spellStart"/>
          <w:r>
            <w:t>Abbvie</w:t>
          </w:r>
          <w:proofErr w:type="spellEnd"/>
          <w:r>
            <w:t xml:space="preserve"> </w:t>
          </w:r>
          <w:r>
            <w:br/>
            <w:t>PM–2014-04326-1-4 Final 12 July 2016</w:t>
          </w:r>
        </w:p>
      </w:tc>
      <w:tc>
        <w:tcPr>
          <w:tcW w:w="1490" w:type="dxa"/>
          <w:tcMar>
            <w:top w:w="142" w:type="dxa"/>
            <w:bottom w:w="0" w:type="dxa"/>
          </w:tcMar>
        </w:tcPr>
        <w:p w:rsidR="00A31464" w:rsidRPr="00487162" w:rsidRDefault="00A31464" w:rsidP="00DB750B">
          <w:pPr>
            <w:pStyle w:val="Footer"/>
            <w:jc w:val="right"/>
          </w:pPr>
          <w:r w:rsidRPr="00487162">
            <w:t xml:space="preserve">Page </w:t>
          </w:r>
          <w:r>
            <w:fldChar w:fldCharType="begin"/>
          </w:r>
          <w:r>
            <w:instrText xml:space="preserve"> PAGE  \* Arabic </w:instrText>
          </w:r>
          <w:r>
            <w:fldChar w:fldCharType="separate"/>
          </w:r>
          <w:r w:rsidR="00FE64BA">
            <w:rPr>
              <w:noProof/>
            </w:rPr>
            <w:t>4</w:t>
          </w:r>
          <w:r>
            <w:fldChar w:fldCharType="end"/>
          </w:r>
          <w:r w:rsidRPr="00487162">
            <w:t xml:space="preserve"> of </w:t>
          </w:r>
          <w:fldSimple w:instr=" NUMPAGES  \* Arabic ">
            <w:r w:rsidR="00FE64BA">
              <w:rPr>
                <w:noProof/>
              </w:rPr>
              <w:t>39</w:t>
            </w:r>
          </w:fldSimple>
        </w:p>
      </w:tc>
    </w:tr>
  </w:tbl>
  <w:p w:rsidR="00A31464" w:rsidRDefault="00A31464"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84200" w:rsidRPr="00487162" w:rsidTr="00E45619">
      <w:trPr>
        <w:trHeight w:val="269"/>
      </w:trPr>
      <w:tc>
        <w:tcPr>
          <w:tcW w:w="4519" w:type="dxa"/>
          <w:tcBorders>
            <w:top w:val="single" w:sz="4" w:space="0" w:color="auto"/>
          </w:tcBorders>
          <w:tcMar>
            <w:top w:w="142" w:type="dxa"/>
            <w:bottom w:w="0" w:type="dxa"/>
          </w:tcMar>
        </w:tcPr>
        <w:p w:rsidR="00984200" w:rsidRPr="00487162" w:rsidRDefault="00984200" w:rsidP="00FE1DEE">
          <w:pPr>
            <w:pStyle w:val="Footer"/>
          </w:pPr>
          <w:r w:rsidRPr="00487162">
            <w:t>Document title, Part #, Section # - Section title</w:t>
          </w:r>
        </w:p>
        <w:p w:rsidR="00984200" w:rsidRPr="00487162" w:rsidRDefault="00984200" w:rsidP="00FE1DEE">
          <w:pPr>
            <w:pStyle w:val="Footer"/>
          </w:pPr>
          <w:r w:rsidRPr="00487162">
            <w:t>V1.0 October 2010</w:t>
          </w:r>
        </w:p>
      </w:tc>
      <w:tc>
        <w:tcPr>
          <w:tcW w:w="4342" w:type="dxa"/>
          <w:tcBorders>
            <w:top w:val="single" w:sz="4" w:space="0" w:color="auto"/>
          </w:tcBorders>
          <w:tcMar>
            <w:top w:w="142" w:type="dxa"/>
            <w:bottom w:w="0" w:type="dxa"/>
          </w:tcMar>
        </w:tcPr>
        <w:p w:rsidR="00984200" w:rsidRPr="00487162" w:rsidRDefault="0098420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16</w:t>
          </w:r>
          <w:r>
            <w:rPr>
              <w:noProof/>
            </w:rPr>
            <w:fldChar w:fldCharType="end"/>
          </w:r>
        </w:p>
      </w:tc>
    </w:tr>
  </w:tbl>
  <w:p w:rsidR="00984200" w:rsidRDefault="009842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F26" w:rsidRPr="00302F26" w:rsidRDefault="00302F26" w:rsidP="00302F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31464" w:rsidTr="0010601F">
      <w:trPr>
        <w:trHeight w:val="108"/>
      </w:trPr>
      <w:tc>
        <w:tcPr>
          <w:tcW w:w="8875" w:type="dxa"/>
          <w:gridSpan w:val="2"/>
          <w:tcBorders>
            <w:bottom w:val="single" w:sz="4" w:space="0" w:color="auto"/>
          </w:tcBorders>
          <w:tcMar>
            <w:right w:w="284" w:type="dxa"/>
          </w:tcMar>
        </w:tcPr>
        <w:p w:rsidR="00A31464" w:rsidRDefault="00A31464" w:rsidP="006E08B3">
          <w:pPr>
            <w:pStyle w:val="Heading3"/>
          </w:pPr>
          <w:r>
            <w:t>Copyright</w:t>
          </w:r>
        </w:p>
        <w:p w:rsidR="00A31464" w:rsidRDefault="00A31464" w:rsidP="006E08B3">
          <w:r>
            <w:rPr>
              <w:rFonts w:cs="Arial"/>
            </w:rPr>
            <w:t>©</w:t>
          </w:r>
          <w:r>
            <w:t xml:space="preserve"> Commonwealth of Australia [add year]</w:t>
          </w:r>
        </w:p>
        <w:p w:rsidR="00A31464" w:rsidRDefault="00A31464" w:rsidP="006E08B3"/>
        <w:p w:rsidR="00A31464" w:rsidRDefault="00A3146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31464" w:rsidRDefault="00A31464" w:rsidP="006E08B3"/>
        <w:p w:rsidR="00A31464" w:rsidRDefault="00A31464" w:rsidP="006E08B3">
          <w:pPr>
            <w:pStyle w:val="Heading3"/>
          </w:pPr>
          <w:r>
            <w:t>Confidentiality</w:t>
          </w:r>
        </w:p>
        <w:p w:rsidR="00A31464" w:rsidRDefault="00A3146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31464" w:rsidRDefault="00A31464" w:rsidP="006E08B3"/>
        <w:p w:rsidR="00A31464" w:rsidRDefault="00A31464" w:rsidP="006E08B3">
          <w:r>
            <w:t>For submission made by individuals, all personal details, other than your name, will be removed from your submission before it is published on the TGA’s Internet site.</w:t>
          </w:r>
        </w:p>
        <w:p w:rsidR="00A31464" w:rsidRDefault="00A31464" w:rsidP="006E08B3"/>
        <w:p w:rsidR="00A31464" w:rsidRDefault="00A3146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31464" w:rsidTr="0010601F">
      <w:trPr>
        <w:trHeight w:val="417"/>
      </w:trPr>
      <w:tc>
        <w:tcPr>
          <w:tcW w:w="4519" w:type="dxa"/>
          <w:tcBorders>
            <w:top w:val="single" w:sz="4" w:space="0" w:color="auto"/>
          </w:tcBorders>
          <w:tcMar>
            <w:top w:w="142" w:type="dxa"/>
            <w:bottom w:w="0" w:type="dxa"/>
          </w:tcMar>
        </w:tcPr>
        <w:p w:rsidR="00A31464" w:rsidRDefault="00A31464" w:rsidP="006E08B3">
          <w:r>
            <w:t>Document title, Part #, Section # - Section title</w:t>
          </w:r>
        </w:p>
        <w:p w:rsidR="00A31464" w:rsidRDefault="00A31464" w:rsidP="006E08B3">
          <w:r>
            <w:t>V1.0 October 2010</w:t>
          </w:r>
        </w:p>
      </w:tc>
      <w:tc>
        <w:tcPr>
          <w:tcW w:w="4356" w:type="dxa"/>
          <w:tcBorders>
            <w:top w:val="single" w:sz="4" w:space="0" w:color="auto"/>
          </w:tcBorders>
          <w:tcMar>
            <w:top w:w="142" w:type="dxa"/>
            <w:bottom w:w="0" w:type="dxa"/>
          </w:tcMar>
        </w:tcPr>
        <w:p w:rsidR="00A31464" w:rsidRDefault="00A3146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38</w:t>
          </w:r>
          <w:r>
            <w:rPr>
              <w:noProof/>
            </w:rPr>
            <w:fldChar w:fldCharType="end"/>
          </w:r>
          <w:r>
            <w:t xml:space="preserve">  </w:t>
          </w:r>
        </w:p>
      </w:tc>
    </w:tr>
  </w:tbl>
  <w:p w:rsidR="00A31464" w:rsidRDefault="00A314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464" w:rsidRDefault="00A31464" w:rsidP="00C40A36">
      <w:pPr>
        <w:spacing w:after="0"/>
      </w:pPr>
      <w:r>
        <w:separator/>
      </w:r>
    </w:p>
  </w:footnote>
  <w:footnote w:type="continuationSeparator" w:id="0">
    <w:p w:rsidR="00A31464" w:rsidRDefault="00A31464" w:rsidP="00C40A36">
      <w:pPr>
        <w:spacing w:after="0"/>
      </w:pPr>
      <w:r>
        <w:continuationSeparator/>
      </w:r>
    </w:p>
  </w:footnote>
  <w:footnote w:id="1">
    <w:p w:rsidR="00A31464" w:rsidRPr="00CA3066" w:rsidRDefault="00A31464" w:rsidP="00BB5A93">
      <w:pPr>
        <w:pStyle w:val="FootnoteText"/>
      </w:pPr>
      <w:r>
        <w:rPr>
          <w:rStyle w:val="FootnoteReference"/>
        </w:rPr>
        <w:footnoteRef/>
      </w:r>
      <w:r>
        <w:t xml:space="preserve"> </w:t>
      </w:r>
      <w:proofErr w:type="spellStart"/>
      <w:r w:rsidRPr="00CA3066">
        <w:t>Margesson</w:t>
      </w:r>
      <w:proofErr w:type="spellEnd"/>
      <w:r w:rsidRPr="00CA3066">
        <w:t xml:space="preserve"> LJ and Danby FW: Pathogenesis, clinical features, and diagnosis of hidradenitis </w:t>
      </w:r>
      <w:proofErr w:type="spellStart"/>
      <w:r w:rsidRPr="00CA3066">
        <w:t>suppurativa</w:t>
      </w:r>
      <w:proofErr w:type="spellEnd"/>
      <w:r w:rsidRPr="00CA3066">
        <w:t xml:space="preserve"> (acne </w:t>
      </w:r>
      <w:proofErr w:type="spellStart"/>
      <w:r w:rsidRPr="00CA3066">
        <w:t>inversa</w:t>
      </w:r>
      <w:proofErr w:type="spellEnd"/>
      <w:r w:rsidRPr="00CA3066">
        <w:t>). From Up–to–date Topic 5575 Version 18.0 Topic last updated Sep 29, 2015.</w:t>
      </w:r>
    </w:p>
  </w:footnote>
  <w:footnote w:id="2">
    <w:p w:rsidR="00A31464" w:rsidRPr="003B75EC" w:rsidRDefault="00A31464">
      <w:pPr>
        <w:pStyle w:val="FootnoteText"/>
      </w:pPr>
      <w:r>
        <w:rPr>
          <w:rStyle w:val="FootnoteReference"/>
        </w:rPr>
        <w:footnoteRef/>
      </w:r>
      <w:r>
        <w:t xml:space="preserve"> </w:t>
      </w:r>
      <w:proofErr w:type="spellStart"/>
      <w:r w:rsidRPr="003B75EC">
        <w:t>HiSCR</w:t>
      </w:r>
      <w:proofErr w:type="spellEnd"/>
      <w:r w:rsidRPr="003B75EC">
        <w:t xml:space="preserve"> (Hidradenitis </w:t>
      </w:r>
      <w:proofErr w:type="spellStart"/>
      <w:r w:rsidRPr="003B75EC">
        <w:t>Suppurativa</w:t>
      </w:r>
      <w:proofErr w:type="spellEnd"/>
      <w:r w:rsidRPr="003B75EC">
        <w:t xml:space="preserve"> Clinical Response): At least a 50% reduction in the total abscess and inflammatory nodule (AN) count with no increase in abscess count and no increase in draining fistula count at a given clinical endpoint relative to Baseline. Measurement Report to Support the Use of the Hidradenitis </w:t>
      </w:r>
      <w:proofErr w:type="spellStart"/>
      <w:r w:rsidRPr="003B75EC">
        <w:t>Suppurativa</w:t>
      </w:r>
      <w:proofErr w:type="spellEnd"/>
      <w:r w:rsidRPr="003B75EC">
        <w:t xml:space="preserve"> Clinical Response (</w:t>
      </w:r>
      <w:proofErr w:type="spellStart"/>
      <w:r w:rsidRPr="003B75EC">
        <w:t>HiSCR</w:t>
      </w:r>
      <w:proofErr w:type="spellEnd"/>
      <w:r w:rsidRPr="003B75EC">
        <w:t xml:space="preserve">) Measure to Assess the Impact of Adalimumab Treatment on Skin Lesions in Patients with Moderate to Severe Hidradenitis </w:t>
      </w:r>
      <w:proofErr w:type="spellStart"/>
      <w:r w:rsidRPr="003B75EC">
        <w:t>Suppurativa</w:t>
      </w:r>
      <w:proofErr w:type="spellEnd"/>
      <w:r w:rsidRPr="003B75EC">
        <w:t xml:space="preserve">. October 2014 </w:t>
      </w:r>
      <w:proofErr w:type="spellStart"/>
      <w:r w:rsidRPr="003B75EC">
        <w:t>Abbvie</w:t>
      </w:r>
      <w:proofErr w:type="spellEnd"/>
      <w:r w:rsidRPr="003B75EC">
        <w:t xml:space="preserve"> Inc.</w:t>
      </w:r>
    </w:p>
  </w:footnote>
  <w:footnote w:id="3">
    <w:p w:rsidR="00A31464" w:rsidRPr="00AC405A" w:rsidRDefault="00A31464" w:rsidP="00A123C1">
      <w:pPr>
        <w:pStyle w:val="FootnoteText"/>
      </w:pPr>
      <w:r>
        <w:rPr>
          <w:rStyle w:val="FootnoteReference"/>
        </w:rPr>
        <w:footnoteRef/>
      </w:r>
      <w:r>
        <w:t xml:space="preserve"> </w:t>
      </w:r>
      <w:r w:rsidRPr="00AC405A">
        <w:t>Clinical efficacy studies with adalimumab in HS looked for evidence about short term induction therapy in ‘Period A’ for up to 12 weeks (Week 0-Week 12); after ‘Period A’ subjects entered ‘Period B’ where studies looked for evidence about maintenance treatment for an additional 24 weeks (Week 12-Week 36). Beyond 36 weeks subjects could enter into an Open Label Extension study. Adalimumab 2</w:t>
      </w:r>
      <w:r>
        <w:t>.5 Clinical Overview R&amp;D/13/738</w:t>
      </w:r>
    </w:p>
  </w:footnote>
  <w:footnote w:id="4">
    <w:p w:rsidR="00A31464" w:rsidRPr="00AC405A" w:rsidRDefault="00A31464">
      <w:pPr>
        <w:pStyle w:val="FootnoteText"/>
      </w:pPr>
      <w:r w:rsidRPr="00AC405A">
        <w:rPr>
          <w:rStyle w:val="FootnoteReference"/>
        </w:rPr>
        <w:footnoteRef/>
      </w:r>
      <w:r w:rsidRPr="00AC405A">
        <w:t xml:space="preserve"> LOR (loss of response): A loss of at least 50% of the improvement (reduction) in the </w:t>
      </w:r>
      <w:proofErr w:type="gramStart"/>
      <w:r w:rsidRPr="00AC405A">
        <w:t>AN</w:t>
      </w:r>
      <w:proofErr w:type="gramEnd"/>
      <w:r w:rsidRPr="00AC405A">
        <w:t xml:space="preserve"> count achieved from Baseline to Week 12. </w:t>
      </w:r>
      <w:proofErr w:type="gramStart"/>
      <w:r w:rsidRPr="00AC405A">
        <w:t xml:space="preserve">A phase III Open Label Study of the Safety and Efficacy of Adalimumab in Subjects with Moderate to Severe Hidradenitis </w:t>
      </w:r>
      <w:proofErr w:type="spellStart"/>
      <w:r w:rsidRPr="00AC405A">
        <w:t>Suppurativa</w:t>
      </w:r>
      <w:proofErr w:type="spellEnd"/>
      <w:r w:rsidRPr="00AC405A">
        <w:t xml:space="preserve"> PIONEER (Open Label Extension) AbbVie Inc. (</w:t>
      </w:r>
      <w:proofErr w:type="spellStart"/>
      <w:r w:rsidRPr="00AC405A">
        <w:t>Abbvie</w:t>
      </w:r>
      <w:proofErr w:type="spellEnd"/>
      <w:r w:rsidRPr="00AC405A">
        <w:t>)</w:t>
      </w:r>
      <w:r>
        <w:t>.</w:t>
      </w:r>
      <w:proofErr w:type="gramEnd"/>
      <w:r w:rsidRPr="00AC405A">
        <w:t xml:space="preserve"> Clinical Study Report (Interim) R&amp;D/13/1034 Adalimumab/Protocol M12-555</w:t>
      </w:r>
    </w:p>
  </w:footnote>
  <w:footnote w:id="5">
    <w:p w:rsidR="00A31464" w:rsidRPr="001D65E3" w:rsidRDefault="00A31464">
      <w:pPr>
        <w:pStyle w:val="FootnoteText"/>
      </w:pPr>
      <w:r>
        <w:rPr>
          <w:rStyle w:val="FootnoteReference"/>
        </w:rPr>
        <w:footnoteRef/>
      </w:r>
      <w:r>
        <w:t xml:space="preserve"> </w:t>
      </w:r>
      <w:r w:rsidRPr="001D65E3">
        <w:t>DLQI (Dermatology Life Quality Index): an index used to assess the symptoms and the impact of skin problems on quality of life. The DLQI evaluates symptoms and feelings, daily activities, leisure, work and school, personal relationship, and treatment based on a recall period of the last week. The DLQI ranges from 0–30, with lower scores reflecting less impairment and improved health–related quality of life. (Finlay</w:t>
      </w:r>
      <w:r>
        <w:t xml:space="preserve"> AY, Khan GK: </w:t>
      </w:r>
      <w:r w:rsidRPr="002A028D">
        <w:rPr>
          <w:i/>
        </w:rPr>
        <w:t>Dermatology Life Quality Index (DLQI) - a simple practical measure for routine clinical use.</w:t>
      </w:r>
      <w:r w:rsidRPr="001D65E3">
        <w:t xml:space="preserve"> </w:t>
      </w:r>
      <w:proofErr w:type="spellStart"/>
      <w:r w:rsidRPr="001D65E3">
        <w:t>Clin</w:t>
      </w:r>
      <w:proofErr w:type="spellEnd"/>
      <w:r w:rsidRPr="001D65E3">
        <w:t xml:space="preserve"> </w:t>
      </w:r>
      <w:proofErr w:type="spellStart"/>
      <w:r w:rsidRPr="001D65E3">
        <w:t>Exp</w:t>
      </w:r>
      <w:proofErr w:type="spellEnd"/>
      <w:r w:rsidRPr="001D65E3">
        <w:t xml:space="preserve"> </w:t>
      </w:r>
      <w:proofErr w:type="spellStart"/>
      <w:r w:rsidRPr="001D65E3">
        <w:t>Dermatol</w:t>
      </w:r>
      <w:proofErr w:type="spellEnd"/>
      <w:r w:rsidRPr="001D65E3">
        <w:t>. 1994 May; 19(3):210-6.)</w:t>
      </w:r>
    </w:p>
  </w:footnote>
  <w:footnote w:id="6">
    <w:p w:rsidR="00A31464" w:rsidRDefault="00A31464">
      <w:pPr>
        <w:pStyle w:val="FootnoteText"/>
      </w:pPr>
      <w:r>
        <w:rPr>
          <w:rStyle w:val="FootnoteReference"/>
        </w:rPr>
        <w:footnoteRef/>
      </w:r>
      <w:r>
        <w:t xml:space="preserve"> NRI (Non-</w:t>
      </w:r>
      <w:r w:rsidRPr="007732DF">
        <w:t>responder imputation): A standard statistical strategy for handling missing data: any subject who d</w:t>
      </w:r>
      <w:r>
        <w:t>rops out is assumed to be a non-</w:t>
      </w:r>
      <w:r w:rsidRPr="007732DF">
        <w:t>responder.</w:t>
      </w:r>
    </w:p>
  </w:footnote>
  <w:footnote w:id="7">
    <w:p w:rsidR="00A31464" w:rsidRPr="00712729" w:rsidRDefault="00A31464">
      <w:pPr>
        <w:pStyle w:val="FootnoteText"/>
      </w:pPr>
      <w:r w:rsidRPr="003E6B20">
        <w:rPr>
          <w:rStyle w:val="FootnoteReference"/>
          <w:i/>
        </w:rPr>
        <w:footnoteRef/>
      </w:r>
      <w:r w:rsidRPr="003E6B20">
        <w:rPr>
          <w:i/>
        </w:rPr>
        <w:t xml:space="preserve"> </w:t>
      </w:r>
      <w:r w:rsidRPr="00712729">
        <w:t xml:space="preserve">RD131033 Integrated Summary of Safety Text– Hidradenitis </w:t>
      </w:r>
      <w:proofErr w:type="spellStart"/>
      <w:r w:rsidRPr="00712729">
        <w:t>Suppurativa</w:t>
      </w:r>
      <w:proofErr w:type="spellEnd"/>
      <w:r w:rsidRPr="00712729">
        <w:t xml:space="preserve">: A summary of all reported AE`s in the adalimumab clinical trials in hidradenitis </w:t>
      </w:r>
      <w:proofErr w:type="spellStart"/>
      <w:r w:rsidRPr="00712729">
        <w:t>suppurativa</w:t>
      </w:r>
      <w:proofErr w:type="spellEnd"/>
      <w:r w:rsidRPr="00712729">
        <w:t>, a document submitted to TGA.</w:t>
      </w:r>
    </w:p>
  </w:footnote>
  <w:footnote w:id="8">
    <w:p w:rsidR="00A31464" w:rsidRPr="002A6F35" w:rsidRDefault="00A31464">
      <w:pPr>
        <w:pStyle w:val="FootnoteText"/>
      </w:pPr>
      <w:r w:rsidRPr="002A6F35">
        <w:rPr>
          <w:rStyle w:val="FootnoteReference"/>
        </w:rPr>
        <w:footnoteRef/>
      </w:r>
      <w:r w:rsidRPr="002A6F35">
        <w:t xml:space="preserve"> LOCF (Last observation carried forward): A standard strategy for addressing the problem of missing data. It handles missing data by assigning the value recorded at the patient`s last visit to all subsequent missed visits.</w:t>
      </w:r>
    </w:p>
  </w:footnote>
  <w:footnote w:id="9">
    <w:p w:rsidR="00A31464" w:rsidRPr="002A6F35" w:rsidRDefault="00A31464" w:rsidP="0030665F">
      <w:pPr>
        <w:pStyle w:val="FootnoteText"/>
      </w:pPr>
      <w:r w:rsidRPr="002A6F35">
        <w:rPr>
          <w:rStyle w:val="FootnoteReference"/>
        </w:rPr>
        <w:footnoteRef/>
      </w:r>
      <w:r w:rsidRPr="002A6F35">
        <w:t xml:space="preserve"> Level of evidence: A ranking system commonly used to describe the strength of the results measured in a clinical trial or a research study, using a scale from 1 to 5 being 1 the highest evidence.</w:t>
      </w:r>
    </w:p>
  </w:footnote>
  <w:footnote w:id="10">
    <w:p w:rsidR="00A31464" w:rsidRDefault="00A31464">
      <w:pPr>
        <w:pStyle w:val="FootnoteText"/>
      </w:pPr>
      <w:r w:rsidRPr="002A6F35">
        <w:rPr>
          <w:rStyle w:val="FootnoteReference"/>
        </w:rPr>
        <w:footnoteRef/>
      </w:r>
      <w:r w:rsidRPr="002A6F35">
        <w:t xml:space="preserve"> Strength of recommendation: A ranking system commonly used to describe the risk versus benefit at the given level of evidence using a scale from A to I being A the highest benefit/risk ratio.</w:t>
      </w:r>
    </w:p>
  </w:footnote>
  <w:footnote w:id="11">
    <w:p w:rsidR="00A31464" w:rsidRDefault="00A31464">
      <w:pPr>
        <w:pStyle w:val="FootnoteText"/>
      </w:pPr>
      <w:r>
        <w:rPr>
          <w:rStyle w:val="FootnoteReference"/>
        </w:rPr>
        <w:footnoteRef/>
      </w:r>
      <w:r>
        <w:t xml:space="preserve"> Gulliver W et al: Evidence–based approach to the treatment hidradenitis </w:t>
      </w:r>
      <w:proofErr w:type="spellStart"/>
      <w:r>
        <w:t>suppurativa</w:t>
      </w:r>
      <w:proofErr w:type="spellEnd"/>
      <w:r>
        <w:t xml:space="preserve">/acne </w:t>
      </w:r>
      <w:proofErr w:type="spellStart"/>
      <w:r>
        <w:t>inversa</w:t>
      </w:r>
      <w:proofErr w:type="spellEnd"/>
      <w:r>
        <w:t xml:space="preserve"> based on the European guidelines for hidradenitis </w:t>
      </w:r>
      <w:proofErr w:type="spellStart"/>
      <w:r>
        <w:t>suppurativa</w:t>
      </w:r>
      <w:proofErr w:type="spellEnd"/>
      <w:r>
        <w:t>. Presented at</w:t>
      </w:r>
      <w:proofErr w:type="gramStart"/>
      <w:r>
        <w:t>:23</w:t>
      </w:r>
      <w:r w:rsidRPr="00530161">
        <w:rPr>
          <w:vertAlign w:val="superscript"/>
        </w:rPr>
        <w:t>rd</w:t>
      </w:r>
      <w:proofErr w:type="gramEnd"/>
      <w:r>
        <w:t xml:space="preserve"> World Congress of </w:t>
      </w:r>
      <w:proofErr w:type="spellStart"/>
      <w:r>
        <w:t>Dermatology;June</w:t>
      </w:r>
      <w:proofErr w:type="spellEnd"/>
      <w:r>
        <w:t xml:space="preserve"> 8–13,2015; Vancouver, Canada. </w:t>
      </w:r>
      <w:proofErr w:type="gramStart"/>
      <w:r>
        <w:t>Abstract 3078692.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464" w:rsidRDefault="00A3146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464" w:rsidRDefault="00A31464">
    <w:pPr>
      <w:rPr>
        <w:noProof/>
        <w:lang w:eastAsia="en-AU"/>
      </w:rPr>
    </w:pPr>
    <w:r w:rsidRPr="00347824">
      <w:rPr>
        <w:noProof/>
        <w:lang w:eastAsia="en-AU"/>
      </w:rPr>
      <w:drawing>
        <wp:anchor distT="0" distB="0" distL="114300" distR="114300" simplePos="0" relativeHeight="251659264" behindDoc="1" locked="0" layoutInCell="1" allowOverlap="1" wp14:anchorId="1A48F53A" wp14:editId="7BF4707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31464" w:rsidRDefault="00A31464" w:rsidP="00593AD1">
    <w:pPr>
      <w:pStyle w:val="HeaderNoLine"/>
    </w:pPr>
    <w:r>
      <w:rPr>
        <w:noProof/>
        <w:lang w:eastAsia="en-AU"/>
      </w:rPr>
      <w:drawing>
        <wp:inline distT="0" distB="0" distL="0" distR="0" wp14:anchorId="6B8C2AA6" wp14:editId="7B4D07D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00" w:rsidRDefault="009842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00" w:rsidRDefault="0098420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200" w:rsidRDefault="0098420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464" w:rsidRDefault="00A314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464" w:rsidRPr="00302F26" w:rsidRDefault="00A31464" w:rsidP="00302F26">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464" w:rsidRDefault="00A31464" w:rsidP="006E08B3">
    <w:r>
      <w:t>Therapeutic Goods Administration</w:t>
    </w:r>
  </w:p>
  <w:p w:rsidR="00A31464" w:rsidRDefault="00A3146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7D84B36"/>
    <w:lvl w:ilvl="0">
      <w:start w:val="1"/>
      <w:numFmt w:val="bullet"/>
      <w:lvlText w:val=""/>
      <w:lvlJc w:val="left"/>
      <w:pPr>
        <w:tabs>
          <w:tab w:val="num" w:pos="360"/>
        </w:tabs>
        <w:ind w:left="360" w:hanging="360"/>
      </w:pPr>
      <w:rPr>
        <w:rFonts w:ascii="Symbol" w:hAnsi="Symbol" w:hint="default"/>
      </w:rPr>
    </w:lvl>
  </w:abstractNum>
  <w:abstractNum w:abstractNumId="1">
    <w:nsid w:val="005E4C9E"/>
    <w:multiLevelType w:val="hybridMultilevel"/>
    <w:tmpl w:val="6F9E616C"/>
    <w:lvl w:ilvl="0" w:tplc="A2C632E2">
      <w:start w:val="44"/>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2">
    <w:nsid w:val="10053F11"/>
    <w:multiLevelType w:val="multilevel"/>
    <w:tmpl w:val="CBE8263C"/>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ascii="Cambria" w:eastAsia="Cambria" w:hAnsi="Cambria" w:cs="Times New Roman"/>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C6342AA"/>
    <w:multiLevelType w:val="hybridMultilevel"/>
    <w:tmpl w:val="BFFA67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3E5562D"/>
    <w:multiLevelType w:val="hybridMultilevel"/>
    <w:tmpl w:val="89C2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095"/>
    <w:rsid w:val="00002031"/>
    <w:rsid w:val="00004734"/>
    <w:rsid w:val="00006B22"/>
    <w:rsid w:val="000113D1"/>
    <w:rsid w:val="00011783"/>
    <w:rsid w:val="0001276A"/>
    <w:rsid w:val="000152F3"/>
    <w:rsid w:val="0001553A"/>
    <w:rsid w:val="0001580C"/>
    <w:rsid w:val="00022651"/>
    <w:rsid w:val="000233D2"/>
    <w:rsid w:val="0002409C"/>
    <w:rsid w:val="000246AE"/>
    <w:rsid w:val="00024D15"/>
    <w:rsid w:val="00025C67"/>
    <w:rsid w:val="00030575"/>
    <w:rsid w:val="0003326B"/>
    <w:rsid w:val="00042FE8"/>
    <w:rsid w:val="00044772"/>
    <w:rsid w:val="00045C09"/>
    <w:rsid w:val="000469EA"/>
    <w:rsid w:val="00050F4C"/>
    <w:rsid w:val="0005559E"/>
    <w:rsid w:val="0005575E"/>
    <w:rsid w:val="000579C0"/>
    <w:rsid w:val="00057E5A"/>
    <w:rsid w:val="000601EB"/>
    <w:rsid w:val="000604D6"/>
    <w:rsid w:val="00060BDA"/>
    <w:rsid w:val="00062469"/>
    <w:rsid w:val="0006781C"/>
    <w:rsid w:val="000734D8"/>
    <w:rsid w:val="0007730C"/>
    <w:rsid w:val="00077775"/>
    <w:rsid w:val="00080E26"/>
    <w:rsid w:val="00080ED7"/>
    <w:rsid w:val="00082C23"/>
    <w:rsid w:val="00082C41"/>
    <w:rsid w:val="00090471"/>
    <w:rsid w:val="000933DA"/>
    <w:rsid w:val="000934D6"/>
    <w:rsid w:val="00096AA7"/>
    <w:rsid w:val="000A1391"/>
    <w:rsid w:val="000A2AF9"/>
    <w:rsid w:val="000A3AED"/>
    <w:rsid w:val="000A49D3"/>
    <w:rsid w:val="000A5BEF"/>
    <w:rsid w:val="000B03EB"/>
    <w:rsid w:val="000B3532"/>
    <w:rsid w:val="000B3A75"/>
    <w:rsid w:val="000B7CBD"/>
    <w:rsid w:val="000C00C2"/>
    <w:rsid w:val="000C2FFA"/>
    <w:rsid w:val="000C690F"/>
    <w:rsid w:val="000D09EE"/>
    <w:rsid w:val="000D1295"/>
    <w:rsid w:val="000D1957"/>
    <w:rsid w:val="000D359B"/>
    <w:rsid w:val="000D391B"/>
    <w:rsid w:val="000D39CF"/>
    <w:rsid w:val="000D3D6D"/>
    <w:rsid w:val="000D4FC7"/>
    <w:rsid w:val="000E6196"/>
    <w:rsid w:val="000E6B02"/>
    <w:rsid w:val="000E7812"/>
    <w:rsid w:val="000F15A4"/>
    <w:rsid w:val="000F44F0"/>
    <w:rsid w:val="000F4869"/>
    <w:rsid w:val="000F5B42"/>
    <w:rsid w:val="000F6E6F"/>
    <w:rsid w:val="000F7E5B"/>
    <w:rsid w:val="001023FE"/>
    <w:rsid w:val="0010250D"/>
    <w:rsid w:val="00104EAA"/>
    <w:rsid w:val="0010601F"/>
    <w:rsid w:val="0010788A"/>
    <w:rsid w:val="00107A31"/>
    <w:rsid w:val="00110C2B"/>
    <w:rsid w:val="00110EA5"/>
    <w:rsid w:val="00112BCD"/>
    <w:rsid w:val="00112F56"/>
    <w:rsid w:val="0011302C"/>
    <w:rsid w:val="001153FF"/>
    <w:rsid w:val="00115DB9"/>
    <w:rsid w:val="00120CC3"/>
    <w:rsid w:val="001215CB"/>
    <w:rsid w:val="00121993"/>
    <w:rsid w:val="00125318"/>
    <w:rsid w:val="00127052"/>
    <w:rsid w:val="00127813"/>
    <w:rsid w:val="001305A2"/>
    <w:rsid w:val="00130993"/>
    <w:rsid w:val="00133238"/>
    <w:rsid w:val="00133A1B"/>
    <w:rsid w:val="0014197B"/>
    <w:rsid w:val="001447CD"/>
    <w:rsid w:val="00146321"/>
    <w:rsid w:val="00146743"/>
    <w:rsid w:val="001516B1"/>
    <w:rsid w:val="00152458"/>
    <w:rsid w:val="00154EBB"/>
    <w:rsid w:val="00156316"/>
    <w:rsid w:val="00157917"/>
    <w:rsid w:val="00161181"/>
    <w:rsid w:val="001629EE"/>
    <w:rsid w:val="00162D14"/>
    <w:rsid w:val="00165389"/>
    <w:rsid w:val="00167B04"/>
    <w:rsid w:val="00173399"/>
    <w:rsid w:val="0017693F"/>
    <w:rsid w:val="00177295"/>
    <w:rsid w:val="00180C80"/>
    <w:rsid w:val="00181095"/>
    <w:rsid w:val="0018110E"/>
    <w:rsid w:val="00181684"/>
    <w:rsid w:val="00181C27"/>
    <w:rsid w:val="001843C6"/>
    <w:rsid w:val="001850E0"/>
    <w:rsid w:val="00193BB4"/>
    <w:rsid w:val="001A02ED"/>
    <w:rsid w:val="001A200B"/>
    <w:rsid w:val="001A2158"/>
    <w:rsid w:val="001A3B14"/>
    <w:rsid w:val="001A49DC"/>
    <w:rsid w:val="001A4AAD"/>
    <w:rsid w:val="001A525F"/>
    <w:rsid w:val="001B09F9"/>
    <w:rsid w:val="001B5C90"/>
    <w:rsid w:val="001B6448"/>
    <w:rsid w:val="001C1222"/>
    <w:rsid w:val="001C32CD"/>
    <w:rsid w:val="001C3BB8"/>
    <w:rsid w:val="001D2984"/>
    <w:rsid w:val="001D2BD6"/>
    <w:rsid w:val="001D41B9"/>
    <w:rsid w:val="001D4FCC"/>
    <w:rsid w:val="001D65E3"/>
    <w:rsid w:val="001E07CF"/>
    <w:rsid w:val="001E4C68"/>
    <w:rsid w:val="001E59F1"/>
    <w:rsid w:val="001E5F78"/>
    <w:rsid w:val="001F1241"/>
    <w:rsid w:val="001F202E"/>
    <w:rsid w:val="001F2CEE"/>
    <w:rsid w:val="001F4309"/>
    <w:rsid w:val="001F49EB"/>
    <w:rsid w:val="001F6CBA"/>
    <w:rsid w:val="0020097F"/>
    <w:rsid w:val="00200D21"/>
    <w:rsid w:val="00201D4E"/>
    <w:rsid w:val="00202B0A"/>
    <w:rsid w:val="00206A1A"/>
    <w:rsid w:val="002076C9"/>
    <w:rsid w:val="00207ABA"/>
    <w:rsid w:val="00210194"/>
    <w:rsid w:val="002105A6"/>
    <w:rsid w:val="00214414"/>
    <w:rsid w:val="00217537"/>
    <w:rsid w:val="00220B8A"/>
    <w:rsid w:val="002257F3"/>
    <w:rsid w:val="00226457"/>
    <w:rsid w:val="00226FF5"/>
    <w:rsid w:val="00230708"/>
    <w:rsid w:val="00233456"/>
    <w:rsid w:val="002339A5"/>
    <w:rsid w:val="00233D13"/>
    <w:rsid w:val="0024349F"/>
    <w:rsid w:val="002505C1"/>
    <w:rsid w:val="0025254B"/>
    <w:rsid w:val="00252D46"/>
    <w:rsid w:val="00257848"/>
    <w:rsid w:val="00261F95"/>
    <w:rsid w:val="0027084A"/>
    <w:rsid w:val="00273F4A"/>
    <w:rsid w:val="00280416"/>
    <w:rsid w:val="00282B70"/>
    <w:rsid w:val="0028414B"/>
    <w:rsid w:val="00286434"/>
    <w:rsid w:val="00286C59"/>
    <w:rsid w:val="00291447"/>
    <w:rsid w:val="00291957"/>
    <w:rsid w:val="002942D1"/>
    <w:rsid w:val="00294B46"/>
    <w:rsid w:val="0029501A"/>
    <w:rsid w:val="002A028D"/>
    <w:rsid w:val="002A18A9"/>
    <w:rsid w:val="002A2C12"/>
    <w:rsid w:val="002A3721"/>
    <w:rsid w:val="002A3C3A"/>
    <w:rsid w:val="002A526A"/>
    <w:rsid w:val="002A598C"/>
    <w:rsid w:val="002A6F35"/>
    <w:rsid w:val="002A72B4"/>
    <w:rsid w:val="002A7C3E"/>
    <w:rsid w:val="002B1638"/>
    <w:rsid w:val="002B3624"/>
    <w:rsid w:val="002B4FDE"/>
    <w:rsid w:val="002C0B22"/>
    <w:rsid w:val="002C3A63"/>
    <w:rsid w:val="002C58AF"/>
    <w:rsid w:val="002D0952"/>
    <w:rsid w:val="002D389A"/>
    <w:rsid w:val="002D5A3E"/>
    <w:rsid w:val="002E01C1"/>
    <w:rsid w:val="002E40B3"/>
    <w:rsid w:val="002E4C9A"/>
    <w:rsid w:val="002F11F8"/>
    <w:rsid w:val="002F3C57"/>
    <w:rsid w:val="002F3DA4"/>
    <w:rsid w:val="002F3F56"/>
    <w:rsid w:val="002F44B5"/>
    <w:rsid w:val="002F4D6B"/>
    <w:rsid w:val="00302F26"/>
    <w:rsid w:val="00303DA0"/>
    <w:rsid w:val="00305725"/>
    <w:rsid w:val="003058B8"/>
    <w:rsid w:val="0030665F"/>
    <w:rsid w:val="00311AC0"/>
    <w:rsid w:val="00311C0B"/>
    <w:rsid w:val="0031391C"/>
    <w:rsid w:val="00314F80"/>
    <w:rsid w:val="003176FC"/>
    <w:rsid w:val="0032583B"/>
    <w:rsid w:val="00327883"/>
    <w:rsid w:val="00330DDB"/>
    <w:rsid w:val="00331308"/>
    <w:rsid w:val="00335504"/>
    <w:rsid w:val="003367A5"/>
    <w:rsid w:val="00336B64"/>
    <w:rsid w:val="00337D6A"/>
    <w:rsid w:val="00340C18"/>
    <w:rsid w:val="003442FD"/>
    <w:rsid w:val="00346BD0"/>
    <w:rsid w:val="00347824"/>
    <w:rsid w:val="00347E79"/>
    <w:rsid w:val="00350567"/>
    <w:rsid w:val="003521E8"/>
    <w:rsid w:val="00354D4A"/>
    <w:rsid w:val="003557D0"/>
    <w:rsid w:val="003645D9"/>
    <w:rsid w:val="00366002"/>
    <w:rsid w:val="00367086"/>
    <w:rsid w:val="003703CE"/>
    <w:rsid w:val="00370CE3"/>
    <w:rsid w:val="0037157D"/>
    <w:rsid w:val="003728F3"/>
    <w:rsid w:val="00372CAD"/>
    <w:rsid w:val="0037334C"/>
    <w:rsid w:val="0037496E"/>
    <w:rsid w:val="00380323"/>
    <w:rsid w:val="00383221"/>
    <w:rsid w:val="00383296"/>
    <w:rsid w:val="00383E89"/>
    <w:rsid w:val="00386150"/>
    <w:rsid w:val="0038695C"/>
    <w:rsid w:val="003874CE"/>
    <w:rsid w:val="00390900"/>
    <w:rsid w:val="00391BFA"/>
    <w:rsid w:val="00392235"/>
    <w:rsid w:val="00394AF6"/>
    <w:rsid w:val="00395F62"/>
    <w:rsid w:val="0039750B"/>
    <w:rsid w:val="003A0533"/>
    <w:rsid w:val="003A2F50"/>
    <w:rsid w:val="003A3DB7"/>
    <w:rsid w:val="003A7F6C"/>
    <w:rsid w:val="003B23AB"/>
    <w:rsid w:val="003B4D60"/>
    <w:rsid w:val="003B5D10"/>
    <w:rsid w:val="003B75EC"/>
    <w:rsid w:val="003B7E39"/>
    <w:rsid w:val="003C3F81"/>
    <w:rsid w:val="003C5170"/>
    <w:rsid w:val="003C58DC"/>
    <w:rsid w:val="003D1E62"/>
    <w:rsid w:val="003E0B99"/>
    <w:rsid w:val="003E2486"/>
    <w:rsid w:val="003E3208"/>
    <w:rsid w:val="003E4917"/>
    <w:rsid w:val="003E4FC7"/>
    <w:rsid w:val="003E5A3C"/>
    <w:rsid w:val="003E6B20"/>
    <w:rsid w:val="003F0B04"/>
    <w:rsid w:val="003F3E5C"/>
    <w:rsid w:val="003F603A"/>
    <w:rsid w:val="004009A0"/>
    <w:rsid w:val="0040134E"/>
    <w:rsid w:val="00402831"/>
    <w:rsid w:val="004037D4"/>
    <w:rsid w:val="00411588"/>
    <w:rsid w:val="00413833"/>
    <w:rsid w:val="00417F3B"/>
    <w:rsid w:val="00421AA9"/>
    <w:rsid w:val="004220B1"/>
    <w:rsid w:val="00422949"/>
    <w:rsid w:val="00431194"/>
    <w:rsid w:val="004334C7"/>
    <w:rsid w:val="00437AC9"/>
    <w:rsid w:val="00437F8B"/>
    <w:rsid w:val="00440A2D"/>
    <w:rsid w:val="00441C3F"/>
    <w:rsid w:val="00442B6C"/>
    <w:rsid w:val="00451EBD"/>
    <w:rsid w:val="004564A7"/>
    <w:rsid w:val="004617BF"/>
    <w:rsid w:val="00463658"/>
    <w:rsid w:val="004637A0"/>
    <w:rsid w:val="0046543A"/>
    <w:rsid w:val="00470EF2"/>
    <w:rsid w:val="004722CC"/>
    <w:rsid w:val="00481BF9"/>
    <w:rsid w:val="004936E4"/>
    <w:rsid w:val="00493B56"/>
    <w:rsid w:val="00494E60"/>
    <w:rsid w:val="004960D6"/>
    <w:rsid w:val="00497487"/>
    <w:rsid w:val="004A301B"/>
    <w:rsid w:val="004A6189"/>
    <w:rsid w:val="004A62E1"/>
    <w:rsid w:val="004A6D93"/>
    <w:rsid w:val="004A7390"/>
    <w:rsid w:val="004A766D"/>
    <w:rsid w:val="004B291B"/>
    <w:rsid w:val="004B3BFB"/>
    <w:rsid w:val="004B7B76"/>
    <w:rsid w:val="004C239D"/>
    <w:rsid w:val="004C2DCA"/>
    <w:rsid w:val="004C5970"/>
    <w:rsid w:val="004C61D2"/>
    <w:rsid w:val="004C6871"/>
    <w:rsid w:val="004D3253"/>
    <w:rsid w:val="004D5D4D"/>
    <w:rsid w:val="004D7939"/>
    <w:rsid w:val="004E0B95"/>
    <w:rsid w:val="004E7A18"/>
    <w:rsid w:val="004E7E57"/>
    <w:rsid w:val="004F0C4A"/>
    <w:rsid w:val="004F0F38"/>
    <w:rsid w:val="004F47D6"/>
    <w:rsid w:val="00501921"/>
    <w:rsid w:val="00503580"/>
    <w:rsid w:val="00503FEA"/>
    <w:rsid w:val="00505856"/>
    <w:rsid w:val="005062AA"/>
    <w:rsid w:val="0050714B"/>
    <w:rsid w:val="005122C4"/>
    <w:rsid w:val="0051609F"/>
    <w:rsid w:val="00524F6C"/>
    <w:rsid w:val="0052659A"/>
    <w:rsid w:val="00530161"/>
    <w:rsid w:val="00530354"/>
    <w:rsid w:val="0053570E"/>
    <w:rsid w:val="0053625B"/>
    <w:rsid w:val="00536732"/>
    <w:rsid w:val="005430EA"/>
    <w:rsid w:val="005434C6"/>
    <w:rsid w:val="00543B39"/>
    <w:rsid w:val="005457DC"/>
    <w:rsid w:val="00546154"/>
    <w:rsid w:val="00546B9F"/>
    <w:rsid w:val="00550096"/>
    <w:rsid w:val="005522FE"/>
    <w:rsid w:val="00552547"/>
    <w:rsid w:val="00555134"/>
    <w:rsid w:val="00555280"/>
    <w:rsid w:val="00555B65"/>
    <w:rsid w:val="005568BC"/>
    <w:rsid w:val="00556BF9"/>
    <w:rsid w:val="00557FF9"/>
    <w:rsid w:val="00562327"/>
    <w:rsid w:val="00565C05"/>
    <w:rsid w:val="00570CFB"/>
    <w:rsid w:val="005711D5"/>
    <w:rsid w:val="005752DF"/>
    <w:rsid w:val="00576378"/>
    <w:rsid w:val="00577130"/>
    <w:rsid w:val="00577945"/>
    <w:rsid w:val="00577E38"/>
    <w:rsid w:val="00585322"/>
    <w:rsid w:val="005857C6"/>
    <w:rsid w:val="005866AC"/>
    <w:rsid w:val="00591E86"/>
    <w:rsid w:val="00592F6E"/>
    <w:rsid w:val="00593AD1"/>
    <w:rsid w:val="005A41ED"/>
    <w:rsid w:val="005A68B6"/>
    <w:rsid w:val="005B3FF3"/>
    <w:rsid w:val="005B44FD"/>
    <w:rsid w:val="005B4DD6"/>
    <w:rsid w:val="005B6C9B"/>
    <w:rsid w:val="005B72F2"/>
    <w:rsid w:val="005C4968"/>
    <w:rsid w:val="005C5570"/>
    <w:rsid w:val="005C6C90"/>
    <w:rsid w:val="005C79A4"/>
    <w:rsid w:val="005D1532"/>
    <w:rsid w:val="005D5442"/>
    <w:rsid w:val="005D786B"/>
    <w:rsid w:val="005E6721"/>
    <w:rsid w:val="005E7C97"/>
    <w:rsid w:val="005F10AF"/>
    <w:rsid w:val="005F307C"/>
    <w:rsid w:val="005F5B12"/>
    <w:rsid w:val="006011AB"/>
    <w:rsid w:val="006012B9"/>
    <w:rsid w:val="00601856"/>
    <w:rsid w:val="00603F32"/>
    <w:rsid w:val="00604123"/>
    <w:rsid w:val="00605AD4"/>
    <w:rsid w:val="00610503"/>
    <w:rsid w:val="00612618"/>
    <w:rsid w:val="00612772"/>
    <w:rsid w:val="006127B6"/>
    <w:rsid w:val="00615D6C"/>
    <w:rsid w:val="006218AF"/>
    <w:rsid w:val="00622387"/>
    <w:rsid w:val="00623B88"/>
    <w:rsid w:val="00624186"/>
    <w:rsid w:val="00625A6E"/>
    <w:rsid w:val="006301A1"/>
    <w:rsid w:val="0063208D"/>
    <w:rsid w:val="00632398"/>
    <w:rsid w:val="00632528"/>
    <w:rsid w:val="00632F8D"/>
    <w:rsid w:val="00634C4C"/>
    <w:rsid w:val="006355DC"/>
    <w:rsid w:val="00636C8D"/>
    <w:rsid w:val="00637CA3"/>
    <w:rsid w:val="00640FC3"/>
    <w:rsid w:val="00641FE2"/>
    <w:rsid w:val="00642020"/>
    <w:rsid w:val="006426F0"/>
    <w:rsid w:val="00647189"/>
    <w:rsid w:val="006476CE"/>
    <w:rsid w:val="00650D18"/>
    <w:rsid w:val="006514F6"/>
    <w:rsid w:val="00651A20"/>
    <w:rsid w:val="00652404"/>
    <w:rsid w:val="0065337B"/>
    <w:rsid w:val="0065419D"/>
    <w:rsid w:val="006604D8"/>
    <w:rsid w:val="00664A5B"/>
    <w:rsid w:val="00664FE3"/>
    <w:rsid w:val="0066735C"/>
    <w:rsid w:val="006730CA"/>
    <w:rsid w:val="006763D2"/>
    <w:rsid w:val="006806C3"/>
    <w:rsid w:val="00680C08"/>
    <w:rsid w:val="00690980"/>
    <w:rsid w:val="006916A0"/>
    <w:rsid w:val="006931B1"/>
    <w:rsid w:val="006A15C0"/>
    <w:rsid w:val="006A1B5D"/>
    <w:rsid w:val="006A6BD2"/>
    <w:rsid w:val="006B5EA8"/>
    <w:rsid w:val="006C1AED"/>
    <w:rsid w:val="006C3E2A"/>
    <w:rsid w:val="006C49E4"/>
    <w:rsid w:val="006C642F"/>
    <w:rsid w:val="006C7238"/>
    <w:rsid w:val="006D03E5"/>
    <w:rsid w:val="006D5D3E"/>
    <w:rsid w:val="006D6238"/>
    <w:rsid w:val="006E08B3"/>
    <w:rsid w:val="006E0EA4"/>
    <w:rsid w:val="006E3D0E"/>
    <w:rsid w:val="006E7A12"/>
    <w:rsid w:val="006F17AC"/>
    <w:rsid w:val="006F25B8"/>
    <w:rsid w:val="006F2B0D"/>
    <w:rsid w:val="006F572E"/>
    <w:rsid w:val="006F5844"/>
    <w:rsid w:val="006F7DD2"/>
    <w:rsid w:val="007008EC"/>
    <w:rsid w:val="00703026"/>
    <w:rsid w:val="007046D6"/>
    <w:rsid w:val="00704CB3"/>
    <w:rsid w:val="00705DB0"/>
    <w:rsid w:val="007117A0"/>
    <w:rsid w:val="00712729"/>
    <w:rsid w:val="00714C78"/>
    <w:rsid w:val="00714EEF"/>
    <w:rsid w:val="0072231A"/>
    <w:rsid w:val="00722B57"/>
    <w:rsid w:val="0072453E"/>
    <w:rsid w:val="00725570"/>
    <w:rsid w:val="00726652"/>
    <w:rsid w:val="007275B5"/>
    <w:rsid w:val="00730EE1"/>
    <w:rsid w:val="00730F8A"/>
    <w:rsid w:val="007353C8"/>
    <w:rsid w:val="00735A8C"/>
    <w:rsid w:val="00741B8B"/>
    <w:rsid w:val="0074253D"/>
    <w:rsid w:val="00742B88"/>
    <w:rsid w:val="00742CC8"/>
    <w:rsid w:val="0074429B"/>
    <w:rsid w:val="00746BFC"/>
    <w:rsid w:val="00750D37"/>
    <w:rsid w:val="007523F0"/>
    <w:rsid w:val="00753337"/>
    <w:rsid w:val="007615BC"/>
    <w:rsid w:val="00762F05"/>
    <w:rsid w:val="007652FF"/>
    <w:rsid w:val="00770B75"/>
    <w:rsid w:val="00770CAC"/>
    <w:rsid w:val="00770EF1"/>
    <w:rsid w:val="00771CEA"/>
    <w:rsid w:val="007732DF"/>
    <w:rsid w:val="00773EF7"/>
    <w:rsid w:val="00774E1D"/>
    <w:rsid w:val="007765D8"/>
    <w:rsid w:val="0077675A"/>
    <w:rsid w:val="00777372"/>
    <w:rsid w:val="00780355"/>
    <w:rsid w:val="007819FD"/>
    <w:rsid w:val="007825A5"/>
    <w:rsid w:val="00784761"/>
    <w:rsid w:val="00785717"/>
    <w:rsid w:val="00785721"/>
    <w:rsid w:val="00786003"/>
    <w:rsid w:val="00786EB6"/>
    <w:rsid w:val="00793A59"/>
    <w:rsid w:val="00797801"/>
    <w:rsid w:val="007A5901"/>
    <w:rsid w:val="007B3C00"/>
    <w:rsid w:val="007B6132"/>
    <w:rsid w:val="007B6E9F"/>
    <w:rsid w:val="007C0383"/>
    <w:rsid w:val="007C1216"/>
    <w:rsid w:val="007C1AF7"/>
    <w:rsid w:val="007C4ABC"/>
    <w:rsid w:val="007C54C1"/>
    <w:rsid w:val="007C6B9B"/>
    <w:rsid w:val="007D055E"/>
    <w:rsid w:val="007D6928"/>
    <w:rsid w:val="007E12F0"/>
    <w:rsid w:val="007E5E90"/>
    <w:rsid w:val="007E6835"/>
    <w:rsid w:val="007E7BC5"/>
    <w:rsid w:val="007F4826"/>
    <w:rsid w:val="007F7F1A"/>
    <w:rsid w:val="00800F01"/>
    <w:rsid w:val="008011F9"/>
    <w:rsid w:val="00801FB3"/>
    <w:rsid w:val="00805D27"/>
    <w:rsid w:val="00806DCB"/>
    <w:rsid w:val="008101CF"/>
    <w:rsid w:val="00813C25"/>
    <w:rsid w:val="0081597E"/>
    <w:rsid w:val="00821776"/>
    <w:rsid w:val="00830C8F"/>
    <w:rsid w:val="008321F5"/>
    <w:rsid w:val="00832369"/>
    <w:rsid w:val="00834660"/>
    <w:rsid w:val="00836BC2"/>
    <w:rsid w:val="008448A3"/>
    <w:rsid w:val="00844B6A"/>
    <w:rsid w:val="0085143A"/>
    <w:rsid w:val="0085156D"/>
    <w:rsid w:val="0085641B"/>
    <w:rsid w:val="00857136"/>
    <w:rsid w:val="008622A7"/>
    <w:rsid w:val="00862659"/>
    <w:rsid w:val="008668DE"/>
    <w:rsid w:val="00870622"/>
    <w:rsid w:val="0087113B"/>
    <w:rsid w:val="00874227"/>
    <w:rsid w:val="008747D2"/>
    <w:rsid w:val="00875A6B"/>
    <w:rsid w:val="00880894"/>
    <w:rsid w:val="008832AC"/>
    <w:rsid w:val="00885B11"/>
    <w:rsid w:val="00886D15"/>
    <w:rsid w:val="00886D1F"/>
    <w:rsid w:val="00887DD8"/>
    <w:rsid w:val="00890338"/>
    <w:rsid w:val="00891BA9"/>
    <w:rsid w:val="00891D59"/>
    <w:rsid w:val="00896018"/>
    <w:rsid w:val="008960DD"/>
    <w:rsid w:val="0089635C"/>
    <w:rsid w:val="008A14C9"/>
    <w:rsid w:val="008A2B9D"/>
    <w:rsid w:val="008A3D9F"/>
    <w:rsid w:val="008A5E0B"/>
    <w:rsid w:val="008A6D59"/>
    <w:rsid w:val="008B4B03"/>
    <w:rsid w:val="008B596F"/>
    <w:rsid w:val="008B61AC"/>
    <w:rsid w:val="008C0E7F"/>
    <w:rsid w:val="008C159F"/>
    <w:rsid w:val="008C1623"/>
    <w:rsid w:val="008C1850"/>
    <w:rsid w:val="008C3DEE"/>
    <w:rsid w:val="008C51A9"/>
    <w:rsid w:val="008C58BA"/>
    <w:rsid w:val="008D1306"/>
    <w:rsid w:val="008D2D6B"/>
    <w:rsid w:val="008E16E9"/>
    <w:rsid w:val="008E6ED1"/>
    <w:rsid w:val="008E7846"/>
    <w:rsid w:val="008F02E5"/>
    <w:rsid w:val="008F1CCC"/>
    <w:rsid w:val="008F2967"/>
    <w:rsid w:val="008F31F3"/>
    <w:rsid w:val="008F5935"/>
    <w:rsid w:val="008F6943"/>
    <w:rsid w:val="00902A21"/>
    <w:rsid w:val="009123F6"/>
    <w:rsid w:val="00913BFC"/>
    <w:rsid w:val="00915D41"/>
    <w:rsid w:val="009200C7"/>
    <w:rsid w:val="00920330"/>
    <w:rsid w:val="009219D7"/>
    <w:rsid w:val="00922D53"/>
    <w:rsid w:val="00923B70"/>
    <w:rsid w:val="00924482"/>
    <w:rsid w:val="00924955"/>
    <w:rsid w:val="00926D61"/>
    <w:rsid w:val="00930237"/>
    <w:rsid w:val="0093238B"/>
    <w:rsid w:val="00937C17"/>
    <w:rsid w:val="00940A89"/>
    <w:rsid w:val="00946EA5"/>
    <w:rsid w:val="00947B45"/>
    <w:rsid w:val="0095258E"/>
    <w:rsid w:val="00953677"/>
    <w:rsid w:val="00957888"/>
    <w:rsid w:val="00957C32"/>
    <w:rsid w:val="0096009B"/>
    <w:rsid w:val="00963B84"/>
    <w:rsid w:val="00963C08"/>
    <w:rsid w:val="00966938"/>
    <w:rsid w:val="009729C3"/>
    <w:rsid w:val="0097496F"/>
    <w:rsid w:val="009752A5"/>
    <w:rsid w:val="0097587F"/>
    <w:rsid w:val="00977993"/>
    <w:rsid w:val="0097799F"/>
    <w:rsid w:val="00977E9D"/>
    <w:rsid w:val="00980228"/>
    <w:rsid w:val="00980448"/>
    <w:rsid w:val="00980ADB"/>
    <w:rsid w:val="00980CFD"/>
    <w:rsid w:val="00984200"/>
    <w:rsid w:val="0098585A"/>
    <w:rsid w:val="00987D9B"/>
    <w:rsid w:val="009926DE"/>
    <w:rsid w:val="00995798"/>
    <w:rsid w:val="009A4CED"/>
    <w:rsid w:val="009A690D"/>
    <w:rsid w:val="009A7E58"/>
    <w:rsid w:val="009B15BE"/>
    <w:rsid w:val="009B1D12"/>
    <w:rsid w:val="009B220F"/>
    <w:rsid w:val="009B416B"/>
    <w:rsid w:val="009C42A6"/>
    <w:rsid w:val="009C4A2B"/>
    <w:rsid w:val="009C4BD5"/>
    <w:rsid w:val="009C7B00"/>
    <w:rsid w:val="009D5903"/>
    <w:rsid w:val="009D7B77"/>
    <w:rsid w:val="009E0BB0"/>
    <w:rsid w:val="009E20A0"/>
    <w:rsid w:val="009E3FBB"/>
    <w:rsid w:val="009F1951"/>
    <w:rsid w:val="009F36C2"/>
    <w:rsid w:val="009F48D5"/>
    <w:rsid w:val="009F5174"/>
    <w:rsid w:val="009F7353"/>
    <w:rsid w:val="00A012EF"/>
    <w:rsid w:val="00A03B02"/>
    <w:rsid w:val="00A04F85"/>
    <w:rsid w:val="00A055FD"/>
    <w:rsid w:val="00A05FA4"/>
    <w:rsid w:val="00A0683A"/>
    <w:rsid w:val="00A075F0"/>
    <w:rsid w:val="00A07FF0"/>
    <w:rsid w:val="00A102E4"/>
    <w:rsid w:val="00A123C1"/>
    <w:rsid w:val="00A12C42"/>
    <w:rsid w:val="00A12DBD"/>
    <w:rsid w:val="00A13BAE"/>
    <w:rsid w:val="00A1489E"/>
    <w:rsid w:val="00A14DF7"/>
    <w:rsid w:val="00A217BA"/>
    <w:rsid w:val="00A228DE"/>
    <w:rsid w:val="00A310C5"/>
    <w:rsid w:val="00A31464"/>
    <w:rsid w:val="00A31EEC"/>
    <w:rsid w:val="00A3246D"/>
    <w:rsid w:val="00A32B87"/>
    <w:rsid w:val="00A335B1"/>
    <w:rsid w:val="00A347A2"/>
    <w:rsid w:val="00A368C9"/>
    <w:rsid w:val="00A36FA7"/>
    <w:rsid w:val="00A44DDB"/>
    <w:rsid w:val="00A46BA2"/>
    <w:rsid w:val="00A475B7"/>
    <w:rsid w:val="00A47AF7"/>
    <w:rsid w:val="00A47C3E"/>
    <w:rsid w:val="00A50226"/>
    <w:rsid w:val="00A52334"/>
    <w:rsid w:val="00A5251E"/>
    <w:rsid w:val="00A57AD7"/>
    <w:rsid w:val="00A60BAD"/>
    <w:rsid w:val="00A60BEF"/>
    <w:rsid w:val="00A65CCA"/>
    <w:rsid w:val="00A66668"/>
    <w:rsid w:val="00A66949"/>
    <w:rsid w:val="00A742D7"/>
    <w:rsid w:val="00A756B2"/>
    <w:rsid w:val="00A80B5B"/>
    <w:rsid w:val="00A81356"/>
    <w:rsid w:val="00A828AC"/>
    <w:rsid w:val="00A82EAA"/>
    <w:rsid w:val="00A830D2"/>
    <w:rsid w:val="00A84E36"/>
    <w:rsid w:val="00A92A31"/>
    <w:rsid w:val="00A93339"/>
    <w:rsid w:val="00A934BF"/>
    <w:rsid w:val="00A964D1"/>
    <w:rsid w:val="00AA0ED0"/>
    <w:rsid w:val="00AB0AC0"/>
    <w:rsid w:val="00AB7C2D"/>
    <w:rsid w:val="00AC2B40"/>
    <w:rsid w:val="00AC2BB2"/>
    <w:rsid w:val="00AC2C3C"/>
    <w:rsid w:val="00AC405A"/>
    <w:rsid w:val="00AC512D"/>
    <w:rsid w:val="00AD0083"/>
    <w:rsid w:val="00AD1267"/>
    <w:rsid w:val="00AD3799"/>
    <w:rsid w:val="00AD3935"/>
    <w:rsid w:val="00AE1436"/>
    <w:rsid w:val="00AE4CDA"/>
    <w:rsid w:val="00AE65EB"/>
    <w:rsid w:val="00AE67A7"/>
    <w:rsid w:val="00AF1D94"/>
    <w:rsid w:val="00AF60C5"/>
    <w:rsid w:val="00B009C6"/>
    <w:rsid w:val="00B01548"/>
    <w:rsid w:val="00B0453A"/>
    <w:rsid w:val="00B1113F"/>
    <w:rsid w:val="00B13EBD"/>
    <w:rsid w:val="00B14A48"/>
    <w:rsid w:val="00B16D47"/>
    <w:rsid w:val="00B17617"/>
    <w:rsid w:val="00B217AD"/>
    <w:rsid w:val="00B21D29"/>
    <w:rsid w:val="00B25034"/>
    <w:rsid w:val="00B25C5D"/>
    <w:rsid w:val="00B25E67"/>
    <w:rsid w:val="00B27EA5"/>
    <w:rsid w:val="00B3270D"/>
    <w:rsid w:val="00B32C8E"/>
    <w:rsid w:val="00B33588"/>
    <w:rsid w:val="00B33863"/>
    <w:rsid w:val="00B33A3B"/>
    <w:rsid w:val="00B37058"/>
    <w:rsid w:val="00B37D17"/>
    <w:rsid w:val="00B40DF4"/>
    <w:rsid w:val="00B40E13"/>
    <w:rsid w:val="00B4175E"/>
    <w:rsid w:val="00B452CE"/>
    <w:rsid w:val="00B4590E"/>
    <w:rsid w:val="00B5325E"/>
    <w:rsid w:val="00B54C25"/>
    <w:rsid w:val="00B63879"/>
    <w:rsid w:val="00B64213"/>
    <w:rsid w:val="00B64E37"/>
    <w:rsid w:val="00B66039"/>
    <w:rsid w:val="00B70104"/>
    <w:rsid w:val="00B71D5C"/>
    <w:rsid w:val="00B749C8"/>
    <w:rsid w:val="00B76B91"/>
    <w:rsid w:val="00B77EB1"/>
    <w:rsid w:val="00B811C6"/>
    <w:rsid w:val="00B850D6"/>
    <w:rsid w:val="00B85159"/>
    <w:rsid w:val="00B855B0"/>
    <w:rsid w:val="00B85D43"/>
    <w:rsid w:val="00B868C3"/>
    <w:rsid w:val="00B875B2"/>
    <w:rsid w:val="00B87D50"/>
    <w:rsid w:val="00B92E08"/>
    <w:rsid w:val="00B97A63"/>
    <w:rsid w:val="00BB1072"/>
    <w:rsid w:val="00BB5A93"/>
    <w:rsid w:val="00BC622A"/>
    <w:rsid w:val="00BD0822"/>
    <w:rsid w:val="00BD1249"/>
    <w:rsid w:val="00BD5703"/>
    <w:rsid w:val="00BD584E"/>
    <w:rsid w:val="00BD659C"/>
    <w:rsid w:val="00BD7EC2"/>
    <w:rsid w:val="00BE0A78"/>
    <w:rsid w:val="00BE2BCA"/>
    <w:rsid w:val="00BE79F0"/>
    <w:rsid w:val="00BF046D"/>
    <w:rsid w:val="00BF1190"/>
    <w:rsid w:val="00BF3D84"/>
    <w:rsid w:val="00BF4E28"/>
    <w:rsid w:val="00BF59C6"/>
    <w:rsid w:val="00BF5D04"/>
    <w:rsid w:val="00C009AA"/>
    <w:rsid w:val="00C00B10"/>
    <w:rsid w:val="00C00CE5"/>
    <w:rsid w:val="00C1164D"/>
    <w:rsid w:val="00C116F2"/>
    <w:rsid w:val="00C15443"/>
    <w:rsid w:val="00C15B2B"/>
    <w:rsid w:val="00C16861"/>
    <w:rsid w:val="00C17225"/>
    <w:rsid w:val="00C22580"/>
    <w:rsid w:val="00C231FE"/>
    <w:rsid w:val="00C31253"/>
    <w:rsid w:val="00C346AB"/>
    <w:rsid w:val="00C404A6"/>
    <w:rsid w:val="00C4098F"/>
    <w:rsid w:val="00C40A36"/>
    <w:rsid w:val="00C40C1D"/>
    <w:rsid w:val="00C44419"/>
    <w:rsid w:val="00C45E7B"/>
    <w:rsid w:val="00C471B1"/>
    <w:rsid w:val="00C52458"/>
    <w:rsid w:val="00C54322"/>
    <w:rsid w:val="00C56B38"/>
    <w:rsid w:val="00C56FA9"/>
    <w:rsid w:val="00C62FA4"/>
    <w:rsid w:val="00C6316B"/>
    <w:rsid w:val="00C634A9"/>
    <w:rsid w:val="00C64586"/>
    <w:rsid w:val="00C6647A"/>
    <w:rsid w:val="00C70D53"/>
    <w:rsid w:val="00C73D0B"/>
    <w:rsid w:val="00C75618"/>
    <w:rsid w:val="00C7661D"/>
    <w:rsid w:val="00C772FF"/>
    <w:rsid w:val="00C77784"/>
    <w:rsid w:val="00C80137"/>
    <w:rsid w:val="00C801AF"/>
    <w:rsid w:val="00C80256"/>
    <w:rsid w:val="00C80D04"/>
    <w:rsid w:val="00C82862"/>
    <w:rsid w:val="00C92F8F"/>
    <w:rsid w:val="00C94CD4"/>
    <w:rsid w:val="00C956CA"/>
    <w:rsid w:val="00C9747E"/>
    <w:rsid w:val="00C97E5F"/>
    <w:rsid w:val="00CA0DB1"/>
    <w:rsid w:val="00CA2D50"/>
    <w:rsid w:val="00CA3066"/>
    <w:rsid w:val="00CA4344"/>
    <w:rsid w:val="00CA5345"/>
    <w:rsid w:val="00CB1F9E"/>
    <w:rsid w:val="00CB23AA"/>
    <w:rsid w:val="00CB6BC0"/>
    <w:rsid w:val="00CC0BCE"/>
    <w:rsid w:val="00CC1B7C"/>
    <w:rsid w:val="00CC2860"/>
    <w:rsid w:val="00CC401D"/>
    <w:rsid w:val="00CC4CD6"/>
    <w:rsid w:val="00CC5492"/>
    <w:rsid w:val="00CC6C32"/>
    <w:rsid w:val="00CC727F"/>
    <w:rsid w:val="00CD2137"/>
    <w:rsid w:val="00CD39EB"/>
    <w:rsid w:val="00CE3AA0"/>
    <w:rsid w:val="00CF15C3"/>
    <w:rsid w:val="00CF247A"/>
    <w:rsid w:val="00CF2B6F"/>
    <w:rsid w:val="00CF2E37"/>
    <w:rsid w:val="00CF2F3E"/>
    <w:rsid w:val="00CF4A7E"/>
    <w:rsid w:val="00CF58B6"/>
    <w:rsid w:val="00D0062D"/>
    <w:rsid w:val="00D017ED"/>
    <w:rsid w:val="00D02E78"/>
    <w:rsid w:val="00D040D3"/>
    <w:rsid w:val="00D04C65"/>
    <w:rsid w:val="00D06B7D"/>
    <w:rsid w:val="00D11ADC"/>
    <w:rsid w:val="00D12A77"/>
    <w:rsid w:val="00D14161"/>
    <w:rsid w:val="00D16A60"/>
    <w:rsid w:val="00D17561"/>
    <w:rsid w:val="00D201D2"/>
    <w:rsid w:val="00D20B37"/>
    <w:rsid w:val="00D21AB4"/>
    <w:rsid w:val="00D224FE"/>
    <w:rsid w:val="00D23139"/>
    <w:rsid w:val="00D24B81"/>
    <w:rsid w:val="00D25E41"/>
    <w:rsid w:val="00D310F4"/>
    <w:rsid w:val="00D33FCF"/>
    <w:rsid w:val="00D34B4D"/>
    <w:rsid w:val="00D35C03"/>
    <w:rsid w:val="00D425BB"/>
    <w:rsid w:val="00D43BA2"/>
    <w:rsid w:val="00D4545E"/>
    <w:rsid w:val="00D53F93"/>
    <w:rsid w:val="00D56279"/>
    <w:rsid w:val="00D6373E"/>
    <w:rsid w:val="00D6493E"/>
    <w:rsid w:val="00D66582"/>
    <w:rsid w:val="00D7195D"/>
    <w:rsid w:val="00D7301E"/>
    <w:rsid w:val="00D77B9A"/>
    <w:rsid w:val="00D81A1C"/>
    <w:rsid w:val="00D83AE1"/>
    <w:rsid w:val="00D855D4"/>
    <w:rsid w:val="00D85A9C"/>
    <w:rsid w:val="00D902C9"/>
    <w:rsid w:val="00D912D0"/>
    <w:rsid w:val="00D91E09"/>
    <w:rsid w:val="00D93466"/>
    <w:rsid w:val="00D93DB1"/>
    <w:rsid w:val="00D949E7"/>
    <w:rsid w:val="00D9634D"/>
    <w:rsid w:val="00D96430"/>
    <w:rsid w:val="00D973A4"/>
    <w:rsid w:val="00DA1124"/>
    <w:rsid w:val="00DA2D9D"/>
    <w:rsid w:val="00DB0988"/>
    <w:rsid w:val="00DB0FB8"/>
    <w:rsid w:val="00DB1300"/>
    <w:rsid w:val="00DB6124"/>
    <w:rsid w:val="00DB750B"/>
    <w:rsid w:val="00DB75B7"/>
    <w:rsid w:val="00DC2484"/>
    <w:rsid w:val="00DC4864"/>
    <w:rsid w:val="00DC6E02"/>
    <w:rsid w:val="00DC7B13"/>
    <w:rsid w:val="00DD1732"/>
    <w:rsid w:val="00DD28CD"/>
    <w:rsid w:val="00DD5375"/>
    <w:rsid w:val="00DD5AC9"/>
    <w:rsid w:val="00DE02AE"/>
    <w:rsid w:val="00DE1E5F"/>
    <w:rsid w:val="00DE2503"/>
    <w:rsid w:val="00DE562C"/>
    <w:rsid w:val="00DE5664"/>
    <w:rsid w:val="00DF05D7"/>
    <w:rsid w:val="00DF0E94"/>
    <w:rsid w:val="00DF1D7F"/>
    <w:rsid w:val="00DF4BE4"/>
    <w:rsid w:val="00DF6E9E"/>
    <w:rsid w:val="00E02FB4"/>
    <w:rsid w:val="00E07AB5"/>
    <w:rsid w:val="00E13FC7"/>
    <w:rsid w:val="00E15E2B"/>
    <w:rsid w:val="00E20571"/>
    <w:rsid w:val="00E20841"/>
    <w:rsid w:val="00E235F7"/>
    <w:rsid w:val="00E23659"/>
    <w:rsid w:val="00E239D4"/>
    <w:rsid w:val="00E241F7"/>
    <w:rsid w:val="00E24208"/>
    <w:rsid w:val="00E26130"/>
    <w:rsid w:val="00E27DBD"/>
    <w:rsid w:val="00E31790"/>
    <w:rsid w:val="00E33227"/>
    <w:rsid w:val="00E3768A"/>
    <w:rsid w:val="00E40B22"/>
    <w:rsid w:val="00E41D0B"/>
    <w:rsid w:val="00E44AF7"/>
    <w:rsid w:val="00E44ED1"/>
    <w:rsid w:val="00E45619"/>
    <w:rsid w:val="00E4588F"/>
    <w:rsid w:val="00E46DA3"/>
    <w:rsid w:val="00E5004C"/>
    <w:rsid w:val="00E51BB1"/>
    <w:rsid w:val="00E5760A"/>
    <w:rsid w:val="00E624A5"/>
    <w:rsid w:val="00E64BA4"/>
    <w:rsid w:val="00E72136"/>
    <w:rsid w:val="00E72278"/>
    <w:rsid w:val="00E725F3"/>
    <w:rsid w:val="00E7344E"/>
    <w:rsid w:val="00E76A7F"/>
    <w:rsid w:val="00E82665"/>
    <w:rsid w:val="00E9121C"/>
    <w:rsid w:val="00E92C0B"/>
    <w:rsid w:val="00E92D16"/>
    <w:rsid w:val="00E93A23"/>
    <w:rsid w:val="00E94E1F"/>
    <w:rsid w:val="00E9533C"/>
    <w:rsid w:val="00EA19CC"/>
    <w:rsid w:val="00EB0798"/>
    <w:rsid w:val="00EB40AD"/>
    <w:rsid w:val="00EB4780"/>
    <w:rsid w:val="00EB5837"/>
    <w:rsid w:val="00EB586E"/>
    <w:rsid w:val="00EB5FC8"/>
    <w:rsid w:val="00EB657C"/>
    <w:rsid w:val="00EC096C"/>
    <w:rsid w:val="00EC0CFE"/>
    <w:rsid w:val="00EC3BA0"/>
    <w:rsid w:val="00EC43EB"/>
    <w:rsid w:val="00EC463D"/>
    <w:rsid w:val="00EC5DC5"/>
    <w:rsid w:val="00EC7A85"/>
    <w:rsid w:val="00ED28FF"/>
    <w:rsid w:val="00ED2922"/>
    <w:rsid w:val="00ED388A"/>
    <w:rsid w:val="00ED3AAF"/>
    <w:rsid w:val="00ED3CAD"/>
    <w:rsid w:val="00ED417D"/>
    <w:rsid w:val="00ED495A"/>
    <w:rsid w:val="00ED4DFC"/>
    <w:rsid w:val="00ED58BF"/>
    <w:rsid w:val="00ED5A41"/>
    <w:rsid w:val="00ED69AA"/>
    <w:rsid w:val="00ED719E"/>
    <w:rsid w:val="00EE17EA"/>
    <w:rsid w:val="00EE1C19"/>
    <w:rsid w:val="00EE1DE8"/>
    <w:rsid w:val="00EE27C2"/>
    <w:rsid w:val="00EE5FF0"/>
    <w:rsid w:val="00EF4BAD"/>
    <w:rsid w:val="00EF59DC"/>
    <w:rsid w:val="00EF799F"/>
    <w:rsid w:val="00F00728"/>
    <w:rsid w:val="00F033EC"/>
    <w:rsid w:val="00F04F68"/>
    <w:rsid w:val="00F0527E"/>
    <w:rsid w:val="00F07030"/>
    <w:rsid w:val="00F078C6"/>
    <w:rsid w:val="00F12670"/>
    <w:rsid w:val="00F12762"/>
    <w:rsid w:val="00F13D95"/>
    <w:rsid w:val="00F14B27"/>
    <w:rsid w:val="00F15963"/>
    <w:rsid w:val="00F168A2"/>
    <w:rsid w:val="00F17B49"/>
    <w:rsid w:val="00F22D09"/>
    <w:rsid w:val="00F23BBB"/>
    <w:rsid w:val="00F3148D"/>
    <w:rsid w:val="00F325C5"/>
    <w:rsid w:val="00F32FE0"/>
    <w:rsid w:val="00F35298"/>
    <w:rsid w:val="00F35C21"/>
    <w:rsid w:val="00F43BCC"/>
    <w:rsid w:val="00F47333"/>
    <w:rsid w:val="00F47E37"/>
    <w:rsid w:val="00F53C07"/>
    <w:rsid w:val="00F54B65"/>
    <w:rsid w:val="00F55DBD"/>
    <w:rsid w:val="00F5645C"/>
    <w:rsid w:val="00F640B6"/>
    <w:rsid w:val="00F66DF2"/>
    <w:rsid w:val="00F677D4"/>
    <w:rsid w:val="00F72654"/>
    <w:rsid w:val="00F73C0B"/>
    <w:rsid w:val="00F742F0"/>
    <w:rsid w:val="00F80E40"/>
    <w:rsid w:val="00F848D9"/>
    <w:rsid w:val="00F859F6"/>
    <w:rsid w:val="00F90F27"/>
    <w:rsid w:val="00F95A71"/>
    <w:rsid w:val="00FA5B82"/>
    <w:rsid w:val="00FA639E"/>
    <w:rsid w:val="00FA691A"/>
    <w:rsid w:val="00FA6C28"/>
    <w:rsid w:val="00FB64BC"/>
    <w:rsid w:val="00FB7529"/>
    <w:rsid w:val="00FB7BF5"/>
    <w:rsid w:val="00FC1FCA"/>
    <w:rsid w:val="00FC2402"/>
    <w:rsid w:val="00FC25E4"/>
    <w:rsid w:val="00FC4EF7"/>
    <w:rsid w:val="00FC5270"/>
    <w:rsid w:val="00FC5648"/>
    <w:rsid w:val="00FC7805"/>
    <w:rsid w:val="00FD0824"/>
    <w:rsid w:val="00FD119B"/>
    <w:rsid w:val="00FD1EDC"/>
    <w:rsid w:val="00FD2761"/>
    <w:rsid w:val="00FD2A2C"/>
    <w:rsid w:val="00FD6171"/>
    <w:rsid w:val="00FE0C77"/>
    <w:rsid w:val="00FE1DEE"/>
    <w:rsid w:val="00FE3EE4"/>
    <w:rsid w:val="00FE64BA"/>
    <w:rsid w:val="00FF08B1"/>
    <w:rsid w:val="00FF2126"/>
    <w:rsid w:val="00FF33E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B5A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546B9F"/>
    <w:pPr>
      <w:numPr>
        <w:numId w:val="4"/>
      </w:numPr>
    </w:pPr>
    <w:rPr>
      <w:szCs w:val="18"/>
      <w:lang w:eastAsia="en-AU"/>
    </w:r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2A72B4"/>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F23BBB"/>
    <w:pPr>
      <w:ind w:left="720"/>
      <w:contextualSpacing/>
    </w:pPr>
  </w:style>
  <w:style w:type="paragraph" w:customStyle="1" w:styleId="Tabletitle0">
    <w:name w:val="Table title"/>
    <w:basedOn w:val="Normal"/>
    <w:next w:val="Normal"/>
    <w:rsid w:val="00D81A1C"/>
    <w:pPr>
      <w:keepNext/>
      <w:spacing w:after="180"/>
      <w:outlineLvl w:val="4"/>
    </w:pPr>
    <w:rPr>
      <w:rFonts w:cstheme="minorBidi"/>
      <w:b/>
    </w:rPr>
  </w:style>
  <w:style w:type="table" w:customStyle="1" w:styleId="TableTGAblue1">
    <w:name w:val="Table TGA blue1"/>
    <w:basedOn w:val="TableNormal"/>
    <w:uiPriority w:val="99"/>
    <w:qFormat/>
    <w:rsid w:val="00D81A1C"/>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A055FD"/>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ACPMminorheader">
    <w:name w:val="ACPM minor header"/>
    <w:basedOn w:val="Normal"/>
    <w:link w:val="ACPMminorheaderChar"/>
    <w:qFormat/>
    <w:rsid w:val="005D786B"/>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5D786B"/>
    <w:rPr>
      <w:rFonts w:ascii="Cambria" w:eastAsia="Times New Roman" w:hAnsi="Cambria" w:cs="Arial"/>
      <w:b/>
      <w:i/>
      <w:lang w:val="en-GB" w:eastAsia="en-AU"/>
    </w:rPr>
  </w:style>
  <w:style w:type="table" w:customStyle="1" w:styleId="TableGrid1">
    <w:name w:val="Table Grid1"/>
    <w:basedOn w:val="TableNormal"/>
    <w:next w:val="TableGrid"/>
    <w:rsid w:val="00442B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862659"/>
    <w:rPr>
      <w:b/>
      <w:bCs/>
    </w:rPr>
  </w:style>
  <w:style w:type="paragraph" w:customStyle="1" w:styleId="bulletindent11">
    <w:name w:val="bulletindent11"/>
    <w:basedOn w:val="Normal"/>
    <w:rsid w:val="00862659"/>
    <w:pPr>
      <w:spacing w:before="30" w:after="30" w:line="336" w:lineRule="auto"/>
      <w:ind w:left="480"/>
    </w:pPr>
    <w:rPr>
      <w:rFonts w:ascii="Times New Roman" w:eastAsia="Times New Roman" w:hAnsi="Times New Roman"/>
      <w:sz w:val="24"/>
      <w:szCs w:val="24"/>
      <w:lang w:eastAsia="en-AU"/>
    </w:rPr>
  </w:style>
  <w:style w:type="character" w:customStyle="1" w:styleId="nowrap1">
    <w:name w:val="nowrap1"/>
    <w:basedOn w:val="DefaultParagraphFont"/>
    <w:rsid w:val="00862659"/>
  </w:style>
  <w:style w:type="table" w:customStyle="1" w:styleId="TableTGAblue3">
    <w:name w:val="Table TGA blue3"/>
    <w:basedOn w:val="TableNormal"/>
    <w:uiPriority w:val="99"/>
    <w:qFormat/>
    <w:rsid w:val="00F12762"/>
    <w:pPr>
      <w:spacing w:after="0" w:line="240" w:lineRule="auto"/>
    </w:pPr>
    <w:rPr>
      <w:rFonts w:ascii="Cambria" w:eastAsia="Cambria" w:hAnsi="Cambria" w:cs="Times New Roman"/>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ue4">
    <w:name w:val="Table TGA blue4"/>
    <w:basedOn w:val="TableNormal"/>
    <w:uiPriority w:val="99"/>
    <w:qFormat/>
    <w:rsid w:val="00127052"/>
    <w:pPr>
      <w:spacing w:after="0" w:line="240" w:lineRule="auto"/>
    </w:pPr>
    <w:rPr>
      <w:rFonts w:ascii="Cambria" w:eastAsia="Cambria" w:hAnsi="Cambria" w:cs="Times New Roman"/>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Standard">
    <w:name w:val="Standard"/>
    <w:basedOn w:val="Normal"/>
    <w:link w:val="StandardChar"/>
    <w:rsid w:val="00FA691A"/>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FA691A"/>
    <w:rPr>
      <w:rFonts w:ascii="Cambria" w:eastAsia="Times New Roman" w:hAnsi="Cambria" w:cs="Times New Roman"/>
      <w:snapToGrid w:val="0"/>
      <w:kern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B5A9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546B9F"/>
    <w:pPr>
      <w:numPr>
        <w:numId w:val="4"/>
      </w:numPr>
    </w:pPr>
    <w:rPr>
      <w:szCs w:val="18"/>
      <w:lang w:eastAsia="en-AU"/>
    </w:r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2A72B4"/>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F23BBB"/>
    <w:pPr>
      <w:ind w:left="720"/>
      <w:contextualSpacing/>
    </w:pPr>
  </w:style>
  <w:style w:type="paragraph" w:customStyle="1" w:styleId="Tabletitle0">
    <w:name w:val="Table title"/>
    <w:basedOn w:val="Normal"/>
    <w:next w:val="Normal"/>
    <w:rsid w:val="00D81A1C"/>
    <w:pPr>
      <w:keepNext/>
      <w:spacing w:after="180"/>
      <w:outlineLvl w:val="4"/>
    </w:pPr>
    <w:rPr>
      <w:rFonts w:cstheme="minorBidi"/>
      <w:b/>
    </w:rPr>
  </w:style>
  <w:style w:type="table" w:customStyle="1" w:styleId="TableTGAblue1">
    <w:name w:val="Table TGA blue1"/>
    <w:basedOn w:val="TableNormal"/>
    <w:uiPriority w:val="99"/>
    <w:qFormat/>
    <w:rsid w:val="00D81A1C"/>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A055FD"/>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ACPMminorheader">
    <w:name w:val="ACPM minor header"/>
    <w:basedOn w:val="Normal"/>
    <w:link w:val="ACPMminorheaderChar"/>
    <w:qFormat/>
    <w:rsid w:val="005D786B"/>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5D786B"/>
    <w:rPr>
      <w:rFonts w:ascii="Cambria" w:eastAsia="Times New Roman" w:hAnsi="Cambria" w:cs="Arial"/>
      <w:b/>
      <w:i/>
      <w:lang w:val="en-GB" w:eastAsia="en-AU"/>
    </w:rPr>
  </w:style>
  <w:style w:type="table" w:customStyle="1" w:styleId="TableGrid1">
    <w:name w:val="Table Grid1"/>
    <w:basedOn w:val="TableNormal"/>
    <w:next w:val="TableGrid"/>
    <w:rsid w:val="00442B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862659"/>
    <w:rPr>
      <w:b/>
      <w:bCs/>
    </w:rPr>
  </w:style>
  <w:style w:type="paragraph" w:customStyle="1" w:styleId="bulletindent11">
    <w:name w:val="bulletindent11"/>
    <w:basedOn w:val="Normal"/>
    <w:rsid w:val="00862659"/>
    <w:pPr>
      <w:spacing w:before="30" w:after="30" w:line="336" w:lineRule="auto"/>
      <w:ind w:left="480"/>
    </w:pPr>
    <w:rPr>
      <w:rFonts w:ascii="Times New Roman" w:eastAsia="Times New Roman" w:hAnsi="Times New Roman"/>
      <w:sz w:val="24"/>
      <w:szCs w:val="24"/>
      <w:lang w:eastAsia="en-AU"/>
    </w:rPr>
  </w:style>
  <w:style w:type="character" w:customStyle="1" w:styleId="nowrap1">
    <w:name w:val="nowrap1"/>
    <w:basedOn w:val="DefaultParagraphFont"/>
    <w:rsid w:val="00862659"/>
  </w:style>
  <w:style w:type="table" w:customStyle="1" w:styleId="TableTGAblue3">
    <w:name w:val="Table TGA blue3"/>
    <w:basedOn w:val="TableNormal"/>
    <w:uiPriority w:val="99"/>
    <w:qFormat/>
    <w:rsid w:val="00F12762"/>
    <w:pPr>
      <w:spacing w:after="0" w:line="240" w:lineRule="auto"/>
    </w:pPr>
    <w:rPr>
      <w:rFonts w:ascii="Cambria" w:eastAsia="Cambria" w:hAnsi="Cambria" w:cs="Times New Roman"/>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ue4">
    <w:name w:val="Table TGA blue4"/>
    <w:basedOn w:val="TableNormal"/>
    <w:uiPriority w:val="99"/>
    <w:qFormat/>
    <w:rsid w:val="00127052"/>
    <w:pPr>
      <w:spacing w:after="0" w:line="240" w:lineRule="auto"/>
    </w:pPr>
    <w:rPr>
      <w:rFonts w:ascii="Cambria" w:eastAsia="Cambria" w:hAnsi="Cambria" w:cs="Times New Roman"/>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Standard">
    <w:name w:val="Standard"/>
    <w:basedOn w:val="Normal"/>
    <w:link w:val="StandardChar"/>
    <w:rsid w:val="00FA691A"/>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FA691A"/>
    <w:rPr>
      <w:rFonts w:ascii="Cambria" w:eastAsia="Times New Roman" w:hAnsi="Cambria" w:cs="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350982">
      <w:bodyDiv w:val="1"/>
      <w:marLeft w:val="0"/>
      <w:marRight w:val="0"/>
      <w:marTop w:val="0"/>
      <w:marBottom w:val="0"/>
      <w:divBdr>
        <w:top w:val="none" w:sz="0" w:space="0" w:color="auto"/>
        <w:left w:val="none" w:sz="0" w:space="0" w:color="auto"/>
        <w:bottom w:val="none" w:sz="0" w:space="0" w:color="auto"/>
        <w:right w:val="none" w:sz="0" w:space="0" w:color="auto"/>
      </w:divBdr>
    </w:div>
    <w:div w:id="210233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product-information-pi"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yperlink" Target="https://www.tga.gov.au" TargetMode="Externa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asg\AppData\Local\Hewlett-Packard\HP%20TRIM\TEMP\HPTRIM.4332\R12%20926607%20%20AusPAR%20-%20template(4).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4ECFA-756C-4BAC-92DF-E47050E30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template(4)</Template>
  <TotalTime>348</TotalTime>
  <Pages>39</Pages>
  <Words>13404</Words>
  <Characters>74260</Characters>
  <Application>Microsoft Office Word</Application>
  <DocSecurity>0</DocSecurity>
  <Lines>2320</Lines>
  <Paragraphs>1348</Paragraphs>
  <ScaleCrop>false</ScaleCrop>
  <HeadingPairs>
    <vt:vector size="2" baseType="variant">
      <vt:variant>
        <vt:lpstr>Title</vt:lpstr>
      </vt:variant>
      <vt:variant>
        <vt:i4>1</vt:i4>
      </vt:variant>
    </vt:vector>
  </HeadingPairs>
  <TitlesOfParts>
    <vt:vector size="1" baseType="lpstr">
      <vt:lpstr>Australian Public Assessment Report for Adalimumab (rch)</vt:lpstr>
    </vt:vector>
  </TitlesOfParts>
  <Company/>
  <LinksUpToDate>false</LinksUpToDate>
  <CharactersWithSpaces>86316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Adalimumab (rch)</dc:title>
  <dc:subject>prescription medicines</dc:subject>
  <dc:creator>Therapeutic Goods Administration</dc:creator>
  <cp:keywords>AusPARs</cp:keywords>
  <cp:lastModifiedBy>Lack, Janet</cp:lastModifiedBy>
  <cp:revision>67</cp:revision>
  <cp:lastPrinted>2016-05-13T03:28:00Z</cp:lastPrinted>
  <dcterms:created xsi:type="dcterms:W3CDTF">2016-07-07T00:01:00Z</dcterms:created>
  <dcterms:modified xsi:type="dcterms:W3CDTF">2016-07-22T01:44:00Z</dcterms:modified>
  <cp:category/>
</cp:coreProperties>
</file>