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9CED32A" w14:textId="77777777" w:rsidTr="00BF1190">
        <w:trPr>
          <w:trHeight w:val="1863"/>
        </w:trPr>
        <w:tc>
          <w:tcPr>
            <w:tcW w:w="3652" w:type="dxa"/>
            <w:tcBorders>
              <w:top w:val="nil"/>
              <w:left w:val="nil"/>
              <w:bottom w:val="nil"/>
              <w:right w:val="nil"/>
            </w:tcBorders>
          </w:tcPr>
          <w:p w14:paraId="01B78DFD" w14:textId="6C8E91E5" w:rsidR="008E7846" w:rsidRPr="00096AA7" w:rsidRDefault="0012232D" w:rsidP="00096AA7">
            <w:pPr>
              <w:rPr>
                <w:rFonts w:ascii="Arial" w:hAnsi="Arial" w:cs="Arial"/>
                <w:b/>
                <w:color w:val="002C47"/>
                <w:sz w:val="36"/>
                <w:szCs w:val="36"/>
              </w:rPr>
            </w:pPr>
            <w:r>
              <w:rPr>
                <w:rFonts w:ascii="Arial" w:hAnsi="Arial" w:cs="Arial"/>
                <w:b/>
                <w:color w:val="002C47"/>
                <w:sz w:val="36"/>
                <w:szCs w:val="36"/>
              </w:rPr>
              <w:t>April</w:t>
            </w:r>
            <w:r w:rsidR="002A5BC7">
              <w:rPr>
                <w:rFonts w:ascii="Arial" w:hAnsi="Arial" w:cs="Arial"/>
                <w:b/>
                <w:color w:val="002C47"/>
                <w:sz w:val="36"/>
                <w:szCs w:val="36"/>
              </w:rPr>
              <w:t xml:space="preserve">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DFD78C0" w14:textId="77777777" w:rsidTr="0032583B">
        <w:trPr>
          <w:trHeight w:val="868"/>
        </w:trPr>
        <w:tc>
          <w:tcPr>
            <w:tcW w:w="9079" w:type="dxa"/>
          </w:tcPr>
          <w:p w14:paraId="0E87E233" w14:textId="77777777" w:rsidR="0032583B" w:rsidRPr="00A964D1" w:rsidRDefault="0032583B" w:rsidP="002A5BC7">
            <w:pPr>
              <w:pStyle w:val="Title"/>
              <w:rPr>
                <w:color w:val="FFFFFF" w:themeColor="background1"/>
              </w:rPr>
            </w:pPr>
            <w:r w:rsidRPr="00A964D1">
              <w:rPr>
                <w:color w:val="FFFFFF" w:themeColor="background1"/>
              </w:rPr>
              <w:t>Australia</w:t>
            </w:r>
            <w:r w:rsidR="002A5BC7">
              <w:rPr>
                <w:color w:val="FFFFFF" w:themeColor="background1"/>
              </w:rPr>
              <w:t>n Public Assessment Report for Adalimumab</w:t>
            </w:r>
          </w:p>
        </w:tc>
      </w:tr>
      <w:tr w:rsidR="0032583B" w:rsidRPr="00B64760" w14:paraId="477E06D2" w14:textId="77777777" w:rsidTr="0032583B">
        <w:tc>
          <w:tcPr>
            <w:tcW w:w="9079" w:type="dxa"/>
          </w:tcPr>
          <w:p w14:paraId="500E1665" w14:textId="77777777" w:rsidR="0032583B" w:rsidRPr="008E7846" w:rsidRDefault="002A5BC7" w:rsidP="00460036">
            <w:pPr>
              <w:pStyle w:val="Subtitle"/>
              <w:rPr>
                <w:color w:val="FFFFFF" w:themeColor="background1"/>
              </w:rPr>
            </w:pPr>
            <w:r>
              <w:rPr>
                <w:color w:val="FFFFFF" w:themeColor="background1"/>
              </w:rPr>
              <w:t>Proprietary Product Name: Abrilada</w:t>
            </w:r>
          </w:p>
        </w:tc>
      </w:tr>
      <w:tr w:rsidR="0032583B" w:rsidRPr="00B64760" w14:paraId="32487FBA" w14:textId="77777777" w:rsidTr="0032583B">
        <w:trPr>
          <w:trHeight w:val="486"/>
        </w:trPr>
        <w:tc>
          <w:tcPr>
            <w:tcW w:w="9079" w:type="dxa"/>
          </w:tcPr>
          <w:p w14:paraId="48D86FDE" w14:textId="77777777" w:rsidR="0032583B" w:rsidRPr="008E7846" w:rsidRDefault="002A5BC7" w:rsidP="0032583B">
            <w:pPr>
              <w:pStyle w:val="Subtitle"/>
              <w:rPr>
                <w:color w:val="FFFFFF" w:themeColor="background1"/>
              </w:rPr>
            </w:pPr>
            <w:r>
              <w:rPr>
                <w:color w:val="FFFFFF" w:themeColor="background1"/>
              </w:rPr>
              <w:t>Sponsor: Pfizer Australia Pty Ltd</w:t>
            </w:r>
          </w:p>
        </w:tc>
      </w:tr>
    </w:tbl>
    <w:p w14:paraId="2258C183" w14:textId="77777777" w:rsidR="008E7846" w:rsidRPr="0085156D" w:rsidRDefault="008E7846" w:rsidP="0085156D">
      <w:r w:rsidRPr="0085156D">
        <w:br w:type="page"/>
      </w:r>
    </w:p>
    <w:p w14:paraId="4204883F" w14:textId="77777777" w:rsidR="008E7846" w:rsidRPr="001F6CBA" w:rsidRDefault="008E7846" w:rsidP="008E7846">
      <w:pPr>
        <w:pStyle w:val="NonTOCHeading2"/>
      </w:pPr>
      <w:r w:rsidRPr="001F6CBA">
        <w:lastRenderedPageBreak/>
        <w:t>About the Therapeutic Goods Administration (TGA)</w:t>
      </w:r>
    </w:p>
    <w:p w14:paraId="42EBA19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4A218DB"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9A079F4"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C734ACC"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E09670D" w14:textId="48D14340"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59C329A0" w14:textId="77777777" w:rsidR="008E7846" w:rsidRDefault="008E7846" w:rsidP="00875A6B">
      <w:pPr>
        <w:pStyle w:val="NonTOCHeading2"/>
      </w:pPr>
      <w:r>
        <w:t>About AusPARs</w:t>
      </w:r>
    </w:p>
    <w:p w14:paraId="2F20B90A"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5678D47" w14:textId="77777777" w:rsidR="008E7846" w:rsidRDefault="008E7846" w:rsidP="008E7846">
      <w:pPr>
        <w:pStyle w:val="ListBullet"/>
        <w:numPr>
          <w:ilvl w:val="0"/>
          <w:numId w:val="3"/>
        </w:numPr>
        <w:ind w:left="357" w:hanging="357"/>
      </w:pPr>
      <w:r>
        <w:t>AusPARs are prepared and published by the TGA.</w:t>
      </w:r>
    </w:p>
    <w:p w14:paraId="40A38BB3"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D3320A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D7788B9"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DC4D894" w14:textId="77777777" w:rsidR="00924482" w:rsidRPr="00DF1D7F" w:rsidRDefault="00924482" w:rsidP="00F54B65">
      <w:pPr>
        <w:pStyle w:val="LegalSubheading"/>
        <w:spacing w:before="3120"/>
      </w:pPr>
      <w:r w:rsidRPr="00DF1D7F">
        <w:t>Copyright</w:t>
      </w:r>
    </w:p>
    <w:p w14:paraId="43B58885" w14:textId="1F0DC578"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26433F98"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CEB658F" w14:textId="77777777" w:rsidR="0089635C" w:rsidRPr="0089635C" w:rsidRDefault="0089635C" w:rsidP="0010788A">
          <w:pPr>
            <w:pStyle w:val="Contents"/>
          </w:pPr>
          <w:r w:rsidRPr="0010788A">
            <w:t>Co</w:t>
          </w:r>
          <w:bookmarkStart w:id="2" w:name="_GoBack"/>
          <w:bookmarkEnd w:id="2"/>
          <w:r w:rsidRPr="0010788A">
            <w:t>ntents</w:t>
          </w:r>
        </w:p>
        <w:p w14:paraId="28413E93" w14:textId="427209BA" w:rsidR="00A94E9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1104744" w:history="1">
            <w:r w:rsidR="00A94E94" w:rsidRPr="00436136">
              <w:rPr>
                <w:rStyle w:val="Hyperlink"/>
                <w:noProof/>
              </w:rPr>
              <w:t>List of abbreviations</w:t>
            </w:r>
            <w:r w:rsidR="00A94E94">
              <w:rPr>
                <w:noProof/>
                <w:webHidden/>
              </w:rPr>
              <w:tab/>
            </w:r>
            <w:r w:rsidR="00A94E94">
              <w:rPr>
                <w:noProof/>
                <w:webHidden/>
              </w:rPr>
              <w:fldChar w:fldCharType="begin"/>
            </w:r>
            <w:r w:rsidR="00A94E94">
              <w:rPr>
                <w:noProof/>
                <w:webHidden/>
              </w:rPr>
              <w:instrText xml:space="preserve"> PAGEREF _Toc71104744 \h </w:instrText>
            </w:r>
            <w:r w:rsidR="00A94E94">
              <w:rPr>
                <w:noProof/>
                <w:webHidden/>
              </w:rPr>
            </w:r>
            <w:r w:rsidR="00A94E94">
              <w:rPr>
                <w:noProof/>
                <w:webHidden/>
              </w:rPr>
              <w:fldChar w:fldCharType="separate"/>
            </w:r>
            <w:r w:rsidR="00A94E94">
              <w:rPr>
                <w:noProof/>
                <w:webHidden/>
              </w:rPr>
              <w:t>4</w:t>
            </w:r>
            <w:r w:rsidR="00A94E94">
              <w:rPr>
                <w:noProof/>
                <w:webHidden/>
              </w:rPr>
              <w:fldChar w:fldCharType="end"/>
            </w:r>
          </w:hyperlink>
        </w:p>
        <w:p w14:paraId="6A0A5E8C" w14:textId="731D2801" w:rsidR="00A94E94" w:rsidRDefault="00A94E94">
          <w:pPr>
            <w:pStyle w:val="TOC1"/>
            <w:rPr>
              <w:rFonts w:asciiTheme="minorHAnsi" w:eastAsiaTheme="minorEastAsia" w:hAnsiTheme="minorHAnsi" w:cstheme="minorBidi"/>
              <w:b w:val="0"/>
              <w:noProof/>
              <w:sz w:val="22"/>
              <w:lang w:eastAsia="en-AU"/>
            </w:rPr>
          </w:pPr>
          <w:hyperlink w:anchor="_Toc71104745" w:history="1">
            <w:r w:rsidRPr="00436136">
              <w:rPr>
                <w:rStyle w:val="Hyperlink"/>
                <w:noProof/>
              </w:rPr>
              <w:t>I. Introduction to product submission</w:t>
            </w:r>
            <w:r>
              <w:rPr>
                <w:noProof/>
                <w:webHidden/>
              </w:rPr>
              <w:tab/>
            </w:r>
            <w:r>
              <w:rPr>
                <w:noProof/>
                <w:webHidden/>
              </w:rPr>
              <w:fldChar w:fldCharType="begin"/>
            </w:r>
            <w:r>
              <w:rPr>
                <w:noProof/>
                <w:webHidden/>
              </w:rPr>
              <w:instrText xml:space="preserve"> PAGEREF _Toc71104745 \h </w:instrText>
            </w:r>
            <w:r>
              <w:rPr>
                <w:noProof/>
                <w:webHidden/>
              </w:rPr>
            </w:r>
            <w:r>
              <w:rPr>
                <w:noProof/>
                <w:webHidden/>
              </w:rPr>
              <w:fldChar w:fldCharType="separate"/>
            </w:r>
            <w:r>
              <w:rPr>
                <w:noProof/>
                <w:webHidden/>
              </w:rPr>
              <w:t>6</w:t>
            </w:r>
            <w:r>
              <w:rPr>
                <w:noProof/>
                <w:webHidden/>
              </w:rPr>
              <w:fldChar w:fldCharType="end"/>
            </w:r>
          </w:hyperlink>
        </w:p>
        <w:p w14:paraId="2ADA1633" w14:textId="6998A8D7" w:rsidR="00A94E94" w:rsidRDefault="00A94E94">
          <w:pPr>
            <w:pStyle w:val="TOC2"/>
            <w:rPr>
              <w:rFonts w:asciiTheme="minorHAnsi" w:eastAsiaTheme="minorEastAsia" w:hAnsiTheme="minorHAnsi" w:cstheme="minorBidi"/>
              <w:b w:val="0"/>
              <w:noProof/>
              <w:sz w:val="22"/>
              <w:lang w:eastAsia="en-AU"/>
            </w:rPr>
          </w:pPr>
          <w:hyperlink w:anchor="_Toc71104746" w:history="1">
            <w:r w:rsidRPr="00436136">
              <w:rPr>
                <w:rStyle w:val="Hyperlink"/>
                <w:noProof/>
                <w:lang w:eastAsia="en-AU"/>
              </w:rPr>
              <w:t>Submission details</w:t>
            </w:r>
            <w:r>
              <w:rPr>
                <w:noProof/>
                <w:webHidden/>
              </w:rPr>
              <w:tab/>
            </w:r>
            <w:r>
              <w:rPr>
                <w:noProof/>
                <w:webHidden/>
              </w:rPr>
              <w:fldChar w:fldCharType="begin"/>
            </w:r>
            <w:r>
              <w:rPr>
                <w:noProof/>
                <w:webHidden/>
              </w:rPr>
              <w:instrText xml:space="preserve"> PAGEREF _Toc71104746 \h </w:instrText>
            </w:r>
            <w:r>
              <w:rPr>
                <w:noProof/>
                <w:webHidden/>
              </w:rPr>
            </w:r>
            <w:r>
              <w:rPr>
                <w:noProof/>
                <w:webHidden/>
              </w:rPr>
              <w:fldChar w:fldCharType="separate"/>
            </w:r>
            <w:r>
              <w:rPr>
                <w:noProof/>
                <w:webHidden/>
              </w:rPr>
              <w:t>6</w:t>
            </w:r>
            <w:r>
              <w:rPr>
                <w:noProof/>
                <w:webHidden/>
              </w:rPr>
              <w:fldChar w:fldCharType="end"/>
            </w:r>
          </w:hyperlink>
        </w:p>
        <w:p w14:paraId="0B92673D" w14:textId="69F09FAD" w:rsidR="00A94E94" w:rsidRDefault="00A94E94">
          <w:pPr>
            <w:pStyle w:val="TOC2"/>
            <w:rPr>
              <w:rFonts w:asciiTheme="minorHAnsi" w:eastAsiaTheme="minorEastAsia" w:hAnsiTheme="minorHAnsi" w:cstheme="minorBidi"/>
              <w:b w:val="0"/>
              <w:noProof/>
              <w:sz w:val="22"/>
              <w:lang w:eastAsia="en-AU"/>
            </w:rPr>
          </w:pPr>
          <w:hyperlink w:anchor="_Toc71104747" w:history="1">
            <w:r w:rsidRPr="00436136">
              <w:rPr>
                <w:rStyle w:val="Hyperlink"/>
                <w:noProof/>
              </w:rPr>
              <w:t>Product background</w:t>
            </w:r>
            <w:r>
              <w:rPr>
                <w:noProof/>
                <w:webHidden/>
              </w:rPr>
              <w:tab/>
            </w:r>
            <w:r>
              <w:rPr>
                <w:noProof/>
                <w:webHidden/>
              </w:rPr>
              <w:fldChar w:fldCharType="begin"/>
            </w:r>
            <w:r>
              <w:rPr>
                <w:noProof/>
                <w:webHidden/>
              </w:rPr>
              <w:instrText xml:space="preserve"> PAGEREF _Toc71104747 \h </w:instrText>
            </w:r>
            <w:r>
              <w:rPr>
                <w:noProof/>
                <w:webHidden/>
              </w:rPr>
            </w:r>
            <w:r>
              <w:rPr>
                <w:noProof/>
                <w:webHidden/>
              </w:rPr>
              <w:fldChar w:fldCharType="separate"/>
            </w:r>
            <w:r>
              <w:rPr>
                <w:noProof/>
                <w:webHidden/>
              </w:rPr>
              <w:t>8</w:t>
            </w:r>
            <w:r>
              <w:rPr>
                <w:noProof/>
                <w:webHidden/>
              </w:rPr>
              <w:fldChar w:fldCharType="end"/>
            </w:r>
          </w:hyperlink>
        </w:p>
        <w:p w14:paraId="0A8F584B" w14:textId="088CA549" w:rsidR="00A94E94" w:rsidRDefault="00A94E94">
          <w:pPr>
            <w:pStyle w:val="TOC2"/>
            <w:rPr>
              <w:rFonts w:asciiTheme="minorHAnsi" w:eastAsiaTheme="minorEastAsia" w:hAnsiTheme="minorHAnsi" w:cstheme="minorBidi"/>
              <w:b w:val="0"/>
              <w:noProof/>
              <w:sz w:val="22"/>
              <w:lang w:eastAsia="en-AU"/>
            </w:rPr>
          </w:pPr>
          <w:hyperlink w:anchor="_Toc71104748" w:history="1">
            <w:r w:rsidRPr="00436136">
              <w:rPr>
                <w:rStyle w:val="Hyperlink"/>
                <w:noProof/>
              </w:rPr>
              <w:t>Regulatory status</w:t>
            </w:r>
            <w:r>
              <w:rPr>
                <w:noProof/>
                <w:webHidden/>
              </w:rPr>
              <w:tab/>
            </w:r>
            <w:r>
              <w:rPr>
                <w:noProof/>
                <w:webHidden/>
              </w:rPr>
              <w:fldChar w:fldCharType="begin"/>
            </w:r>
            <w:r>
              <w:rPr>
                <w:noProof/>
                <w:webHidden/>
              </w:rPr>
              <w:instrText xml:space="preserve"> PAGEREF _Toc71104748 \h </w:instrText>
            </w:r>
            <w:r>
              <w:rPr>
                <w:noProof/>
                <w:webHidden/>
              </w:rPr>
            </w:r>
            <w:r>
              <w:rPr>
                <w:noProof/>
                <w:webHidden/>
              </w:rPr>
              <w:fldChar w:fldCharType="separate"/>
            </w:r>
            <w:r>
              <w:rPr>
                <w:noProof/>
                <w:webHidden/>
              </w:rPr>
              <w:t>10</w:t>
            </w:r>
            <w:r>
              <w:rPr>
                <w:noProof/>
                <w:webHidden/>
              </w:rPr>
              <w:fldChar w:fldCharType="end"/>
            </w:r>
          </w:hyperlink>
        </w:p>
        <w:p w14:paraId="383AF383" w14:textId="6DBD63FD" w:rsidR="00A94E94" w:rsidRDefault="00A94E94">
          <w:pPr>
            <w:pStyle w:val="TOC2"/>
            <w:rPr>
              <w:rFonts w:asciiTheme="minorHAnsi" w:eastAsiaTheme="minorEastAsia" w:hAnsiTheme="minorHAnsi" w:cstheme="minorBidi"/>
              <w:b w:val="0"/>
              <w:noProof/>
              <w:sz w:val="22"/>
              <w:lang w:eastAsia="en-AU"/>
            </w:rPr>
          </w:pPr>
          <w:hyperlink w:anchor="_Toc71104749" w:history="1">
            <w:r w:rsidRPr="00436136">
              <w:rPr>
                <w:rStyle w:val="Hyperlink"/>
                <w:noProof/>
              </w:rPr>
              <w:t>Product Information</w:t>
            </w:r>
            <w:r>
              <w:rPr>
                <w:noProof/>
                <w:webHidden/>
              </w:rPr>
              <w:tab/>
            </w:r>
            <w:r>
              <w:rPr>
                <w:noProof/>
                <w:webHidden/>
              </w:rPr>
              <w:fldChar w:fldCharType="begin"/>
            </w:r>
            <w:r>
              <w:rPr>
                <w:noProof/>
                <w:webHidden/>
              </w:rPr>
              <w:instrText xml:space="preserve"> PAGEREF _Toc71104749 \h </w:instrText>
            </w:r>
            <w:r>
              <w:rPr>
                <w:noProof/>
                <w:webHidden/>
              </w:rPr>
            </w:r>
            <w:r>
              <w:rPr>
                <w:noProof/>
                <w:webHidden/>
              </w:rPr>
              <w:fldChar w:fldCharType="separate"/>
            </w:r>
            <w:r>
              <w:rPr>
                <w:noProof/>
                <w:webHidden/>
              </w:rPr>
              <w:t>13</w:t>
            </w:r>
            <w:r>
              <w:rPr>
                <w:noProof/>
                <w:webHidden/>
              </w:rPr>
              <w:fldChar w:fldCharType="end"/>
            </w:r>
          </w:hyperlink>
        </w:p>
        <w:p w14:paraId="489CC041" w14:textId="5BAE3F84" w:rsidR="00A94E94" w:rsidRDefault="00A94E94">
          <w:pPr>
            <w:pStyle w:val="TOC1"/>
            <w:rPr>
              <w:rFonts w:asciiTheme="minorHAnsi" w:eastAsiaTheme="minorEastAsia" w:hAnsiTheme="minorHAnsi" w:cstheme="minorBidi"/>
              <w:b w:val="0"/>
              <w:noProof/>
              <w:sz w:val="22"/>
              <w:lang w:eastAsia="en-AU"/>
            </w:rPr>
          </w:pPr>
          <w:hyperlink w:anchor="_Toc71104750" w:history="1">
            <w:r w:rsidRPr="00436136">
              <w:rPr>
                <w:rStyle w:val="Hyperlink"/>
                <w:noProof/>
              </w:rPr>
              <w:t>II. Registration timeline</w:t>
            </w:r>
            <w:r>
              <w:rPr>
                <w:noProof/>
                <w:webHidden/>
              </w:rPr>
              <w:tab/>
            </w:r>
            <w:r>
              <w:rPr>
                <w:noProof/>
                <w:webHidden/>
              </w:rPr>
              <w:fldChar w:fldCharType="begin"/>
            </w:r>
            <w:r>
              <w:rPr>
                <w:noProof/>
                <w:webHidden/>
              </w:rPr>
              <w:instrText xml:space="preserve"> PAGEREF _Toc71104750 \h </w:instrText>
            </w:r>
            <w:r>
              <w:rPr>
                <w:noProof/>
                <w:webHidden/>
              </w:rPr>
            </w:r>
            <w:r>
              <w:rPr>
                <w:noProof/>
                <w:webHidden/>
              </w:rPr>
              <w:fldChar w:fldCharType="separate"/>
            </w:r>
            <w:r>
              <w:rPr>
                <w:noProof/>
                <w:webHidden/>
              </w:rPr>
              <w:t>13</w:t>
            </w:r>
            <w:r>
              <w:rPr>
                <w:noProof/>
                <w:webHidden/>
              </w:rPr>
              <w:fldChar w:fldCharType="end"/>
            </w:r>
          </w:hyperlink>
        </w:p>
        <w:p w14:paraId="40886B62" w14:textId="4C7ACF65" w:rsidR="00A94E94" w:rsidRDefault="00A94E94">
          <w:pPr>
            <w:pStyle w:val="TOC1"/>
            <w:rPr>
              <w:rFonts w:asciiTheme="minorHAnsi" w:eastAsiaTheme="minorEastAsia" w:hAnsiTheme="minorHAnsi" w:cstheme="minorBidi"/>
              <w:b w:val="0"/>
              <w:noProof/>
              <w:sz w:val="22"/>
              <w:lang w:eastAsia="en-AU"/>
            </w:rPr>
          </w:pPr>
          <w:hyperlink w:anchor="_Toc71104751" w:history="1">
            <w:r w:rsidRPr="00436136">
              <w:rPr>
                <w:rStyle w:val="Hyperlink"/>
                <w:noProof/>
              </w:rPr>
              <w:t>III. Submission overview and risk/benefit assessment</w:t>
            </w:r>
            <w:r>
              <w:rPr>
                <w:noProof/>
                <w:webHidden/>
              </w:rPr>
              <w:tab/>
            </w:r>
            <w:r>
              <w:rPr>
                <w:noProof/>
                <w:webHidden/>
              </w:rPr>
              <w:fldChar w:fldCharType="begin"/>
            </w:r>
            <w:r>
              <w:rPr>
                <w:noProof/>
                <w:webHidden/>
              </w:rPr>
              <w:instrText xml:space="preserve"> PAGEREF _Toc71104751 \h </w:instrText>
            </w:r>
            <w:r>
              <w:rPr>
                <w:noProof/>
                <w:webHidden/>
              </w:rPr>
            </w:r>
            <w:r>
              <w:rPr>
                <w:noProof/>
                <w:webHidden/>
              </w:rPr>
              <w:fldChar w:fldCharType="separate"/>
            </w:r>
            <w:r>
              <w:rPr>
                <w:noProof/>
                <w:webHidden/>
              </w:rPr>
              <w:t>14</w:t>
            </w:r>
            <w:r>
              <w:rPr>
                <w:noProof/>
                <w:webHidden/>
              </w:rPr>
              <w:fldChar w:fldCharType="end"/>
            </w:r>
          </w:hyperlink>
        </w:p>
        <w:p w14:paraId="4C8C6C69" w14:textId="71B3AC58" w:rsidR="00A94E94" w:rsidRDefault="00A94E94">
          <w:pPr>
            <w:pStyle w:val="TOC2"/>
            <w:rPr>
              <w:rFonts w:asciiTheme="minorHAnsi" w:eastAsiaTheme="minorEastAsia" w:hAnsiTheme="minorHAnsi" w:cstheme="minorBidi"/>
              <w:b w:val="0"/>
              <w:noProof/>
              <w:sz w:val="22"/>
              <w:lang w:eastAsia="en-AU"/>
            </w:rPr>
          </w:pPr>
          <w:hyperlink w:anchor="_Toc71104752" w:history="1">
            <w:r w:rsidRPr="00436136">
              <w:rPr>
                <w:rStyle w:val="Hyperlink"/>
                <w:noProof/>
              </w:rPr>
              <w:t>Contents of the submission</w:t>
            </w:r>
            <w:r>
              <w:rPr>
                <w:noProof/>
                <w:webHidden/>
              </w:rPr>
              <w:tab/>
            </w:r>
            <w:r>
              <w:rPr>
                <w:noProof/>
                <w:webHidden/>
              </w:rPr>
              <w:fldChar w:fldCharType="begin"/>
            </w:r>
            <w:r>
              <w:rPr>
                <w:noProof/>
                <w:webHidden/>
              </w:rPr>
              <w:instrText xml:space="preserve"> PAGEREF _Toc71104752 \h </w:instrText>
            </w:r>
            <w:r>
              <w:rPr>
                <w:noProof/>
                <w:webHidden/>
              </w:rPr>
            </w:r>
            <w:r>
              <w:rPr>
                <w:noProof/>
                <w:webHidden/>
              </w:rPr>
              <w:fldChar w:fldCharType="separate"/>
            </w:r>
            <w:r>
              <w:rPr>
                <w:noProof/>
                <w:webHidden/>
              </w:rPr>
              <w:t>14</w:t>
            </w:r>
            <w:r>
              <w:rPr>
                <w:noProof/>
                <w:webHidden/>
              </w:rPr>
              <w:fldChar w:fldCharType="end"/>
            </w:r>
          </w:hyperlink>
        </w:p>
        <w:p w14:paraId="4227E1DE" w14:textId="66F908E9" w:rsidR="00A94E94" w:rsidRDefault="00A94E94">
          <w:pPr>
            <w:pStyle w:val="TOC2"/>
            <w:rPr>
              <w:rFonts w:asciiTheme="minorHAnsi" w:eastAsiaTheme="minorEastAsia" w:hAnsiTheme="minorHAnsi" w:cstheme="minorBidi"/>
              <w:b w:val="0"/>
              <w:noProof/>
              <w:sz w:val="22"/>
              <w:lang w:eastAsia="en-AU"/>
            </w:rPr>
          </w:pPr>
          <w:hyperlink w:anchor="_Toc71104753" w:history="1">
            <w:r w:rsidRPr="00436136">
              <w:rPr>
                <w:rStyle w:val="Hyperlink"/>
                <w:noProof/>
              </w:rPr>
              <w:t>Quality</w:t>
            </w:r>
            <w:r>
              <w:rPr>
                <w:noProof/>
                <w:webHidden/>
              </w:rPr>
              <w:tab/>
            </w:r>
            <w:r>
              <w:rPr>
                <w:noProof/>
                <w:webHidden/>
              </w:rPr>
              <w:fldChar w:fldCharType="begin"/>
            </w:r>
            <w:r>
              <w:rPr>
                <w:noProof/>
                <w:webHidden/>
              </w:rPr>
              <w:instrText xml:space="preserve"> PAGEREF _Toc71104753 \h </w:instrText>
            </w:r>
            <w:r>
              <w:rPr>
                <w:noProof/>
                <w:webHidden/>
              </w:rPr>
            </w:r>
            <w:r>
              <w:rPr>
                <w:noProof/>
                <w:webHidden/>
              </w:rPr>
              <w:fldChar w:fldCharType="separate"/>
            </w:r>
            <w:r>
              <w:rPr>
                <w:noProof/>
                <w:webHidden/>
              </w:rPr>
              <w:t>15</w:t>
            </w:r>
            <w:r>
              <w:rPr>
                <w:noProof/>
                <w:webHidden/>
              </w:rPr>
              <w:fldChar w:fldCharType="end"/>
            </w:r>
          </w:hyperlink>
        </w:p>
        <w:p w14:paraId="0F10E6CE" w14:textId="02F20650" w:rsidR="00A94E94" w:rsidRDefault="00A94E94">
          <w:pPr>
            <w:pStyle w:val="TOC2"/>
            <w:rPr>
              <w:rFonts w:asciiTheme="minorHAnsi" w:eastAsiaTheme="minorEastAsia" w:hAnsiTheme="minorHAnsi" w:cstheme="minorBidi"/>
              <w:b w:val="0"/>
              <w:noProof/>
              <w:sz w:val="22"/>
              <w:lang w:eastAsia="en-AU"/>
            </w:rPr>
          </w:pPr>
          <w:hyperlink w:anchor="_Toc71104754" w:history="1">
            <w:r w:rsidRPr="00436136">
              <w:rPr>
                <w:rStyle w:val="Hyperlink"/>
                <w:noProof/>
              </w:rPr>
              <w:t>Nonclinical</w:t>
            </w:r>
            <w:r>
              <w:rPr>
                <w:noProof/>
                <w:webHidden/>
              </w:rPr>
              <w:tab/>
            </w:r>
            <w:r>
              <w:rPr>
                <w:noProof/>
                <w:webHidden/>
              </w:rPr>
              <w:fldChar w:fldCharType="begin"/>
            </w:r>
            <w:r>
              <w:rPr>
                <w:noProof/>
                <w:webHidden/>
              </w:rPr>
              <w:instrText xml:space="preserve"> PAGEREF _Toc71104754 \h </w:instrText>
            </w:r>
            <w:r>
              <w:rPr>
                <w:noProof/>
                <w:webHidden/>
              </w:rPr>
            </w:r>
            <w:r>
              <w:rPr>
                <w:noProof/>
                <w:webHidden/>
              </w:rPr>
              <w:fldChar w:fldCharType="separate"/>
            </w:r>
            <w:r>
              <w:rPr>
                <w:noProof/>
                <w:webHidden/>
              </w:rPr>
              <w:t>16</w:t>
            </w:r>
            <w:r>
              <w:rPr>
                <w:noProof/>
                <w:webHidden/>
              </w:rPr>
              <w:fldChar w:fldCharType="end"/>
            </w:r>
          </w:hyperlink>
        </w:p>
        <w:p w14:paraId="1673288F" w14:textId="40EAF10C" w:rsidR="00A94E94" w:rsidRDefault="00A94E94">
          <w:pPr>
            <w:pStyle w:val="TOC2"/>
            <w:rPr>
              <w:rFonts w:asciiTheme="minorHAnsi" w:eastAsiaTheme="minorEastAsia" w:hAnsiTheme="minorHAnsi" w:cstheme="minorBidi"/>
              <w:b w:val="0"/>
              <w:noProof/>
              <w:sz w:val="22"/>
              <w:lang w:eastAsia="en-AU"/>
            </w:rPr>
          </w:pPr>
          <w:hyperlink w:anchor="_Toc71104755" w:history="1">
            <w:r w:rsidRPr="00436136">
              <w:rPr>
                <w:rStyle w:val="Hyperlink"/>
                <w:noProof/>
              </w:rPr>
              <w:t>Clinical</w:t>
            </w:r>
            <w:r>
              <w:rPr>
                <w:noProof/>
                <w:webHidden/>
              </w:rPr>
              <w:tab/>
            </w:r>
            <w:r>
              <w:rPr>
                <w:noProof/>
                <w:webHidden/>
              </w:rPr>
              <w:fldChar w:fldCharType="begin"/>
            </w:r>
            <w:r>
              <w:rPr>
                <w:noProof/>
                <w:webHidden/>
              </w:rPr>
              <w:instrText xml:space="preserve"> PAGEREF _Toc71104755 \h </w:instrText>
            </w:r>
            <w:r>
              <w:rPr>
                <w:noProof/>
                <w:webHidden/>
              </w:rPr>
            </w:r>
            <w:r>
              <w:rPr>
                <w:noProof/>
                <w:webHidden/>
              </w:rPr>
              <w:fldChar w:fldCharType="separate"/>
            </w:r>
            <w:r>
              <w:rPr>
                <w:noProof/>
                <w:webHidden/>
              </w:rPr>
              <w:t>17</w:t>
            </w:r>
            <w:r>
              <w:rPr>
                <w:noProof/>
                <w:webHidden/>
              </w:rPr>
              <w:fldChar w:fldCharType="end"/>
            </w:r>
          </w:hyperlink>
        </w:p>
        <w:p w14:paraId="5AE7A082" w14:textId="045C8F26" w:rsidR="00A94E94" w:rsidRDefault="00A94E94">
          <w:pPr>
            <w:pStyle w:val="TOC2"/>
            <w:rPr>
              <w:rFonts w:asciiTheme="minorHAnsi" w:eastAsiaTheme="minorEastAsia" w:hAnsiTheme="minorHAnsi" w:cstheme="minorBidi"/>
              <w:b w:val="0"/>
              <w:noProof/>
              <w:sz w:val="22"/>
              <w:lang w:eastAsia="en-AU"/>
            </w:rPr>
          </w:pPr>
          <w:hyperlink w:anchor="_Toc71104756" w:history="1">
            <w:r w:rsidRPr="00436136">
              <w:rPr>
                <w:rStyle w:val="Hyperlink"/>
                <w:noProof/>
                <w:lang w:eastAsia="en-AU"/>
              </w:rPr>
              <w:t>Risk management plan</w:t>
            </w:r>
            <w:r>
              <w:rPr>
                <w:noProof/>
                <w:webHidden/>
              </w:rPr>
              <w:tab/>
            </w:r>
            <w:r>
              <w:rPr>
                <w:noProof/>
                <w:webHidden/>
              </w:rPr>
              <w:fldChar w:fldCharType="begin"/>
            </w:r>
            <w:r>
              <w:rPr>
                <w:noProof/>
                <w:webHidden/>
              </w:rPr>
              <w:instrText xml:space="preserve"> PAGEREF _Toc71104756 \h </w:instrText>
            </w:r>
            <w:r>
              <w:rPr>
                <w:noProof/>
                <w:webHidden/>
              </w:rPr>
            </w:r>
            <w:r>
              <w:rPr>
                <w:noProof/>
                <w:webHidden/>
              </w:rPr>
              <w:fldChar w:fldCharType="separate"/>
            </w:r>
            <w:r>
              <w:rPr>
                <w:noProof/>
                <w:webHidden/>
              </w:rPr>
              <w:t>30</w:t>
            </w:r>
            <w:r>
              <w:rPr>
                <w:noProof/>
                <w:webHidden/>
              </w:rPr>
              <w:fldChar w:fldCharType="end"/>
            </w:r>
          </w:hyperlink>
        </w:p>
        <w:p w14:paraId="03057BAA" w14:textId="59DD8ABC" w:rsidR="00A94E94" w:rsidRDefault="00A94E94">
          <w:pPr>
            <w:pStyle w:val="TOC2"/>
            <w:rPr>
              <w:rFonts w:asciiTheme="minorHAnsi" w:eastAsiaTheme="minorEastAsia" w:hAnsiTheme="minorHAnsi" w:cstheme="minorBidi"/>
              <w:b w:val="0"/>
              <w:noProof/>
              <w:sz w:val="22"/>
              <w:lang w:eastAsia="en-AU"/>
            </w:rPr>
          </w:pPr>
          <w:hyperlink w:anchor="_Toc71104757" w:history="1">
            <w:r w:rsidRPr="00436136">
              <w:rPr>
                <w:rStyle w:val="Hyperlink"/>
                <w:noProof/>
              </w:rPr>
              <w:t>Risk-benefit analysis</w:t>
            </w:r>
            <w:r>
              <w:rPr>
                <w:noProof/>
                <w:webHidden/>
              </w:rPr>
              <w:tab/>
            </w:r>
            <w:r>
              <w:rPr>
                <w:noProof/>
                <w:webHidden/>
              </w:rPr>
              <w:fldChar w:fldCharType="begin"/>
            </w:r>
            <w:r>
              <w:rPr>
                <w:noProof/>
                <w:webHidden/>
              </w:rPr>
              <w:instrText xml:space="preserve"> PAGEREF _Toc71104757 \h </w:instrText>
            </w:r>
            <w:r>
              <w:rPr>
                <w:noProof/>
                <w:webHidden/>
              </w:rPr>
            </w:r>
            <w:r>
              <w:rPr>
                <w:noProof/>
                <w:webHidden/>
              </w:rPr>
              <w:fldChar w:fldCharType="separate"/>
            </w:r>
            <w:r>
              <w:rPr>
                <w:noProof/>
                <w:webHidden/>
              </w:rPr>
              <w:t>32</w:t>
            </w:r>
            <w:r>
              <w:rPr>
                <w:noProof/>
                <w:webHidden/>
              </w:rPr>
              <w:fldChar w:fldCharType="end"/>
            </w:r>
          </w:hyperlink>
        </w:p>
        <w:p w14:paraId="0465D379" w14:textId="5D96BB94" w:rsidR="00A94E94" w:rsidRDefault="00A94E94">
          <w:pPr>
            <w:pStyle w:val="TOC2"/>
            <w:rPr>
              <w:rFonts w:asciiTheme="minorHAnsi" w:eastAsiaTheme="minorEastAsia" w:hAnsiTheme="minorHAnsi" w:cstheme="minorBidi"/>
              <w:b w:val="0"/>
              <w:noProof/>
              <w:sz w:val="22"/>
              <w:lang w:eastAsia="en-AU"/>
            </w:rPr>
          </w:pPr>
          <w:hyperlink w:anchor="_Toc71104758" w:history="1">
            <w:r w:rsidRPr="00436136">
              <w:rPr>
                <w:rStyle w:val="Hyperlink"/>
                <w:noProof/>
              </w:rPr>
              <w:t>Outcome</w:t>
            </w:r>
            <w:r>
              <w:rPr>
                <w:noProof/>
                <w:webHidden/>
              </w:rPr>
              <w:tab/>
            </w:r>
            <w:r>
              <w:rPr>
                <w:noProof/>
                <w:webHidden/>
              </w:rPr>
              <w:fldChar w:fldCharType="begin"/>
            </w:r>
            <w:r>
              <w:rPr>
                <w:noProof/>
                <w:webHidden/>
              </w:rPr>
              <w:instrText xml:space="preserve"> PAGEREF _Toc71104758 \h </w:instrText>
            </w:r>
            <w:r>
              <w:rPr>
                <w:noProof/>
                <w:webHidden/>
              </w:rPr>
            </w:r>
            <w:r>
              <w:rPr>
                <w:noProof/>
                <w:webHidden/>
              </w:rPr>
              <w:fldChar w:fldCharType="separate"/>
            </w:r>
            <w:r>
              <w:rPr>
                <w:noProof/>
                <w:webHidden/>
              </w:rPr>
              <w:t>35</w:t>
            </w:r>
            <w:r>
              <w:rPr>
                <w:noProof/>
                <w:webHidden/>
              </w:rPr>
              <w:fldChar w:fldCharType="end"/>
            </w:r>
          </w:hyperlink>
        </w:p>
        <w:p w14:paraId="516E6A9A" w14:textId="770EE17F" w:rsidR="00A94E94" w:rsidRDefault="00A94E94">
          <w:pPr>
            <w:pStyle w:val="TOC1"/>
            <w:rPr>
              <w:rFonts w:asciiTheme="minorHAnsi" w:eastAsiaTheme="minorEastAsia" w:hAnsiTheme="minorHAnsi" w:cstheme="minorBidi"/>
              <w:b w:val="0"/>
              <w:noProof/>
              <w:sz w:val="22"/>
              <w:lang w:eastAsia="en-AU"/>
            </w:rPr>
          </w:pPr>
          <w:hyperlink w:anchor="_Toc71104759" w:history="1">
            <w:r w:rsidRPr="00436136">
              <w:rPr>
                <w:rStyle w:val="Hyperlink"/>
                <w:noProof/>
              </w:rPr>
              <w:t>Attachment 1. Product Information</w:t>
            </w:r>
            <w:r>
              <w:rPr>
                <w:noProof/>
                <w:webHidden/>
              </w:rPr>
              <w:tab/>
            </w:r>
            <w:r>
              <w:rPr>
                <w:noProof/>
                <w:webHidden/>
              </w:rPr>
              <w:fldChar w:fldCharType="begin"/>
            </w:r>
            <w:r>
              <w:rPr>
                <w:noProof/>
                <w:webHidden/>
              </w:rPr>
              <w:instrText xml:space="preserve"> PAGEREF _Toc71104759 \h </w:instrText>
            </w:r>
            <w:r>
              <w:rPr>
                <w:noProof/>
                <w:webHidden/>
              </w:rPr>
            </w:r>
            <w:r>
              <w:rPr>
                <w:noProof/>
                <w:webHidden/>
              </w:rPr>
              <w:fldChar w:fldCharType="separate"/>
            </w:r>
            <w:r>
              <w:rPr>
                <w:noProof/>
                <w:webHidden/>
              </w:rPr>
              <w:t>37</w:t>
            </w:r>
            <w:r>
              <w:rPr>
                <w:noProof/>
                <w:webHidden/>
              </w:rPr>
              <w:fldChar w:fldCharType="end"/>
            </w:r>
          </w:hyperlink>
        </w:p>
        <w:p w14:paraId="4D4B9AE9" w14:textId="65311D63" w:rsidR="003A7F6C" w:rsidRPr="00B811C6" w:rsidRDefault="00C525A2" w:rsidP="00B811C6">
          <w:pPr>
            <w:pStyle w:val="TOC2"/>
          </w:pPr>
          <w:r>
            <w:fldChar w:fldCharType="end"/>
          </w:r>
        </w:p>
      </w:sdtContent>
    </w:sdt>
    <w:bookmarkStart w:id="3" w:name="_Toc314842482" w:displacedByCustomXml="prev"/>
    <w:p w14:paraId="6882A9E5" w14:textId="77777777" w:rsidR="00FD119B" w:rsidRDefault="00FD119B">
      <w:pPr>
        <w:spacing w:before="0" w:after="200" w:line="0" w:lineRule="auto"/>
      </w:pPr>
      <w:r>
        <w:br w:type="page"/>
      </w:r>
    </w:p>
    <w:p w14:paraId="77BC9A71" w14:textId="77777777" w:rsidR="00C52E24" w:rsidRPr="00C52E24" w:rsidRDefault="00324E45" w:rsidP="004607B3">
      <w:pPr>
        <w:pStyle w:val="Heading2"/>
      </w:pPr>
      <w:bookmarkStart w:id="4" w:name="_Toc351716269"/>
      <w:bookmarkStart w:id="5" w:name="_Toc351718881"/>
      <w:bookmarkStart w:id="6" w:name="_Toc355338616"/>
      <w:bookmarkStart w:id="7" w:name="_Toc356306144"/>
      <w:bookmarkStart w:id="8" w:name="_Toc71104744"/>
      <w:r>
        <w:t>List of</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604"/>
      </w:tblGrid>
      <w:tr w:rsidR="00FD119B" w:rsidRPr="00FD119B" w14:paraId="5E6CB7CF" w14:textId="77777777" w:rsidTr="003727FC">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197DE29B" w14:textId="77777777" w:rsidR="00FD119B" w:rsidRPr="002A5BC7" w:rsidRDefault="00FD119B" w:rsidP="002A5BC7">
            <w:r w:rsidRPr="002A5BC7">
              <w:t>Abbreviation</w:t>
            </w:r>
          </w:p>
        </w:tc>
        <w:tc>
          <w:tcPr>
            <w:tcW w:w="6830" w:type="dxa"/>
            <w:tcBorders>
              <w:top w:val="single" w:sz="4" w:space="0" w:color="auto"/>
              <w:left w:val="single" w:sz="4" w:space="0" w:color="auto"/>
              <w:bottom w:val="single" w:sz="4" w:space="0" w:color="auto"/>
              <w:right w:val="single" w:sz="4" w:space="0" w:color="auto"/>
            </w:tcBorders>
          </w:tcPr>
          <w:p w14:paraId="0D6B0A09" w14:textId="77777777" w:rsidR="00FD119B" w:rsidRPr="002A5BC7" w:rsidRDefault="00FD119B" w:rsidP="002A5BC7">
            <w:r w:rsidRPr="002A5BC7">
              <w:t>Meaning</w:t>
            </w:r>
          </w:p>
        </w:tc>
      </w:tr>
      <w:tr w:rsidR="003727FC" w:rsidRPr="00FD119B" w14:paraId="3605382F" w14:textId="77777777" w:rsidTr="003727FC">
        <w:tc>
          <w:tcPr>
            <w:tcW w:w="1890" w:type="dxa"/>
            <w:tcBorders>
              <w:top w:val="single" w:sz="4" w:space="0" w:color="auto"/>
            </w:tcBorders>
          </w:tcPr>
          <w:p w14:paraId="1DBAF4F4" w14:textId="77777777" w:rsidR="003727FC" w:rsidRPr="002A5BC7" w:rsidRDefault="003727FC" w:rsidP="002A5BC7">
            <w:r w:rsidRPr="002A5BC7">
              <w:t>ACM</w:t>
            </w:r>
          </w:p>
        </w:tc>
        <w:tc>
          <w:tcPr>
            <w:tcW w:w="6830" w:type="dxa"/>
            <w:tcBorders>
              <w:top w:val="single" w:sz="4" w:space="0" w:color="auto"/>
            </w:tcBorders>
          </w:tcPr>
          <w:p w14:paraId="2853E858" w14:textId="77777777" w:rsidR="003727FC" w:rsidRPr="004607B3" w:rsidRDefault="003727FC" w:rsidP="004607B3">
            <w:r w:rsidRPr="004607B3">
              <w:t>Advisory Committee on Medicines</w:t>
            </w:r>
          </w:p>
        </w:tc>
      </w:tr>
      <w:tr w:rsidR="003727FC" w:rsidRPr="00FD119B" w14:paraId="45DB674C" w14:textId="77777777" w:rsidTr="003727FC">
        <w:tc>
          <w:tcPr>
            <w:tcW w:w="1890" w:type="dxa"/>
          </w:tcPr>
          <w:p w14:paraId="0149301B" w14:textId="77777777" w:rsidR="003727FC" w:rsidRDefault="003727FC" w:rsidP="002A5BC7">
            <w:r>
              <w:t>ACR</w:t>
            </w:r>
          </w:p>
        </w:tc>
        <w:tc>
          <w:tcPr>
            <w:tcW w:w="6830" w:type="dxa"/>
          </w:tcPr>
          <w:p w14:paraId="6FC724CB" w14:textId="77777777" w:rsidR="003727FC" w:rsidRDefault="003727FC" w:rsidP="002A5BC7">
            <w:r>
              <w:t>American College of Rheumatology</w:t>
            </w:r>
          </w:p>
        </w:tc>
      </w:tr>
      <w:tr w:rsidR="003727FC" w:rsidRPr="00FD119B" w14:paraId="21FE33CD" w14:textId="77777777" w:rsidTr="003727FC">
        <w:tc>
          <w:tcPr>
            <w:tcW w:w="1890" w:type="dxa"/>
          </w:tcPr>
          <w:p w14:paraId="0D16B50A" w14:textId="77777777" w:rsidR="003727FC" w:rsidRDefault="003727FC" w:rsidP="002A5BC7">
            <w:r>
              <w:t>ACR20</w:t>
            </w:r>
          </w:p>
        </w:tc>
        <w:tc>
          <w:tcPr>
            <w:tcW w:w="6830" w:type="dxa"/>
          </w:tcPr>
          <w:p w14:paraId="3B2BFFB9" w14:textId="77777777" w:rsidR="003727FC" w:rsidRDefault="003727FC" w:rsidP="002A5BC7">
            <w:r>
              <w:t>American College of Rheumatology 20% response score</w:t>
            </w:r>
          </w:p>
        </w:tc>
      </w:tr>
      <w:tr w:rsidR="003727FC" w:rsidRPr="00FD119B" w14:paraId="535043C0" w14:textId="77777777" w:rsidTr="003727FC">
        <w:tc>
          <w:tcPr>
            <w:tcW w:w="1890" w:type="dxa"/>
          </w:tcPr>
          <w:p w14:paraId="3015FFEA" w14:textId="77777777" w:rsidR="003727FC" w:rsidRDefault="003727FC" w:rsidP="002A5BC7">
            <w:r>
              <w:t>ADA</w:t>
            </w:r>
          </w:p>
        </w:tc>
        <w:tc>
          <w:tcPr>
            <w:tcW w:w="6830" w:type="dxa"/>
          </w:tcPr>
          <w:p w14:paraId="57076F93" w14:textId="77777777" w:rsidR="003727FC" w:rsidRDefault="003727FC" w:rsidP="002A5BC7">
            <w:r>
              <w:t>Antidrug antibody</w:t>
            </w:r>
          </w:p>
        </w:tc>
      </w:tr>
      <w:tr w:rsidR="003727FC" w:rsidRPr="00FD119B" w14:paraId="415D8AC9" w14:textId="77777777" w:rsidTr="003727FC">
        <w:tc>
          <w:tcPr>
            <w:tcW w:w="1890" w:type="dxa"/>
          </w:tcPr>
          <w:p w14:paraId="4944056D" w14:textId="77777777" w:rsidR="003727FC" w:rsidRDefault="003727FC" w:rsidP="002A5BC7">
            <w:r>
              <w:t>ADCC</w:t>
            </w:r>
          </w:p>
        </w:tc>
        <w:tc>
          <w:tcPr>
            <w:tcW w:w="6830" w:type="dxa"/>
          </w:tcPr>
          <w:p w14:paraId="5190F6EC" w14:textId="283130EA" w:rsidR="003727FC" w:rsidRDefault="003727FC" w:rsidP="002A5BC7">
            <w:r>
              <w:t>Antibody dependent cellular cytotox</w:t>
            </w:r>
            <w:r w:rsidR="004403EB">
              <w:t>i</w:t>
            </w:r>
            <w:r>
              <w:t>city</w:t>
            </w:r>
          </w:p>
        </w:tc>
      </w:tr>
      <w:tr w:rsidR="003727FC" w:rsidRPr="00FD119B" w14:paraId="0B17E247" w14:textId="77777777" w:rsidTr="003727FC">
        <w:tc>
          <w:tcPr>
            <w:tcW w:w="1890" w:type="dxa"/>
          </w:tcPr>
          <w:p w14:paraId="3CA20CB3" w14:textId="77777777" w:rsidR="003727FC" w:rsidRPr="00D65F1B" w:rsidRDefault="003727FC" w:rsidP="00D65F1B">
            <w:r w:rsidRPr="00D65F1B">
              <w:t>ARTG</w:t>
            </w:r>
          </w:p>
        </w:tc>
        <w:tc>
          <w:tcPr>
            <w:tcW w:w="6830" w:type="dxa"/>
          </w:tcPr>
          <w:p w14:paraId="2FCDF40A" w14:textId="77777777" w:rsidR="003727FC" w:rsidRPr="00D65F1B" w:rsidRDefault="003727FC" w:rsidP="00D65F1B">
            <w:r w:rsidRPr="00D65F1B">
              <w:t>Australian Register of Therapeutic Goods</w:t>
            </w:r>
          </w:p>
        </w:tc>
      </w:tr>
      <w:tr w:rsidR="003727FC" w:rsidRPr="00FD119B" w14:paraId="3530FD5C" w14:textId="77777777" w:rsidTr="003727FC">
        <w:tc>
          <w:tcPr>
            <w:tcW w:w="1890" w:type="dxa"/>
          </w:tcPr>
          <w:p w14:paraId="2E506B93" w14:textId="77777777" w:rsidR="003727FC" w:rsidRDefault="003727FC" w:rsidP="002A5BC7">
            <w:r>
              <w:t>ASA</w:t>
            </w:r>
          </w:p>
        </w:tc>
        <w:tc>
          <w:tcPr>
            <w:tcW w:w="6830" w:type="dxa"/>
          </w:tcPr>
          <w:p w14:paraId="5E3BBF91" w14:textId="77777777" w:rsidR="003727FC" w:rsidRDefault="003727FC" w:rsidP="002A5BC7">
            <w:r>
              <w:t>Australian-specific Annex</w:t>
            </w:r>
          </w:p>
        </w:tc>
      </w:tr>
      <w:tr w:rsidR="003727FC" w:rsidRPr="00FD119B" w14:paraId="548DA0FE" w14:textId="77777777" w:rsidTr="003727FC">
        <w:tc>
          <w:tcPr>
            <w:tcW w:w="1890" w:type="dxa"/>
          </w:tcPr>
          <w:p w14:paraId="33748A8A" w14:textId="77777777" w:rsidR="003727FC" w:rsidRPr="002A5BC7" w:rsidRDefault="003727FC" w:rsidP="002A5BC7">
            <w:r>
              <w:t>AUC</w:t>
            </w:r>
          </w:p>
        </w:tc>
        <w:tc>
          <w:tcPr>
            <w:tcW w:w="6830" w:type="dxa"/>
          </w:tcPr>
          <w:p w14:paraId="18F39AFD" w14:textId="77777777" w:rsidR="003727FC" w:rsidRPr="002A5BC7" w:rsidRDefault="003727FC" w:rsidP="004607B3">
            <w:r>
              <w:t>Area under the concentration-time curve</w:t>
            </w:r>
          </w:p>
        </w:tc>
      </w:tr>
      <w:tr w:rsidR="003727FC" w:rsidRPr="00FD119B" w14:paraId="6E9D002E" w14:textId="77777777" w:rsidTr="003727FC">
        <w:tc>
          <w:tcPr>
            <w:tcW w:w="1890" w:type="dxa"/>
          </w:tcPr>
          <w:p w14:paraId="58661C3E" w14:textId="77777777" w:rsidR="003727FC" w:rsidRPr="004607B3" w:rsidRDefault="003727FC" w:rsidP="002A5BC7">
            <w:pPr>
              <w:rPr>
                <w:vertAlign w:val="subscript"/>
              </w:rPr>
            </w:pPr>
            <w:r>
              <w:t>AUC</w:t>
            </w:r>
            <w:r>
              <w:rPr>
                <w:vertAlign w:val="subscript"/>
              </w:rPr>
              <w:t>0-2wk</w:t>
            </w:r>
          </w:p>
        </w:tc>
        <w:tc>
          <w:tcPr>
            <w:tcW w:w="6830" w:type="dxa"/>
          </w:tcPr>
          <w:p w14:paraId="60566CE9" w14:textId="77777777" w:rsidR="003727FC" w:rsidRPr="002A5BC7" w:rsidRDefault="003727FC" w:rsidP="002A5BC7">
            <w:r>
              <w:t>Area under the concentration-time curve from time zero to 2 weeks</w:t>
            </w:r>
          </w:p>
        </w:tc>
      </w:tr>
      <w:tr w:rsidR="003727FC" w:rsidRPr="00FD119B" w14:paraId="50A79CF4" w14:textId="77777777" w:rsidTr="003727FC">
        <w:tc>
          <w:tcPr>
            <w:tcW w:w="1890" w:type="dxa"/>
          </w:tcPr>
          <w:p w14:paraId="181CE73D" w14:textId="77777777" w:rsidR="003727FC" w:rsidRPr="004607B3" w:rsidRDefault="003727FC" w:rsidP="002A5BC7">
            <w:pPr>
              <w:rPr>
                <w:vertAlign w:val="subscript"/>
              </w:rPr>
            </w:pPr>
            <w:r>
              <w:t>AUC</w:t>
            </w:r>
            <w:r>
              <w:rPr>
                <w:vertAlign w:val="subscript"/>
              </w:rPr>
              <w:t>0-inf</w:t>
            </w:r>
          </w:p>
        </w:tc>
        <w:tc>
          <w:tcPr>
            <w:tcW w:w="6830" w:type="dxa"/>
          </w:tcPr>
          <w:p w14:paraId="27DFD2D2" w14:textId="77777777" w:rsidR="003727FC" w:rsidRPr="002A5BC7" w:rsidRDefault="003727FC" w:rsidP="002A5BC7">
            <w:r>
              <w:t>Area under the concentration-time curve from time zero extrapolated to infinity</w:t>
            </w:r>
          </w:p>
        </w:tc>
      </w:tr>
      <w:tr w:rsidR="003727FC" w:rsidRPr="00FD119B" w14:paraId="3AE7827A" w14:textId="77777777" w:rsidTr="003727FC">
        <w:tc>
          <w:tcPr>
            <w:tcW w:w="1890" w:type="dxa"/>
          </w:tcPr>
          <w:p w14:paraId="493D0E3D" w14:textId="77777777" w:rsidR="003727FC" w:rsidRPr="004607B3" w:rsidRDefault="003727FC" w:rsidP="002A5BC7">
            <w:pPr>
              <w:rPr>
                <w:vertAlign w:val="subscript"/>
              </w:rPr>
            </w:pPr>
            <w:r>
              <w:t>AUC</w:t>
            </w:r>
            <w:r>
              <w:rPr>
                <w:vertAlign w:val="subscript"/>
              </w:rPr>
              <w:t>0-t</w:t>
            </w:r>
          </w:p>
        </w:tc>
        <w:tc>
          <w:tcPr>
            <w:tcW w:w="6830" w:type="dxa"/>
          </w:tcPr>
          <w:p w14:paraId="46580C95" w14:textId="77777777" w:rsidR="003727FC" w:rsidRPr="002A5BC7" w:rsidRDefault="003727FC" w:rsidP="002A5BC7">
            <w:r>
              <w:t>Area under the concentration-time curve from time zero to last measurable concentration</w:t>
            </w:r>
          </w:p>
        </w:tc>
      </w:tr>
      <w:tr w:rsidR="003727FC" w:rsidRPr="00FD119B" w14:paraId="6E15592A" w14:textId="77777777" w:rsidTr="003727FC">
        <w:tc>
          <w:tcPr>
            <w:tcW w:w="1890" w:type="dxa"/>
          </w:tcPr>
          <w:p w14:paraId="5E854DB2" w14:textId="77777777" w:rsidR="003727FC" w:rsidRDefault="003727FC" w:rsidP="002A5BC7">
            <w:r>
              <w:t>CHMP</w:t>
            </w:r>
          </w:p>
        </w:tc>
        <w:tc>
          <w:tcPr>
            <w:tcW w:w="6830" w:type="dxa"/>
          </w:tcPr>
          <w:p w14:paraId="3B029B87" w14:textId="71C3950A" w:rsidR="003727FC" w:rsidRDefault="003727FC" w:rsidP="002A5BC7">
            <w:r>
              <w:t>Committee on Medicinal Products for Human Use (European</w:t>
            </w:r>
            <w:r w:rsidR="00F511A0">
              <w:t> </w:t>
            </w:r>
            <w:r>
              <w:t>Union)</w:t>
            </w:r>
          </w:p>
        </w:tc>
      </w:tr>
      <w:tr w:rsidR="003727FC" w:rsidRPr="00FD119B" w14:paraId="4648D1E4" w14:textId="77777777" w:rsidTr="003727FC">
        <w:tc>
          <w:tcPr>
            <w:tcW w:w="1890" w:type="dxa"/>
          </w:tcPr>
          <w:p w14:paraId="440A9944" w14:textId="77777777" w:rsidR="003727FC" w:rsidRDefault="003727FC" w:rsidP="002A5BC7">
            <w:r>
              <w:t>CI</w:t>
            </w:r>
          </w:p>
        </w:tc>
        <w:tc>
          <w:tcPr>
            <w:tcW w:w="6830" w:type="dxa"/>
          </w:tcPr>
          <w:p w14:paraId="65A6AD07" w14:textId="77777777" w:rsidR="003727FC" w:rsidRDefault="003727FC" w:rsidP="002A5BC7">
            <w:r>
              <w:t>Confidence interval</w:t>
            </w:r>
          </w:p>
        </w:tc>
      </w:tr>
      <w:tr w:rsidR="003727FC" w:rsidRPr="00FD119B" w14:paraId="0F84EA9A" w14:textId="77777777" w:rsidTr="003727FC">
        <w:tc>
          <w:tcPr>
            <w:tcW w:w="1890" w:type="dxa"/>
          </w:tcPr>
          <w:p w14:paraId="72A8E454" w14:textId="77777777" w:rsidR="003727FC" w:rsidRPr="004607B3" w:rsidRDefault="003727FC" w:rsidP="002A5BC7">
            <w:pPr>
              <w:rPr>
                <w:vertAlign w:val="subscript"/>
              </w:rPr>
            </w:pPr>
            <w:proofErr w:type="spellStart"/>
            <w:r>
              <w:t>C</w:t>
            </w:r>
            <w:r>
              <w:rPr>
                <w:vertAlign w:val="subscript"/>
              </w:rPr>
              <w:t>max</w:t>
            </w:r>
            <w:proofErr w:type="spellEnd"/>
          </w:p>
        </w:tc>
        <w:tc>
          <w:tcPr>
            <w:tcW w:w="6830" w:type="dxa"/>
          </w:tcPr>
          <w:p w14:paraId="544C55D0" w14:textId="77777777" w:rsidR="003727FC" w:rsidRPr="002A5BC7" w:rsidRDefault="003727FC" w:rsidP="002A5BC7">
            <w:r>
              <w:t>Maximum concentration</w:t>
            </w:r>
          </w:p>
        </w:tc>
      </w:tr>
      <w:tr w:rsidR="003727FC" w:rsidRPr="00FD119B" w14:paraId="6B5CBF0A" w14:textId="77777777" w:rsidTr="003727FC">
        <w:tc>
          <w:tcPr>
            <w:tcW w:w="1890" w:type="dxa"/>
          </w:tcPr>
          <w:p w14:paraId="7928C7D8" w14:textId="77777777" w:rsidR="003727FC" w:rsidRDefault="003727FC" w:rsidP="002A5BC7">
            <w:r>
              <w:t>CRP</w:t>
            </w:r>
          </w:p>
        </w:tc>
        <w:tc>
          <w:tcPr>
            <w:tcW w:w="6830" w:type="dxa"/>
          </w:tcPr>
          <w:p w14:paraId="2C87A8A0" w14:textId="77777777" w:rsidR="003727FC" w:rsidRPr="0086580C" w:rsidRDefault="003727FC" w:rsidP="002A5BC7">
            <w:r>
              <w:t>C-reactive protein</w:t>
            </w:r>
          </w:p>
        </w:tc>
      </w:tr>
      <w:tr w:rsidR="003727FC" w:rsidRPr="00FD119B" w14:paraId="625A9128" w14:textId="77777777" w:rsidTr="003727FC">
        <w:tc>
          <w:tcPr>
            <w:tcW w:w="1890" w:type="dxa"/>
          </w:tcPr>
          <w:p w14:paraId="6019D652" w14:textId="77777777" w:rsidR="003727FC" w:rsidRDefault="003727FC" w:rsidP="002A5BC7">
            <w:r>
              <w:t>DAS</w:t>
            </w:r>
          </w:p>
        </w:tc>
        <w:tc>
          <w:tcPr>
            <w:tcW w:w="6830" w:type="dxa"/>
          </w:tcPr>
          <w:p w14:paraId="5A3FF303" w14:textId="77777777" w:rsidR="003727FC" w:rsidRDefault="003727FC" w:rsidP="002A5BC7">
            <w:r>
              <w:t>Disease Activity Score</w:t>
            </w:r>
          </w:p>
        </w:tc>
      </w:tr>
      <w:tr w:rsidR="003727FC" w:rsidRPr="00FD119B" w14:paraId="20A677C0" w14:textId="77777777" w:rsidTr="003727FC">
        <w:tc>
          <w:tcPr>
            <w:tcW w:w="1890" w:type="dxa"/>
          </w:tcPr>
          <w:p w14:paraId="477F87EB" w14:textId="77777777" w:rsidR="003727FC" w:rsidRPr="002A5BC7" w:rsidRDefault="003727FC" w:rsidP="002A5BC7">
            <w:r>
              <w:t>EMA</w:t>
            </w:r>
          </w:p>
        </w:tc>
        <w:tc>
          <w:tcPr>
            <w:tcW w:w="6830" w:type="dxa"/>
          </w:tcPr>
          <w:p w14:paraId="028E1ACA" w14:textId="77777777" w:rsidR="003727FC" w:rsidRPr="002A5BC7" w:rsidRDefault="003727FC" w:rsidP="002A5BC7">
            <w:r>
              <w:t>European Medicines Agency (European Union)</w:t>
            </w:r>
          </w:p>
        </w:tc>
      </w:tr>
      <w:tr w:rsidR="003727FC" w:rsidRPr="00FD119B" w14:paraId="1AF58D13" w14:textId="77777777" w:rsidTr="003727FC">
        <w:tc>
          <w:tcPr>
            <w:tcW w:w="1890" w:type="dxa"/>
          </w:tcPr>
          <w:p w14:paraId="2D4CB55A" w14:textId="77777777" w:rsidR="003727FC" w:rsidRDefault="003727FC" w:rsidP="002A5BC7">
            <w:r>
              <w:t>ESR</w:t>
            </w:r>
          </w:p>
        </w:tc>
        <w:tc>
          <w:tcPr>
            <w:tcW w:w="6830" w:type="dxa"/>
          </w:tcPr>
          <w:p w14:paraId="72D61BCD" w14:textId="77777777" w:rsidR="003727FC" w:rsidRPr="0086580C" w:rsidRDefault="003727FC" w:rsidP="002A5BC7">
            <w:r>
              <w:t>Erythrocyte sedimentation rate</w:t>
            </w:r>
          </w:p>
        </w:tc>
      </w:tr>
      <w:tr w:rsidR="003727FC" w:rsidRPr="00FD119B" w14:paraId="7A4C0277" w14:textId="77777777" w:rsidTr="003727FC">
        <w:tc>
          <w:tcPr>
            <w:tcW w:w="1890" w:type="dxa"/>
          </w:tcPr>
          <w:p w14:paraId="5931C048" w14:textId="77777777" w:rsidR="003727FC" w:rsidRDefault="003727FC" w:rsidP="002A5BC7">
            <w:r>
              <w:t>EU</w:t>
            </w:r>
          </w:p>
        </w:tc>
        <w:tc>
          <w:tcPr>
            <w:tcW w:w="6830" w:type="dxa"/>
          </w:tcPr>
          <w:p w14:paraId="64AA74B4" w14:textId="77777777" w:rsidR="003727FC" w:rsidRDefault="003727FC" w:rsidP="002A5BC7">
            <w:r>
              <w:t>European Union</w:t>
            </w:r>
          </w:p>
        </w:tc>
      </w:tr>
      <w:tr w:rsidR="003727FC" w:rsidRPr="00FD119B" w14:paraId="0B27262C" w14:textId="77777777" w:rsidTr="003727FC">
        <w:tc>
          <w:tcPr>
            <w:tcW w:w="1890" w:type="dxa"/>
          </w:tcPr>
          <w:p w14:paraId="510790B5" w14:textId="77777777" w:rsidR="003727FC" w:rsidRDefault="003727FC" w:rsidP="002A5BC7">
            <w:r>
              <w:t>EULAR</w:t>
            </w:r>
          </w:p>
        </w:tc>
        <w:tc>
          <w:tcPr>
            <w:tcW w:w="6830" w:type="dxa"/>
          </w:tcPr>
          <w:p w14:paraId="2A4744CD" w14:textId="77777777" w:rsidR="003727FC" w:rsidRDefault="003727FC" w:rsidP="002A5BC7">
            <w:r w:rsidRPr="0086580C">
              <w:t>European League against Rheumatism</w:t>
            </w:r>
          </w:p>
        </w:tc>
      </w:tr>
      <w:tr w:rsidR="003727FC" w:rsidRPr="00FD119B" w14:paraId="69EDB42C" w14:textId="77777777" w:rsidTr="003727FC">
        <w:tc>
          <w:tcPr>
            <w:tcW w:w="1890" w:type="dxa"/>
          </w:tcPr>
          <w:p w14:paraId="77F01436" w14:textId="77777777" w:rsidR="003727FC" w:rsidRDefault="003727FC" w:rsidP="002A5BC7">
            <w:r>
              <w:t>FDA</w:t>
            </w:r>
          </w:p>
        </w:tc>
        <w:tc>
          <w:tcPr>
            <w:tcW w:w="6830" w:type="dxa"/>
          </w:tcPr>
          <w:p w14:paraId="50445E97" w14:textId="30F0D3CF" w:rsidR="003727FC" w:rsidRDefault="003727FC" w:rsidP="002A5BC7">
            <w:r>
              <w:t>Food and Drug Administration (</w:t>
            </w:r>
            <w:r w:rsidR="004403EB">
              <w:t>U</w:t>
            </w:r>
            <w:r>
              <w:t>nited States)</w:t>
            </w:r>
          </w:p>
        </w:tc>
      </w:tr>
      <w:tr w:rsidR="003727FC" w:rsidRPr="00FD119B" w14:paraId="3193E3CC" w14:textId="77777777" w:rsidTr="003727FC">
        <w:tc>
          <w:tcPr>
            <w:tcW w:w="1890" w:type="dxa"/>
          </w:tcPr>
          <w:p w14:paraId="5F25FCB6" w14:textId="77777777" w:rsidR="003727FC" w:rsidRDefault="003727FC" w:rsidP="002A5BC7">
            <w:r>
              <w:t>GMP</w:t>
            </w:r>
          </w:p>
        </w:tc>
        <w:tc>
          <w:tcPr>
            <w:tcW w:w="6830" w:type="dxa"/>
          </w:tcPr>
          <w:p w14:paraId="4F5CAE34" w14:textId="77777777" w:rsidR="003727FC" w:rsidRDefault="003727FC" w:rsidP="002A5BC7">
            <w:r>
              <w:t>Good Manufacturing Practice</w:t>
            </w:r>
          </w:p>
        </w:tc>
      </w:tr>
      <w:tr w:rsidR="003727FC" w:rsidRPr="00FD119B" w14:paraId="6C2581C9" w14:textId="77777777" w:rsidTr="003727FC">
        <w:tc>
          <w:tcPr>
            <w:tcW w:w="1890" w:type="dxa"/>
          </w:tcPr>
          <w:p w14:paraId="1196D9F6" w14:textId="77777777" w:rsidR="003727FC" w:rsidRDefault="003727FC" w:rsidP="002A5BC7">
            <w:r>
              <w:t>GVP</w:t>
            </w:r>
          </w:p>
        </w:tc>
        <w:tc>
          <w:tcPr>
            <w:tcW w:w="6830" w:type="dxa"/>
          </w:tcPr>
          <w:p w14:paraId="63346577" w14:textId="77777777" w:rsidR="003727FC" w:rsidRDefault="003727FC" w:rsidP="002A5BC7">
            <w:r>
              <w:t>Good pharmacovigilance practice</w:t>
            </w:r>
          </w:p>
        </w:tc>
      </w:tr>
      <w:tr w:rsidR="003727FC" w:rsidRPr="00FD119B" w14:paraId="78F12745" w14:textId="77777777" w:rsidTr="003727FC">
        <w:tc>
          <w:tcPr>
            <w:tcW w:w="1890" w:type="dxa"/>
          </w:tcPr>
          <w:p w14:paraId="75F0EA03" w14:textId="77777777" w:rsidR="003727FC" w:rsidRDefault="003727FC" w:rsidP="002A5BC7">
            <w:proofErr w:type="spellStart"/>
            <w:r>
              <w:t>NAb</w:t>
            </w:r>
            <w:proofErr w:type="spellEnd"/>
          </w:p>
        </w:tc>
        <w:tc>
          <w:tcPr>
            <w:tcW w:w="6830" w:type="dxa"/>
          </w:tcPr>
          <w:p w14:paraId="364E67CE" w14:textId="77777777" w:rsidR="003727FC" w:rsidRDefault="003727FC" w:rsidP="002A5BC7">
            <w:r>
              <w:t>Neutralising antibody</w:t>
            </w:r>
          </w:p>
        </w:tc>
      </w:tr>
      <w:tr w:rsidR="003727FC" w:rsidRPr="00FD119B" w14:paraId="38ADDF74" w14:textId="77777777" w:rsidTr="003727FC">
        <w:tc>
          <w:tcPr>
            <w:tcW w:w="1890" w:type="dxa"/>
          </w:tcPr>
          <w:p w14:paraId="567C6F50" w14:textId="77777777" w:rsidR="003727FC" w:rsidRDefault="003727FC" w:rsidP="002A5BC7">
            <w:r>
              <w:t>PI</w:t>
            </w:r>
          </w:p>
        </w:tc>
        <w:tc>
          <w:tcPr>
            <w:tcW w:w="6830" w:type="dxa"/>
          </w:tcPr>
          <w:p w14:paraId="7EC7239B" w14:textId="77777777" w:rsidR="003727FC" w:rsidRDefault="003727FC" w:rsidP="002A5BC7">
            <w:r>
              <w:t>Product Information</w:t>
            </w:r>
          </w:p>
        </w:tc>
      </w:tr>
      <w:tr w:rsidR="003727FC" w:rsidRPr="00FD119B" w14:paraId="4AEF9E13" w14:textId="77777777" w:rsidTr="003727FC">
        <w:tc>
          <w:tcPr>
            <w:tcW w:w="1890" w:type="dxa"/>
          </w:tcPr>
          <w:p w14:paraId="01623F95" w14:textId="77777777" w:rsidR="003727FC" w:rsidRDefault="003727FC" w:rsidP="002A5BC7">
            <w:r>
              <w:t>PK</w:t>
            </w:r>
          </w:p>
        </w:tc>
        <w:tc>
          <w:tcPr>
            <w:tcW w:w="6830" w:type="dxa"/>
          </w:tcPr>
          <w:p w14:paraId="312DF3D2" w14:textId="77777777" w:rsidR="003727FC" w:rsidRDefault="003727FC" w:rsidP="002A5BC7">
            <w:r>
              <w:t>Pharmacokinetic(s)</w:t>
            </w:r>
          </w:p>
        </w:tc>
      </w:tr>
      <w:tr w:rsidR="003727FC" w:rsidRPr="00FD119B" w14:paraId="3793BCE9" w14:textId="77777777" w:rsidTr="003727FC">
        <w:tc>
          <w:tcPr>
            <w:tcW w:w="1890" w:type="dxa"/>
          </w:tcPr>
          <w:p w14:paraId="65901BA0" w14:textId="77777777" w:rsidR="003727FC" w:rsidRDefault="003727FC" w:rsidP="002A5BC7">
            <w:r>
              <w:t>PSUR</w:t>
            </w:r>
          </w:p>
        </w:tc>
        <w:tc>
          <w:tcPr>
            <w:tcW w:w="6830" w:type="dxa"/>
          </w:tcPr>
          <w:p w14:paraId="6480ADAD" w14:textId="77777777" w:rsidR="003727FC" w:rsidRDefault="003727FC" w:rsidP="002A5BC7">
            <w:r>
              <w:t>Periodic safety update report</w:t>
            </w:r>
          </w:p>
        </w:tc>
      </w:tr>
      <w:tr w:rsidR="003727FC" w:rsidRPr="00FD119B" w14:paraId="2523091E" w14:textId="77777777" w:rsidTr="003727FC">
        <w:tc>
          <w:tcPr>
            <w:tcW w:w="1890" w:type="dxa"/>
          </w:tcPr>
          <w:p w14:paraId="39C3022C" w14:textId="77777777" w:rsidR="003727FC" w:rsidRDefault="003727FC" w:rsidP="002A5BC7">
            <w:r>
              <w:t>RMP</w:t>
            </w:r>
          </w:p>
        </w:tc>
        <w:tc>
          <w:tcPr>
            <w:tcW w:w="6830" w:type="dxa"/>
          </w:tcPr>
          <w:p w14:paraId="09372F6C" w14:textId="77777777" w:rsidR="003727FC" w:rsidRDefault="003727FC" w:rsidP="002A5BC7">
            <w:r>
              <w:t>Risk management plan</w:t>
            </w:r>
          </w:p>
        </w:tc>
      </w:tr>
      <w:tr w:rsidR="003727FC" w:rsidRPr="00FD119B" w14:paraId="43095CAC" w14:textId="77777777" w:rsidTr="003727FC">
        <w:tc>
          <w:tcPr>
            <w:tcW w:w="1890" w:type="dxa"/>
          </w:tcPr>
          <w:p w14:paraId="4C21974B" w14:textId="77777777" w:rsidR="003727FC" w:rsidRPr="002A5BC7" w:rsidRDefault="003727FC" w:rsidP="002A5BC7">
            <w:r>
              <w:t>SC</w:t>
            </w:r>
          </w:p>
        </w:tc>
        <w:tc>
          <w:tcPr>
            <w:tcW w:w="6830" w:type="dxa"/>
          </w:tcPr>
          <w:p w14:paraId="3FB5F874" w14:textId="77777777" w:rsidR="003727FC" w:rsidRPr="002A5BC7" w:rsidRDefault="003727FC" w:rsidP="002A5BC7">
            <w:r>
              <w:t>Subcutaneous</w:t>
            </w:r>
          </w:p>
        </w:tc>
      </w:tr>
      <w:tr w:rsidR="003727FC" w:rsidRPr="00FD119B" w14:paraId="36C63DAD" w14:textId="77777777" w:rsidTr="003727FC">
        <w:tc>
          <w:tcPr>
            <w:tcW w:w="1890" w:type="dxa"/>
          </w:tcPr>
          <w:p w14:paraId="217D726C" w14:textId="77777777" w:rsidR="003727FC" w:rsidRPr="004607B3" w:rsidRDefault="003727FC" w:rsidP="002A5BC7">
            <w:pPr>
              <w:rPr>
                <w:vertAlign w:val="subscript"/>
              </w:rPr>
            </w:pPr>
            <w:proofErr w:type="spellStart"/>
            <w:r>
              <w:t>T</w:t>
            </w:r>
            <w:r>
              <w:rPr>
                <w:vertAlign w:val="subscript"/>
              </w:rPr>
              <w:t>max</w:t>
            </w:r>
            <w:proofErr w:type="spellEnd"/>
          </w:p>
        </w:tc>
        <w:tc>
          <w:tcPr>
            <w:tcW w:w="6830" w:type="dxa"/>
          </w:tcPr>
          <w:p w14:paraId="649B5985" w14:textId="77777777" w:rsidR="003727FC" w:rsidRPr="002A5BC7" w:rsidRDefault="003727FC" w:rsidP="002A5BC7">
            <w:r>
              <w:t>Time of maximum concentration</w:t>
            </w:r>
          </w:p>
        </w:tc>
      </w:tr>
      <w:tr w:rsidR="003727FC" w:rsidRPr="00FD119B" w14:paraId="2E2B0575" w14:textId="77777777" w:rsidTr="003727FC">
        <w:tc>
          <w:tcPr>
            <w:tcW w:w="1890" w:type="dxa"/>
          </w:tcPr>
          <w:p w14:paraId="6E38E113" w14:textId="77777777" w:rsidR="003727FC" w:rsidRDefault="003727FC" w:rsidP="002A5BC7">
            <w:r>
              <w:t>TP1</w:t>
            </w:r>
          </w:p>
        </w:tc>
        <w:tc>
          <w:tcPr>
            <w:tcW w:w="6830" w:type="dxa"/>
          </w:tcPr>
          <w:p w14:paraId="171F7DD5" w14:textId="77777777" w:rsidR="003727FC" w:rsidRDefault="003727FC" w:rsidP="002A5BC7">
            <w:r>
              <w:t>Treatment phase 1</w:t>
            </w:r>
          </w:p>
        </w:tc>
      </w:tr>
      <w:tr w:rsidR="003727FC" w:rsidRPr="00FD119B" w14:paraId="2F1E7464" w14:textId="77777777" w:rsidTr="003727FC">
        <w:tc>
          <w:tcPr>
            <w:tcW w:w="1890" w:type="dxa"/>
          </w:tcPr>
          <w:p w14:paraId="437D325E" w14:textId="77777777" w:rsidR="003727FC" w:rsidRDefault="003727FC" w:rsidP="002A5BC7">
            <w:r>
              <w:t>TP2</w:t>
            </w:r>
          </w:p>
        </w:tc>
        <w:tc>
          <w:tcPr>
            <w:tcW w:w="6830" w:type="dxa"/>
          </w:tcPr>
          <w:p w14:paraId="35022A53" w14:textId="77777777" w:rsidR="003727FC" w:rsidRDefault="003727FC" w:rsidP="002A5BC7">
            <w:r>
              <w:t>Treatment phase 2</w:t>
            </w:r>
          </w:p>
        </w:tc>
      </w:tr>
      <w:tr w:rsidR="003727FC" w:rsidRPr="00FD119B" w14:paraId="5A97B7B0" w14:textId="77777777" w:rsidTr="003727FC">
        <w:tc>
          <w:tcPr>
            <w:tcW w:w="1890" w:type="dxa"/>
          </w:tcPr>
          <w:p w14:paraId="3E63E9AF" w14:textId="77777777" w:rsidR="003727FC" w:rsidRDefault="003727FC" w:rsidP="002A5BC7">
            <w:r>
              <w:t>US(A)</w:t>
            </w:r>
          </w:p>
        </w:tc>
        <w:tc>
          <w:tcPr>
            <w:tcW w:w="6830" w:type="dxa"/>
          </w:tcPr>
          <w:p w14:paraId="1A08B1BF" w14:textId="77777777" w:rsidR="003727FC" w:rsidRDefault="003727FC" w:rsidP="002A5BC7">
            <w:r>
              <w:t>United States (of America)</w:t>
            </w:r>
          </w:p>
        </w:tc>
      </w:tr>
    </w:tbl>
    <w:p w14:paraId="1EE667E7" w14:textId="77777777" w:rsidR="00FD119B" w:rsidRDefault="00FD119B" w:rsidP="00FD119B"/>
    <w:p w14:paraId="082CC40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869732C" w14:textId="77777777" w:rsidR="008E7846" w:rsidRDefault="00F53C07" w:rsidP="008E7846">
      <w:pPr>
        <w:pStyle w:val="Heading2"/>
      </w:pPr>
      <w:bookmarkStart w:id="9" w:name="_Toc71104745"/>
      <w:r>
        <w:t>I.</w:t>
      </w:r>
      <w:r w:rsidR="008E7846">
        <w:t xml:space="preserve"> Introduction to product submission</w:t>
      </w:r>
      <w:bookmarkEnd w:id="0"/>
      <w:bookmarkEnd w:id="3"/>
      <w:bookmarkEnd w:id="9"/>
    </w:p>
    <w:p w14:paraId="40743A06" w14:textId="77777777" w:rsidR="008E7846" w:rsidRDefault="008E7846" w:rsidP="008E7846">
      <w:pPr>
        <w:pStyle w:val="Heading3"/>
        <w:rPr>
          <w:lang w:eastAsia="en-AU"/>
        </w:rPr>
      </w:pPr>
      <w:bookmarkStart w:id="10" w:name="_Toc247691502"/>
      <w:bookmarkStart w:id="11" w:name="_Toc314842483"/>
      <w:bookmarkStart w:id="12" w:name="_Toc7110474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538532F7" w14:textId="77777777" w:rsidTr="003735BC">
        <w:tc>
          <w:tcPr>
            <w:tcW w:w="2907" w:type="dxa"/>
          </w:tcPr>
          <w:p w14:paraId="45E2C64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7DC8FCB" w14:textId="77777777" w:rsidR="008E7846" w:rsidRPr="003D1E62" w:rsidRDefault="00D92963" w:rsidP="00D92963">
            <w:r>
              <w:t>New biosimilar medicine</w:t>
            </w:r>
          </w:p>
        </w:tc>
      </w:tr>
      <w:tr w:rsidR="00460036" w:rsidRPr="003D1E62" w14:paraId="40430753" w14:textId="77777777" w:rsidTr="003735BC">
        <w:tc>
          <w:tcPr>
            <w:tcW w:w="2907" w:type="dxa"/>
          </w:tcPr>
          <w:p w14:paraId="38010DDD" w14:textId="77777777" w:rsidR="00460036" w:rsidRPr="003D1E62" w:rsidRDefault="00460036" w:rsidP="003D1E62">
            <w:pPr>
              <w:rPr>
                <w:i/>
              </w:rPr>
            </w:pPr>
            <w:r w:rsidRPr="00460036">
              <w:rPr>
                <w:i/>
              </w:rPr>
              <w:t xml:space="preserve">Product </w:t>
            </w:r>
            <w:r w:rsidR="00D92963">
              <w:rPr>
                <w:i/>
              </w:rPr>
              <w:t>name</w:t>
            </w:r>
            <w:r w:rsidRPr="00460036">
              <w:rPr>
                <w:i/>
              </w:rPr>
              <w:t>:</w:t>
            </w:r>
          </w:p>
        </w:tc>
        <w:tc>
          <w:tcPr>
            <w:tcW w:w="6307" w:type="dxa"/>
          </w:tcPr>
          <w:p w14:paraId="1B7DB2DA" w14:textId="77777777" w:rsidR="00460036" w:rsidRPr="003D1E62" w:rsidRDefault="00D92963" w:rsidP="001B5C90">
            <w:r>
              <w:t>Abrilada</w:t>
            </w:r>
          </w:p>
        </w:tc>
      </w:tr>
      <w:tr w:rsidR="00460036" w:rsidRPr="003D1E62" w14:paraId="70A9234F" w14:textId="77777777" w:rsidTr="003735BC">
        <w:tc>
          <w:tcPr>
            <w:tcW w:w="2907" w:type="dxa"/>
          </w:tcPr>
          <w:p w14:paraId="667CC27B" w14:textId="77777777" w:rsidR="00460036" w:rsidRPr="003D1E62" w:rsidRDefault="00D92963" w:rsidP="003D1E62">
            <w:pPr>
              <w:rPr>
                <w:i/>
              </w:rPr>
            </w:pPr>
            <w:r>
              <w:rPr>
                <w:i/>
              </w:rPr>
              <w:t>Active ingredient</w:t>
            </w:r>
            <w:r w:rsidR="00460036" w:rsidRPr="00460036">
              <w:rPr>
                <w:i/>
              </w:rPr>
              <w:t>:</w:t>
            </w:r>
          </w:p>
        </w:tc>
        <w:tc>
          <w:tcPr>
            <w:tcW w:w="6307" w:type="dxa"/>
          </w:tcPr>
          <w:p w14:paraId="5B3DE5E3" w14:textId="77777777" w:rsidR="00460036" w:rsidRPr="003D1E62" w:rsidRDefault="00D92963" w:rsidP="00D92963">
            <w:r>
              <w:t>Adalimumab</w:t>
            </w:r>
          </w:p>
        </w:tc>
      </w:tr>
      <w:tr w:rsidR="008E7846" w:rsidRPr="003D1E62" w14:paraId="5353FE22" w14:textId="77777777" w:rsidTr="003735BC">
        <w:tc>
          <w:tcPr>
            <w:tcW w:w="2907" w:type="dxa"/>
          </w:tcPr>
          <w:p w14:paraId="23BC727B" w14:textId="77777777" w:rsidR="008E7846" w:rsidRPr="003D1E62" w:rsidRDefault="008E7846" w:rsidP="003D1E62">
            <w:r w:rsidRPr="003D1E62">
              <w:rPr>
                <w:i/>
              </w:rPr>
              <w:t>Decision</w:t>
            </w:r>
            <w:r w:rsidRPr="003D1E62">
              <w:t>:</w:t>
            </w:r>
          </w:p>
        </w:tc>
        <w:tc>
          <w:tcPr>
            <w:tcW w:w="6307" w:type="dxa"/>
          </w:tcPr>
          <w:p w14:paraId="0F809800" w14:textId="77777777" w:rsidR="008E7846" w:rsidRPr="003D1E62" w:rsidRDefault="00D92963" w:rsidP="00D92963">
            <w:r>
              <w:t>Approved</w:t>
            </w:r>
          </w:p>
        </w:tc>
      </w:tr>
      <w:tr w:rsidR="008E7846" w:rsidRPr="003D1E62" w14:paraId="0990277A" w14:textId="77777777" w:rsidTr="003735BC">
        <w:tc>
          <w:tcPr>
            <w:tcW w:w="2907" w:type="dxa"/>
          </w:tcPr>
          <w:p w14:paraId="584938C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C148071" w14:textId="77777777" w:rsidR="008E7846" w:rsidRPr="003D1E62" w:rsidRDefault="00D92963" w:rsidP="001B5C90">
            <w:r>
              <w:t>8 February 2021</w:t>
            </w:r>
          </w:p>
        </w:tc>
      </w:tr>
      <w:tr w:rsidR="00ED2922" w:rsidRPr="003D1E62" w14:paraId="43E90DB2" w14:textId="77777777" w:rsidTr="003735BC">
        <w:tc>
          <w:tcPr>
            <w:tcW w:w="2907" w:type="dxa"/>
          </w:tcPr>
          <w:p w14:paraId="7A471E2D" w14:textId="77777777" w:rsidR="00ED2922" w:rsidRPr="00441C3F" w:rsidRDefault="00ED2922" w:rsidP="001B5C90">
            <w:pPr>
              <w:rPr>
                <w:i/>
              </w:rPr>
            </w:pPr>
            <w:r w:rsidRPr="00441C3F">
              <w:rPr>
                <w:i/>
              </w:rPr>
              <w:t>Date of entry onto ARTG</w:t>
            </w:r>
            <w:r w:rsidR="00500337">
              <w:rPr>
                <w:i/>
              </w:rPr>
              <w:t>:</w:t>
            </w:r>
          </w:p>
        </w:tc>
        <w:tc>
          <w:tcPr>
            <w:tcW w:w="6307" w:type="dxa"/>
          </w:tcPr>
          <w:p w14:paraId="155DA0A8" w14:textId="77777777" w:rsidR="00ED2922" w:rsidRPr="00441C3F" w:rsidRDefault="00D92963" w:rsidP="00D153D8">
            <w:pPr>
              <w:rPr>
                <w:i/>
              </w:rPr>
            </w:pPr>
            <w:r>
              <w:t>22 February 2021</w:t>
            </w:r>
          </w:p>
        </w:tc>
      </w:tr>
      <w:tr w:rsidR="00500337" w:rsidRPr="003D1E62" w14:paraId="79BCF1D3" w14:textId="77777777" w:rsidTr="003735BC">
        <w:tc>
          <w:tcPr>
            <w:tcW w:w="2907" w:type="dxa"/>
          </w:tcPr>
          <w:p w14:paraId="5EBF3623" w14:textId="77777777" w:rsidR="00500337" w:rsidRPr="00441C3F" w:rsidRDefault="00AD7E45" w:rsidP="001B5C90">
            <w:pPr>
              <w:rPr>
                <w:i/>
              </w:rPr>
            </w:pPr>
            <w:r>
              <w:rPr>
                <w:i/>
              </w:rPr>
              <w:t>ARTG numbers</w:t>
            </w:r>
            <w:r w:rsidR="00500337">
              <w:rPr>
                <w:i/>
              </w:rPr>
              <w:t>:</w:t>
            </w:r>
          </w:p>
        </w:tc>
        <w:tc>
          <w:tcPr>
            <w:tcW w:w="6307" w:type="dxa"/>
          </w:tcPr>
          <w:p w14:paraId="688CB9B3" w14:textId="77777777" w:rsidR="00500337" w:rsidRPr="00441C3F" w:rsidRDefault="00D92963" w:rsidP="00EC463D">
            <w:r w:rsidRPr="00D92963">
              <w:t>334496, 334497, 334498 and 334499</w:t>
            </w:r>
          </w:p>
        </w:tc>
      </w:tr>
      <w:tr w:rsidR="003735BC" w:rsidRPr="003D1E62" w14:paraId="17CEB000" w14:textId="77777777" w:rsidTr="003735BC">
        <w:tc>
          <w:tcPr>
            <w:tcW w:w="2907" w:type="dxa"/>
          </w:tcPr>
          <w:p w14:paraId="609617C6"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791AE4F6" w14:textId="77777777" w:rsidR="003735BC" w:rsidRPr="00487162" w:rsidRDefault="00AD7E45" w:rsidP="00AD7E45">
            <w:r>
              <w:t>No</w:t>
            </w:r>
          </w:p>
        </w:tc>
      </w:tr>
      <w:tr w:rsidR="008E7846" w:rsidRPr="00487162" w14:paraId="06D4627B" w14:textId="77777777" w:rsidTr="00BF1190">
        <w:tc>
          <w:tcPr>
            <w:tcW w:w="2907" w:type="dxa"/>
          </w:tcPr>
          <w:p w14:paraId="6A63D28B"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2910321" w14:textId="77777777" w:rsidR="008E7846" w:rsidRDefault="00AD7E45" w:rsidP="00E45619">
            <w:r>
              <w:t>Pfizer Australia Pty Ltd</w:t>
            </w:r>
          </w:p>
          <w:p w14:paraId="6031BA4A" w14:textId="77777777" w:rsidR="00AD7E45" w:rsidRDefault="00AD7E45" w:rsidP="00E45619">
            <w:r>
              <w:t>Level 17, 151 Clarence Street,</w:t>
            </w:r>
          </w:p>
          <w:p w14:paraId="6EC496A6" w14:textId="77777777" w:rsidR="00AD7E45" w:rsidRPr="00487162" w:rsidRDefault="00AD7E45" w:rsidP="00E45619">
            <w:r w:rsidRPr="00AD7E45">
              <w:t>Sydney</w:t>
            </w:r>
            <w:r>
              <w:t>,</w:t>
            </w:r>
            <w:r w:rsidRPr="00AD7E45">
              <w:t xml:space="preserve"> NSW</w:t>
            </w:r>
            <w:r>
              <w:t>,</w:t>
            </w:r>
            <w:r w:rsidRPr="00AD7E45">
              <w:t xml:space="preserve"> 2000</w:t>
            </w:r>
          </w:p>
        </w:tc>
      </w:tr>
      <w:tr w:rsidR="008E7846" w:rsidRPr="00487162" w14:paraId="0E1B3EE4" w14:textId="77777777" w:rsidTr="00BF1190">
        <w:tc>
          <w:tcPr>
            <w:tcW w:w="2907" w:type="dxa"/>
          </w:tcPr>
          <w:p w14:paraId="1CD2CC0C" w14:textId="77777777" w:rsidR="008E7846" w:rsidRPr="00487162" w:rsidRDefault="00AD7E45" w:rsidP="00E45619">
            <w:pPr>
              <w:rPr>
                <w:i/>
              </w:rPr>
            </w:pPr>
            <w:r>
              <w:rPr>
                <w:i/>
              </w:rPr>
              <w:t>Dose form</w:t>
            </w:r>
            <w:r w:rsidR="001B5C90">
              <w:rPr>
                <w:i/>
              </w:rPr>
              <w:t>:</w:t>
            </w:r>
          </w:p>
        </w:tc>
        <w:tc>
          <w:tcPr>
            <w:tcW w:w="6307" w:type="dxa"/>
          </w:tcPr>
          <w:p w14:paraId="5DEAA726" w14:textId="77777777" w:rsidR="008E7846" w:rsidRPr="00487162" w:rsidRDefault="00AD7E45" w:rsidP="00E45619">
            <w:r>
              <w:t>Solution for injection</w:t>
            </w:r>
          </w:p>
        </w:tc>
      </w:tr>
      <w:tr w:rsidR="008E7846" w:rsidRPr="00487162" w14:paraId="102FAB21" w14:textId="77777777" w:rsidTr="00BF1190">
        <w:tc>
          <w:tcPr>
            <w:tcW w:w="2907" w:type="dxa"/>
          </w:tcPr>
          <w:p w14:paraId="46485B63" w14:textId="77777777" w:rsidR="008E7846" w:rsidRPr="00487162" w:rsidRDefault="00AD7E45" w:rsidP="00E45619">
            <w:pPr>
              <w:rPr>
                <w:i/>
              </w:rPr>
            </w:pPr>
            <w:r>
              <w:rPr>
                <w:i/>
              </w:rPr>
              <w:t>Strengths</w:t>
            </w:r>
            <w:r w:rsidR="00324E45">
              <w:rPr>
                <w:i/>
              </w:rPr>
              <w:t>:</w:t>
            </w:r>
          </w:p>
        </w:tc>
        <w:tc>
          <w:tcPr>
            <w:tcW w:w="6307" w:type="dxa"/>
          </w:tcPr>
          <w:p w14:paraId="60E6C565" w14:textId="7BDF7FE0" w:rsidR="008E7846" w:rsidRPr="00487162" w:rsidRDefault="00AD7E45" w:rsidP="00E45619">
            <w:r>
              <w:t>20 mg (20 mg/0.4 mL solution)</w:t>
            </w:r>
            <w:r w:rsidR="00F511A0">
              <w:t>,</w:t>
            </w:r>
            <w:r>
              <w:t xml:space="preserve"> and 40 mg (40 mg/0.8 mL solution)</w:t>
            </w:r>
          </w:p>
        </w:tc>
      </w:tr>
      <w:tr w:rsidR="008E7846" w:rsidRPr="00487162" w14:paraId="6B84FF59" w14:textId="77777777" w:rsidTr="00BF1190">
        <w:tc>
          <w:tcPr>
            <w:tcW w:w="2907" w:type="dxa"/>
          </w:tcPr>
          <w:p w14:paraId="0FC4D8FF" w14:textId="77777777" w:rsidR="008E7846" w:rsidRPr="00487162" w:rsidRDefault="00AD7E45" w:rsidP="00E45619">
            <w:pPr>
              <w:rPr>
                <w:i/>
              </w:rPr>
            </w:pPr>
            <w:r>
              <w:rPr>
                <w:i/>
              </w:rPr>
              <w:t>Containers</w:t>
            </w:r>
            <w:r w:rsidR="008E7846" w:rsidRPr="00487162">
              <w:rPr>
                <w:i/>
              </w:rPr>
              <w:t>:</w:t>
            </w:r>
          </w:p>
        </w:tc>
        <w:tc>
          <w:tcPr>
            <w:tcW w:w="6307" w:type="dxa"/>
          </w:tcPr>
          <w:p w14:paraId="0DC57778" w14:textId="16A4C86E" w:rsidR="008E7846" w:rsidRPr="00487162" w:rsidRDefault="00AD7E45" w:rsidP="00AD7E45">
            <w:r>
              <w:t>Prefilled syringe</w:t>
            </w:r>
            <w:r w:rsidR="00F511A0">
              <w:t>,</w:t>
            </w:r>
            <w:r>
              <w:t xml:space="preserve"> prefilled pen</w:t>
            </w:r>
            <w:r w:rsidR="00F511A0">
              <w:t>, and</w:t>
            </w:r>
            <w:r>
              <w:t xml:space="preserve"> vial.</w:t>
            </w:r>
          </w:p>
        </w:tc>
      </w:tr>
      <w:tr w:rsidR="008E7846" w:rsidRPr="00487162" w14:paraId="359D5E9C" w14:textId="77777777" w:rsidTr="00BF1190">
        <w:tc>
          <w:tcPr>
            <w:tcW w:w="2907" w:type="dxa"/>
          </w:tcPr>
          <w:p w14:paraId="6844E17B" w14:textId="77777777" w:rsidR="008E7846" w:rsidRPr="00487162" w:rsidRDefault="00AD7E45" w:rsidP="00E45619">
            <w:pPr>
              <w:rPr>
                <w:i/>
              </w:rPr>
            </w:pPr>
            <w:r>
              <w:rPr>
                <w:i/>
              </w:rPr>
              <w:t>Pack sizes</w:t>
            </w:r>
            <w:r w:rsidR="008E7846" w:rsidRPr="00487162">
              <w:rPr>
                <w:i/>
              </w:rPr>
              <w:t>:</w:t>
            </w:r>
          </w:p>
        </w:tc>
        <w:tc>
          <w:tcPr>
            <w:tcW w:w="6307" w:type="dxa"/>
          </w:tcPr>
          <w:p w14:paraId="358B181B" w14:textId="77777777" w:rsidR="00AD7E45" w:rsidRDefault="00AD7E45" w:rsidP="00AD7E45">
            <w:r>
              <w:t>2 prefilled syringes (20 mg/0.4 mL sterile solution)</w:t>
            </w:r>
          </w:p>
          <w:p w14:paraId="34289748" w14:textId="2C797AFB" w:rsidR="00AD7E45" w:rsidRDefault="00AD7E45" w:rsidP="00AD7E45">
            <w:r>
              <w:t>1, 2, 4</w:t>
            </w:r>
            <w:r w:rsidR="00F511A0">
              <w:t>,</w:t>
            </w:r>
            <w:r>
              <w:t xml:space="preserve"> and 6 prefilled syringe</w:t>
            </w:r>
            <w:r w:rsidR="00F511A0">
              <w:t>(</w:t>
            </w:r>
            <w:r>
              <w:t>s</w:t>
            </w:r>
            <w:r w:rsidR="00F511A0">
              <w:t>)</w:t>
            </w:r>
            <w:r>
              <w:t xml:space="preserve"> (40 mg/0.8 mL sterile solution)</w:t>
            </w:r>
          </w:p>
          <w:p w14:paraId="144065F9" w14:textId="3C8F9745" w:rsidR="00AD7E45" w:rsidRDefault="00AD7E45" w:rsidP="00AD7E45">
            <w:r>
              <w:t>1, 2, 4</w:t>
            </w:r>
            <w:r w:rsidR="00F511A0">
              <w:t>,</w:t>
            </w:r>
            <w:r>
              <w:t xml:space="preserve"> and 6 prefilled pen</w:t>
            </w:r>
            <w:r w:rsidR="00F511A0">
              <w:t>(</w:t>
            </w:r>
            <w:r>
              <w:t>s</w:t>
            </w:r>
            <w:r w:rsidR="00F511A0">
              <w:t>)</w:t>
            </w:r>
            <w:r>
              <w:t xml:space="preserve"> (40 mg/0.8 mL sterile solution)</w:t>
            </w:r>
          </w:p>
          <w:p w14:paraId="0594B982" w14:textId="05DFDD17" w:rsidR="008E7846" w:rsidRPr="00487162" w:rsidRDefault="00AD7E45" w:rsidP="00AD7E45">
            <w:r>
              <w:t>1 pack of 2 boxes each containing 1 vial (40 mg/0.8 mL sterile solution), 1 empty sterile injection syringe, 1 needle and 1</w:t>
            </w:r>
            <w:r w:rsidR="00F511A0">
              <w:t> </w:t>
            </w:r>
            <w:r>
              <w:t>adapter</w:t>
            </w:r>
          </w:p>
        </w:tc>
      </w:tr>
      <w:tr w:rsidR="008E7846" w:rsidRPr="00487162" w14:paraId="78661A14" w14:textId="77777777" w:rsidTr="00BF1190">
        <w:tc>
          <w:tcPr>
            <w:tcW w:w="2907" w:type="dxa"/>
          </w:tcPr>
          <w:p w14:paraId="71434ADB"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D9B98A3" w14:textId="77777777" w:rsidR="00AD7E45" w:rsidRPr="00D04364" w:rsidRDefault="00D04364" w:rsidP="00AD7E45">
            <w:pPr>
              <w:rPr>
                <w:rFonts w:eastAsia="MS Mincho"/>
                <w:b/>
                <w:i/>
                <w:lang w:eastAsia="ja-JP"/>
              </w:rPr>
            </w:pPr>
            <w:r w:rsidRPr="00D04364">
              <w:rPr>
                <w:rFonts w:eastAsia="MS Mincho"/>
                <w:b/>
                <w:i/>
                <w:lang w:eastAsia="ja-JP"/>
              </w:rPr>
              <w:t>Rheumatoid arthritis</w:t>
            </w:r>
          </w:p>
          <w:p w14:paraId="153B8068" w14:textId="77777777" w:rsidR="00AD7E45" w:rsidRPr="00D04364" w:rsidRDefault="00AD7E45" w:rsidP="00AD7E45">
            <w:pPr>
              <w:rPr>
                <w:rFonts w:eastAsia="MS Mincho"/>
                <w:i/>
                <w:lang w:eastAsia="ja-JP"/>
              </w:rPr>
            </w:pPr>
            <w:r w:rsidRPr="00D04364">
              <w:rPr>
                <w:rFonts w:eastAsia="MS Mincho"/>
                <w:i/>
                <w:lang w:eastAsia="ja-JP"/>
              </w:rPr>
              <w:t>Abrilada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w:t>
            </w:r>
            <w:r w:rsidR="00D04364" w:rsidRPr="00D04364">
              <w:rPr>
                <w:rFonts w:eastAsia="MS Mincho"/>
                <w:i/>
                <w:lang w:eastAsia="ja-JP"/>
              </w:rPr>
              <w:t>ve not received methotrexate.</w:t>
            </w:r>
          </w:p>
          <w:p w14:paraId="26B9CB6F" w14:textId="77777777" w:rsidR="00AD7E45" w:rsidRPr="00D04364" w:rsidRDefault="00AD7E45" w:rsidP="00AD7E45">
            <w:pPr>
              <w:rPr>
                <w:rFonts w:eastAsia="MS Mincho"/>
                <w:i/>
                <w:lang w:eastAsia="ja-JP"/>
              </w:rPr>
            </w:pPr>
            <w:r w:rsidRPr="00D04364">
              <w:rPr>
                <w:rFonts w:eastAsia="MS Mincho"/>
                <w:i/>
                <w:lang w:eastAsia="ja-JP"/>
              </w:rPr>
              <w:t>Abrilada can be used alone or in</w:t>
            </w:r>
            <w:r w:rsidR="00D04364" w:rsidRPr="00D04364">
              <w:rPr>
                <w:rFonts w:eastAsia="MS Mincho"/>
                <w:i/>
                <w:lang w:eastAsia="ja-JP"/>
              </w:rPr>
              <w:t xml:space="preserve"> combination with methotrexate.</w:t>
            </w:r>
          </w:p>
          <w:p w14:paraId="40BE16E6" w14:textId="77777777" w:rsidR="00AD7E45" w:rsidRPr="00D04364" w:rsidRDefault="00D04364" w:rsidP="00AD7E45">
            <w:pPr>
              <w:rPr>
                <w:rFonts w:eastAsia="MS Mincho"/>
                <w:b/>
                <w:i/>
                <w:lang w:eastAsia="ja-JP"/>
              </w:rPr>
            </w:pPr>
            <w:r w:rsidRPr="00D04364">
              <w:rPr>
                <w:rFonts w:eastAsia="MS Mincho"/>
                <w:b/>
                <w:i/>
                <w:lang w:eastAsia="ja-JP"/>
              </w:rPr>
              <w:t>Juvenile idiopathic arthritis</w:t>
            </w:r>
          </w:p>
          <w:p w14:paraId="57814A86" w14:textId="77777777" w:rsidR="00AD7E45" w:rsidRPr="00D04364" w:rsidRDefault="00AD7E45" w:rsidP="00AD7E45">
            <w:pPr>
              <w:rPr>
                <w:rFonts w:eastAsia="MS Mincho"/>
                <w:i/>
                <w:lang w:eastAsia="ja-JP"/>
              </w:rPr>
            </w:pPr>
            <w:proofErr w:type="spellStart"/>
            <w:r w:rsidRPr="00D04364">
              <w:rPr>
                <w:rFonts w:eastAsia="MS Mincho"/>
                <w:i/>
                <w:lang w:eastAsia="ja-JP"/>
              </w:rPr>
              <w:t>Polyarticula</w:t>
            </w:r>
            <w:r w:rsidR="00D04364" w:rsidRPr="00D04364">
              <w:rPr>
                <w:rFonts w:eastAsia="MS Mincho"/>
                <w:i/>
                <w:lang w:eastAsia="ja-JP"/>
              </w:rPr>
              <w:t>r</w:t>
            </w:r>
            <w:proofErr w:type="spellEnd"/>
            <w:r w:rsidR="00D04364" w:rsidRPr="00D04364">
              <w:rPr>
                <w:rFonts w:eastAsia="MS Mincho"/>
                <w:i/>
                <w:lang w:eastAsia="ja-JP"/>
              </w:rPr>
              <w:t xml:space="preserve"> juvenile idiopathic arthritis</w:t>
            </w:r>
          </w:p>
          <w:p w14:paraId="1614CFC6" w14:textId="77777777" w:rsidR="00AD7E45" w:rsidRPr="00D04364" w:rsidRDefault="00AD7E45" w:rsidP="00AD7E45">
            <w:pPr>
              <w:rPr>
                <w:rFonts w:eastAsia="MS Mincho"/>
                <w:i/>
                <w:lang w:eastAsia="ja-JP"/>
              </w:rPr>
            </w:pPr>
            <w:r w:rsidRPr="00D04364">
              <w:rPr>
                <w:rFonts w:eastAsia="MS Mincho"/>
                <w:i/>
                <w:lang w:eastAsia="ja-JP"/>
              </w:rPr>
              <w:t xml:space="preserve">Abrilada in combination with methotrexate is indicated for reducing the signs and symptoms of moderately to severely active </w:t>
            </w:r>
            <w:proofErr w:type="spellStart"/>
            <w:r w:rsidRPr="00D04364">
              <w:rPr>
                <w:rFonts w:eastAsia="MS Mincho"/>
                <w:i/>
                <w:lang w:eastAsia="ja-JP"/>
              </w:rPr>
              <w:t>polyarticular</w:t>
            </w:r>
            <w:proofErr w:type="spellEnd"/>
            <w:r w:rsidRPr="00D04364">
              <w:rPr>
                <w:rFonts w:eastAsia="MS Mincho"/>
                <w:i/>
                <w:lang w:eastAsia="ja-JP"/>
              </w:rPr>
              <w:t xml:space="preserve"> juvenile idiopathic arthritis in patients 2 years of age and older who have had an inadequate response to one or more disease modifying </w:t>
            </w:r>
            <w:proofErr w:type="spellStart"/>
            <w:r w:rsidRPr="00D04364">
              <w:rPr>
                <w:rFonts w:eastAsia="MS Mincho"/>
                <w:i/>
                <w:lang w:eastAsia="ja-JP"/>
              </w:rPr>
              <w:t>antirheumatic</w:t>
            </w:r>
            <w:proofErr w:type="spellEnd"/>
            <w:r w:rsidRPr="00D04364">
              <w:rPr>
                <w:rFonts w:eastAsia="MS Mincho"/>
                <w:i/>
                <w:lang w:eastAsia="ja-JP"/>
              </w:rPr>
              <w:t xml:space="preserve"> drugs (DMARDs). Abrilada can be given as monotherapy in case of intolerance to methotrexate or when continued treatment with</w:t>
            </w:r>
            <w:r w:rsidR="00D04364" w:rsidRPr="00D04364">
              <w:rPr>
                <w:rFonts w:eastAsia="MS Mincho"/>
                <w:i/>
                <w:lang w:eastAsia="ja-JP"/>
              </w:rPr>
              <w:t xml:space="preserve"> methotrexate is inappropriate.</w:t>
            </w:r>
          </w:p>
          <w:p w14:paraId="37739148" w14:textId="77777777" w:rsidR="00AD7E45" w:rsidRPr="00D04364" w:rsidRDefault="00D04364" w:rsidP="00AD7E45">
            <w:pPr>
              <w:rPr>
                <w:rFonts w:eastAsia="MS Mincho"/>
                <w:i/>
                <w:lang w:eastAsia="ja-JP"/>
              </w:rPr>
            </w:pPr>
            <w:proofErr w:type="spellStart"/>
            <w:r w:rsidRPr="00D04364">
              <w:rPr>
                <w:rFonts w:eastAsia="MS Mincho"/>
                <w:i/>
                <w:lang w:eastAsia="ja-JP"/>
              </w:rPr>
              <w:t>Enthesitis</w:t>
            </w:r>
            <w:proofErr w:type="spellEnd"/>
            <w:r w:rsidRPr="00D04364">
              <w:rPr>
                <w:rFonts w:eastAsia="MS Mincho"/>
                <w:i/>
                <w:lang w:eastAsia="ja-JP"/>
              </w:rPr>
              <w:t>-related arthritis</w:t>
            </w:r>
          </w:p>
          <w:p w14:paraId="67995364" w14:textId="77777777" w:rsidR="00AD7E45" w:rsidRPr="00D04364" w:rsidRDefault="00AD7E45" w:rsidP="00AD7E45">
            <w:pPr>
              <w:rPr>
                <w:rFonts w:eastAsia="MS Mincho"/>
                <w:i/>
                <w:lang w:eastAsia="ja-JP"/>
              </w:rPr>
            </w:pPr>
            <w:r w:rsidRPr="00D04364">
              <w:rPr>
                <w:rFonts w:eastAsia="MS Mincho"/>
                <w:i/>
                <w:lang w:eastAsia="ja-JP"/>
              </w:rPr>
              <w:t xml:space="preserve">Abrilada is indicated for the treatment of </w:t>
            </w:r>
            <w:proofErr w:type="spellStart"/>
            <w:r w:rsidRPr="00D04364">
              <w:rPr>
                <w:rFonts w:eastAsia="MS Mincho"/>
                <w:i/>
                <w:lang w:eastAsia="ja-JP"/>
              </w:rPr>
              <w:t>enthesitis</w:t>
            </w:r>
            <w:proofErr w:type="spellEnd"/>
            <w:r w:rsidRPr="00D04364">
              <w:rPr>
                <w:rFonts w:eastAsia="MS Mincho"/>
                <w:i/>
                <w:lang w:eastAsia="ja-JP"/>
              </w:rPr>
              <w:t>-related arthritis in children, who have had an inadequate response to, or who are intol</w:t>
            </w:r>
            <w:r w:rsidR="00D04364" w:rsidRPr="00D04364">
              <w:rPr>
                <w:rFonts w:eastAsia="MS Mincho"/>
                <w:i/>
                <w:lang w:eastAsia="ja-JP"/>
              </w:rPr>
              <w:t>erant to, conventional therapy.</w:t>
            </w:r>
          </w:p>
          <w:p w14:paraId="0021142D" w14:textId="77777777" w:rsidR="00AD7E45" w:rsidRPr="00D04364" w:rsidRDefault="00D04364" w:rsidP="00AD7E45">
            <w:pPr>
              <w:rPr>
                <w:rFonts w:eastAsia="MS Mincho"/>
                <w:b/>
                <w:i/>
                <w:lang w:eastAsia="ja-JP"/>
              </w:rPr>
            </w:pPr>
            <w:r w:rsidRPr="00D04364">
              <w:rPr>
                <w:rFonts w:eastAsia="MS Mincho"/>
                <w:b/>
                <w:i/>
                <w:lang w:eastAsia="ja-JP"/>
              </w:rPr>
              <w:t>Psoriatic arthritis</w:t>
            </w:r>
          </w:p>
          <w:p w14:paraId="100FA498" w14:textId="77777777" w:rsidR="00AD7E45" w:rsidRPr="00D04364" w:rsidRDefault="00AD7E45" w:rsidP="00AD7E45">
            <w:pPr>
              <w:rPr>
                <w:rFonts w:eastAsia="MS Mincho"/>
                <w:i/>
                <w:lang w:eastAsia="ja-JP"/>
              </w:rPr>
            </w:pPr>
            <w:r w:rsidRPr="00D04364">
              <w:rPr>
                <w:rFonts w:eastAsia="MS Mincho"/>
                <w:i/>
                <w:lang w:eastAsia="ja-JP"/>
              </w:rPr>
              <w:t>Abrilada is indicated for the treatment of signs and symptoms, as well as inhibiting the progression of structural damage, of moderate to severely active psoriatic arthritis in adult patients where response to previ</w:t>
            </w:r>
            <w:r w:rsidR="00D04364" w:rsidRPr="00D04364">
              <w:rPr>
                <w:rFonts w:eastAsia="MS Mincho"/>
                <w:i/>
                <w:lang w:eastAsia="ja-JP"/>
              </w:rPr>
              <w:t>ous DMARDs has been inadequate.</w:t>
            </w:r>
          </w:p>
          <w:p w14:paraId="432A0F12" w14:textId="77777777" w:rsidR="00AD7E45" w:rsidRPr="00D04364" w:rsidRDefault="00AD7E45" w:rsidP="00AD7E45">
            <w:pPr>
              <w:rPr>
                <w:rFonts w:eastAsia="MS Mincho"/>
                <w:b/>
                <w:i/>
                <w:lang w:eastAsia="ja-JP"/>
              </w:rPr>
            </w:pPr>
            <w:r w:rsidRPr="00D04364">
              <w:rPr>
                <w:rFonts w:eastAsia="MS Mincho"/>
                <w:b/>
                <w:i/>
                <w:lang w:eastAsia="ja-JP"/>
              </w:rPr>
              <w:t>Ankylosi</w:t>
            </w:r>
            <w:r w:rsidR="00D04364" w:rsidRPr="00D04364">
              <w:rPr>
                <w:rFonts w:eastAsia="MS Mincho"/>
                <w:b/>
                <w:i/>
                <w:lang w:eastAsia="ja-JP"/>
              </w:rPr>
              <w:t>ng spondylitis</w:t>
            </w:r>
          </w:p>
          <w:p w14:paraId="3F91020F" w14:textId="77777777" w:rsidR="00AD7E45" w:rsidRDefault="00AD7E45" w:rsidP="00AD7E45">
            <w:pPr>
              <w:rPr>
                <w:rFonts w:eastAsia="MS Mincho"/>
                <w:i/>
                <w:lang w:eastAsia="ja-JP"/>
              </w:rPr>
            </w:pPr>
            <w:r w:rsidRPr="00D04364">
              <w:rPr>
                <w:rFonts w:eastAsia="MS Mincho"/>
                <w:i/>
                <w:lang w:eastAsia="ja-JP"/>
              </w:rPr>
              <w:t>Abrilada is indicated for reducing signs and symptoms in patients with</w:t>
            </w:r>
            <w:r w:rsidR="00D04364" w:rsidRPr="00D04364">
              <w:rPr>
                <w:rFonts w:eastAsia="MS Mincho"/>
                <w:i/>
                <w:lang w:eastAsia="ja-JP"/>
              </w:rPr>
              <w:t xml:space="preserve"> active ankylosing spondylitis.</w:t>
            </w:r>
          </w:p>
          <w:p w14:paraId="3908C14E" w14:textId="77777777" w:rsidR="00D04364" w:rsidRPr="00D04364" w:rsidRDefault="00D04364" w:rsidP="00AD7E45">
            <w:pPr>
              <w:rPr>
                <w:rFonts w:eastAsia="MS Mincho"/>
                <w:b/>
                <w:i/>
                <w:lang w:eastAsia="ja-JP"/>
              </w:rPr>
            </w:pPr>
            <w:r w:rsidRPr="00D04364">
              <w:rPr>
                <w:rFonts w:eastAsia="MS Mincho"/>
                <w:b/>
                <w:i/>
                <w:lang w:eastAsia="ja-JP"/>
              </w:rPr>
              <w:t xml:space="preserve">Crohn's disease in </w:t>
            </w:r>
            <w:r>
              <w:rPr>
                <w:rFonts w:eastAsia="MS Mincho"/>
                <w:b/>
                <w:i/>
                <w:lang w:eastAsia="ja-JP"/>
              </w:rPr>
              <w:t>adults and children (≥ 6 years)</w:t>
            </w:r>
          </w:p>
          <w:p w14:paraId="1FECAE98" w14:textId="77777777" w:rsidR="00AD7E45" w:rsidRPr="00D04364" w:rsidRDefault="00AD7E45" w:rsidP="00AD7E45">
            <w:pPr>
              <w:rPr>
                <w:rFonts w:eastAsia="MS Mincho"/>
                <w:i/>
                <w:lang w:eastAsia="ja-JP"/>
              </w:rPr>
            </w:pPr>
            <w:r w:rsidRPr="00D04364">
              <w:rPr>
                <w:rFonts w:eastAsia="MS Mincho"/>
                <w:i/>
                <w:lang w:eastAsia="ja-JP"/>
              </w:rPr>
              <w:t xml:space="preserve">Abrilada is indicated for the treatment of moderate to severe Crohn's disease, to reduce the signs and symptoms of the disease and to induce and maintain </w:t>
            </w:r>
            <w:r w:rsidR="00D04364" w:rsidRPr="00D04364">
              <w:rPr>
                <w:rFonts w:eastAsia="MS Mincho"/>
                <w:i/>
                <w:lang w:eastAsia="ja-JP"/>
              </w:rPr>
              <w:t>clinical remission in patients;</w:t>
            </w:r>
          </w:p>
          <w:p w14:paraId="55F2CE37" w14:textId="77777777" w:rsidR="00AD7E45" w:rsidRPr="00D04364" w:rsidRDefault="00AD7E45" w:rsidP="00AD7E45">
            <w:pPr>
              <w:rPr>
                <w:rFonts w:eastAsia="MS Mincho"/>
                <w:i/>
                <w:lang w:eastAsia="ja-JP"/>
              </w:rPr>
            </w:pPr>
            <w:r w:rsidRPr="00D04364">
              <w:rPr>
                <w:rFonts w:eastAsia="MS Mincho"/>
                <w:i/>
                <w:lang w:eastAsia="ja-JP"/>
              </w:rPr>
              <w:t>who have had an inadequate response to conventional therapies or,</w:t>
            </w:r>
          </w:p>
          <w:p w14:paraId="5EDDFB61" w14:textId="77777777" w:rsidR="00AD7E45" w:rsidRPr="00D04364" w:rsidRDefault="00AD7E45" w:rsidP="00AD7E45">
            <w:pPr>
              <w:rPr>
                <w:rFonts w:eastAsia="MS Mincho"/>
                <w:i/>
                <w:lang w:eastAsia="ja-JP"/>
              </w:rPr>
            </w:pPr>
            <w:r w:rsidRPr="00D04364">
              <w:rPr>
                <w:rFonts w:eastAsia="MS Mincho"/>
                <w:i/>
                <w:lang w:eastAsia="ja-JP"/>
              </w:rPr>
              <w:t>who have lost response to or are intolerant to infliximab.</w:t>
            </w:r>
          </w:p>
          <w:p w14:paraId="0501AB8F" w14:textId="77777777" w:rsidR="00AD7E45" w:rsidRPr="00D04364" w:rsidRDefault="00D04364" w:rsidP="00AD7E45">
            <w:pPr>
              <w:rPr>
                <w:rFonts w:eastAsia="MS Mincho"/>
                <w:b/>
                <w:i/>
                <w:lang w:eastAsia="ja-JP"/>
              </w:rPr>
            </w:pPr>
            <w:r w:rsidRPr="00D04364">
              <w:rPr>
                <w:rFonts w:eastAsia="MS Mincho"/>
                <w:b/>
                <w:i/>
                <w:lang w:eastAsia="ja-JP"/>
              </w:rPr>
              <w:t>Ulcerative colitis</w:t>
            </w:r>
          </w:p>
          <w:p w14:paraId="2C1F2EF8" w14:textId="77777777" w:rsidR="00AD7E45" w:rsidRPr="00D04364" w:rsidRDefault="00AD7E45" w:rsidP="00AD7E45">
            <w:pPr>
              <w:rPr>
                <w:rFonts w:eastAsia="MS Mincho"/>
                <w:i/>
                <w:lang w:eastAsia="ja-JP"/>
              </w:rPr>
            </w:pPr>
            <w:r w:rsidRPr="00D04364">
              <w:rPr>
                <w:rFonts w:eastAsia="MS Mincho"/>
                <w:i/>
                <w:lang w:eastAsia="ja-JP"/>
              </w:rPr>
              <w:t>Abrilada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5.1 pharmacodynamic properties - clinical trials).</w:t>
            </w:r>
          </w:p>
          <w:p w14:paraId="4359A567" w14:textId="77777777" w:rsidR="00AD7E45" w:rsidRPr="00D04364" w:rsidRDefault="00AD7E45" w:rsidP="00AD7E45">
            <w:pPr>
              <w:rPr>
                <w:rFonts w:eastAsia="MS Mincho"/>
                <w:b/>
                <w:i/>
                <w:lang w:eastAsia="ja-JP"/>
              </w:rPr>
            </w:pPr>
            <w:r w:rsidRPr="00D04364">
              <w:rPr>
                <w:rFonts w:eastAsia="MS Mincho"/>
                <w:b/>
                <w:i/>
                <w:lang w:eastAsia="ja-JP"/>
              </w:rPr>
              <w:t>Psoriasis in adults and children</w:t>
            </w:r>
          </w:p>
          <w:p w14:paraId="612B3AEE" w14:textId="77777777" w:rsidR="00AD7E45" w:rsidRPr="00D04364" w:rsidRDefault="00AD7E45" w:rsidP="00AD7E45">
            <w:pPr>
              <w:rPr>
                <w:rFonts w:eastAsia="MS Mincho"/>
                <w:i/>
                <w:lang w:eastAsia="ja-JP"/>
              </w:rPr>
            </w:pPr>
            <w:r w:rsidRPr="00D04364">
              <w:rPr>
                <w:rFonts w:eastAsia="MS Mincho"/>
                <w:i/>
                <w:lang w:eastAsia="ja-JP"/>
              </w:rPr>
              <w:t>Abrilada is indicated for the treatment of moderate to severe chronic plaque psoriasis in adult patients who are candidates for systemic therapy or phototherapy.</w:t>
            </w:r>
          </w:p>
          <w:p w14:paraId="5280A67C" w14:textId="77777777" w:rsidR="00AD7E45" w:rsidRPr="00D04364" w:rsidRDefault="00AD7E45" w:rsidP="00AD7E45">
            <w:pPr>
              <w:rPr>
                <w:rFonts w:eastAsia="MS Mincho"/>
                <w:i/>
                <w:lang w:eastAsia="ja-JP"/>
              </w:rPr>
            </w:pPr>
            <w:r w:rsidRPr="00D04364">
              <w:rPr>
                <w:rFonts w:eastAsia="MS Mincho"/>
                <w:i/>
                <w:lang w:eastAsia="ja-JP"/>
              </w:rPr>
              <w:t>Abrilada is indicated for the treatment of severe chronic plaque</w:t>
            </w:r>
            <w:r w:rsidRPr="00AD7E45">
              <w:rPr>
                <w:rFonts w:eastAsia="MS Mincho"/>
                <w:lang w:eastAsia="ja-JP"/>
              </w:rPr>
              <w:t xml:space="preserve"> </w:t>
            </w:r>
            <w:r w:rsidRPr="00D04364">
              <w:rPr>
                <w:rFonts w:eastAsia="MS Mincho"/>
                <w:i/>
                <w:lang w:eastAsia="ja-JP"/>
              </w:rPr>
              <w:t>psoriasis in children and adolescent patients from 4 years of age who have had an inadequate response to or are inappropriate candidates for topical therapy and phototherapy.</w:t>
            </w:r>
          </w:p>
          <w:p w14:paraId="2C7FBDB6" w14:textId="572A71EA" w:rsidR="00AD7E45" w:rsidRPr="00D04364" w:rsidRDefault="00AD7E45" w:rsidP="00AD7E45">
            <w:pPr>
              <w:rPr>
                <w:rFonts w:eastAsia="MS Mincho"/>
                <w:b/>
                <w:i/>
                <w:lang w:eastAsia="ja-JP"/>
              </w:rPr>
            </w:pPr>
            <w:r w:rsidRPr="00D04364">
              <w:rPr>
                <w:rFonts w:eastAsia="MS Mincho"/>
                <w:b/>
                <w:i/>
                <w:lang w:eastAsia="ja-JP"/>
              </w:rPr>
              <w:t>Hidradenitis suppurativa in adults and adolescents (from 12</w:t>
            </w:r>
            <w:r w:rsidR="00F511A0">
              <w:rPr>
                <w:rFonts w:eastAsia="MS Mincho"/>
                <w:b/>
                <w:i/>
                <w:lang w:eastAsia="ja-JP"/>
              </w:rPr>
              <w:t> </w:t>
            </w:r>
            <w:r w:rsidRPr="00D04364">
              <w:rPr>
                <w:rFonts w:eastAsia="MS Mincho"/>
                <w:b/>
                <w:i/>
                <w:lang w:eastAsia="ja-JP"/>
              </w:rPr>
              <w:t>years of age)</w:t>
            </w:r>
          </w:p>
          <w:p w14:paraId="3B9DC0B7" w14:textId="77777777" w:rsidR="00AD7E45" w:rsidRPr="00D04364" w:rsidRDefault="00AD7E45" w:rsidP="00AD7E45">
            <w:pPr>
              <w:rPr>
                <w:rFonts w:eastAsia="MS Mincho"/>
                <w:i/>
                <w:lang w:eastAsia="ja-JP"/>
              </w:rPr>
            </w:pPr>
            <w:r w:rsidRPr="00D04364">
              <w:rPr>
                <w:rFonts w:eastAsia="MS Mincho"/>
                <w:i/>
                <w:lang w:eastAsia="ja-JP"/>
              </w:rPr>
              <w:t xml:space="preserve">Abrilada is indicated for the treatment of active moderate to severe hidradenitis suppurativa (acne </w:t>
            </w:r>
            <w:proofErr w:type="spellStart"/>
            <w:r w:rsidRPr="00D04364">
              <w:rPr>
                <w:rFonts w:eastAsia="MS Mincho"/>
                <w:i/>
                <w:lang w:eastAsia="ja-JP"/>
              </w:rPr>
              <w:t>inversa</w:t>
            </w:r>
            <w:proofErr w:type="spellEnd"/>
            <w:r w:rsidRPr="00D04364">
              <w:rPr>
                <w:rFonts w:eastAsia="MS Mincho"/>
                <w:i/>
                <w:lang w:eastAsia="ja-JP"/>
              </w:rPr>
              <w:t>) in patients with an inadequate response to conventional systemic hidradenitis suppurativa therapy.</w:t>
            </w:r>
          </w:p>
          <w:p w14:paraId="2DF6FEE7" w14:textId="77777777" w:rsidR="00AD7E45" w:rsidRPr="00D04364" w:rsidRDefault="00AD7E45" w:rsidP="00AD7E45">
            <w:pPr>
              <w:rPr>
                <w:rFonts w:eastAsia="MS Mincho"/>
                <w:b/>
                <w:i/>
                <w:lang w:eastAsia="ja-JP"/>
              </w:rPr>
            </w:pPr>
            <w:r w:rsidRPr="00D04364">
              <w:rPr>
                <w:rFonts w:eastAsia="MS Mincho"/>
                <w:b/>
                <w:i/>
                <w:lang w:eastAsia="ja-JP"/>
              </w:rPr>
              <w:t>Uveitis</w:t>
            </w:r>
          </w:p>
          <w:p w14:paraId="779DB643" w14:textId="77777777" w:rsidR="008E7846" w:rsidRPr="00487162" w:rsidRDefault="00AD7E45" w:rsidP="00AD7E45">
            <w:pPr>
              <w:rPr>
                <w:rFonts w:eastAsia="MS Mincho"/>
                <w:lang w:eastAsia="ja-JP"/>
              </w:rPr>
            </w:pPr>
            <w:r w:rsidRPr="00D04364">
              <w:rPr>
                <w:rFonts w:eastAsia="MS Mincho"/>
                <w:i/>
                <w:lang w:eastAsia="ja-JP"/>
              </w:rPr>
              <w:t xml:space="preserve">Abrilada is indicated for the treatment of non-infectious intermediate, posterior and </w:t>
            </w:r>
            <w:proofErr w:type="spellStart"/>
            <w:r w:rsidRPr="00D04364">
              <w:rPr>
                <w:rFonts w:eastAsia="MS Mincho"/>
                <w:i/>
                <w:lang w:eastAsia="ja-JP"/>
              </w:rPr>
              <w:t>panuveitis</w:t>
            </w:r>
            <w:proofErr w:type="spellEnd"/>
            <w:r w:rsidRPr="00D04364">
              <w:rPr>
                <w:rFonts w:eastAsia="MS Mincho"/>
                <w:i/>
                <w:lang w:eastAsia="ja-JP"/>
              </w:rPr>
              <w:t xml:space="preserve"> in adult patients who have had an inadequate response to corticosteroids, in patients in need of corticosteroid sparing, or in whom corticosteroid treatment is inappropriate.</w:t>
            </w:r>
          </w:p>
        </w:tc>
      </w:tr>
      <w:tr w:rsidR="008E7846" w:rsidRPr="00487162" w14:paraId="4E70DAD5" w14:textId="77777777" w:rsidTr="00BF1190">
        <w:tc>
          <w:tcPr>
            <w:tcW w:w="2907" w:type="dxa"/>
          </w:tcPr>
          <w:p w14:paraId="00036748" w14:textId="77777777" w:rsidR="008E7846" w:rsidRPr="00487162" w:rsidRDefault="00C72D54" w:rsidP="00E45619">
            <w:pPr>
              <w:rPr>
                <w:i/>
              </w:rPr>
            </w:pPr>
            <w:r>
              <w:rPr>
                <w:i/>
              </w:rPr>
              <w:t>Route</w:t>
            </w:r>
            <w:r w:rsidR="008E7846" w:rsidRPr="00487162">
              <w:rPr>
                <w:i/>
              </w:rPr>
              <w:t xml:space="preserve"> of administration:</w:t>
            </w:r>
          </w:p>
        </w:tc>
        <w:tc>
          <w:tcPr>
            <w:tcW w:w="6307" w:type="dxa"/>
          </w:tcPr>
          <w:p w14:paraId="1D9DEBEE" w14:textId="77777777" w:rsidR="008E7846" w:rsidRPr="00487162" w:rsidRDefault="00C72D54" w:rsidP="00E45619">
            <w:r>
              <w:t>Subcutaneous injection</w:t>
            </w:r>
          </w:p>
        </w:tc>
      </w:tr>
      <w:tr w:rsidR="008E7846" w:rsidRPr="00487162" w14:paraId="5A6F6354" w14:textId="77777777" w:rsidTr="00BF1190">
        <w:tc>
          <w:tcPr>
            <w:tcW w:w="2907" w:type="dxa"/>
          </w:tcPr>
          <w:p w14:paraId="5A880F15" w14:textId="77777777" w:rsidR="008E7846" w:rsidRPr="00487162" w:rsidRDefault="008E7846" w:rsidP="00E45619">
            <w:pPr>
              <w:rPr>
                <w:i/>
              </w:rPr>
            </w:pPr>
            <w:r w:rsidRPr="00487162">
              <w:rPr>
                <w:i/>
              </w:rPr>
              <w:t>Dosage:</w:t>
            </w:r>
          </w:p>
        </w:tc>
        <w:tc>
          <w:tcPr>
            <w:tcW w:w="6307" w:type="dxa"/>
          </w:tcPr>
          <w:p w14:paraId="097B4E16" w14:textId="6FF978C3" w:rsidR="00460036" w:rsidRPr="00487162" w:rsidRDefault="00B31D08" w:rsidP="00E45619">
            <w:r>
              <w:t>As the d</w:t>
            </w:r>
            <w:r w:rsidRPr="00B31D08">
              <w:t>osage of Abrilada</w:t>
            </w:r>
            <w:r>
              <w:t xml:space="preserve"> (adalimumab)</w:t>
            </w:r>
            <w:r w:rsidRPr="00B31D08">
              <w:t xml:space="preserve"> is based on multiple factors, including the condition being treated</w:t>
            </w:r>
            <w:r>
              <w:t xml:space="preserve"> (of which there are many)</w:t>
            </w:r>
            <w:r w:rsidRPr="00B31D08">
              <w:t>, the age</w:t>
            </w:r>
            <w:r>
              <w:t xml:space="preserve"> (including children)</w:t>
            </w:r>
            <w:r w:rsidRPr="00B31D08">
              <w:t xml:space="preserve"> and the body weight of the patient</w:t>
            </w:r>
            <w:r>
              <w:t>, please refer to the Product Information for specific dosage information.</w:t>
            </w:r>
          </w:p>
        </w:tc>
      </w:tr>
      <w:tr w:rsidR="00460036" w:rsidRPr="00487162" w14:paraId="17356293" w14:textId="77777777" w:rsidTr="00BF1190">
        <w:tc>
          <w:tcPr>
            <w:tcW w:w="2907" w:type="dxa"/>
          </w:tcPr>
          <w:p w14:paraId="7E427656" w14:textId="77777777" w:rsidR="00460036" w:rsidRPr="00487162" w:rsidRDefault="00460036" w:rsidP="00E45619">
            <w:pPr>
              <w:rPr>
                <w:i/>
              </w:rPr>
            </w:pPr>
            <w:r w:rsidRPr="00460036">
              <w:rPr>
                <w:i/>
              </w:rPr>
              <w:t>Pregnancy category</w:t>
            </w:r>
            <w:r>
              <w:rPr>
                <w:i/>
              </w:rPr>
              <w:t>:</w:t>
            </w:r>
          </w:p>
        </w:tc>
        <w:tc>
          <w:tcPr>
            <w:tcW w:w="6307" w:type="dxa"/>
          </w:tcPr>
          <w:p w14:paraId="56C2C5DD" w14:textId="77777777" w:rsidR="00C72D54" w:rsidRDefault="00C72D54" w:rsidP="00C72D54">
            <w:r w:rsidRPr="00C72D54">
              <w:t>C</w:t>
            </w:r>
          </w:p>
          <w:p w14:paraId="092D9C9C" w14:textId="77777777" w:rsidR="00C72D54" w:rsidRPr="00C72D54" w:rsidRDefault="00C72D54" w:rsidP="00C72D54">
            <w:r w:rsidRPr="00C72D54">
              <w:t>Drugs which, owing to their pharmacological effects, have caused or may be suspected of causing, harmful effects on the human fetus or neonate without causing malformations. These effects may be reversible. Accompanying texts should be consulted for further details.</w:t>
            </w:r>
          </w:p>
          <w:p w14:paraId="35DDC0AC"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C72D54">
              <w:t>ces in your State or Territory.</w:t>
            </w:r>
          </w:p>
        </w:tc>
      </w:tr>
    </w:tbl>
    <w:p w14:paraId="76135DF1" w14:textId="77777777" w:rsidR="008E7846" w:rsidRDefault="008E7846" w:rsidP="008E7846">
      <w:pPr>
        <w:pStyle w:val="Heading3"/>
      </w:pPr>
      <w:bookmarkStart w:id="13" w:name="_Toc247691503"/>
      <w:bookmarkStart w:id="14" w:name="_Toc314842484"/>
      <w:bookmarkStart w:id="15" w:name="_Toc71104747"/>
      <w:r>
        <w:t>Product background</w:t>
      </w:r>
      <w:bookmarkEnd w:id="13"/>
      <w:bookmarkEnd w:id="14"/>
      <w:bookmarkEnd w:id="15"/>
    </w:p>
    <w:p w14:paraId="6007DDC3" w14:textId="77777777" w:rsidR="009333B0" w:rsidRDefault="00250271" w:rsidP="00940A89">
      <w:r w:rsidRPr="00250271">
        <w:t>This AusPAR describes t</w:t>
      </w:r>
      <w:r w:rsidR="009333B0">
        <w:t>he application by Pfizer Australia Pty Ltd (the sponsor) to register the following:</w:t>
      </w:r>
    </w:p>
    <w:p w14:paraId="28D35B62" w14:textId="77777777" w:rsidR="009333B0" w:rsidRPr="006808EC" w:rsidRDefault="009333B0" w:rsidP="009333B0">
      <w:pPr>
        <w:pStyle w:val="ListBullet"/>
      </w:pPr>
      <w:r w:rsidRPr="006808EC">
        <w:t>Abrilada (adalimumab) 20 mg/0.4 mL solution for injection pre-filled syringe</w:t>
      </w:r>
      <w:r>
        <w:t>;</w:t>
      </w:r>
    </w:p>
    <w:p w14:paraId="4F657466" w14:textId="77777777" w:rsidR="009333B0" w:rsidRPr="006808EC" w:rsidRDefault="009333B0" w:rsidP="009333B0">
      <w:pPr>
        <w:pStyle w:val="ListBullet"/>
      </w:pPr>
      <w:r w:rsidRPr="006808EC">
        <w:t>Abrilada (adalimumab) 40 mg/0.8 mL solution for injection pre-filled syringe</w:t>
      </w:r>
      <w:r>
        <w:t>;</w:t>
      </w:r>
    </w:p>
    <w:p w14:paraId="022F56EF" w14:textId="77777777" w:rsidR="009333B0" w:rsidRPr="006808EC" w:rsidRDefault="009333B0" w:rsidP="009333B0">
      <w:pPr>
        <w:pStyle w:val="ListBullet"/>
      </w:pPr>
      <w:r w:rsidRPr="006808EC">
        <w:t>Abrilada (adalimumab) 40 mg/0.8 mL solution for injection pre-filled pen</w:t>
      </w:r>
      <w:r>
        <w:t>; and</w:t>
      </w:r>
    </w:p>
    <w:p w14:paraId="6D26B52F" w14:textId="77777777" w:rsidR="009333B0" w:rsidRDefault="009333B0" w:rsidP="009333B0">
      <w:pPr>
        <w:pStyle w:val="ListBullet"/>
      </w:pPr>
      <w:r w:rsidRPr="006808EC">
        <w:t>Abrilada (adalimumab) 40 mg/0.8 mL solution for injection vial</w:t>
      </w:r>
      <w:r>
        <w:t>.</w:t>
      </w:r>
    </w:p>
    <w:p w14:paraId="0101CC48" w14:textId="77777777" w:rsidR="009333B0" w:rsidRDefault="009333B0" w:rsidP="00A94E94">
      <w:pPr>
        <w:pageBreakBefore/>
      </w:pPr>
      <w:r>
        <w:t>This is a new biosimilar medicine to the registered Australian reference product Humira (adalimumab). The proposed indications are the same as the Australian indications for Humira</w:t>
      </w:r>
      <w:r w:rsidR="00B62A8A">
        <w:t>; these are:</w:t>
      </w:r>
    </w:p>
    <w:p w14:paraId="3D06A878" w14:textId="77777777" w:rsidR="009333B0" w:rsidRPr="00804982" w:rsidRDefault="009333B0" w:rsidP="0064395D">
      <w:pPr>
        <w:ind w:left="720"/>
        <w:rPr>
          <w:b/>
          <w:i/>
        </w:rPr>
      </w:pPr>
      <w:r w:rsidRPr="00804982">
        <w:rPr>
          <w:b/>
          <w:i/>
        </w:rPr>
        <w:t>Rheumatoid Arthritis</w:t>
      </w:r>
    </w:p>
    <w:p w14:paraId="4379D3EB" w14:textId="77777777" w:rsidR="009333B0" w:rsidRPr="0064395D" w:rsidRDefault="009333B0" w:rsidP="0064395D">
      <w:pPr>
        <w:ind w:left="720"/>
        <w:rPr>
          <w:i/>
        </w:rPr>
      </w:pPr>
      <w:r w:rsidRPr="0064395D">
        <w:rPr>
          <w:i/>
        </w:rPr>
        <w:t>A</w:t>
      </w:r>
      <w:r w:rsidR="0064395D" w:rsidRPr="0064395D">
        <w:rPr>
          <w:i/>
        </w:rPr>
        <w:t>brilada</w:t>
      </w:r>
      <w:r w:rsidRPr="0064395D">
        <w:rPr>
          <w:i/>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33C3B8E3" w14:textId="77777777" w:rsidR="009333B0" w:rsidRPr="00804982" w:rsidRDefault="0064395D" w:rsidP="0064395D">
      <w:pPr>
        <w:ind w:left="720"/>
        <w:rPr>
          <w:i/>
        </w:rPr>
      </w:pPr>
      <w:r w:rsidRPr="00804982">
        <w:rPr>
          <w:i/>
        </w:rPr>
        <w:t>Abrilada</w:t>
      </w:r>
      <w:r w:rsidR="009333B0" w:rsidRPr="00804982">
        <w:rPr>
          <w:i/>
        </w:rPr>
        <w:t xml:space="preserve"> can be used alone or in combination with methotrexate.</w:t>
      </w:r>
    </w:p>
    <w:p w14:paraId="7698A01F" w14:textId="77777777" w:rsidR="009333B0" w:rsidRPr="00804982" w:rsidRDefault="009333B0" w:rsidP="00804982">
      <w:pPr>
        <w:ind w:left="720"/>
        <w:rPr>
          <w:b/>
          <w:i/>
        </w:rPr>
      </w:pPr>
      <w:r w:rsidRPr="00804982">
        <w:rPr>
          <w:b/>
          <w:i/>
        </w:rPr>
        <w:t>Juvenile Idiopathic Arthritis</w:t>
      </w:r>
    </w:p>
    <w:p w14:paraId="5843C649" w14:textId="77777777" w:rsidR="009333B0" w:rsidRPr="00804982" w:rsidRDefault="009333B0" w:rsidP="00804982">
      <w:pPr>
        <w:ind w:left="720"/>
        <w:rPr>
          <w:i/>
        </w:rPr>
      </w:pPr>
      <w:proofErr w:type="spellStart"/>
      <w:r w:rsidRPr="00804982">
        <w:rPr>
          <w:i/>
        </w:rPr>
        <w:t>Polyarticular</w:t>
      </w:r>
      <w:proofErr w:type="spellEnd"/>
      <w:r w:rsidRPr="00804982">
        <w:rPr>
          <w:i/>
        </w:rPr>
        <w:t xml:space="preserve"> Juvenile Idiopathic Arthritis</w:t>
      </w:r>
    </w:p>
    <w:p w14:paraId="3B1AD6A1" w14:textId="77777777" w:rsidR="009333B0" w:rsidRPr="00804982" w:rsidRDefault="00804982" w:rsidP="00804982">
      <w:pPr>
        <w:ind w:left="720"/>
        <w:rPr>
          <w:i/>
        </w:rPr>
      </w:pPr>
      <w:r w:rsidRPr="00804982">
        <w:rPr>
          <w:i/>
        </w:rPr>
        <w:t>Abrilada</w:t>
      </w:r>
      <w:r w:rsidR="009333B0" w:rsidRPr="00804982">
        <w:rPr>
          <w:i/>
        </w:rPr>
        <w:t xml:space="preserve"> in combination with methotrexate is indicated for reducing the signs and symptoms of moderately to severely active </w:t>
      </w:r>
      <w:proofErr w:type="spellStart"/>
      <w:r w:rsidR="009333B0" w:rsidRPr="00804982">
        <w:rPr>
          <w:i/>
        </w:rPr>
        <w:t>polyarticular</w:t>
      </w:r>
      <w:proofErr w:type="spellEnd"/>
      <w:r w:rsidR="009333B0" w:rsidRPr="00804982">
        <w:rPr>
          <w:i/>
        </w:rPr>
        <w:t xml:space="preserve"> juvenile idiopathic arthritis in patients 2 years of age and older who have had an inadequate response to one or more disease modifying anti-rheumatic drugs (DMARDs). </w:t>
      </w:r>
      <w:r w:rsidR="00EB632E">
        <w:rPr>
          <w:i/>
        </w:rPr>
        <w:t>Abrilada</w:t>
      </w:r>
      <w:r w:rsidR="009333B0" w:rsidRPr="00804982">
        <w:rPr>
          <w:i/>
        </w:rPr>
        <w:t xml:space="preserve"> can be given as monotherapy in case of intolerance to methotrexate or when continued treatment with methotrexate is inappropriate.</w:t>
      </w:r>
    </w:p>
    <w:p w14:paraId="0FA8BED9" w14:textId="77777777" w:rsidR="009333B0" w:rsidRPr="00B62A8A" w:rsidRDefault="009333B0" w:rsidP="00804982">
      <w:pPr>
        <w:ind w:left="720"/>
        <w:rPr>
          <w:i/>
        </w:rPr>
      </w:pPr>
      <w:proofErr w:type="spellStart"/>
      <w:r w:rsidRPr="00B62A8A">
        <w:rPr>
          <w:i/>
        </w:rPr>
        <w:t>Enthesitis</w:t>
      </w:r>
      <w:proofErr w:type="spellEnd"/>
      <w:r w:rsidRPr="00B62A8A">
        <w:rPr>
          <w:i/>
        </w:rPr>
        <w:t>-Related Arthritis</w:t>
      </w:r>
    </w:p>
    <w:p w14:paraId="57AE54EF" w14:textId="77777777" w:rsidR="009333B0" w:rsidRPr="00804982" w:rsidRDefault="00804982" w:rsidP="00804982">
      <w:pPr>
        <w:ind w:left="720"/>
        <w:rPr>
          <w:i/>
        </w:rPr>
      </w:pPr>
      <w:r w:rsidRPr="00804982">
        <w:rPr>
          <w:i/>
        </w:rPr>
        <w:t>Abrilada</w:t>
      </w:r>
      <w:r w:rsidR="009333B0" w:rsidRPr="00804982">
        <w:rPr>
          <w:i/>
        </w:rPr>
        <w:t xml:space="preserve"> is indicated for the treatment of </w:t>
      </w:r>
      <w:proofErr w:type="spellStart"/>
      <w:r w:rsidR="009333B0" w:rsidRPr="00804982">
        <w:rPr>
          <w:i/>
        </w:rPr>
        <w:t>enthesitis</w:t>
      </w:r>
      <w:proofErr w:type="spellEnd"/>
      <w:r w:rsidR="009333B0" w:rsidRPr="00804982">
        <w:rPr>
          <w:i/>
        </w:rPr>
        <w:t>-related arthritis in children, who have had an inadequate response to, or who are intolerant to, conventional therapy.</w:t>
      </w:r>
    </w:p>
    <w:p w14:paraId="55FD4750" w14:textId="77777777" w:rsidR="009333B0" w:rsidRPr="00804982" w:rsidRDefault="009333B0" w:rsidP="00804982">
      <w:pPr>
        <w:ind w:left="720"/>
        <w:rPr>
          <w:b/>
          <w:i/>
        </w:rPr>
      </w:pPr>
      <w:r w:rsidRPr="00804982">
        <w:rPr>
          <w:b/>
          <w:i/>
        </w:rPr>
        <w:t>Psoriatic Arthritis</w:t>
      </w:r>
    </w:p>
    <w:p w14:paraId="70A5B6E1" w14:textId="77777777" w:rsidR="009333B0" w:rsidRPr="00804982" w:rsidRDefault="00804982" w:rsidP="00804982">
      <w:pPr>
        <w:ind w:left="720"/>
        <w:rPr>
          <w:i/>
        </w:rPr>
      </w:pPr>
      <w:r w:rsidRPr="00804982">
        <w:rPr>
          <w:i/>
        </w:rPr>
        <w:t xml:space="preserve">Abrilada </w:t>
      </w:r>
      <w:r w:rsidR="009333B0" w:rsidRPr="00804982">
        <w:rPr>
          <w:i/>
        </w:rPr>
        <w:t>is indicated for the treatment of signs and symptoms, as well as inhibiting the progression of structural damage, of moderate to severely active psoriatic arthritis in adult patients where response to previous DMARDs has been inadequate.</w:t>
      </w:r>
    </w:p>
    <w:p w14:paraId="2065C861" w14:textId="77777777" w:rsidR="009333B0" w:rsidRPr="00804982" w:rsidRDefault="009333B0" w:rsidP="00804982">
      <w:pPr>
        <w:ind w:left="720"/>
        <w:rPr>
          <w:b/>
          <w:i/>
        </w:rPr>
      </w:pPr>
      <w:r w:rsidRPr="00804982">
        <w:rPr>
          <w:b/>
          <w:i/>
        </w:rPr>
        <w:t>Ankylosing Spondylitis</w:t>
      </w:r>
    </w:p>
    <w:p w14:paraId="7BC507C7" w14:textId="77777777" w:rsidR="009333B0" w:rsidRPr="00804982" w:rsidRDefault="00804982" w:rsidP="00804982">
      <w:pPr>
        <w:ind w:left="720"/>
        <w:rPr>
          <w:i/>
        </w:rPr>
      </w:pPr>
      <w:r w:rsidRPr="00804982">
        <w:rPr>
          <w:i/>
        </w:rPr>
        <w:t>Abrilada is indicated for reducing signs and symptoms in patients with active ankylosing spondylitis.</w:t>
      </w:r>
    </w:p>
    <w:p w14:paraId="50C855A1" w14:textId="77777777" w:rsidR="009333B0" w:rsidRPr="00804982" w:rsidRDefault="00804982" w:rsidP="00804982">
      <w:pPr>
        <w:ind w:left="720"/>
        <w:rPr>
          <w:b/>
          <w:i/>
        </w:rPr>
      </w:pPr>
      <w:r w:rsidRPr="00804982">
        <w:rPr>
          <w:b/>
          <w:i/>
        </w:rPr>
        <w:t>Crohn’s disease in adults and children (≥ 6 years)</w:t>
      </w:r>
    </w:p>
    <w:p w14:paraId="3089D08A" w14:textId="29584E30" w:rsidR="009333B0" w:rsidRPr="00804982" w:rsidRDefault="00804982" w:rsidP="00804982">
      <w:pPr>
        <w:ind w:left="720"/>
        <w:rPr>
          <w:i/>
        </w:rPr>
      </w:pPr>
      <w:r w:rsidRPr="00804982">
        <w:rPr>
          <w:i/>
        </w:rPr>
        <w:t xml:space="preserve">Abrilada is indicated for the treatment of moderate to severe </w:t>
      </w:r>
      <w:r w:rsidR="004403EB">
        <w:rPr>
          <w:i/>
        </w:rPr>
        <w:t>C</w:t>
      </w:r>
      <w:r w:rsidRPr="00804982">
        <w:rPr>
          <w:i/>
        </w:rPr>
        <w:t>rohn’s disease, to reduce the signs and symptoms of the disease and to induce and maintain clinical remission in patients;</w:t>
      </w:r>
    </w:p>
    <w:p w14:paraId="321209D0" w14:textId="77777777" w:rsidR="009333B0" w:rsidRPr="00804982" w:rsidRDefault="00804982" w:rsidP="00804982">
      <w:pPr>
        <w:ind w:left="1440"/>
        <w:rPr>
          <w:i/>
        </w:rPr>
      </w:pPr>
      <w:r w:rsidRPr="00804982">
        <w:rPr>
          <w:i/>
        </w:rPr>
        <w:t>who have had an inadequate response to conventional therapies or,</w:t>
      </w:r>
    </w:p>
    <w:p w14:paraId="790F3591" w14:textId="77777777" w:rsidR="009333B0" w:rsidRPr="00804982" w:rsidRDefault="00804982" w:rsidP="00804982">
      <w:pPr>
        <w:ind w:left="1440"/>
        <w:rPr>
          <w:i/>
        </w:rPr>
      </w:pPr>
      <w:r w:rsidRPr="00804982">
        <w:rPr>
          <w:i/>
        </w:rPr>
        <w:t>who have lost response to or are intolerant to infliximab.</w:t>
      </w:r>
    </w:p>
    <w:p w14:paraId="5787070B" w14:textId="77777777" w:rsidR="009333B0" w:rsidRPr="00804982" w:rsidRDefault="009333B0" w:rsidP="00804982">
      <w:pPr>
        <w:ind w:left="720"/>
        <w:rPr>
          <w:b/>
          <w:i/>
        </w:rPr>
      </w:pPr>
      <w:r w:rsidRPr="00804982">
        <w:rPr>
          <w:b/>
          <w:i/>
        </w:rPr>
        <w:t>Ulcerative colitis</w:t>
      </w:r>
    </w:p>
    <w:p w14:paraId="72260523" w14:textId="77777777" w:rsidR="009333B0" w:rsidRPr="00804982" w:rsidRDefault="00804982" w:rsidP="00804982">
      <w:pPr>
        <w:ind w:left="720"/>
        <w:rPr>
          <w:i/>
        </w:rPr>
      </w:pPr>
      <w:r w:rsidRPr="00804982">
        <w:rPr>
          <w:i/>
        </w:rPr>
        <w:t xml:space="preserve">Abrilada </w:t>
      </w:r>
      <w:r w:rsidR="009333B0" w:rsidRPr="00804982">
        <w:rPr>
          <w:i/>
        </w:rPr>
        <w:t xml:space="preserve">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5.1 </w:t>
      </w:r>
      <w:r w:rsidRPr="00804982">
        <w:rPr>
          <w:i/>
        </w:rPr>
        <w:t>Pharmacodynamic Properties - Clinical Trials).</w:t>
      </w:r>
    </w:p>
    <w:p w14:paraId="37A00F3E" w14:textId="77777777" w:rsidR="009333B0" w:rsidRPr="00804982" w:rsidRDefault="009333B0" w:rsidP="00804982">
      <w:pPr>
        <w:ind w:left="720"/>
        <w:rPr>
          <w:b/>
          <w:i/>
        </w:rPr>
      </w:pPr>
      <w:r w:rsidRPr="00804982">
        <w:rPr>
          <w:b/>
          <w:i/>
        </w:rPr>
        <w:t>Psoriasis in Adults and Children</w:t>
      </w:r>
    </w:p>
    <w:p w14:paraId="12759D5C" w14:textId="77777777" w:rsidR="009333B0" w:rsidRPr="00804982" w:rsidRDefault="00804982" w:rsidP="00804982">
      <w:pPr>
        <w:ind w:left="720"/>
        <w:rPr>
          <w:i/>
        </w:rPr>
      </w:pPr>
      <w:r w:rsidRPr="00804982">
        <w:rPr>
          <w:i/>
        </w:rPr>
        <w:t>Abrilada</w:t>
      </w:r>
      <w:r w:rsidR="009333B0" w:rsidRPr="00804982">
        <w:rPr>
          <w:i/>
        </w:rPr>
        <w:t xml:space="preserve"> is indicated for the treatment of moderate to severe chronic plaque psoriasis in adult patients who are candidates for systemic therapy or phototherapy.</w:t>
      </w:r>
    </w:p>
    <w:p w14:paraId="4522921C" w14:textId="77777777" w:rsidR="009333B0" w:rsidRPr="00804982" w:rsidRDefault="00804982" w:rsidP="00804982">
      <w:pPr>
        <w:ind w:left="720"/>
        <w:rPr>
          <w:i/>
        </w:rPr>
      </w:pPr>
      <w:r w:rsidRPr="00804982">
        <w:rPr>
          <w:i/>
        </w:rPr>
        <w:t>Abrilada</w:t>
      </w:r>
      <w:r w:rsidR="009333B0" w:rsidRPr="00804982">
        <w:rPr>
          <w:i/>
        </w:rPr>
        <w:t xml:space="preserve"> is indicated for the treatment of severe chronic plaque psoriasis in children and adolescent patients from 4 years of age who have had an inadequate response to or are inappropriate candidates for topical therapy and phototherapy.</w:t>
      </w:r>
    </w:p>
    <w:p w14:paraId="5A4C2525" w14:textId="77777777" w:rsidR="009333B0" w:rsidRPr="00804982" w:rsidRDefault="009333B0" w:rsidP="00804982">
      <w:pPr>
        <w:ind w:left="720"/>
        <w:rPr>
          <w:b/>
          <w:i/>
        </w:rPr>
      </w:pPr>
      <w:r w:rsidRPr="00804982">
        <w:rPr>
          <w:b/>
          <w:i/>
        </w:rPr>
        <w:t>Hidradenitis Suppurativa in Adults and Adolescents (from 12 years of age)</w:t>
      </w:r>
    </w:p>
    <w:p w14:paraId="3639E8A4" w14:textId="77777777" w:rsidR="009333B0" w:rsidRPr="00804982" w:rsidRDefault="00804982" w:rsidP="00804982">
      <w:pPr>
        <w:ind w:left="720"/>
        <w:rPr>
          <w:i/>
        </w:rPr>
      </w:pPr>
      <w:r w:rsidRPr="00804982">
        <w:rPr>
          <w:i/>
        </w:rPr>
        <w:t>Abrilada</w:t>
      </w:r>
      <w:r w:rsidR="009333B0" w:rsidRPr="00804982">
        <w:rPr>
          <w:i/>
        </w:rPr>
        <w:t xml:space="preserve"> is indicated for the treatment of active moderate to severe hidradenitis suppurativa (acne </w:t>
      </w:r>
      <w:proofErr w:type="spellStart"/>
      <w:r w:rsidR="009333B0" w:rsidRPr="00804982">
        <w:rPr>
          <w:i/>
        </w:rPr>
        <w:t>inversa</w:t>
      </w:r>
      <w:proofErr w:type="spellEnd"/>
      <w:r w:rsidR="009333B0" w:rsidRPr="00804982">
        <w:rPr>
          <w:i/>
        </w:rPr>
        <w:t>) in patients with an inadequate response to conventional systemic hidradenitis suppurativa therapy.</w:t>
      </w:r>
    </w:p>
    <w:p w14:paraId="669E9A24" w14:textId="77777777" w:rsidR="009333B0" w:rsidRPr="00804982" w:rsidRDefault="009333B0" w:rsidP="00804982">
      <w:pPr>
        <w:ind w:left="720"/>
        <w:rPr>
          <w:b/>
          <w:i/>
        </w:rPr>
      </w:pPr>
      <w:r w:rsidRPr="00804982">
        <w:rPr>
          <w:b/>
          <w:i/>
        </w:rPr>
        <w:t>Uveitis</w:t>
      </w:r>
    </w:p>
    <w:p w14:paraId="6D8C4A9D" w14:textId="77777777" w:rsidR="009333B0" w:rsidRDefault="00804982" w:rsidP="00804982">
      <w:pPr>
        <w:ind w:left="720"/>
        <w:rPr>
          <w:i/>
        </w:rPr>
      </w:pPr>
      <w:r w:rsidRPr="00804982">
        <w:rPr>
          <w:i/>
        </w:rPr>
        <w:t>Abrilada</w:t>
      </w:r>
      <w:r w:rsidR="009333B0" w:rsidRPr="00804982">
        <w:rPr>
          <w:i/>
        </w:rPr>
        <w:t xml:space="preserve"> is indicated for the treatment of non-infectious intermediate, posterior and pan-uveitis in adult patients who have had an inadequate response to corticosteroids, in patients in need of corticosteroid sparing, or in whom corticosteroid treatment is inappropriate.</w:t>
      </w:r>
    </w:p>
    <w:p w14:paraId="3A176CAF" w14:textId="77777777" w:rsidR="00D65F1B" w:rsidRDefault="00485241" w:rsidP="00D65F1B">
      <w:r>
        <w:t xml:space="preserve">Adalimumab is a recombinant fully human immunoglobulin (IgG1) monoclonal antibody specific for tumour necrosis factor </w:t>
      </w:r>
      <w:r w:rsidR="00B62A8A">
        <w:t xml:space="preserve">(TNF) alpha. </w:t>
      </w:r>
      <w:r w:rsidR="00D65F1B">
        <w:t>Adalimumab b</w:t>
      </w:r>
      <w:r w:rsidR="00B62A8A">
        <w:t>inds to TNF</w:t>
      </w:r>
      <w:r w:rsidR="00D65F1B">
        <w:t xml:space="preserve"> and neutralises the biological function of TNF by blocking its interaction with the p55 and p75 cell surface TNF receptors. TNF is a naturally occurring cytokine that is involved in normal inflammatory and immune responses. Elevated levels of TNF are found in the synovial fluid of rheumatoid arthritis, including juvenile idiopathic arthritis, psoriatic arthrit</w:t>
      </w:r>
      <w:r w:rsidR="00B62A8A">
        <w:t>is and ankylosing spondylitis</w:t>
      </w:r>
      <w:r w:rsidR="00D65F1B">
        <w:t xml:space="preserve"> patients and play an important role in both the pathologic inflammation and the joint destruction that are hallmarks of these diseases. Increased levels of TNF are also found in psoriasis plaques, which contribute to the inflammatory response, to the proliferation and decreased maturation of keratinocytes and to the associated vascular damages that are characteristic of the disease.</w:t>
      </w:r>
    </w:p>
    <w:p w14:paraId="2FB154F6" w14:textId="64359022" w:rsidR="00485241" w:rsidRPr="00485241" w:rsidRDefault="00D65F1B" w:rsidP="00D65F1B">
      <w:r>
        <w:t>Adalimumab also modulates biological responses that are induced or regulated by TNF, including changes in the levels of adhesion molecules responsible for leukocyte migration (endothelial leu</w:t>
      </w:r>
      <w:r w:rsidR="00DD353A">
        <w:t>k</w:t>
      </w:r>
      <w:r>
        <w:t xml:space="preserve">ocyte adhesion molecule 1, </w:t>
      </w:r>
      <w:r w:rsidR="006E46C4">
        <w:t>vascular cell</w:t>
      </w:r>
      <w:r>
        <w:t xml:space="preserve"> adhesion molecule 1, and intercell</w:t>
      </w:r>
      <w:r w:rsidR="00B62A8A">
        <w:t>ular adhesion molecule 1 with a</w:t>
      </w:r>
      <w:r>
        <w:t xml:space="preserve"> half maximal inhibitory concentration (IC</w:t>
      </w:r>
      <w:r w:rsidRPr="00D65F1B">
        <w:rPr>
          <w:vertAlign w:val="subscript"/>
        </w:rPr>
        <w:t>50</w:t>
      </w:r>
      <w:r>
        <w:t>) of 1</w:t>
      </w:r>
      <w:r w:rsidR="00F511A0">
        <w:t xml:space="preserve"> to </w:t>
      </w:r>
      <w:r>
        <w:t>2 x 10</w:t>
      </w:r>
      <w:r w:rsidRPr="00704FEB">
        <w:rPr>
          <w:vertAlign w:val="superscript"/>
        </w:rPr>
        <w:t>-10</w:t>
      </w:r>
      <w:r>
        <w:t xml:space="preserve"> M).</w:t>
      </w:r>
    </w:p>
    <w:p w14:paraId="41151D9C" w14:textId="57A39DEB" w:rsidR="00940A89" w:rsidRDefault="00250271" w:rsidP="00250271">
      <w:r>
        <w:t xml:space="preserve">This application was submitted through the TGA’s Comparable Overseas Regulator approach B (COR-B) process, using evaluation reports </w:t>
      </w:r>
      <w:r w:rsidR="00804982">
        <w:t xml:space="preserve">from the European Medicines Agency (EMA) which led to the marketing authorisation of Amsparity in the European Union (EU). Amsparity and </w:t>
      </w:r>
      <w:r w:rsidR="006B70B8">
        <w:t>Abrilada</w:t>
      </w:r>
      <w:r w:rsidR="00804982">
        <w:t xml:space="preserve"> are identical products with different tradenames.</w:t>
      </w:r>
      <w:r>
        <w:t xml:space="preserve"> The full dossier </w:t>
      </w:r>
      <w:r w:rsidR="00E0266E">
        <w:t xml:space="preserve">for Amsparity </w:t>
      </w:r>
      <w:r>
        <w:t>was also submitted to the TGA.</w:t>
      </w:r>
    </w:p>
    <w:p w14:paraId="621DC502" w14:textId="77777777" w:rsidR="008E7846" w:rsidRDefault="00386150" w:rsidP="008E7846">
      <w:pPr>
        <w:pStyle w:val="Heading3"/>
      </w:pPr>
      <w:bookmarkStart w:id="16" w:name="_Toc314842485"/>
      <w:bookmarkStart w:id="17" w:name="_Toc247691504"/>
      <w:bookmarkStart w:id="18" w:name="_Toc71104748"/>
      <w:r>
        <w:t>Regulatory s</w:t>
      </w:r>
      <w:r w:rsidR="008E7846">
        <w:t>tatus</w:t>
      </w:r>
      <w:bookmarkEnd w:id="16"/>
      <w:bookmarkEnd w:id="17"/>
      <w:bookmarkEnd w:id="18"/>
    </w:p>
    <w:p w14:paraId="2B1BC7AD" w14:textId="77777777" w:rsidR="00124424" w:rsidRDefault="00124424" w:rsidP="00124424">
      <w:pPr>
        <w:rPr>
          <w:lang w:eastAsia="ja-JP"/>
        </w:rPr>
      </w:pPr>
      <w:r w:rsidRPr="003B6308">
        <w:rPr>
          <w:lang w:eastAsia="ja-JP"/>
        </w:rPr>
        <w:t xml:space="preserve">This is the first submission to register </w:t>
      </w:r>
      <w:r>
        <w:rPr>
          <w:lang w:eastAsia="ja-JP"/>
        </w:rPr>
        <w:t>Abrilada</w:t>
      </w:r>
      <w:r w:rsidRPr="003B6308">
        <w:rPr>
          <w:lang w:eastAsia="ja-JP"/>
        </w:rPr>
        <w:t xml:space="preserve"> in Australia.</w:t>
      </w:r>
    </w:p>
    <w:p w14:paraId="63C80B8A" w14:textId="65EFB5A5" w:rsidR="00124424" w:rsidRDefault="00124424" w:rsidP="00124424">
      <w:pPr>
        <w:rPr>
          <w:lang w:eastAsia="ja-JP"/>
        </w:rPr>
      </w:pPr>
      <w:r w:rsidRPr="00124424">
        <w:rPr>
          <w:lang w:eastAsia="ja-JP"/>
        </w:rPr>
        <w:t>Adalimumab was first r</w:t>
      </w:r>
      <w:r>
        <w:rPr>
          <w:lang w:eastAsia="ja-JP"/>
        </w:rPr>
        <w:t>egistered in Australia as Humira</w:t>
      </w:r>
      <w:r w:rsidR="00E0266E">
        <w:rPr>
          <w:lang w:eastAsia="ja-JP"/>
        </w:rPr>
        <w:t xml:space="preserve"> in 2003.</w:t>
      </w:r>
      <w:r w:rsidRPr="00124424">
        <w:rPr>
          <w:lang w:eastAsia="ja-JP"/>
        </w:rPr>
        <w:t xml:space="preserve"> A</w:t>
      </w:r>
      <w:r>
        <w:rPr>
          <w:lang w:eastAsia="ja-JP"/>
        </w:rPr>
        <w:t xml:space="preserve"> number of </w:t>
      </w:r>
      <w:proofErr w:type="spellStart"/>
      <w:r>
        <w:rPr>
          <w:lang w:eastAsia="ja-JP"/>
        </w:rPr>
        <w:t>biosimilars</w:t>
      </w:r>
      <w:proofErr w:type="spellEnd"/>
      <w:r>
        <w:rPr>
          <w:lang w:eastAsia="ja-JP"/>
        </w:rPr>
        <w:t xml:space="preserve"> of Humira</w:t>
      </w:r>
      <w:r w:rsidRPr="00124424">
        <w:rPr>
          <w:lang w:eastAsia="ja-JP"/>
        </w:rPr>
        <w:t xml:space="preserve"> have been registered</w:t>
      </w:r>
      <w:r w:rsidR="00B62A8A">
        <w:rPr>
          <w:lang w:eastAsia="ja-JP"/>
        </w:rPr>
        <w:t xml:space="preserve"> in Australia in recent years. </w:t>
      </w:r>
      <w:r w:rsidRPr="00124424">
        <w:rPr>
          <w:lang w:eastAsia="ja-JP"/>
        </w:rPr>
        <w:t xml:space="preserve">This </w:t>
      </w:r>
      <w:r>
        <w:rPr>
          <w:lang w:eastAsia="ja-JP"/>
        </w:rPr>
        <w:t xml:space="preserve">application to register </w:t>
      </w:r>
      <w:r w:rsidR="006B70B8">
        <w:t>Abrilada</w:t>
      </w:r>
      <w:r w:rsidRPr="00124424">
        <w:rPr>
          <w:lang w:eastAsia="ja-JP"/>
        </w:rPr>
        <w:t xml:space="preserve"> is </w:t>
      </w:r>
      <w:r>
        <w:rPr>
          <w:lang w:eastAsia="ja-JP"/>
        </w:rPr>
        <w:t xml:space="preserve">based on </w:t>
      </w:r>
      <w:proofErr w:type="spellStart"/>
      <w:r>
        <w:rPr>
          <w:lang w:eastAsia="ja-JP"/>
        </w:rPr>
        <w:t>biosimilarity</w:t>
      </w:r>
      <w:proofErr w:type="spellEnd"/>
      <w:r>
        <w:rPr>
          <w:lang w:eastAsia="ja-JP"/>
        </w:rPr>
        <w:t xml:space="preserve"> to Humira. </w:t>
      </w:r>
      <w:r w:rsidRPr="00124424">
        <w:rPr>
          <w:lang w:eastAsia="ja-JP"/>
        </w:rPr>
        <w:t xml:space="preserve">The application utilises the COR-B pathway, based on the </w:t>
      </w:r>
      <w:r>
        <w:rPr>
          <w:lang w:eastAsia="ja-JP"/>
        </w:rPr>
        <w:t>European Medicine Agency’s (</w:t>
      </w:r>
      <w:r w:rsidRPr="00124424">
        <w:rPr>
          <w:lang w:eastAsia="ja-JP"/>
        </w:rPr>
        <w:t>EMA</w:t>
      </w:r>
      <w:r>
        <w:rPr>
          <w:lang w:eastAsia="ja-JP"/>
        </w:rPr>
        <w:t>)</w:t>
      </w:r>
      <w:r w:rsidRPr="00124424">
        <w:rPr>
          <w:lang w:eastAsia="ja-JP"/>
        </w:rPr>
        <w:t xml:space="preserve"> evaluation which led to the marke</w:t>
      </w:r>
      <w:r>
        <w:rPr>
          <w:lang w:eastAsia="ja-JP"/>
        </w:rPr>
        <w:t>ting authorisation of Amsparity</w:t>
      </w:r>
      <w:r w:rsidRPr="00124424">
        <w:rPr>
          <w:lang w:eastAsia="ja-JP"/>
        </w:rPr>
        <w:t xml:space="preserve"> in the </w:t>
      </w:r>
      <w:r>
        <w:rPr>
          <w:lang w:eastAsia="ja-JP"/>
        </w:rPr>
        <w:t>European Union (</w:t>
      </w:r>
      <w:r w:rsidRPr="00124424">
        <w:rPr>
          <w:lang w:eastAsia="ja-JP"/>
        </w:rPr>
        <w:t>EU</w:t>
      </w:r>
      <w:r>
        <w:rPr>
          <w:lang w:eastAsia="ja-JP"/>
        </w:rPr>
        <w:t xml:space="preserve">); noting that </w:t>
      </w:r>
      <w:r w:rsidRPr="00124424">
        <w:rPr>
          <w:lang w:eastAsia="ja-JP"/>
        </w:rPr>
        <w:t>Amsparity and Abrilada</w:t>
      </w:r>
      <w:r>
        <w:rPr>
          <w:lang w:eastAsia="ja-JP"/>
        </w:rPr>
        <w:t xml:space="preserve"> are the same product). </w:t>
      </w:r>
      <w:r w:rsidRPr="00124424">
        <w:rPr>
          <w:lang w:eastAsia="ja-JP"/>
        </w:rPr>
        <w:t xml:space="preserve">As the Abrilada clinical development program used Humira sourced from the EU and </w:t>
      </w:r>
      <w:r>
        <w:rPr>
          <w:lang w:eastAsia="ja-JP"/>
        </w:rPr>
        <w:t>United States of America (</w:t>
      </w:r>
      <w:r w:rsidRPr="00124424">
        <w:rPr>
          <w:lang w:eastAsia="ja-JP"/>
        </w:rPr>
        <w:t>USA</w:t>
      </w:r>
      <w:r>
        <w:rPr>
          <w:lang w:eastAsia="ja-JP"/>
        </w:rPr>
        <w:t>)</w:t>
      </w:r>
      <w:r w:rsidRPr="00124424">
        <w:rPr>
          <w:lang w:eastAsia="ja-JP"/>
        </w:rPr>
        <w:t>, the submission included a bridging study to confirm the comparability of these products with Humira sourced from Australia.</w:t>
      </w:r>
    </w:p>
    <w:p w14:paraId="0C6FA938" w14:textId="6AF5B18C" w:rsidR="00EA5967" w:rsidRDefault="00EA5967" w:rsidP="00EA5967">
      <w:pPr>
        <w:spacing w:before="240"/>
        <w:rPr>
          <w:lang w:eastAsia="ja-JP"/>
        </w:rPr>
      </w:pPr>
      <w:r w:rsidRPr="00134C91">
        <w:rPr>
          <w:lang w:eastAsia="ja-JP"/>
        </w:rPr>
        <w:t>Adalimumab (</w:t>
      </w:r>
      <w:r>
        <w:rPr>
          <w:bCs/>
          <w:lang w:eastAsia="ja-JP"/>
        </w:rPr>
        <w:t>Humira)</w:t>
      </w:r>
      <w:r w:rsidRPr="00134C91">
        <w:rPr>
          <w:lang w:eastAsia="ja-JP"/>
        </w:rPr>
        <w:t xml:space="preserve"> was designated </w:t>
      </w:r>
      <w:r w:rsidR="00F511A0">
        <w:rPr>
          <w:lang w:eastAsia="ja-JP"/>
        </w:rPr>
        <w:t xml:space="preserve">as </w:t>
      </w:r>
      <w:r w:rsidRPr="00134C91">
        <w:rPr>
          <w:lang w:eastAsia="ja-JP"/>
        </w:rPr>
        <w:t xml:space="preserve">an orphan drug in Australia for paediatric </w:t>
      </w:r>
      <w:r>
        <w:rPr>
          <w:lang w:eastAsia="ja-JP"/>
        </w:rPr>
        <w:t xml:space="preserve">Crohn’s disease in 2012, </w:t>
      </w:r>
      <w:r w:rsidR="00F511A0">
        <w:rPr>
          <w:lang w:eastAsia="ja-JP"/>
        </w:rPr>
        <w:t>followed by</w:t>
      </w:r>
      <w:r>
        <w:rPr>
          <w:lang w:eastAsia="ja-JP"/>
        </w:rPr>
        <w:t xml:space="preserve"> paediatric </w:t>
      </w:r>
      <w:proofErr w:type="spellStart"/>
      <w:r>
        <w:rPr>
          <w:lang w:eastAsia="ja-JP"/>
        </w:rPr>
        <w:t>enthesitisidiopathic</w:t>
      </w:r>
      <w:proofErr w:type="spellEnd"/>
      <w:r>
        <w:rPr>
          <w:lang w:eastAsia="ja-JP"/>
        </w:rPr>
        <w:t xml:space="preserve"> arthritis</w:t>
      </w:r>
      <w:r w:rsidRPr="00134C91">
        <w:rPr>
          <w:lang w:eastAsia="ja-JP"/>
        </w:rPr>
        <w:t>, and uveitis</w:t>
      </w:r>
      <w:r w:rsidR="00F511A0">
        <w:rPr>
          <w:lang w:eastAsia="ja-JP"/>
        </w:rPr>
        <w:t>, both in</w:t>
      </w:r>
      <w:r>
        <w:rPr>
          <w:lang w:eastAsia="ja-JP"/>
        </w:rPr>
        <w:t xml:space="preserve"> 2015</w:t>
      </w:r>
      <w:r w:rsidRPr="00134C91">
        <w:rPr>
          <w:lang w:eastAsia="ja-JP"/>
        </w:rPr>
        <w:t>.</w:t>
      </w:r>
    </w:p>
    <w:p w14:paraId="32BB7507" w14:textId="05A000A9" w:rsidR="009E2189" w:rsidRDefault="009E2189" w:rsidP="00124424">
      <w:pPr>
        <w:rPr>
          <w:lang w:eastAsia="ja-JP"/>
        </w:rPr>
      </w:pPr>
      <w:r>
        <w:rPr>
          <w:lang w:eastAsia="ja-JP"/>
        </w:rPr>
        <w:t xml:space="preserve">Table 1 (shown </w:t>
      </w:r>
      <w:r w:rsidR="00EA5967">
        <w:rPr>
          <w:lang w:eastAsia="ja-JP"/>
        </w:rPr>
        <w:t xml:space="preserve">below) gives a comparison of any drug product differences between Australian-sourced Humira to EU-approved Amsparity and Australian (proposed) </w:t>
      </w:r>
      <w:r w:rsidR="006B70B8">
        <w:t>Abrilada</w:t>
      </w:r>
      <w:r w:rsidR="00EA5967">
        <w:rPr>
          <w:lang w:eastAsia="ja-JP"/>
        </w:rPr>
        <w:t>.</w:t>
      </w:r>
    </w:p>
    <w:p w14:paraId="5C856369" w14:textId="247FFF25" w:rsidR="00485241" w:rsidRDefault="00485241" w:rsidP="00E03EA9">
      <w:pPr>
        <w:pStyle w:val="TableTitle"/>
      </w:pPr>
      <w:r>
        <w:t xml:space="preserve">Table </w:t>
      </w:r>
      <w:fldSimple w:instr=" SEQ Table \* ARABIC ">
        <w:r w:rsidR="0012232D">
          <w:rPr>
            <w:noProof/>
          </w:rPr>
          <w:t>1</w:t>
        </w:r>
      </w:fldSimple>
      <w:r>
        <w:t xml:space="preserve">: Dosage forms, </w:t>
      </w:r>
      <w:r w:rsidR="00E03EA9">
        <w:t xml:space="preserve">strengths and </w:t>
      </w:r>
      <w:r>
        <w:t xml:space="preserve">presentations </w:t>
      </w:r>
      <w:r w:rsidR="00E03EA9">
        <w:t xml:space="preserve">of </w:t>
      </w:r>
      <w:r w:rsidR="00EA5967">
        <w:t xml:space="preserve">Australian-sourced </w:t>
      </w:r>
      <w:r w:rsidR="00E03EA9">
        <w:t xml:space="preserve">Humira, </w:t>
      </w:r>
      <w:r w:rsidR="006B70B8">
        <w:t>Abrilada</w:t>
      </w:r>
      <w:r w:rsidR="00EA5967">
        <w:t xml:space="preserve"> (as proposed)</w:t>
      </w:r>
      <w:r w:rsidR="00E03EA9">
        <w:t xml:space="preserve"> and </w:t>
      </w:r>
      <w:r w:rsidR="00EA5967">
        <w:t xml:space="preserve">EU-approved </w:t>
      </w:r>
      <w:r w:rsidR="00E03EA9">
        <w:t>Amsparity</w:t>
      </w:r>
    </w:p>
    <w:tbl>
      <w:tblPr>
        <w:tblStyle w:val="TableTGAblue"/>
        <w:tblW w:w="0" w:type="auto"/>
        <w:tblLook w:val="04A0" w:firstRow="1" w:lastRow="0" w:firstColumn="1" w:lastColumn="0" w:noHBand="0" w:noVBand="1"/>
      </w:tblPr>
      <w:tblGrid>
        <w:gridCol w:w="2835"/>
        <w:gridCol w:w="2822"/>
        <w:gridCol w:w="2827"/>
      </w:tblGrid>
      <w:tr w:rsidR="00485241" w:rsidRPr="00485241" w14:paraId="43C98D26" w14:textId="77777777" w:rsidTr="00485241">
        <w:trPr>
          <w:cnfStyle w:val="100000000000" w:firstRow="1" w:lastRow="0" w:firstColumn="0" w:lastColumn="0" w:oddVBand="0" w:evenVBand="0" w:oddHBand="0" w:evenHBand="0" w:firstRowFirstColumn="0" w:firstRowLastColumn="0" w:lastRowFirstColumn="0" w:lastRowLastColumn="0"/>
        </w:trPr>
        <w:tc>
          <w:tcPr>
            <w:tcW w:w="2908" w:type="dxa"/>
          </w:tcPr>
          <w:p w14:paraId="04439322" w14:textId="77777777" w:rsidR="00485241" w:rsidRPr="00485241" w:rsidRDefault="00485241" w:rsidP="00485241">
            <w:r w:rsidRPr="00485241">
              <w:t>Humira (Australia)</w:t>
            </w:r>
          </w:p>
        </w:tc>
        <w:tc>
          <w:tcPr>
            <w:tcW w:w="2903" w:type="dxa"/>
          </w:tcPr>
          <w:p w14:paraId="2F70269E" w14:textId="478D12B4" w:rsidR="00485241" w:rsidRPr="00485241" w:rsidRDefault="006B70B8" w:rsidP="00485241">
            <w:r>
              <w:t>Abrilada</w:t>
            </w:r>
            <w:r w:rsidR="00485241" w:rsidRPr="00485241">
              <w:t xml:space="preserve"> (proposed)</w:t>
            </w:r>
          </w:p>
        </w:tc>
        <w:tc>
          <w:tcPr>
            <w:tcW w:w="2909" w:type="dxa"/>
          </w:tcPr>
          <w:p w14:paraId="7C8635C4" w14:textId="77777777" w:rsidR="00485241" w:rsidRPr="00485241" w:rsidRDefault="00485241" w:rsidP="00485241">
            <w:r w:rsidRPr="00485241">
              <w:t>Amsparity (EU)</w:t>
            </w:r>
          </w:p>
        </w:tc>
      </w:tr>
      <w:tr w:rsidR="00485241" w:rsidRPr="00485241" w14:paraId="779A8640" w14:textId="77777777" w:rsidTr="00485241">
        <w:tc>
          <w:tcPr>
            <w:tcW w:w="2908" w:type="dxa"/>
          </w:tcPr>
          <w:p w14:paraId="2638C8D7" w14:textId="77777777" w:rsidR="00485241" w:rsidRPr="00485241" w:rsidRDefault="00485241" w:rsidP="00485241">
            <w:r>
              <w:t>80 mg per 0.8 mL (100 </w:t>
            </w:r>
            <w:r w:rsidRPr="00485241">
              <w:t>mg/mL) solution for injection in PFS</w:t>
            </w:r>
            <w:r>
              <w:t xml:space="preserve"> and</w:t>
            </w:r>
            <w:r w:rsidRPr="00485241">
              <w:t xml:space="preserve"> PFP</w:t>
            </w:r>
          </w:p>
        </w:tc>
        <w:tc>
          <w:tcPr>
            <w:tcW w:w="2903" w:type="dxa"/>
          </w:tcPr>
          <w:p w14:paraId="6B7DB85E" w14:textId="77777777" w:rsidR="00485241" w:rsidRPr="00485241" w:rsidRDefault="00485241" w:rsidP="00485241"/>
        </w:tc>
        <w:tc>
          <w:tcPr>
            <w:tcW w:w="2909" w:type="dxa"/>
          </w:tcPr>
          <w:p w14:paraId="5116ED4D" w14:textId="77777777" w:rsidR="00485241" w:rsidRPr="00485241" w:rsidRDefault="00485241" w:rsidP="00485241"/>
        </w:tc>
      </w:tr>
      <w:tr w:rsidR="00485241" w:rsidRPr="00485241" w14:paraId="32D8C4E0" w14:textId="77777777" w:rsidTr="00485241">
        <w:tc>
          <w:tcPr>
            <w:tcW w:w="2908" w:type="dxa"/>
          </w:tcPr>
          <w:p w14:paraId="7E1D38F0" w14:textId="77777777" w:rsidR="00485241" w:rsidRPr="00485241" w:rsidRDefault="00485241" w:rsidP="00485241">
            <w:r w:rsidRPr="00485241">
              <w:t xml:space="preserve">40 mg per </w:t>
            </w:r>
            <w:r>
              <w:t>0.8 mL (50 </w:t>
            </w:r>
            <w:r w:rsidRPr="00485241">
              <w:t>mg/mL)</w:t>
            </w:r>
            <w:r>
              <w:t xml:space="preserve"> solution for injection in PFS and</w:t>
            </w:r>
            <w:r w:rsidRPr="00485241">
              <w:t xml:space="preserve"> PFP</w:t>
            </w:r>
          </w:p>
        </w:tc>
        <w:tc>
          <w:tcPr>
            <w:tcW w:w="2903" w:type="dxa"/>
          </w:tcPr>
          <w:p w14:paraId="421E3A69" w14:textId="77777777" w:rsidR="00485241" w:rsidRPr="00485241" w:rsidRDefault="00485241" w:rsidP="00485241">
            <w:r>
              <w:t>40 mg per 0.8 mL (50 </w:t>
            </w:r>
            <w:r w:rsidRPr="00485241">
              <w:t xml:space="preserve">mg/mL) solution for injection in vial, </w:t>
            </w:r>
            <w:r>
              <w:t>PFS and</w:t>
            </w:r>
            <w:r w:rsidRPr="00485241">
              <w:t xml:space="preserve"> PFP</w:t>
            </w:r>
          </w:p>
        </w:tc>
        <w:tc>
          <w:tcPr>
            <w:tcW w:w="2909" w:type="dxa"/>
          </w:tcPr>
          <w:p w14:paraId="1CB3A54A" w14:textId="77777777" w:rsidR="00485241" w:rsidRPr="00485241" w:rsidRDefault="00485241" w:rsidP="00485241">
            <w:r>
              <w:t>40 mg per 0.8 mL (50 </w:t>
            </w:r>
            <w:r w:rsidRPr="00485241">
              <w:t xml:space="preserve">mg/mL) solution for injection in vial, </w:t>
            </w:r>
            <w:r>
              <w:t>PFS and</w:t>
            </w:r>
            <w:r w:rsidRPr="00485241">
              <w:t xml:space="preserve"> PFP</w:t>
            </w:r>
          </w:p>
        </w:tc>
      </w:tr>
      <w:tr w:rsidR="00485241" w:rsidRPr="00485241" w14:paraId="59F220AB" w14:textId="77777777" w:rsidTr="00485241">
        <w:tc>
          <w:tcPr>
            <w:tcW w:w="2908" w:type="dxa"/>
          </w:tcPr>
          <w:p w14:paraId="410599AB" w14:textId="77777777" w:rsidR="00485241" w:rsidRPr="00485241" w:rsidRDefault="00485241" w:rsidP="00485241">
            <w:r>
              <w:t>40 mg per 0.4 mL (100 </w:t>
            </w:r>
            <w:r w:rsidRPr="00485241">
              <w:t xml:space="preserve">mg/mL) solution for injection </w:t>
            </w:r>
            <w:r>
              <w:t>in PFS and</w:t>
            </w:r>
            <w:r w:rsidRPr="00485241">
              <w:t xml:space="preserve"> PFP</w:t>
            </w:r>
          </w:p>
        </w:tc>
        <w:tc>
          <w:tcPr>
            <w:tcW w:w="2903" w:type="dxa"/>
          </w:tcPr>
          <w:p w14:paraId="0EE51C3A" w14:textId="77777777" w:rsidR="00485241" w:rsidRPr="00485241" w:rsidRDefault="00485241" w:rsidP="00485241"/>
        </w:tc>
        <w:tc>
          <w:tcPr>
            <w:tcW w:w="2909" w:type="dxa"/>
          </w:tcPr>
          <w:p w14:paraId="06788E27" w14:textId="77777777" w:rsidR="00485241" w:rsidRPr="00485241" w:rsidRDefault="00485241" w:rsidP="00485241"/>
        </w:tc>
      </w:tr>
      <w:tr w:rsidR="00485241" w:rsidRPr="00485241" w14:paraId="238039AF" w14:textId="77777777" w:rsidTr="00485241">
        <w:tc>
          <w:tcPr>
            <w:tcW w:w="2908" w:type="dxa"/>
          </w:tcPr>
          <w:p w14:paraId="38DC2A4C" w14:textId="77777777" w:rsidR="00485241" w:rsidRPr="00485241" w:rsidRDefault="00485241" w:rsidP="00485241">
            <w:r>
              <w:t>20 mg per 0.4 mL (50 </w:t>
            </w:r>
            <w:r w:rsidRPr="00485241">
              <w:t>mg/mL) solution for injection in PFS</w:t>
            </w:r>
          </w:p>
        </w:tc>
        <w:tc>
          <w:tcPr>
            <w:tcW w:w="2903" w:type="dxa"/>
          </w:tcPr>
          <w:p w14:paraId="714F67D8" w14:textId="77777777" w:rsidR="00485241" w:rsidRPr="00485241" w:rsidRDefault="00485241" w:rsidP="00485241">
            <w:r>
              <w:t>20 mg per 0.4 mL (50 </w:t>
            </w:r>
            <w:r w:rsidRPr="00485241">
              <w:t>mg/mL) solution for injection in PFS</w:t>
            </w:r>
          </w:p>
        </w:tc>
        <w:tc>
          <w:tcPr>
            <w:tcW w:w="2909" w:type="dxa"/>
          </w:tcPr>
          <w:p w14:paraId="0E4FB931" w14:textId="77777777" w:rsidR="00485241" w:rsidRPr="00485241" w:rsidRDefault="00485241" w:rsidP="00485241">
            <w:r>
              <w:t>20 mg per 0.4 mL (50 </w:t>
            </w:r>
            <w:r w:rsidRPr="00485241">
              <w:t>mg/mL) solution for injection in PFS</w:t>
            </w:r>
          </w:p>
        </w:tc>
      </w:tr>
      <w:tr w:rsidR="00485241" w:rsidRPr="00485241" w14:paraId="42FB5131" w14:textId="77777777" w:rsidTr="00485241">
        <w:tc>
          <w:tcPr>
            <w:tcW w:w="2908" w:type="dxa"/>
          </w:tcPr>
          <w:p w14:paraId="0931C0D9" w14:textId="77777777" w:rsidR="00485241" w:rsidRPr="00485241" w:rsidRDefault="00485241" w:rsidP="00485241">
            <w:r w:rsidRPr="00485241">
              <w:t>20 mg per 0.2 mL (100</w:t>
            </w:r>
            <w:r>
              <w:t> </w:t>
            </w:r>
            <w:r w:rsidRPr="00485241">
              <w:t>mg/mL) solution for injection in PFS</w:t>
            </w:r>
          </w:p>
        </w:tc>
        <w:tc>
          <w:tcPr>
            <w:tcW w:w="2903" w:type="dxa"/>
          </w:tcPr>
          <w:p w14:paraId="54C0093E" w14:textId="77777777" w:rsidR="00485241" w:rsidRPr="00485241" w:rsidRDefault="00485241" w:rsidP="00485241"/>
        </w:tc>
        <w:tc>
          <w:tcPr>
            <w:tcW w:w="2909" w:type="dxa"/>
          </w:tcPr>
          <w:p w14:paraId="662F6324" w14:textId="77777777" w:rsidR="00485241" w:rsidRPr="00485241" w:rsidRDefault="00485241" w:rsidP="00485241"/>
        </w:tc>
      </w:tr>
    </w:tbl>
    <w:p w14:paraId="3E669AF8" w14:textId="77777777" w:rsidR="00485241" w:rsidRDefault="00E03EA9" w:rsidP="00E03EA9">
      <w:pPr>
        <w:pStyle w:val="TableDescription"/>
        <w:rPr>
          <w:lang w:eastAsia="ja-JP"/>
        </w:rPr>
      </w:pPr>
      <w:r>
        <w:rPr>
          <w:lang w:eastAsia="ja-JP"/>
        </w:rPr>
        <w:t>Note: Not all presentations may be marketed.</w:t>
      </w:r>
    </w:p>
    <w:p w14:paraId="0153F197" w14:textId="77777777" w:rsidR="00E03EA9" w:rsidRDefault="005C2D66" w:rsidP="00E03EA9">
      <w:pPr>
        <w:pStyle w:val="TableDescription"/>
        <w:rPr>
          <w:lang w:eastAsia="ja-JP"/>
        </w:rPr>
      </w:pPr>
      <w:r>
        <w:rPr>
          <w:lang w:eastAsia="ja-JP"/>
        </w:rPr>
        <w:t>EU = European Union; PFS = prefilled syringe; PFP = pre</w:t>
      </w:r>
      <w:r w:rsidR="00E03EA9">
        <w:rPr>
          <w:lang w:eastAsia="ja-JP"/>
        </w:rPr>
        <w:t>filled pen.</w:t>
      </w:r>
    </w:p>
    <w:p w14:paraId="0C67EB00" w14:textId="77777777" w:rsidR="00E03EA9" w:rsidRDefault="007B2E9C" w:rsidP="007B2E9C">
      <w:pPr>
        <w:pStyle w:val="Heading4"/>
      </w:pPr>
      <w:r>
        <w:t>Overseas regulatory status</w:t>
      </w:r>
    </w:p>
    <w:p w14:paraId="09AF1ADF" w14:textId="77777777" w:rsidR="007B2E9C" w:rsidRDefault="007B2E9C" w:rsidP="007B2E9C">
      <w:r>
        <w:t>Table 2 (shown below) gives a summary of similar submissions for Abrilada (adalimumab), also known as Amsparity in some jurisdictions (including the EU).</w:t>
      </w:r>
    </w:p>
    <w:p w14:paraId="1DA6A103" w14:textId="77777777" w:rsidR="007B2E9C" w:rsidRDefault="007B2E9C" w:rsidP="007B2E9C">
      <w:r>
        <w:t>Note that in the EU, Amsparity (adalimumab) is approved for all the same</w:t>
      </w:r>
      <w:r w:rsidR="009E2189">
        <w:t xml:space="preserve"> EMA-approved</w:t>
      </w:r>
      <w:r>
        <w:t xml:space="preserve"> indications currently approved for Humira (adalimumab) in the EU. The same is also true for Abrilada (adalimumab) in Canada, with all indications approved for Humira (adalimumab) also being approved for Abrilada.</w:t>
      </w:r>
    </w:p>
    <w:p w14:paraId="1C7BB091" w14:textId="0B87A1B9" w:rsidR="009E2189" w:rsidRPr="009E2189" w:rsidRDefault="009E2189" w:rsidP="009E2189">
      <w:r w:rsidRPr="009E2189">
        <w:t>Whilst the indications for Humira (adalimumab) are broadly the same as those approved by the EMA, note that neither Axial spondyloarthritis without radiographic evidence of ankylosing spondylitis nor juvenile uveitis are current indications for Hum</w:t>
      </w:r>
      <w:r w:rsidR="00C67438">
        <w:t>i</w:t>
      </w:r>
      <w:r w:rsidRPr="009E2189">
        <w:t>ra (adalimumab) and the sponsor has not proposed to add these conditions to the proposed indications of Abrilada (adalimumab) in this submission.</w:t>
      </w:r>
    </w:p>
    <w:p w14:paraId="50317CE9" w14:textId="77777777" w:rsidR="007B2E9C" w:rsidRPr="007B2E9C" w:rsidRDefault="007B2E9C" w:rsidP="007B2E9C">
      <w:r>
        <w:t xml:space="preserve">In the USA, </w:t>
      </w:r>
      <w:r w:rsidR="009E2189">
        <w:t xml:space="preserve">at the time of submission, </w:t>
      </w:r>
      <w:r>
        <w:t>all indications approved for Abrilada (adalimumab) are the same</w:t>
      </w:r>
      <w:r w:rsidR="009E2189">
        <w:t xml:space="preserve"> as for Humira (adalimumab) with the exception of h</w:t>
      </w:r>
      <w:r w:rsidR="009E2189" w:rsidRPr="009E2189">
        <w:t>idradenitis suppurativa</w:t>
      </w:r>
      <w:r w:rsidR="009E2189">
        <w:t xml:space="preserve"> and uveitis, and none of the</w:t>
      </w:r>
      <w:r w:rsidR="009E2189">
        <w:rPr>
          <w:b/>
        </w:rPr>
        <w:t xml:space="preserve"> </w:t>
      </w:r>
      <w:r w:rsidR="009E2189" w:rsidRPr="00244EFA">
        <w:t>paediatric indications</w:t>
      </w:r>
      <w:r w:rsidR="009E2189">
        <w:t xml:space="preserve"> approved for Humira (adalimumab) were </w:t>
      </w:r>
      <w:r w:rsidR="009E2189" w:rsidRPr="00244EFA">
        <w:t>approved</w:t>
      </w:r>
      <w:r w:rsidR="009E2189">
        <w:t xml:space="preserve"> for Abrilada (adalimumab) at the time of submission</w:t>
      </w:r>
      <w:r w:rsidR="009E2189" w:rsidRPr="00244EFA">
        <w:t>.</w:t>
      </w:r>
    </w:p>
    <w:p w14:paraId="1591CAC1" w14:textId="58A5A007" w:rsidR="00E03EA9" w:rsidRDefault="00E03EA9" w:rsidP="00E03EA9">
      <w:pPr>
        <w:pStyle w:val="TableTitle"/>
      </w:pPr>
      <w:r>
        <w:t xml:space="preserve">Table </w:t>
      </w:r>
      <w:fldSimple w:instr=" SEQ Table \* ARABIC ">
        <w:r w:rsidR="0012232D">
          <w:rPr>
            <w:noProof/>
          </w:rPr>
          <w:t>2</w:t>
        </w:r>
      </w:fldSimple>
      <w:r>
        <w:t>: International regulatory status</w:t>
      </w:r>
    </w:p>
    <w:tbl>
      <w:tblPr>
        <w:tblStyle w:val="TableTGAblue"/>
        <w:tblW w:w="0" w:type="auto"/>
        <w:tblLayout w:type="fixed"/>
        <w:tblLook w:val="04A0" w:firstRow="1" w:lastRow="0" w:firstColumn="1" w:lastColumn="0" w:noHBand="0" w:noVBand="1"/>
      </w:tblPr>
      <w:tblGrid>
        <w:gridCol w:w="1790"/>
        <w:gridCol w:w="1800"/>
        <w:gridCol w:w="1890"/>
        <w:gridCol w:w="3004"/>
      </w:tblGrid>
      <w:tr w:rsidR="007B2E9C" w14:paraId="7B8434E2" w14:textId="77777777" w:rsidTr="00704FEB">
        <w:trPr>
          <w:cnfStyle w:val="100000000000" w:firstRow="1" w:lastRow="0" w:firstColumn="0" w:lastColumn="0" w:oddVBand="0" w:evenVBand="0" w:oddHBand="0" w:evenHBand="0" w:firstRowFirstColumn="0" w:firstRowLastColumn="0" w:lastRowFirstColumn="0" w:lastRowLastColumn="0"/>
        </w:trPr>
        <w:tc>
          <w:tcPr>
            <w:tcW w:w="1790" w:type="dxa"/>
          </w:tcPr>
          <w:p w14:paraId="151C10A7" w14:textId="77777777" w:rsidR="00E03EA9" w:rsidRDefault="00E03EA9" w:rsidP="00704FEB">
            <w:pPr>
              <w:ind w:left="0"/>
              <w:rPr>
                <w:lang w:eastAsia="ja-JP"/>
              </w:rPr>
            </w:pPr>
            <w:r>
              <w:rPr>
                <w:lang w:eastAsia="ja-JP"/>
              </w:rPr>
              <w:t>Country / region</w:t>
            </w:r>
          </w:p>
        </w:tc>
        <w:tc>
          <w:tcPr>
            <w:tcW w:w="1800" w:type="dxa"/>
          </w:tcPr>
          <w:p w14:paraId="70B79588" w14:textId="77777777" w:rsidR="00E03EA9" w:rsidRDefault="00E03EA9" w:rsidP="00704FEB">
            <w:pPr>
              <w:ind w:left="0"/>
              <w:rPr>
                <w:lang w:eastAsia="ja-JP"/>
              </w:rPr>
            </w:pPr>
            <w:r>
              <w:rPr>
                <w:lang w:eastAsia="ja-JP"/>
              </w:rPr>
              <w:t>Submission date</w:t>
            </w:r>
          </w:p>
        </w:tc>
        <w:tc>
          <w:tcPr>
            <w:tcW w:w="1890" w:type="dxa"/>
          </w:tcPr>
          <w:p w14:paraId="4DF06B75" w14:textId="77777777" w:rsidR="00E03EA9" w:rsidRDefault="00E03EA9" w:rsidP="00704FEB">
            <w:pPr>
              <w:ind w:left="0"/>
              <w:rPr>
                <w:lang w:eastAsia="ja-JP"/>
              </w:rPr>
            </w:pPr>
            <w:r>
              <w:rPr>
                <w:lang w:eastAsia="ja-JP"/>
              </w:rPr>
              <w:t>Status</w:t>
            </w:r>
          </w:p>
        </w:tc>
        <w:tc>
          <w:tcPr>
            <w:tcW w:w="3004" w:type="dxa"/>
          </w:tcPr>
          <w:p w14:paraId="1B573475" w14:textId="77777777" w:rsidR="00E03EA9" w:rsidRDefault="00E03EA9" w:rsidP="00704FEB">
            <w:pPr>
              <w:ind w:left="0"/>
              <w:rPr>
                <w:lang w:eastAsia="ja-JP"/>
              </w:rPr>
            </w:pPr>
            <w:r>
              <w:rPr>
                <w:lang w:eastAsia="ja-JP"/>
              </w:rPr>
              <w:t>Indications (approved or proposed)</w:t>
            </w:r>
          </w:p>
        </w:tc>
      </w:tr>
      <w:tr w:rsidR="007B2E9C" w14:paraId="0328CCAD" w14:textId="77777777" w:rsidTr="00704FEB">
        <w:tc>
          <w:tcPr>
            <w:tcW w:w="1790" w:type="dxa"/>
          </w:tcPr>
          <w:p w14:paraId="19EDADC7" w14:textId="77777777" w:rsidR="00E03EA9" w:rsidRDefault="00E03EA9" w:rsidP="00704FEB">
            <w:pPr>
              <w:ind w:left="0" w:right="0"/>
              <w:rPr>
                <w:lang w:eastAsia="ja-JP"/>
              </w:rPr>
            </w:pPr>
            <w:r w:rsidRPr="007A521A">
              <w:rPr>
                <w:lang w:eastAsia="ja-JP"/>
              </w:rPr>
              <w:t>European</w:t>
            </w:r>
            <w:r>
              <w:rPr>
                <w:lang w:eastAsia="ja-JP"/>
              </w:rPr>
              <w:t xml:space="preserve"> </w:t>
            </w:r>
            <w:r w:rsidRPr="007A521A">
              <w:rPr>
                <w:lang w:eastAsia="ja-JP"/>
              </w:rPr>
              <w:t>Union</w:t>
            </w:r>
            <w:r>
              <w:rPr>
                <w:lang w:eastAsia="ja-JP"/>
              </w:rPr>
              <w:t xml:space="preserve"> </w:t>
            </w:r>
            <w:r w:rsidRPr="007A521A">
              <w:rPr>
                <w:lang w:eastAsia="ja-JP"/>
              </w:rPr>
              <w:t>(Centralised</w:t>
            </w:r>
            <w:r>
              <w:rPr>
                <w:lang w:eastAsia="ja-JP"/>
              </w:rPr>
              <w:t xml:space="preserve"> </w:t>
            </w:r>
            <w:r w:rsidRPr="007A521A">
              <w:rPr>
                <w:lang w:eastAsia="ja-JP"/>
              </w:rPr>
              <w:t>procedure)</w:t>
            </w:r>
          </w:p>
        </w:tc>
        <w:tc>
          <w:tcPr>
            <w:tcW w:w="1800" w:type="dxa"/>
          </w:tcPr>
          <w:p w14:paraId="4E305F84" w14:textId="1D85F7B2" w:rsidR="00E03EA9" w:rsidRDefault="00AB0B17" w:rsidP="00704FEB">
            <w:pPr>
              <w:ind w:left="0" w:right="0"/>
              <w:rPr>
                <w:lang w:eastAsia="ja-JP"/>
              </w:rPr>
            </w:pPr>
            <w:r>
              <w:rPr>
                <w:lang w:eastAsia="ja-JP"/>
              </w:rPr>
              <w:t>November 2018</w:t>
            </w:r>
          </w:p>
        </w:tc>
        <w:tc>
          <w:tcPr>
            <w:tcW w:w="1890" w:type="dxa"/>
          </w:tcPr>
          <w:p w14:paraId="30CD3BF2" w14:textId="3EF7B1BE" w:rsidR="00E03EA9" w:rsidRDefault="00E03EA9" w:rsidP="00704FEB">
            <w:pPr>
              <w:ind w:left="0" w:right="0"/>
              <w:rPr>
                <w:lang w:eastAsia="ja-JP"/>
              </w:rPr>
            </w:pPr>
            <w:r w:rsidRPr="003B078E">
              <w:rPr>
                <w:lang w:eastAsia="ja-JP"/>
              </w:rPr>
              <w:t>Approved</w:t>
            </w:r>
            <w:r w:rsidR="00815A54">
              <w:rPr>
                <w:lang w:eastAsia="ja-JP"/>
              </w:rPr>
              <w:t>:</w:t>
            </w:r>
            <w:r>
              <w:rPr>
                <w:lang w:eastAsia="ja-JP"/>
              </w:rPr>
              <w:t xml:space="preserve"> </w:t>
            </w:r>
            <w:r w:rsidRPr="003B078E">
              <w:rPr>
                <w:lang w:eastAsia="ja-JP"/>
              </w:rPr>
              <w:t>February</w:t>
            </w:r>
            <w:r>
              <w:rPr>
                <w:lang w:eastAsia="ja-JP"/>
              </w:rPr>
              <w:t xml:space="preserve"> </w:t>
            </w:r>
            <w:r w:rsidRPr="003B078E">
              <w:rPr>
                <w:lang w:eastAsia="ja-JP"/>
              </w:rPr>
              <w:t>2020</w:t>
            </w:r>
          </w:p>
        </w:tc>
        <w:tc>
          <w:tcPr>
            <w:tcW w:w="3004" w:type="dxa"/>
          </w:tcPr>
          <w:p w14:paraId="4C818975" w14:textId="77777777" w:rsidR="005C2D66" w:rsidRPr="007B2E9C" w:rsidRDefault="005C2D66" w:rsidP="00704FEB">
            <w:pPr>
              <w:ind w:left="0" w:right="0"/>
              <w:rPr>
                <w:i/>
                <w:lang w:eastAsia="ja-JP"/>
              </w:rPr>
            </w:pPr>
            <w:r w:rsidRPr="007B2E9C">
              <w:rPr>
                <w:i/>
                <w:lang w:eastAsia="ja-JP"/>
              </w:rPr>
              <w:t>Rheumatoid arthritis</w:t>
            </w:r>
          </w:p>
          <w:p w14:paraId="20831F7A" w14:textId="77777777" w:rsidR="005C2D66" w:rsidRPr="007B2E9C" w:rsidRDefault="005C2D66" w:rsidP="00704FEB">
            <w:pPr>
              <w:ind w:left="0" w:right="0"/>
              <w:rPr>
                <w:i/>
                <w:lang w:eastAsia="ja-JP"/>
              </w:rPr>
            </w:pPr>
            <w:r w:rsidRPr="007B2E9C">
              <w:rPr>
                <w:i/>
                <w:lang w:eastAsia="ja-JP"/>
              </w:rPr>
              <w:t>Juvenile idiopathic arthritis</w:t>
            </w:r>
            <w:r w:rsidR="00E03EA9" w:rsidRPr="007B2E9C">
              <w:rPr>
                <w:i/>
                <w:lang w:eastAsia="ja-JP"/>
              </w:rPr>
              <w:t xml:space="preserve"> (</w:t>
            </w:r>
            <w:r w:rsidRPr="007B2E9C">
              <w:rPr>
                <w:i/>
                <w:lang w:eastAsia="ja-JP"/>
              </w:rPr>
              <w:t xml:space="preserve">paediatric juvenile idiopathic arthritis; </w:t>
            </w:r>
            <w:proofErr w:type="spellStart"/>
            <w:r w:rsidRPr="007B2E9C">
              <w:rPr>
                <w:i/>
                <w:lang w:eastAsia="ja-JP"/>
              </w:rPr>
              <w:t>e</w:t>
            </w:r>
            <w:r w:rsidR="007B2E9C">
              <w:rPr>
                <w:i/>
                <w:lang w:eastAsia="ja-JP"/>
              </w:rPr>
              <w:t>n</w:t>
            </w:r>
            <w:r w:rsidRPr="007B2E9C">
              <w:rPr>
                <w:i/>
                <w:lang w:eastAsia="ja-JP"/>
              </w:rPr>
              <w:t>thes</w:t>
            </w:r>
            <w:r w:rsidR="00EA5967">
              <w:rPr>
                <w:i/>
                <w:lang w:eastAsia="ja-JP"/>
              </w:rPr>
              <w:t>it</w:t>
            </w:r>
            <w:r w:rsidRPr="007B2E9C">
              <w:rPr>
                <w:i/>
                <w:lang w:eastAsia="ja-JP"/>
              </w:rPr>
              <w:t>is</w:t>
            </w:r>
            <w:proofErr w:type="spellEnd"/>
            <w:r w:rsidRPr="007B2E9C">
              <w:rPr>
                <w:i/>
                <w:lang w:eastAsia="ja-JP"/>
              </w:rPr>
              <w:t xml:space="preserve"> idiopathic arthritis)</w:t>
            </w:r>
          </w:p>
          <w:p w14:paraId="615B5A38" w14:textId="77777777" w:rsidR="005C2D66" w:rsidRPr="007B2E9C" w:rsidRDefault="005C2D66" w:rsidP="00704FEB">
            <w:pPr>
              <w:ind w:left="0" w:right="0"/>
              <w:rPr>
                <w:i/>
                <w:lang w:eastAsia="ja-JP"/>
              </w:rPr>
            </w:pPr>
            <w:r w:rsidRPr="007B2E9C">
              <w:rPr>
                <w:i/>
                <w:lang w:eastAsia="ja-JP"/>
              </w:rPr>
              <w:t>Ankylosing spondylitis</w:t>
            </w:r>
          </w:p>
          <w:p w14:paraId="08A0FA74" w14:textId="77777777" w:rsidR="005C2D66" w:rsidRPr="007B2E9C" w:rsidRDefault="005C2D66" w:rsidP="00704FEB">
            <w:pPr>
              <w:ind w:left="0" w:right="0"/>
              <w:rPr>
                <w:i/>
                <w:iCs/>
                <w:lang w:eastAsia="ja-JP"/>
              </w:rPr>
            </w:pPr>
            <w:r w:rsidRPr="007B2E9C">
              <w:rPr>
                <w:i/>
                <w:lang w:eastAsia="ja-JP"/>
              </w:rPr>
              <w:t>A</w:t>
            </w:r>
            <w:r w:rsidR="00E03EA9" w:rsidRPr="007B2E9C">
              <w:rPr>
                <w:i/>
                <w:lang w:eastAsia="ja-JP"/>
              </w:rPr>
              <w:t xml:space="preserve">xial </w:t>
            </w:r>
            <w:r w:rsidR="00E03EA9" w:rsidRPr="007B2E9C">
              <w:rPr>
                <w:i/>
                <w:iCs/>
                <w:lang w:eastAsia="ja-JP"/>
              </w:rPr>
              <w:t>spondyloarthritis wit</w:t>
            </w:r>
            <w:r w:rsidRPr="007B2E9C">
              <w:rPr>
                <w:i/>
                <w:iCs/>
                <w:lang w:eastAsia="ja-JP"/>
              </w:rPr>
              <w:t>hout radiographic evidence of ankylosing spondylitis</w:t>
            </w:r>
          </w:p>
          <w:p w14:paraId="22B4DB08" w14:textId="77777777" w:rsidR="005C2D66" w:rsidRPr="007B2E9C" w:rsidRDefault="005C2D66" w:rsidP="00704FEB">
            <w:pPr>
              <w:ind w:left="0" w:right="0"/>
              <w:rPr>
                <w:i/>
                <w:iCs/>
                <w:lang w:eastAsia="ja-JP"/>
              </w:rPr>
            </w:pPr>
            <w:r w:rsidRPr="007B2E9C">
              <w:rPr>
                <w:i/>
                <w:iCs/>
                <w:lang w:eastAsia="ja-JP"/>
              </w:rPr>
              <w:t>Psoriatic arthritis</w:t>
            </w:r>
          </w:p>
          <w:p w14:paraId="0F437FCD" w14:textId="77777777" w:rsidR="005C2D66" w:rsidRPr="007B2E9C" w:rsidRDefault="005C2D66" w:rsidP="00704FEB">
            <w:pPr>
              <w:ind w:left="0" w:right="0"/>
              <w:rPr>
                <w:i/>
                <w:iCs/>
                <w:lang w:eastAsia="ja-JP"/>
              </w:rPr>
            </w:pPr>
            <w:r w:rsidRPr="007B2E9C">
              <w:rPr>
                <w:i/>
                <w:iCs/>
                <w:lang w:eastAsia="ja-JP"/>
              </w:rPr>
              <w:t>Psoriasis</w:t>
            </w:r>
          </w:p>
          <w:p w14:paraId="2B8A904C" w14:textId="77777777" w:rsidR="005C2D66" w:rsidRPr="007B2E9C" w:rsidRDefault="00E03EA9" w:rsidP="00704FEB">
            <w:pPr>
              <w:ind w:left="0" w:right="0"/>
              <w:rPr>
                <w:i/>
                <w:iCs/>
                <w:lang w:eastAsia="ja-JP"/>
              </w:rPr>
            </w:pPr>
            <w:r w:rsidRPr="007B2E9C">
              <w:rPr>
                <w:i/>
                <w:iCs/>
                <w:lang w:eastAsia="ja-JP"/>
              </w:rPr>
              <w:t xml:space="preserve">Paediatric plaque </w:t>
            </w:r>
            <w:r w:rsidR="005C2D66" w:rsidRPr="007B2E9C">
              <w:rPr>
                <w:i/>
                <w:iCs/>
                <w:lang w:eastAsia="ja-JP"/>
              </w:rPr>
              <w:t>psoriasis</w:t>
            </w:r>
          </w:p>
          <w:p w14:paraId="7DCE8F9E" w14:textId="77777777" w:rsidR="005C2D66" w:rsidRPr="007B2E9C" w:rsidRDefault="005C2D66" w:rsidP="00704FEB">
            <w:pPr>
              <w:ind w:left="0" w:right="0"/>
              <w:rPr>
                <w:i/>
                <w:iCs/>
                <w:lang w:eastAsia="ja-JP"/>
              </w:rPr>
            </w:pPr>
            <w:r w:rsidRPr="007B2E9C">
              <w:rPr>
                <w:i/>
              </w:rPr>
              <w:t>Hidradenitis suppurativa</w:t>
            </w:r>
          </w:p>
          <w:p w14:paraId="7868A2B2" w14:textId="77777777" w:rsidR="005C2D66" w:rsidRPr="007B2E9C" w:rsidRDefault="005C2D66" w:rsidP="00704FEB">
            <w:pPr>
              <w:ind w:left="0" w:right="0"/>
              <w:rPr>
                <w:i/>
                <w:iCs/>
                <w:lang w:eastAsia="ja-JP"/>
              </w:rPr>
            </w:pPr>
            <w:r w:rsidRPr="007B2E9C">
              <w:rPr>
                <w:i/>
                <w:iCs/>
                <w:lang w:eastAsia="ja-JP"/>
              </w:rPr>
              <w:t>Crohn’s disease (adult and paediatric)</w:t>
            </w:r>
          </w:p>
          <w:p w14:paraId="61368212" w14:textId="77777777" w:rsidR="00E03EA9" w:rsidRPr="007B2E9C" w:rsidRDefault="005C2D66" w:rsidP="00704FEB">
            <w:pPr>
              <w:ind w:left="0" w:right="0"/>
              <w:rPr>
                <w:rFonts w:ascii="TimesNewRomanPSMT" w:eastAsiaTheme="minorHAnsi" w:hAnsi="TimesNewRomanPSMT" w:cs="TimesNewRomanPSMT"/>
                <w:i/>
                <w:color w:val="auto"/>
                <w:sz w:val="20"/>
                <w:szCs w:val="20"/>
                <w:lang w:eastAsia="en-US"/>
              </w:rPr>
            </w:pPr>
            <w:r w:rsidRPr="007B2E9C">
              <w:rPr>
                <w:i/>
                <w:iCs/>
                <w:lang w:eastAsia="ja-JP"/>
              </w:rPr>
              <w:t>U</w:t>
            </w:r>
            <w:r w:rsidR="00E03EA9" w:rsidRPr="007B2E9C">
              <w:rPr>
                <w:i/>
                <w:iCs/>
                <w:lang w:eastAsia="ja-JP"/>
              </w:rPr>
              <w:t>veitis (adult and paediatric).</w:t>
            </w:r>
          </w:p>
        </w:tc>
      </w:tr>
      <w:tr w:rsidR="007B2E9C" w14:paraId="4E22545F" w14:textId="77777777" w:rsidTr="00704FEB">
        <w:tc>
          <w:tcPr>
            <w:tcW w:w="1790" w:type="dxa"/>
          </w:tcPr>
          <w:p w14:paraId="4F40BE0C" w14:textId="77777777" w:rsidR="00E03EA9" w:rsidRDefault="00E03EA9" w:rsidP="00704FEB">
            <w:pPr>
              <w:ind w:left="0" w:right="0"/>
              <w:rPr>
                <w:lang w:eastAsia="ja-JP"/>
              </w:rPr>
            </w:pPr>
            <w:r w:rsidRPr="003B078E">
              <w:rPr>
                <w:lang w:eastAsia="ja-JP"/>
              </w:rPr>
              <w:t>United States of</w:t>
            </w:r>
            <w:r>
              <w:rPr>
                <w:lang w:eastAsia="ja-JP"/>
              </w:rPr>
              <w:t xml:space="preserve"> </w:t>
            </w:r>
            <w:r w:rsidRPr="003B078E">
              <w:rPr>
                <w:lang w:eastAsia="ja-JP"/>
              </w:rPr>
              <w:t>America</w:t>
            </w:r>
          </w:p>
        </w:tc>
        <w:tc>
          <w:tcPr>
            <w:tcW w:w="1800" w:type="dxa"/>
          </w:tcPr>
          <w:p w14:paraId="01C7AADB" w14:textId="1C84480F" w:rsidR="00E03EA9" w:rsidRDefault="00AB0B17" w:rsidP="00704FEB">
            <w:pPr>
              <w:ind w:left="0" w:right="0"/>
              <w:rPr>
                <w:lang w:eastAsia="ja-JP"/>
              </w:rPr>
            </w:pPr>
            <w:r>
              <w:rPr>
                <w:lang w:eastAsia="ja-JP"/>
              </w:rPr>
              <w:t>November 2018</w:t>
            </w:r>
          </w:p>
        </w:tc>
        <w:tc>
          <w:tcPr>
            <w:tcW w:w="1890" w:type="dxa"/>
          </w:tcPr>
          <w:p w14:paraId="63F24B87" w14:textId="698684C3" w:rsidR="00E03EA9" w:rsidRDefault="00E03EA9" w:rsidP="00704FEB">
            <w:pPr>
              <w:ind w:left="0" w:right="0"/>
              <w:rPr>
                <w:lang w:eastAsia="ja-JP"/>
              </w:rPr>
            </w:pPr>
            <w:r w:rsidRPr="003B078E">
              <w:rPr>
                <w:lang w:eastAsia="ja-JP"/>
              </w:rPr>
              <w:t>Approved</w:t>
            </w:r>
            <w:r w:rsidR="00815A54">
              <w:rPr>
                <w:lang w:eastAsia="ja-JP"/>
              </w:rPr>
              <w:t>:</w:t>
            </w:r>
            <w:r>
              <w:rPr>
                <w:lang w:eastAsia="ja-JP"/>
              </w:rPr>
              <w:t xml:space="preserve"> </w:t>
            </w:r>
            <w:r w:rsidRPr="003B078E">
              <w:rPr>
                <w:lang w:eastAsia="ja-JP"/>
              </w:rPr>
              <w:t>November</w:t>
            </w:r>
            <w:r>
              <w:rPr>
                <w:lang w:eastAsia="ja-JP"/>
              </w:rPr>
              <w:t xml:space="preserve"> </w:t>
            </w:r>
            <w:r w:rsidRPr="003B078E">
              <w:rPr>
                <w:lang w:eastAsia="ja-JP"/>
              </w:rPr>
              <w:t>2019</w:t>
            </w:r>
          </w:p>
        </w:tc>
        <w:tc>
          <w:tcPr>
            <w:tcW w:w="3004" w:type="dxa"/>
          </w:tcPr>
          <w:p w14:paraId="61486E2F" w14:textId="77777777" w:rsidR="005C2D66" w:rsidRPr="007B2E9C" w:rsidRDefault="005C2D66" w:rsidP="00704FEB">
            <w:pPr>
              <w:ind w:left="0" w:right="0"/>
              <w:rPr>
                <w:i/>
                <w:lang w:eastAsia="ja-JP"/>
              </w:rPr>
            </w:pPr>
            <w:r w:rsidRPr="007B2E9C">
              <w:rPr>
                <w:i/>
                <w:lang w:eastAsia="ja-JP"/>
              </w:rPr>
              <w:t>Rheumatoid arthritis</w:t>
            </w:r>
          </w:p>
          <w:p w14:paraId="32B7E062" w14:textId="77777777" w:rsidR="005C2D66" w:rsidRPr="007B2E9C" w:rsidRDefault="005C2D66" w:rsidP="00704FEB">
            <w:pPr>
              <w:ind w:left="0" w:right="0"/>
              <w:rPr>
                <w:i/>
                <w:lang w:eastAsia="ja-JP"/>
              </w:rPr>
            </w:pPr>
            <w:r w:rsidRPr="007B2E9C">
              <w:rPr>
                <w:i/>
                <w:lang w:eastAsia="ja-JP"/>
              </w:rPr>
              <w:t>Juvenile idiopathic arthritis</w:t>
            </w:r>
          </w:p>
          <w:p w14:paraId="5327EB3D" w14:textId="77777777" w:rsidR="005C2D66" w:rsidRPr="007B2E9C" w:rsidRDefault="005C2D66" w:rsidP="00704FEB">
            <w:pPr>
              <w:ind w:left="0" w:right="0"/>
              <w:rPr>
                <w:i/>
                <w:lang w:eastAsia="ja-JP"/>
              </w:rPr>
            </w:pPr>
            <w:r w:rsidRPr="007B2E9C">
              <w:rPr>
                <w:i/>
                <w:lang w:eastAsia="ja-JP"/>
              </w:rPr>
              <w:t>Psoriatic arthritis</w:t>
            </w:r>
          </w:p>
          <w:p w14:paraId="3D78629F" w14:textId="2BC58C50" w:rsidR="005C2D66" w:rsidRPr="007B2E9C" w:rsidRDefault="005C2D66" w:rsidP="00704FEB">
            <w:pPr>
              <w:ind w:left="0" w:right="0"/>
              <w:rPr>
                <w:i/>
                <w:lang w:eastAsia="ja-JP"/>
              </w:rPr>
            </w:pPr>
            <w:r w:rsidRPr="007B2E9C">
              <w:rPr>
                <w:i/>
                <w:lang w:eastAsia="ja-JP"/>
              </w:rPr>
              <w:t>Ank</w:t>
            </w:r>
            <w:r w:rsidR="00C67438">
              <w:rPr>
                <w:i/>
                <w:lang w:eastAsia="ja-JP"/>
              </w:rPr>
              <w:t>y</w:t>
            </w:r>
            <w:r w:rsidRPr="007B2E9C">
              <w:rPr>
                <w:i/>
                <w:lang w:eastAsia="ja-JP"/>
              </w:rPr>
              <w:t>losing spondylitis</w:t>
            </w:r>
          </w:p>
          <w:p w14:paraId="4E6C30F9" w14:textId="77777777" w:rsidR="005C2D66" w:rsidRPr="007B2E9C" w:rsidRDefault="005C2D66" w:rsidP="00704FEB">
            <w:pPr>
              <w:ind w:left="0" w:right="0"/>
              <w:rPr>
                <w:i/>
                <w:lang w:eastAsia="ja-JP"/>
              </w:rPr>
            </w:pPr>
            <w:r w:rsidRPr="007B2E9C">
              <w:rPr>
                <w:i/>
                <w:lang w:eastAsia="ja-JP"/>
              </w:rPr>
              <w:t>Crohn’s disease</w:t>
            </w:r>
          </w:p>
          <w:p w14:paraId="279F97AD" w14:textId="77777777" w:rsidR="005C2D66" w:rsidRPr="007B2E9C" w:rsidRDefault="005C2D66" w:rsidP="00704FEB">
            <w:pPr>
              <w:ind w:left="0" w:right="0"/>
              <w:rPr>
                <w:i/>
                <w:lang w:eastAsia="ja-JP"/>
              </w:rPr>
            </w:pPr>
            <w:r w:rsidRPr="007B2E9C">
              <w:rPr>
                <w:i/>
                <w:lang w:eastAsia="ja-JP"/>
              </w:rPr>
              <w:t>Ulcerative colitis</w:t>
            </w:r>
          </w:p>
          <w:p w14:paraId="308A8BCF" w14:textId="77777777" w:rsidR="00E03EA9" w:rsidRPr="007B2E9C" w:rsidRDefault="005C2D66" w:rsidP="00704FEB">
            <w:pPr>
              <w:ind w:left="0" w:right="0"/>
              <w:rPr>
                <w:i/>
                <w:lang w:eastAsia="ja-JP"/>
              </w:rPr>
            </w:pPr>
            <w:r w:rsidRPr="007B2E9C">
              <w:rPr>
                <w:i/>
                <w:lang w:eastAsia="ja-JP"/>
              </w:rPr>
              <w:t>Plaque psoriasis</w:t>
            </w:r>
          </w:p>
        </w:tc>
      </w:tr>
      <w:tr w:rsidR="007B2E9C" w14:paraId="420F3D09" w14:textId="77777777" w:rsidTr="00704FEB">
        <w:tc>
          <w:tcPr>
            <w:tcW w:w="1790" w:type="dxa"/>
          </w:tcPr>
          <w:p w14:paraId="160BA7FE" w14:textId="77777777" w:rsidR="00E03EA9" w:rsidRDefault="00E03EA9" w:rsidP="00704FEB">
            <w:pPr>
              <w:ind w:left="0" w:right="0"/>
              <w:rPr>
                <w:lang w:eastAsia="ja-JP"/>
              </w:rPr>
            </w:pPr>
            <w:r w:rsidRPr="003B078E">
              <w:rPr>
                <w:lang w:eastAsia="ja-JP"/>
              </w:rPr>
              <w:t>Canada</w:t>
            </w:r>
          </w:p>
        </w:tc>
        <w:tc>
          <w:tcPr>
            <w:tcW w:w="1800" w:type="dxa"/>
          </w:tcPr>
          <w:p w14:paraId="583868D4" w14:textId="138F653B" w:rsidR="00E03EA9" w:rsidRDefault="00AB0B17" w:rsidP="00704FEB">
            <w:pPr>
              <w:ind w:left="0" w:right="0"/>
              <w:rPr>
                <w:lang w:eastAsia="ja-JP"/>
              </w:rPr>
            </w:pPr>
            <w:r>
              <w:rPr>
                <w:lang w:eastAsia="ja-JP"/>
              </w:rPr>
              <w:t>January 2020</w:t>
            </w:r>
          </w:p>
        </w:tc>
        <w:tc>
          <w:tcPr>
            <w:tcW w:w="1890" w:type="dxa"/>
          </w:tcPr>
          <w:p w14:paraId="071A77A4" w14:textId="405696F5" w:rsidR="00E03EA9" w:rsidRDefault="00E03EA9" w:rsidP="00704FEB">
            <w:pPr>
              <w:ind w:left="0" w:right="0"/>
              <w:rPr>
                <w:lang w:eastAsia="ja-JP"/>
              </w:rPr>
            </w:pPr>
            <w:r w:rsidRPr="003B078E">
              <w:rPr>
                <w:lang w:eastAsia="ja-JP"/>
              </w:rPr>
              <w:t>Under</w:t>
            </w:r>
            <w:r>
              <w:rPr>
                <w:lang w:eastAsia="ja-JP"/>
              </w:rPr>
              <w:t xml:space="preserve"> </w:t>
            </w:r>
            <w:r w:rsidR="00815A54">
              <w:rPr>
                <w:lang w:eastAsia="ja-JP"/>
              </w:rPr>
              <w:t>e</w:t>
            </w:r>
            <w:r w:rsidRPr="003B078E">
              <w:rPr>
                <w:lang w:eastAsia="ja-JP"/>
              </w:rPr>
              <w:t>valuation</w:t>
            </w:r>
          </w:p>
        </w:tc>
        <w:tc>
          <w:tcPr>
            <w:tcW w:w="3004" w:type="dxa"/>
          </w:tcPr>
          <w:p w14:paraId="1D6C9444" w14:textId="77777777" w:rsidR="005C2D66" w:rsidRPr="007B2E9C" w:rsidRDefault="005C2D66" w:rsidP="00704FEB">
            <w:pPr>
              <w:ind w:left="0" w:right="0"/>
              <w:rPr>
                <w:i/>
                <w:lang w:eastAsia="ja-JP"/>
              </w:rPr>
            </w:pPr>
            <w:r w:rsidRPr="007B2E9C">
              <w:rPr>
                <w:i/>
                <w:lang w:eastAsia="ja-JP"/>
              </w:rPr>
              <w:t>Rheumatoid arthritis</w:t>
            </w:r>
          </w:p>
          <w:p w14:paraId="6980A554" w14:textId="77777777" w:rsidR="005C2D66" w:rsidRPr="007B2E9C" w:rsidRDefault="005C2D66" w:rsidP="00704FEB">
            <w:pPr>
              <w:ind w:left="0" w:right="0"/>
              <w:rPr>
                <w:i/>
                <w:lang w:eastAsia="ja-JP"/>
              </w:rPr>
            </w:pPr>
            <w:proofErr w:type="spellStart"/>
            <w:r w:rsidRPr="007B2E9C">
              <w:rPr>
                <w:i/>
                <w:lang w:eastAsia="ja-JP"/>
              </w:rPr>
              <w:t>Pediatric</w:t>
            </w:r>
            <w:proofErr w:type="spellEnd"/>
            <w:r w:rsidRPr="007B2E9C">
              <w:rPr>
                <w:i/>
                <w:lang w:eastAsia="ja-JP"/>
              </w:rPr>
              <w:t xml:space="preserve"> juvenile idiopathic psoriasis</w:t>
            </w:r>
          </w:p>
          <w:p w14:paraId="0753834D" w14:textId="77777777" w:rsidR="005C2D66" w:rsidRPr="007B2E9C" w:rsidRDefault="005C2D66" w:rsidP="00704FEB">
            <w:pPr>
              <w:ind w:left="0" w:right="0"/>
              <w:rPr>
                <w:i/>
                <w:lang w:eastAsia="ja-JP"/>
              </w:rPr>
            </w:pPr>
            <w:r w:rsidRPr="007B2E9C">
              <w:rPr>
                <w:i/>
                <w:lang w:eastAsia="ja-JP"/>
              </w:rPr>
              <w:t>Psoriatic arthritis</w:t>
            </w:r>
          </w:p>
          <w:p w14:paraId="29E0D726" w14:textId="77777777" w:rsidR="005C2D66" w:rsidRPr="007B2E9C" w:rsidRDefault="005C2D66" w:rsidP="00704FEB">
            <w:pPr>
              <w:ind w:left="0" w:right="0"/>
              <w:rPr>
                <w:i/>
                <w:lang w:eastAsia="ja-JP"/>
              </w:rPr>
            </w:pPr>
            <w:r w:rsidRPr="007B2E9C">
              <w:rPr>
                <w:i/>
                <w:lang w:eastAsia="ja-JP"/>
              </w:rPr>
              <w:t>Ankylosing spondylitis</w:t>
            </w:r>
          </w:p>
          <w:p w14:paraId="31AA8CCB" w14:textId="77777777" w:rsidR="005C2D66" w:rsidRPr="007B2E9C" w:rsidRDefault="005C2D66" w:rsidP="00704FEB">
            <w:pPr>
              <w:ind w:left="0" w:right="0"/>
              <w:rPr>
                <w:i/>
                <w:lang w:eastAsia="ja-JP"/>
              </w:rPr>
            </w:pPr>
            <w:r w:rsidRPr="007B2E9C">
              <w:rPr>
                <w:i/>
                <w:lang w:eastAsia="ja-JP"/>
              </w:rPr>
              <w:t xml:space="preserve">Crohn’s disease (adult and </w:t>
            </w:r>
            <w:proofErr w:type="spellStart"/>
            <w:r w:rsidRPr="007B2E9C">
              <w:rPr>
                <w:i/>
                <w:lang w:eastAsia="ja-JP"/>
              </w:rPr>
              <w:t>pediatric</w:t>
            </w:r>
            <w:proofErr w:type="spellEnd"/>
            <w:r w:rsidRPr="007B2E9C">
              <w:rPr>
                <w:i/>
                <w:lang w:eastAsia="ja-JP"/>
              </w:rPr>
              <w:t>)</w:t>
            </w:r>
          </w:p>
          <w:p w14:paraId="76E8263A" w14:textId="77777777" w:rsidR="005C2D66" w:rsidRPr="007B2E9C" w:rsidRDefault="005C2D66" w:rsidP="00704FEB">
            <w:pPr>
              <w:ind w:left="0" w:right="0"/>
              <w:rPr>
                <w:i/>
                <w:lang w:eastAsia="ja-JP"/>
              </w:rPr>
            </w:pPr>
            <w:r w:rsidRPr="007B2E9C">
              <w:rPr>
                <w:i/>
                <w:lang w:eastAsia="ja-JP"/>
              </w:rPr>
              <w:t>Ulcerative colitis</w:t>
            </w:r>
          </w:p>
          <w:p w14:paraId="430F8125" w14:textId="77777777" w:rsidR="005C2D66" w:rsidRPr="007B2E9C" w:rsidRDefault="005C2D66" w:rsidP="00704FEB">
            <w:pPr>
              <w:ind w:left="0" w:right="0"/>
              <w:rPr>
                <w:i/>
                <w:lang w:eastAsia="ja-JP"/>
              </w:rPr>
            </w:pPr>
            <w:r w:rsidRPr="007B2E9C">
              <w:rPr>
                <w:i/>
              </w:rPr>
              <w:t>Hidradenitis Suppurativa</w:t>
            </w:r>
          </w:p>
          <w:p w14:paraId="44DA4EDE" w14:textId="77777777" w:rsidR="005C2D66" w:rsidRPr="007B2E9C" w:rsidRDefault="005C2D66" w:rsidP="00704FEB">
            <w:pPr>
              <w:ind w:left="0" w:right="0"/>
              <w:rPr>
                <w:i/>
                <w:lang w:eastAsia="ja-JP"/>
              </w:rPr>
            </w:pPr>
            <w:r w:rsidRPr="007B2E9C">
              <w:rPr>
                <w:i/>
                <w:lang w:eastAsia="ja-JP"/>
              </w:rPr>
              <w:t>Plaque psoriasis</w:t>
            </w:r>
          </w:p>
          <w:p w14:paraId="0610801B" w14:textId="77777777" w:rsidR="00E03EA9" w:rsidRPr="007B2E9C" w:rsidRDefault="005C2D66" w:rsidP="00704FEB">
            <w:pPr>
              <w:ind w:left="0" w:right="0"/>
              <w:rPr>
                <w:i/>
                <w:lang w:eastAsia="ja-JP"/>
              </w:rPr>
            </w:pPr>
            <w:r w:rsidRPr="007B2E9C">
              <w:rPr>
                <w:i/>
                <w:lang w:eastAsia="ja-JP"/>
              </w:rPr>
              <w:t>Uveitis (adult and paediatric)</w:t>
            </w:r>
          </w:p>
        </w:tc>
      </w:tr>
      <w:tr w:rsidR="007B2E9C" w14:paraId="7ABFE7B5" w14:textId="77777777" w:rsidTr="00704FEB">
        <w:tc>
          <w:tcPr>
            <w:tcW w:w="1790" w:type="dxa"/>
          </w:tcPr>
          <w:p w14:paraId="5DA56912" w14:textId="77777777" w:rsidR="00E03EA9" w:rsidRPr="003B078E" w:rsidRDefault="00E03EA9" w:rsidP="00704FEB">
            <w:pPr>
              <w:ind w:left="0" w:right="0"/>
              <w:rPr>
                <w:lang w:eastAsia="ja-JP"/>
              </w:rPr>
            </w:pPr>
            <w:r w:rsidRPr="003B078E">
              <w:rPr>
                <w:lang w:eastAsia="ja-JP"/>
              </w:rPr>
              <w:t>Switzerland</w:t>
            </w:r>
          </w:p>
        </w:tc>
        <w:tc>
          <w:tcPr>
            <w:tcW w:w="1800" w:type="dxa"/>
          </w:tcPr>
          <w:p w14:paraId="2DBCB979" w14:textId="5D676542" w:rsidR="00E03EA9" w:rsidRDefault="00AB0B17" w:rsidP="00704FEB">
            <w:pPr>
              <w:ind w:left="0" w:right="0"/>
              <w:rPr>
                <w:lang w:eastAsia="ja-JP"/>
              </w:rPr>
            </w:pPr>
            <w:r>
              <w:rPr>
                <w:lang w:eastAsia="ja-JP"/>
              </w:rPr>
              <w:t>[Information redacted]</w:t>
            </w:r>
          </w:p>
        </w:tc>
        <w:tc>
          <w:tcPr>
            <w:tcW w:w="1890" w:type="dxa"/>
          </w:tcPr>
          <w:p w14:paraId="3C2419F2" w14:textId="0FDDBA16" w:rsidR="00E03EA9" w:rsidRDefault="00E03EA9" w:rsidP="00704FEB">
            <w:pPr>
              <w:ind w:left="0" w:right="0"/>
              <w:rPr>
                <w:lang w:eastAsia="ja-JP"/>
              </w:rPr>
            </w:pPr>
            <w:r w:rsidRPr="003B078E">
              <w:rPr>
                <w:lang w:eastAsia="ja-JP"/>
              </w:rPr>
              <w:t>Under</w:t>
            </w:r>
            <w:r>
              <w:rPr>
                <w:lang w:eastAsia="ja-JP"/>
              </w:rPr>
              <w:t xml:space="preserve"> </w:t>
            </w:r>
            <w:r w:rsidR="00815A54">
              <w:rPr>
                <w:lang w:eastAsia="ja-JP"/>
              </w:rPr>
              <w:t>e</w:t>
            </w:r>
            <w:r w:rsidRPr="003B078E">
              <w:rPr>
                <w:lang w:eastAsia="ja-JP"/>
              </w:rPr>
              <w:t>valuation</w:t>
            </w:r>
          </w:p>
        </w:tc>
        <w:tc>
          <w:tcPr>
            <w:tcW w:w="3004" w:type="dxa"/>
          </w:tcPr>
          <w:p w14:paraId="50041B3A" w14:textId="77777777" w:rsidR="005C2D66" w:rsidRPr="007B2E9C" w:rsidRDefault="005C2D66" w:rsidP="00704FEB">
            <w:pPr>
              <w:ind w:left="0" w:right="0"/>
              <w:rPr>
                <w:i/>
                <w:lang w:eastAsia="ja-JP"/>
              </w:rPr>
            </w:pPr>
            <w:r w:rsidRPr="007B2E9C">
              <w:rPr>
                <w:i/>
                <w:lang w:eastAsia="ja-JP"/>
              </w:rPr>
              <w:t>Rheumatoid arthritis</w:t>
            </w:r>
          </w:p>
          <w:p w14:paraId="48955065" w14:textId="77777777" w:rsidR="005C2D66" w:rsidRPr="007B2E9C" w:rsidRDefault="005C2D66" w:rsidP="00704FEB">
            <w:pPr>
              <w:ind w:left="0" w:right="0"/>
              <w:rPr>
                <w:i/>
                <w:lang w:eastAsia="ja-JP"/>
              </w:rPr>
            </w:pPr>
            <w:r w:rsidRPr="007B2E9C">
              <w:rPr>
                <w:i/>
                <w:lang w:eastAsia="ja-JP"/>
              </w:rPr>
              <w:t>Paediatric juvenile idiopathic arthritis</w:t>
            </w:r>
          </w:p>
          <w:p w14:paraId="233A01BE" w14:textId="77777777" w:rsidR="005C2D66" w:rsidRPr="007B2E9C" w:rsidRDefault="005C2D66" w:rsidP="00704FEB">
            <w:pPr>
              <w:ind w:left="0" w:right="0"/>
              <w:rPr>
                <w:i/>
                <w:lang w:eastAsia="ja-JP"/>
              </w:rPr>
            </w:pPr>
            <w:r w:rsidRPr="007B2E9C">
              <w:rPr>
                <w:i/>
                <w:lang w:eastAsia="ja-JP"/>
              </w:rPr>
              <w:t>Psoriatic arthritis</w:t>
            </w:r>
          </w:p>
          <w:p w14:paraId="0361A1B4" w14:textId="77777777" w:rsidR="005C2D66" w:rsidRPr="007B2E9C" w:rsidRDefault="005C2D66" w:rsidP="00704FEB">
            <w:pPr>
              <w:ind w:left="0" w:right="0"/>
              <w:rPr>
                <w:i/>
                <w:lang w:eastAsia="ja-JP"/>
              </w:rPr>
            </w:pPr>
            <w:r w:rsidRPr="007B2E9C">
              <w:rPr>
                <w:i/>
                <w:lang w:eastAsia="ja-JP"/>
              </w:rPr>
              <w:t>Ankylosing spondylitis</w:t>
            </w:r>
          </w:p>
          <w:p w14:paraId="53853B66" w14:textId="77777777" w:rsidR="005C2D66" w:rsidRPr="007B2E9C" w:rsidRDefault="005C2D66" w:rsidP="00704FEB">
            <w:pPr>
              <w:ind w:left="0" w:right="0"/>
              <w:rPr>
                <w:i/>
                <w:lang w:eastAsia="ja-JP"/>
              </w:rPr>
            </w:pPr>
            <w:r w:rsidRPr="007B2E9C">
              <w:rPr>
                <w:i/>
                <w:lang w:eastAsia="ja-JP"/>
              </w:rPr>
              <w:t>Crohn’s disease (adult and paediatric)</w:t>
            </w:r>
          </w:p>
          <w:p w14:paraId="39449D0F" w14:textId="77777777" w:rsidR="005C2D66" w:rsidRPr="007B2E9C" w:rsidRDefault="005C2D66" w:rsidP="00704FEB">
            <w:pPr>
              <w:ind w:left="0" w:right="0"/>
              <w:rPr>
                <w:i/>
                <w:lang w:eastAsia="ja-JP"/>
              </w:rPr>
            </w:pPr>
            <w:r w:rsidRPr="007B2E9C">
              <w:rPr>
                <w:i/>
                <w:lang w:eastAsia="ja-JP"/>
              </w:rPr>
              <w:t>Ulcerative colitis</w:t>
            </w:r>
          </w:p>
          <w:p w14:paraId="184A1C99" w14:textId="77777777" w:rsidR="005C2D66" w:rsidRPr="007B2E9C" w:rsidRDefault="005C2D66" w:rsidP="00704FEB">
            <w:pPr>
              <w:ind w:left="0" w:right="0"/>
              <w:rPr>
                <w:i/>
              </w:rPr>
            </w:pPr>
            <w:r w:rsidRPr="007B2E9C">
              <w:rPr>
                <w:i/>
              </w:rPr>
              <w:t xml:space="preserve">Hidradenitis Suppurativa </w:t>
            </w:r>
          </w:p>
          <w:p w14:paraId="6E37CC62" w14:textId="4FA78DBF" w:rsidR="005C2D66" w:rsidRPr="007B2E9C" w:rsidRDefault="005C2D66" w:rsidP="00704FEB">
            <w:pPr>
              <w:ind w:left="0" w:right="0"/>
              <w:rPr>
                <w:i/>
              </w:rPr>
            </w:pPr>
            <w:r w:rsidRPr="007B2E9C">
              <w:rPr>
                <w:i/>
              </w:rPr>
              <w:t>Plaque psoria</w:t>
            </w:r>
            <w:r w:rsidR="00C67438">
              <w:rPr>
                <w:i/>
              </w:rPr>
              <w:t>s</w:t>
            </w:r>
            <w:r w:rsidRPr="007B2E9C">
              <w:rPr>
                <w:i/>
              </w:rPr>
              <w:t>is</w:t>
            </w:r>
          </w:p>
          <w:p w14:paraId="6DA8AB48" w14:textId="77777777" w:rsidR="00E03EA9" w:rsidRPr="007B2E9C" w:rsidRDefault="005C2D66" w:rsidP="00704FEB">
            <w:pPr>
              <w:ind w:left="0" w:right="0"/>
              <w:rPr>
                <w:i/>
                <w:lang w:eastAsia="ja-JP"/>
              </w:rPr>
            </w:pPr>
            <w:r w:rsidRPr="007B2E9C">
              <w:rPr>
                <w:i/>
              </w:rPr>
              <w:t>Uveitis</w:t>
            </w:r>
          </w:p>
        </w:tc>
      </w:tr>
      <w:tr w:rsidR="007B2E9C" w:rsidRPr="00746825" w14:paraId="3A11F6E2" w14:textId="77777777" w:rsidTr="00704FEB">
        <w:tc>
          <w:tcPr>
            <w:tcW w:w="1790" w:type="dxa"/>
          </w:tcPr>
          <w:p w14:paraId="2F290304" w14:textId="77777777" w:rsidR="00E03EA9" w:rsidRPr="00746825" w:rsidRDefault="00E03EA9" w:rsidP="00704FEB">
            <w:pPr>
              <w:ind w:left="0" w:right="0"/>
              <w:rPr>
                <w:lang w:eastAsia="ja-JP"/>
              </w:rPr>
            </w:pPr>
            <w:r w:rsidRPr="00746825">
              <w:rPr>
                <w:lang w:eastAsia="ja-JP"/>
              </w:rPr>
              <w:t>New Zealand</w:t>
            </w:r>
          </w:p>
        </w:tc>
        <w:tc>
          <w:tcPr>
            <w:tcW w:w="1800" w:type="dxa"/>
          </w:tcPr>
          <w:p w14:paraId="53657875" w14:textId="1A2D1E04" w:rsidR="00E03EA9" w:rsidRPr="00746825" w:rsidRDefault="00AB0B17" w:rsidP="00704FEB">
            <w:pPr>
              <w:ind w:left="0" w:right="0"/>
              <w:rPr>
                <w:lang w:eastAsia="ja-JP"/>
              </w:rPr>
            </w:pPr>
            <w:r>
              <w:rPr>
                <w:lang w:eastAsia="ja-JP"/>
              </w:rPr>
              <w:t>[Information redacted]</w:t>
            </w:r>
          </w:p>
        </w:tc>
        <w:tc>
          <w:tcPr>
            <w:tcW w:w="1890" w:type="dxa"/>
          </w:tcPr>
          <w:p w14:paraId="76CB0FB2" w14:textId="2C7EC032" w:rsidR="00E03EA9" w:rsidRPr="003B078E" w:rsidRDefault="00E03EA9" w:rsidP="00704FEB">
            <w:pPr>
              <w:ind w:left="0" w:right="0"/>
              <w:rPr>
                <w:lang w:eastAsia="ja-JP"/>
              </w:rPr>
            </w:pPr>
          </w:p>
        </w:tc>
        <w:tc>
          <w:tcPr>
            <w:tcW w:w="3004" w:type="dxa"/>
          </w:tcPr>
          <w:p w14:paraId="67260EC8" w14:textId="7E1AD031" w:rsidR="00E03EA9" w:rsidRDefault="00E03EA9" w:rsidP="00704FEB">
            <w:pPr>
              <w:ind w:left="0" w:right="0"/>
              <w:rPr>
                <w:lang w:eastAsia="ja-JP"/>
              </w:rPr>
            </w:pPr>
          </w:p>
        </w:tc>
      </w:tr>
      <w:tr w:rsidR="007B2E9C" w:rsidRPr="00746825" w14:paraId="58B1A49D" w14:textId="77777777" w:rsidTr="00704FEB">
        <w:tc>
          <w:tcPr>
            <w:tcW w:w="1790" w:type="dxa"/>
          </w:tcPr>
          <w:p w14:paraId="5E3908FA" w14:textId="77777777" w:rsidR="00E03EA9" w:rsidRPr="00746825" w:rsidRDefault="00E03EA9" w:rsidP="00704FEB">
            <w:pPr>
              <w:ind w:left="0" w:right="0"/>
              <w:rPr>
                <w:lang w:eastAsia="ja-JP"/>
              </w:rPr>
            </w:pPr>
            <w:r w:rsidRPr="00746825">
              <w:rPr>
                <w:lang w:eastAsia="ja-JP"/>
              </w:rPr>
              <w:t>Singapore</w:t>
            </w:r>
          </w:p>
        </w:tc>
        <w:tc>
          <w:tcPr>
            <w:tcW w:w="1800" w:type="dxa"/>
          </w:tcPr>
          <w:p w14:paraId="4D1A4698" w14:textId="18EB8574" w:rsidR="00E03EA9" w:rsidRPr="00746825" w:rsidRDefault="00AB0B17" w:rsidP="00704FEB">
            <w:pPr>
              <w:ind w:left="0" w:right="0"/>
              <w:rPr>
                <w:lang w:eastAsia="ja-JP"/>
              </w:rPr>
            </w:pPr>
            <w:r>
              <w:rPr>
                <w:lang w:eastAsia="ja-JP"/>
              </w:rPr>
              <w:t>[Information redacted]</w:t>
            </w:r>
          </w:p>
        </w:tc>
        <w:tc>
          <w:tcPr>
            <w:tcW w:w="1890" w:type="dxa"/>
          </w:tcPr>
          <w:p w14:paraId="04132504" w14:textId="6083769A" w:rsidR="00E03EA9" w:rsidRPr="003B078E" w:rsidRDefault="00E03EA9" w:rsidP="00704FEB">
            <w:pPr>
              <w:ind w:left="0" w:right="0"/>
              <w:rPr>
                <w:lang w:eastAsia="ja-JP"/>
              </w:rPr>
            </w:pPr>
          </w:p>
        </w:tc>
        <w:tc>
          <w:tcPr>
            <w:tcW w:w="3004" w:type="dxa"/>
          </w:tcPr>
          <w:p w14:paraId="6D7FBE3A" w14:textId="6B72268C" w:rsidR="00E03EA9" w:rsidRDefault="00E03EA9" w:rsidP="00704FEB">
            <w:pPr>
              <w:ind w:left="0" w:right="0"/>
              <w:rPr>
                <w:lang w:eastAsia="ja-JP"/>
              </w:rPr>
            </w:pPr>
          </w:p>
        </w:tc>
      </w:tr>
    </w:tbl>
    <w:p w14:paraId="32050A74" w14:textId="77777777" w:rsidR="008E7846" w:rsidRDefault="008E7846" w:rsidP="00940A89">
      <w:pPr>
        <w:pStyle w:val="Heading3"/>
      </w:pPr>
      <w:bookmarkStart w:id="19" w:name="_Toc247691505"/>
      <w:bookmarkStart w:id="20" w:name="_Toc314842486"/>
      <w:bookmarkStart w:id="21" w:name="_Toc71104749"/>
      <w:r>
        <w:t>Product Information</w:t>
      </w:r>
      <w:bookmarkEnd w:id="19"/>
      <w:bookmarkEnd w:id="20"/>
      <w:bookmarkEnd w:id="21"/>
    </w:p>
    <w:p w14:paraId="066EE1CE" w14:textId="64F913B8"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66D95142" w14:textId="77777777" w:rsidR="00500337" w:rsidRDefault="00500337" w:rsidP="00500337">
      <w:pPr>
        <w:pStyle w:val="Heading2"/>
      </w:pPr>
      <w:bookmarkStart w:id="24" w:name="_Toc504480011"/>
      <w:bookmarkStart w:id="25" w:name="_Toc71104750"/>
      <w:r>
        <w:t>II. Registration timeline</w:t>
      </w:r>
      <w:bookmarkEnd w:id="24"/>
      <w:bookmarkEnd w:id="25"/>
    </w:p>
    <w:p w14:paraId="3A0F3E5F" w14:textId="77777777" w:rsidR="00500337" w:rsidRDefault="00500337" w:rsidP="00500337">
      <w:r>
        <w:t>The following table captures the key steps and dates for this application and which are detailed and discussed in this AusPAR.</w:t>
      </w:r>
    </w:p>
    <w:p w14:paraId="75D8A3D7" w14:textId="7ECDE0A2" w:rsidR="00CF2864" w:rsidRPr="00A67BE4" w:rsidRDefault="00CF2864" w:rsidP="00A67BE4">
      <w:pPr>
        <w:pStyle w:val="TableTitle"/>
      </w:pPr>
      <w:r w:rsidRPr="00A67BE4">
        <w:t xml:space="preserve">Table </w:t>
      </w:r>
      <w:fldSimple w:instr=" SEQ Table \* ARABIC ">
        <w:r w:rsidR="0012232D">
          <w:rPr>
            <w:noProof/>
          </w:rPr>
          <w:t>3</w:t>
        </w:r>
      </w:fldSimple>
      <w:r w:rsidRPr="00A67BE4">
        <w:t>: Timeline for submission PM-2020-01818-1-3</w:t>
      </w:r>
    </w:p>
    <w:tbl>
      <w:tblPr>
        <w:tblStyle w:val="TableTGAblue"/>
        <w:tblW w:w="0" w:type="auto"/>
        <w:tblLook w:val="04A0" w:firstRow="1" w:lastRow="0" w:firstColumn="1" w:lastColumn="0" w:noHBand="0" w:noVBand="1"/>
      </w:tblPr>
      <w:tblGrid>
        <w:gridCol w:w="6091"/>
        <w:gridCol w:w="2403"/>
      </w:tblGrid>
      <w:tr w:rsidR="00500337" w14:paraId="3D91AD60" w14:textId="77777777" w:rsidTr="00A94E94">
        <w:trPr>
          <w:cnfStyle w:val="100000000000" w:firstRow="1" w:lastRow="0" w:firstColumn="0" w:lastColumn="0" w:oddVBand="0" w:evenVBand="0" w:oddHBand="0" w:evenHBand="0" w:firstRowFirstColumn="0" w:firstRowLastColumn="0" w:lastRowFirstColumn="0" w:lastRowLastColumn="0"/>
          <w:cantSplit/>
        </w:trPr>
        <w:tc>
          <w:tcPr>
            <w:tcW w:w="6091" w:type="dxa"/>
            <w:tcBorders>
              <w:top w:val="single" w:sz="4" w:space="0" w:color="auto"/>
              <w:left w:val="single" w:sz="4" w:space="0" w:color="auto"/>
              <w:bottom w:val="single" w:sz="4" w:space="0" w:color="auto"/>
              <w:right w:val="single" w:sz="4" w:space="0" w:color="auto"/>
            </w:tcBorders>
          </w:tcPr>
          <w:p w14:paraId="13126D70" w14:textId="77777777" w:rsidR="00500337" w:rsidRDefault="00500337" w:rsidP="00500337">
            <w:pPr>
              <w:ind w:left="0" w:right="0"/>
            </w:pPr>
            <w:r>
              <w:t>Description</w:t>
            </w:r>
          </w:p>
        </w:tc>
        <w:tc>
          <w:tcPr>
            <w:tcW w:w="2403" w:type="dxa"/>
            <w:tcBorders>
              <w:top w:val="single" w:sz="4" w:space="0" w:color="auto"/>
              <w:left w:val="single" w:sz="4" w:space="0" w:color="auto"/>
              <w:bottom w:val="single" w:sz="4" w:space="0" w:color="auto"/>
              <w:right w:val="single" w:sz="4" w:space="0" w:color="auto"/>
            </w:tcBorders>
          </w:tcPr>
          <w:p w14:paraId="44FD1EC1" w14:textId="77777777" w:rsidR="00500337" w:rsidRDefault="00500337" w:rsidP="00500337">
            <w:pPr>
              <w:ind w:left="0" w:right="0"/>
            </w:pPr>
            <w:r>
              <w:t>Date</w:t>
            </w:r>
          </w:p>
        </w:tc>
      </w:tr>
      <w:tr w:rsidR="00500337" w14:paraId="41222B38" w14:textId="77777777" w:rsidTr="00A94E94">
        <w:tc>
          <w:tcPr>
            <w:tcW w:w="6091" w:type="dxa"/>
            <w:tcBorders>
              <w:top w:val="single" w:sz="4" w:space="0" w:color="auto"/>
            </w:tcBorders>
          </w:tcPr>
          <w:p w14:paraId="18B51EDC" w14:textId="77777777" w:rsidR="00500337" w:rsidRDefault="00500337" w:rsidP="00500337">
            <w:pPr>
              <w:ind w:left="0" w:right="0"/>
            </w:pPr>
            <w:r>
              <w:t>Submission dossier accepted and first round evaluation commenced</w:t>
            </w:r>
          </w:p>
        </w:tc>
        <w:tc>
          <w:tcPr>
            <w:tcW w:w="2403" w:type="dxa"/>
            <w:tcBorders>
              <w:top w:val="single" w:sz="4" w:space="0" w:color="auto"/>
            </w:tcBorders>
          </w:tcPr>
          <w:p w14:paraId="776D8F5F" w14:textId="77777777" w:rsidR="00500337" w:rsidRDefault="00CF2864" w:rsidP="00500337">
            <w:pPr>
              <w:ind w:left="0" w:right="0"/>
            </w:pPr>
            <w:r>
              <w:t>2 June 2020</w:t>
            </w:r>
          </w:p>
        </w:tc>
      </w:tr>
      <w:tr w:rsidR="00500337" w14:paraId="6157BFE6" w14:textId="77777777" w:rsidTr="00A94E94">
        <w:tc>
          <w:tcPr>
            <w:tcW w:w="6091" w:type="dxa"/>
          </w:tcPr>
          <w:p w14:paraId="56E0D8FC" w14:textId="77777777" w:rsidR="00500337" w:rsidRDefault="00500337" w:rsidP="00500337">
            <w:pPr>
              <w:ind w:left="0" w:right="0"/>
            </w:pPr>
            <w:r>
              <w:t>First round evaluation completed</w:t>
            </w:r>
          </w:p>
        </w:tc>
        <w:tc>
          <w:tcPr>
            <w:tcW w:w="2403" w:type="dxa"/>
          </w:tcPr>
          <w:p w14:paraId="0AF12CFE" w14:textId="763C0B50" w:rsidR="00500337" w:rsidRDefault="00066F4D" w:rsidP="00500337">
            <w:pPr>
              <w:ind w:left="0" w:right="0"/>
            </w:pPr>
            <w:r>
              <w:t>30 September</w:t>
            </w:r>
            <w:r w:rsidR="00CF2864">
              <w:t xml:space="preserve"> 2020</w:t>
            </w:r>
          </w:p>
        </w:tc>
      </w:tr>
      <w:tr w:rsidR="00500337" w14:paraId="5C8A9AD4" w14:textId="77777777" w:rsidTr="00A94E94">
        <w:tc>
          <w:tcPr>
            <w:tcW w:w="6091" w:type="dxa"/>
          </w:tcPr>
          <w:p w14:paraId="7E69BA29" w14:textId="77777777" w:rsidR="00500337" w:rsidRDefault="00500337" w:rsidP="00500337">
            <w:pPr>
              <w:ind w:left="0" w:right="0"/>
            </w:pPr>
            <w:r>
              <w:t>Sponsor provides responses on questions raised in first round evaluation</w:t>
            </w:r>
          </w:p>
        </w:tc>
        <w:tc>
          <w:tcPr>
            <w:tcW w:w="2403" w:type="dxa"/>
          </w:tcPr>
          <w:p w14:paraId="3917AE68" w14:textId="1D8B61B3" w:rsidR="00500337" w:rsidRDefault="00066F4D" w:rsidP="00500337">
            <w:pPr>
              <w:ind w:left="0" w:right="0"/>
            </w:pPr>
            <w:r>
              <w:t>30 October 2020</w:t>
            </w:r>
          </w:p>
        </w:tc>
      </w:tr>
      <w:tr w:rsidR="00500337" w14:paraId="11669283" w14:textId="77777777" w:rsidTr="00A94E94">
        <w:tc>
          <w:tcPr>
            <w:tcW w:w="6091" w:type="dxa"/>
          </w:tcPr>
          <w:p w14:paraId="4C62A90E" w14:textId="77777777" w:rsidR="00500337" w:rsidRDefault="00500337" w:rsidP="00500337">
            <w:pPr>
              <w:ind w:left="0" w:right="0"/>
            </w:pPr>
            <w:r>
              <w:t>Second round evaluation completed</w:t>
            </w:r>
          </w:p>
        </w:tc>
        <w:tc>
          <w:tcPr>
            <w:tcW w:w="2403" w:type="dxa"/>
          </w:tcPr>
          <w:p w14:paraId="7FFC6974" w14:textId="77777777" w:rsidR="00500337" w:rsidRDefault="00CF2864" w:rsidP="00500337">
            <w:pPr>
              <w:ind w:left="0" w:right="0"/>
            </w:pPr>
            <w:r>
              <w:t>2 November 2020</w:t>
            </w:r>
          </w:p>
        </w:tc>
      </w:tr>
      <w:tr w:rsidR="00500337" w14:paraId="5FDD4E88" w14:textId="77777777" w:rsidTr="00A94E94">
        <w:tc>
          <w:tcPr>
            <w:tcW w:w="6091" w:type="dxa"/>
          </w:tcPr>
          <w:p w14:paraId="270F595F" w14:textId="77777777" w:rsidR="00500337" w:rsidRDefault="00324E45" w:rsidP="00CF2864">
            <w:pPr>
              <w:ind w:left="0" w:right="0"/>
            </w:pPr>
            <w:r>
              <w:t xml:space="preserve">Delegate’s Overall benefit-risk assessment </w:t>
            </w:r>
          </w:p>
        </w:tc>
        <w:tc>
          <w:tcPr>
            <w:tcW w:w="2403" w:type="dxa"/>
          </w:tcPr>
          <w:p w14:paraId="12E46AAE" w14:textId="19F04232" w:rsidR="00500337" w:rsidRDefault="00CF2864" w:rsidP="00500337">
            <w:pPr>
              <w:ind w:left="0" w:right="0"/>
            </w:pPr>
            <w:r>
              <w:t>5</w:t>
            </w:r>
            <w:r w:rsidR="00A67BE4">
              <w:t xml:space="preserve"> January 2021</w:t>
            </w:r>
          </w:p>
        </w:tc>
      </w:tr>
      <w:tr w:rsidR="00500337" w14:paraId="409996DB" w14:textId="77777777" w:rsidTr="00A94E94">
        <w:tc>
          <w:tcPr>
            <w:tcW w:w="6091" w:type="dxa"/>
          </w:tcPr>
          <w:p w14:paraId="481A8F86" w14:textId="77777777" w:rsidR="00500337" w:rsidRDefault="00500337" w:rsidP="00500337">
            <w:pPr>
              <w:ind w:left="0" w:right="0"/>
            </w:pPr>
            <w:r>
              <w:t>Registration decision (Outcome)</w:t>
            </w:r>
          </w:p>
        </w:tc>
        <w:tc>
          <w:tcPr>
            <w:tcW w:w="2403" w:type="dxa"/>
          </w:tcPr>
          <w:p w14:paraId="3E00D289" w14:textId="744C6693" w:rsidR="00500337" w:rsidRDefault="00A67BE4" w:rsidP="00500337">
            <w:pPr>
              <w:ind w:left="0" w:right="0"/>
            </w:pPr>
            <w:r>
              <w:t>8 February 2021</w:t>
            </w:r>
          </w:p>
        </w:tc>
      </w:tr>
      <w:tr w:rsidR="00500337" w14:paraId="5740AD7B" w14:textId="77777777" w:rsidTr="00A94E94">
        <w:tc>
          <w:tcPr>
            <w:tcW w:w="6091" w:type="dxa"/>
          </w:tcPr>
          <w:p w14:paraId="5F3D152A" w14:textId="77777777" w:rsidR="00500337" w:rsidRDefault="00500337" w:rsidP="00500337">
            <w:pPr>
              <w:ind w:left="0" w:right="0"/>
            </w:pPr>
            <w:r>
              <w:t xml:space="preserve">Completion of administrative activities and registration on </w:t>
            </w:r>
            <w:r w:rsidR="00006FAB">
              <w:t xml:space="preserve">the </w:t>
            </w:r>
            <w:r>
              <w:t>ARTG</w:t>
            </w:r>
          </w:p>
        </w:tc>
        <w:tc>
          <w:tcPr>
            <w:tcW w:w="2403" w:type="dxa"/>
          </w:tcPr>
          <w:p w14:paraId="4561E2A5" w14:textId="73454638" w:rsidR="00500337" w:rsidRDefault="00A67BE4" w:rsidP="00500337">
            <w:pPr>
              <w:ind w:left="0" w:right="0"/>
            </w:pPr>
            <w:r>
              <w:t>22 February 2021</w:t>
            </w:r>
          </w:p>
        </w:tc>
      </w:tr>
      <w:tr w:rsidR="00500337" w14:paraId="20DB9FB3" w14:textId="77777777" w:rsidTr="00A94E94">
        <w:tc>
          <w:tcPr>
            <w:tcW w:w="6091" w:type="dxa"/>
          </w:tcPr>
          <w:p w14:paraId="674C23D8" w14:textId="77777777" w:rsidR="00500337" w:rsidRDefault="00500337" w:rsidP="00500337">
            <w:pPr>
              <w:ind w:left="0" w:right="0"/>
            </w:pPr>
            <w:r>
              <w:t>Number of working days from submission dossier acceptance to registration decision*</w:t>
            </w:r>
          </w:p>
        </w:tc>
        <w:tc>
          <w:tcPr>
            <w:tcW w:w="2403" w:type="dxa"/>
          </w:tcPr>
          <w:p w14:paraId="6F07FF57" w14:textId="3FEFFFE3" w:rsidR="00500337" w:rsidRDefault="00A67BE4" w:rsidP="00500337">
            <w:pPr>
              <w:ind w:left="0" w:right="0"/>
            </w:pPr>
            <w:r>
              <w:t>148 days</w:t>
            </w:r>
          </w:p>
        </w:tc>
      </w:tr>
    </w:tbl>
    <w:p w14:paraId="7AEB8028" w14:textId="77777777" w:rsidR="00006FAB" w:rsidRDefault="00006FAB" w:rsidP="00500337">
      <w:pPr>
        <w:pStyle w:val="TableDescription"/>
      </w:pPr>
      <w:r w:rsidRPr="00006FAB">
        <w:t>* The COR-B process has a 175 working day evaluation and decision timeframe.</w:t>
      </w:r>
    </w:p>
    <w:p w14:paraId="598201C0" w14:textId="77777777" w:rsidR="00751040" w:rsidRPr="00751040" w:rsidRDefault="00456765" w:rsidP="00751040">
      <w:pPr>
        <w:pStyle w:val="Heading2"/>
      </w:pPr>
      <w:bookmarkStart w:id="26" w:name="_Toc196046504"/>
      <w:bookmarkStart w:id="27" w:name="_Toc247691527"/>
      <w:bookmarkStart w:id="28" w:name="_Toc314842510"/>
      <w:bookmarkStart w:id="29" w:name="_Toc163441390"/>
      <w:bookmarkStart w:id="30" w:name="_Toc71104751"/>
      <w:bookmarkEnd w:id="1"/>
      <w:bookmarkEnd w:id="22"/>
      <w:bookmarkEnd w:id="23"/>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6B8A00C8" w14:textId="77777777" w:rsidR="00006FAB" w:rsidRDefault="00006FAB" w:rsidP="00006FAB">
      <w:bookmarkStart w:id="31" w:name="_Toc247691528"/>
      <w:r>
        <w:t>The submission was summarised in the following Delegate’s overview and recommendations.</w:t>
      </w:r>
    </w:p>
    <w:p w14:paraId="284CF749" w14:textId="77777777" w:rsidR="00751040" w:rsidRDefault="00751040" w:rsidP="00751040">
      <w:pPr>
        <w:pStyle w:val="Heading3"/>
      </w:pPr>
      <w:bookmarkStart w:id="32" w:name="_Toc71104752"/>
      <w:r>
        <w:t>Contents of the submission</w:t>
      </w:r>
      <w:bookmarkEnd w:id="32"/>
    </w:p>
    <w:p w14:paraId="2BB78476" w14:textId="77777777" w:rsidR="00751040" w:rsidRDefault="00751040" w:rsidP="00751040">
      <w:pPr>
        <w:pStyle w:val="Heading4"/>
      </w:pPr>
      <w:r>
        <w:t>Clinical studies submitted for evaluation</w:t>
      </w:r>
    </w:p>
    <w:p w14:paraId="3A616DA5" w14:textId="0E01E673" w:rsidR="00294CF4" w:rsidRPr="00294CF4" w:rsidRDefault="00BE6F4C" w:rsidP="00BE6F4C">
      <w:r>
        <w:t>The clinical development program submitted to the EMA included five studies: three single dose PK studies in healthy volunteers (Studies B5381001, B5381005, and B5381007), a pivotal efficacy and safety study in moderate to severe rheumatoid arthritis patients (Study B5381002), and a single arm, prefilled pen sub-study in moderate to severe rheumatoid arthritis patients (Study B5381002b).</w:t>
      </w:r>
    </w:p>
    <w:p w14:paraId="46B8376C" w14:textId="77777777" w:rsidR="00751040" w:rsidRDefault="00751040" w:rsidP="00751040">
      <w:pPr>
        <w:pStyle w:val="Heading4"/>
      </w:pPr>
      <w:r>
        <w:t>Guidance</w:t>
      </w:r>
    </w:p>
    <w:p w14:paraId="2432F3F7" w14:textId="77777777" w:rsidR="00751040" w:rsidRPr="00751040" w:rsidRDefault="00751040" w:rsidP="00751040">
      <w:r>
        <w:t>The following guidance documents are considered relevant to this submission:</w:t>
      </w:r>
    </w:p>
    <w:p w14:paraId="51C61A61" w14:textId="77777777" w:rsidR="00751040" w:rsidRDefault="00751040" w:rsidP="00294CF4">
      <w:pPr>
        <w:pStyle w:val="ListBullet"/>
      </w:pPr>
      <w:r w:rsidRPr="00751040">
        <w:t>Guideline on similar biological medicin</w:t>
      </w:r>
      <w:r w:rsidR="004436C8">
        <w:t>al products CHMP/437/04 Rev.</w:t>
      </w:r>
      <w:r>
        <w:t xml:space="preserve"> 1</w:t>
      </w:r>
      <w:r w:rsidR="003C7216">
        <w:t>;</w:t>
      </w:r>
      <w:r w:rsidR="004436C8">
        <w:t xml:space="preserve"> first published 29 October 20</w:t>
      </w:r>
      <w:r w:rsidR="003C7216">
        <w:t>14,</w:t>
      </w:r>
      <w:r w:rsidR="004436C8">
        <w:t xml:space="preserve"> effective (EU)</w:t>
      </w:r>
      <w:r w:rsidR="003C7216">
        <w:t>:</w:t>
      </w:r>
      <w:r w:rsidR="004436C8">
        <w:t xml:space="preserve"> 30 April 2015</w:t>
      </w:r>
      <w:r w:rsidR="003C7216">
        <w:t>.</w:t>
      </w:r>
      <w:bookmarkStart w:id="33" w:name="_Ref66250631"/>
      <w:r w:rsidR="003C7216">
        <w:rPr>
          <w:rStyle w:val="FootnoteReference"/>
        </w:rPr>
        <w:footnoteReference w:id="2"/>
      </w:r>
      <w:bookmarkEnd w:id="33"/>
      <w:r w:rsidR="003C7216">
        <w:t xml:space="preserve"> Replaced CHMP/437/04, </w:t>
      </w:r>
      <w:r w:rsidR="003C7216" w:rsidRPr="003C7216">
        <w:t xml:space="preserve">adopted by </w:t>
      </w:r>
      <w:r w:rsidR="003C7216">
        <w:t xml:space="preserve">the </w:t>
      </w:r>
      <w:r w:rsidR="003C7216" w:rsidRPr="003C7216">
        <w:t>TGA</w:t>
      </w:r>
      <w:r w:rsidR="003C7216">
        <w:t>:</w:t>
      </w:r>
      <w:r w:rsidR="003C7216" w:rsidRPr="003C7216">
        <w:t xml:space="preserve"> 15 June </w:t>
      </w:r>
      <w:r w:rsidR="003C7216">
        <w:t>2006.</w:t>
      </w:r>
    </w:p>
    <w:p w14:paraId="37EED84D" w14:textId="77777777" w:rsidR="00751040" w:rsidRDefault="00751040" w:rsidP="00294CF4">
      <w:pPr>
        <w:pStyle w:val="ListBullet"/>
      </w:pPr>
      <w:r w:rsidRPr="00751040">
        <w:t>Guideline on similar biological medicinal products containing biotechnology-derived proteins as active substance: quality issues (revis</w:t>
      </w:r>
      <w:r>
        <w:t>ion 1)</w:t>
      </w:r>
      <w:r w:rsidR="003C7216">
        <w:t xml:space="preserve"> </w:t>
      </w:r>
      <w:r>
        <w:t>EMA/CHMP/BWP/247713/2012</w:t>
      </w:r>
      <w:r w:rsidR="003C7216">
        <w:t>; first published: 3 June 2014; effective (EU): 1 December 2014.</w:t>
      </w:r>
      <w:bookmarkStart w:id="34" w:name="_Ref66250500"/>
      <w:r w:rsidR="003C7216">
        <w:rPr>
          <w:rStyle w:val="FootnoteReference"/>
        </w:rPr>
        <w:footnoteReference w:id="3"/>
      </w:r>
      <w:bookmarkEnd w:id="34"/>
      <w:r w:rsidR="003C7216">
        <w:t xml:space="preserve"> </w:t>
      </w:r>
      <w:r w:rsidR="00294CF4">
        <w:t xml:space="preserve">Replaced </w:t>
      </w:r>
      <w:r w:rsidR="003C7216" w:rsidRPr="003C7216">
        <w:t>EMEA/CHMP/BWP/49348/2005</w:t>
      </w:r>
      <w:r w:rsidR="00294CF4">
        <w:t>, a</w:t>
      </w:r>
      <w:r w:rsidR="003C7216" w:rsidRPr="003C7216">
        <w:t>dopted by</w:t>
      </w:r>
      <w:r w:rsidR="00294CF4">
        <w:t xml:space="preserve"> the</w:t>
      </w:r>
      <w:r w:rsidR="003C7216" w:rsidRPr="003C7216">
        <w:t xml:space="preserve"> TGA</w:t>
      </w:r>
      <w:r w:rsidR="00294CF4">
        <w:t>: December 2006.</w:t>
      </w:r>
    </w:p>
    <w:p w14:paraId="60ECCC60" w14:textId="7F20DEF5" w:rsidR="00751040" w:rsidRPr="00751040" w:rsidRDefault="00751040" w:rsidP="00294CF4">
      <w:pPr>
        <w:pStyle w:val="ListBullet"/>
      </w:pPr>
      <w:r w:rsidRPr="00751040">
        <w:t>Guideline on similar biological medicinal products containing monoclonal antibodies - non-clinical and clinical is</w:t>
      </w:r>
      <w:r w:rsidR="003C7216">
        <w:t>sues EMA/CHMP/BMWP/4</w:t>
      </w:r>
      <w:r w:rsidR="00BE6F4C">
        <w:t>03543/2010; first published: 15 </w:t>
      </w:r>
      <w:r w:rsidR="003C7216">
        <w:t>June 2012; effective (EU) 1 December 2012.</w:t>
      </w:r>
      <w:bookmarkStart w:id="35" w:name="_Ref66250622"/>
      <w:r w:rsidR="003C7216">
        <w:rPr>
          <w:rStyle w:val="FootnoteReference"/>
        </w:rPr>
        <w:footnoteReference w:id="4"/>
      </w:r>
      <w:bookmarkEnd w:id="35"/>
    </w:p>
    <w:p w14:paraId="776966DF" w14:textId="77777777" w:rsidR="008E7846" w:rsidRDefault="008E7846" w:rsidP="008E7846">
      <w:pPr>
        <w:pStyle w:val="Heading3"/>
      </w:pPr>
      <w:bookmarkStart w:id="36" w:name="_Toc314842511"/>
      <w:bookmarkStart w:id="37" w:name="_Toc71104753"/>
      <w:r>
        <w:t>Quality</w:t>
      </w:r>
      <w:bookmarkEnd w:id="31"/>
      <w:bookmarkEnd w:id="36"/>
      <w:bookmarkEnd w:id="37"/>
    </w:p>
    <w:p w14:paraId="219C7DB6" w14:textId="77777777" w:rsidR="00570B85" w:rsidRPr="00570B85" w:rsidRDefault="00570B85" w:rsidP="00570B85">
      <w:r w:rsidRPr="00570B85">
        <w:t xml:space="preserve">The proposed medicine is identical in strength, formulation, and manufacturing process to that evaluated and approved by the EMA. </w:t>
      </w:r>
      <w:r>
        <w:t xml:space="preserve">The quality </w:t>
      </w:r>
      <w:r w:rsidRPr="00570B85">
        <w:t>evaluation</w:t>
      </w:r>
      <w:r>
        <w:t xml:space="preserve"> for the TGA</w:t>
      </w:r>
      <w:r w:rsidRPr="00570B85">
        <w:t xml:space="preserve"> is based largely on the EMA evaluation, with additional assessments undertaken to meet Austra</w:t>
      </w:r>
      <w:r>
        <w:t>lian specific requirements (for example,</w:t>
      </w:r>
      <w:r w:rsidRPr="00570B85">
        <w:t xml:space="preserve"> </w:t>
      </w:r>
      <w:proofErr w:type="spellStart"/>
      <w:r w:rsidRPr="00570B85">
        <w:t>biosimilarity</w:t>
      </w:r>
      <w:proofErr w:type="spellEnd"/>
      <w:r w:rsidRPr="00570B85">
        <w:t xml:space="preserve">, stability, </w:t>
      </w:r>
      <w:r>
        <w:t>temperature excursions and Good Manufacturing Practice;</w:t>
      </w:r>
      <w:r w:rsidRPr="00570B85">
        <w:t xml:space="preserve"> GMP).</w:t>
      </w:r>
      <w:r>
        <w:t xml:space="preserve"> </w:t>
      </w:r>
      <w:r w:rsidRPr="00570B85">
        <w:t>The submission included a bridging study which demonstrated comparability of Australian-sourced Humira</w:t>
      </w:r>
      <w:r>
        <w:t xml:space="preserve"> (adalimumab)</w:t>
      </w:r>
      <w:r w:rsidRPr="00570B85">
        <w:t xml:space="preserve"> with EU- and US-sourced Humira</w:t>
      </w:r>
      <w:r>
        <w:t xml:space="preserve"> (</w:t>
      </w:r>
      <w:r w:rsidR="003C7216">
        <w:t>adalimumab).</w:t>
      </w:r>
    </w:p>
    <w:p w14:paraId="0B8F7CF9" w14:textId="2D4E1FAA" w:rsidR="00570B85" w:rsidRDefault="00570B85" w:rsidP="00570B85">
      <w:pPr>
        <w:rPr>
          <w:i/>
        </w:rPr>
      </w:pPr>
      <w:r>
        <w:t xml:space="preserve">The sponsor performed a comprehensive similarity program in line with the general principles described in the </w:t>
      </w:r>
      <w:r w:rsidRPr="00F83E68">
        <w:rPr>
          <w:i/>
        </w:rPr>
        <w:t>Guideline on similar biological medicinal products containing biotechnology-derived proteins as active substance: quality issues</w:t>
      </w:r>
      <w:r>
        <w:rPr>
          <w:i/>
        </w:rPr>
        <w:t>.</w:t>
      </w:r>
      <w:r w:rsidR="00BE6F4C" w:rsidRPr="00BE6F4C">
        <w:rPr>
          <w:i/>
          <w:vertAlign w:val="superscript"/>
        </w:rPr>
        <w:fldChar w:fldCharType="begin"/>
      </w:r>
      <w:r w:rsidR="00BE6F4C" w:rsidRPr="00BE6F4C">
        <w:rPr>
          <w:i/>
          <w:vertAlign w:val="superscript"/>
        </w:rPr>
        <w:instrText xml:space="preserve"> NOTEREF _Ref66250500 \h </w:instrText>
      </w:r>
      <w:r w:rsidR="00BE6F4C">
        <w:rPr>
          <w:i/>
          <w:vertAlign w:val="superscript"/>
        </w:rPr>
        <w:instrText xml:space="preserve"> \* MERGEFORMAT </w:instrText>
      </w:r>
      <w:r w:rsidR="00BE6F4C" w:rsidRPr="00BE6F4C">
        <w:rPr>
          <w:i/>
          <w:vertAlign w:val="superscript"/>
        </w:rPr>
      </w:r>
      <w:r w:rsidR="00BE6F4C" w:rsidRPr="00BE6F4C">
        <w:rPr>
          <w:i/>
          <w:vertAlign w:val="superscript"/>
        </w:rPr>
        <w:fldChar w:fldCharType="separate"/>
      </w:r>
      <w:r w:rsidR="0012232D">
        <w:rPr>
          <w:i/>
          <w:vertAlign w:val="superscript"/>
        </w:rPr>
        <w:t>3</w:t>
      </w:r>
      <w:r w:rsidR="00BE6F4C" w:rsidRPr="00BE6F4C">
        <w:rPr>
          <w:i/>
          <w:vertAlign w:val="superscript"/>
        </w:rPr>
        <w:fldChar w:fldCharType="end"/>
      </w:r>
      <w:r>
        <w:t xml:space="preserve"> </w:t>
      </w:r>
      <w:r>
        <w:rPr>
          <w:lang w:val="en-GB"/>
        </w:rPr>
        <w:t xml:space="preserve">Extensive physicochemical/biological comparability has been conducted utilising sufficient batches/lots, comparability criteria and method qualification. </w:t>
      </w:r>
      <w:r>
        <w:t>Analytical comparability studies included primary, secondary and higher order structures, post-translational modifications (charge variants and glycan profiles), purity and impurities, quantity, biological activity i</w:t>
      </w:r>
      <w:r w:rsidR="00BE6F4C">
        <w:t>n fragment antigen-binding</w:t>
      </w:r>
      <w:r>
        <w:t xml:space="preserve"> </w:t>
      </w:r>
      <w:r w:rsidR="00BE6F4C">
        <w:t>and fragment crystallisable</w:t>
      </w:r>
      <w:r>
        <w:t xml:space="preserve"> related functions, and comparative stability studies.</w:t>
      </w:r>
    </w:p>
    <w:p w14:paraId="1ABA055F" w14:textId="77777777" w:rsidR="00570B85" w:rsidRPr="008F4DED" w:rsidRDefault="00570B85" w:rsidP="00570B85">
      <w:pPr>
        <w:rPr>
          <w:lang w:val="en-GB"/>
        </w:rPr>
      </w:pPr>
      <w:r>
        <w:rPr>
          <w:lang w:val="en-GB"/>
        </w:rPr>
        <w:t xml:space="preserve">High similarity was demonstrated </w:t>
      </w:r>
      <w:r w:rsidRPr="008F4DED">
        <w:rPr>
          <w:lang w:val="en-GB"/>
        </w:rPr>
        <w:t xml:space="preserve">between </w:t>
      </w:r>
      <w:r>
        <w:rPr>
          <w:lang w:val="en-GB"/>
        </w:rPr>
        <w:t>Abrilada (adalimumab)</w:t>
      </w:r>
      <w:r w:rsidRPr="008F4DED">
        <w:rPr>
          <w:lang w:val="en-GB"/>
        </w:rPr>
        <w:t xml:space="preserve"> and </w:t>
      </w:r>
      <w:r>
        <w:rPr>
          <w:lang w:val="en-GB"/>
        </w:rPr>
        <w:t>EU-sourced Humira (adalimumab) for:</w:t>
      </w:r>
    </w:p>
    <w:p w14:paraId="6D6CC7BB" w14:textId="77777777" w:rsidR="00570B85" w:rsidRDefault="00570B85" w:rsidP="00570B85">
      <w:pPr>
        <w:pStyle w:val="ListBullet"/>
        <w:rPr>
          <w:lang w:val="en-GB"/>
        </w:rPr>
      </w:pPr>
      <w:r w:rsidRPr="008F4DED">
        <w:rPr>
          <w:lang w:val="en-GB"/>
        </w:rPr>
        <w:t>Primary structure</w:t>
      </w:r>
    </w:p>
    <w:p w14:paraId="01372FF2" w14:textId="77777777" w:rsidR="00570B85" w:rsidRDefault="00570B85" w:rsidP="00570B85">
      <w:pPr>
        <w:pStyle w:val="ListBullet"/>
        <w:rPr>
          <w:lang w:val="en-GB"/>
        </w:rPr>
      </w:pPr>
      <w:r w:rsidRPr="008D7D45">
        <w:rPr>
          <w:lang w:val="en-GB"/>
        </w:rPr>
        <w:t>Higher order structure</w:t>
      </w:r>
    </w:p>
    <w:p w14:paraId="3D3716AE" w14:textId="77777777" w:rsidR="00570B85" w:rsidRDefault="00570B85" w:rsidP="00570B85">
      <w:pPr>
        <w:pStyle w:val="ListBullet"/>
        <w:rPr>
          <w:lang w:val="en-GB"/>
        </w:rPr>
      </w:pPr>
      <w:r w:rsidRPr="008D7D45">
        <w:rPr>
          <w:lang w:val="en-GB"/>
        </w:rPr>
        <w:t>Dimers, aggregations, and fragments</w:t>
      </w:r>
    </w:p>
    <w:p w14:paraId="056DDACC" w14:textId="77777777" w:rsidR="00570B85" w:rsidRDefault="00570B85" w:rsidP="00570B85">
      <w:pPr>
        <w:pStyle w:val="ListBullet"/>
        <w:rPr>
          <w:lang w:val="en-GB"/>
        </w:rPr>
      </w:pPr>
      <w:r w:rsidRPr="008D7D45">
        <w:rPr>
          <w:lang w:val="en-GB"/>
        </w:rPr>
        <w:t xml:space="preserve">Glycosylation, with the exception of total </w:t>
      </w:r>
      <w:proofErr w:type="spellStart"/>
      <w:r w:rsidRPr="008D7D45">
        <w:rPr>
          <w:lang w:val="en-GB"/>
        </w:rPr>
        <w:t>afucosylation</w:t>
      </w:r>
      <w:proofErr w:type="spellEnd"/>
      <w:r w:rsidRPr="008D7D45">
        <w:rPr>
          <w:lang w:val="en-GB"/>
        </w:rPr>
        <w:t>/high mannose variants</w:t>
      </w:r>
    </w:p>
    <w:p w14:paraId="626F6AEC" w14:textId="77777777" w:rsidR="00570B85" w:rsidRDefault="00570B85" w:rsidP="00570B85">
      <w:pPr>
        <w:pStyle w:val="ListBullet"/>
        <w:rPr>
          <w:lang w:val="en-GB"/>
        </w:rPr>
      </w:pPr>
      <w:r w:rsidRPr="008D7D45">
        <w:rPr>
          <w:lang w:val="en-GB"/>
        </w:rPr>
        <w:t>Charge variant profile</w:t>
      </w:r>
    </w:p>
    <w:p w14:paraId="6765BD05" w14:textId="2A5F5D5A" w:rsidR="00570B85" w:rsidRDefault="00570B85" w:rsidP="00570B85">
      <w:pPr>
        <w:pStyle w:val="ListBullet"/>
        <w:rPr>
          <w:lang w:val="en-GB"/>
        </w:rPr>
      </w:pPr>
      <w:r w:rsidRPr="008D7D45">
        <w:rPr>
          <w:lang w:val="en-GB"/>
        </w:rPr>
        <w:t>Binding to both s</w:t>
      </w:r>
      <w:r w:rsidR="00BE6F4C">
        <w:rPr>
          <w:lang w:val="en-GB"/>
        </w:rPr>
        <w:t xml:space="preserve">oluble TNF and </w:t>
      </w:r>
      <w:r w:rsidR="009841C5">
        <w:rPr>
          <w:lang w:val="en-GB"/>
        </w:rPr>
        <w:t>transmembrane</w:t>
      </w:r>
      <w:r w:rsidR="00BE6F4C">
        <w:rPr>
          <w:lang w:val="en-GB"/>
        </w:rPr>
        <w:t xml:space="preserve"> </w:t>
      </w:r>
      <w:r w:rsidRPr="008D7D45">
        <w:rPr>
          <w:lang w:val="en-GB"/>
        </w:rPr>
        <w:t>TNF</w:t>
      </w:r>
    </w:p>
    <w:p w14:paraId="45114820" w14:textId="1FFB0723" w:rsidR="00570B85" w:rsidRPr="008D7D45" w:rsidRDefault="00570B85" w:rsidP="00570B85">
      <w:pPr>
        <w:pStyle w:val="ListBullet"/>
        <w:rPr>
          <w:lang w:val="en-GB"/>
        </w:rPr>
      </w:pPr>
      <w:r w:rsidRPr="008D7D45">
        <w:rPr>
          <w:lang w:val="en-GB"/>
        </w:rPr>
        <w:t xml:space="preserve">C1q binding and </w:t>
      </w:r>
      <w:r w:rsidR="009841C5">
        <w:rPr>
          <w:lang w:val="en-GB"/>
        </w:rPr>
        <w:t>complement-dependent cytotoxic</w:t>
      </w:r>
      <w:r w:rsidRPr="008D7D45">
        <w:rPr>
          <w:lang w:val="en-GB"/>
        </w:rPr>
        <w:t xml:space="preserve"> activity.</w:t>
      </w:r>
    </w:p>
    <w:p w14:paraId="4308CF43" w14:textId="77777777" w:rsidR="00570B85" w:rsidRDefault="00570B85" w:rsidP="00570B85">
      <w:pPr>
        <w:rPr>
          <w:lang w:val="en-GB"/>
        </w:rPr>
      </w:pPr>
      <w:r>
        <w:rPr>
          <w:lang w:val="en-GB"/>
        </w:rPr>
        <w:t>M</w:t>
      </w:r>
      <w:r w:rsidRPr="008F4DED">
        <w:rPr>
          <w:lang w:val="en-GB"/>
        </w:rPr>
        <w:t xml:space="preserve">inor differences between </w:t>
      </w:r>
      <w:r>
        <w:rPr>
          <w:lang w:val="en-GB"/>
        </w:rPr>
        <w:t>Abrilada (adalimumab) a</w:t>
      </w:r>
      <w:r w:rsidRPr="008F4DED">
        <w:rPr>
          <w:lang w:val="en-GB"/>
        </w:rPr>
        <w:t xml:space="preserve">nd </w:t>
      </w:r>
      <w:r>
        <w:rPr>
          <w:lang w:val="en-GB"/>
        </w:rPr>
        <w:t>EU-sourced Humira (adalimumab) were observed</w:t>
      </w:r>
      <w:r w:rsidRPr="008F4DED">
        <w:rPr>
          <w:lang w:val="en-GB"/>
        </w:rPr>
        <w:t xml:space="preserve"> </w:t>
      </w:r>
      <w:r>
        <w:rPr>
          <w:lang w:val="en-GB"/>
        </w:rPr>
        <w:t>f</w:t>
      </w:r>
      <w:r w:rsidRPr="008F4DED">
        <w:rPr>
          <w:lang w:val="en-GB"/>
        </w:rPr>
        <w:t xml:space="preserve">or </w:t>
      </w:r>
      <w:r>
        <w:rPr>
          <w:lang w:val="en-GB"/>
        </w:rPr>
        <w:t>some quality attributes:</w:t>
      </w:r>
    </w:p>
    <w:p w14:paraId="44041CCC" w14:textId="29217D0C" w:rsidR="00570B85" w:rsidRDefault="00570B85" w:rsidP="00570B85">
      <w:pPr>
        <w:pStyle w:val="ListBullet"/>
        <w:rPr>
          <w:lang w:val="en-GB"/>
        </w:rPr>
      </w:pPr>
      <w:r w:rsidRPr="008D7D45">
        <w:rPr>
          <w:lang w:val="en-GB"/>
        </w:rPr>
        <w:t xml:space="preserve">The levels of high mannose variants differed between </w:t>
      </w:r>
      <w:r>
        <w:rPr>
          <w:lang w:val="en-GB"/>
        </w:rPr>
        <w:t>Abrilada (adalimumab)</w:t>
      </w:r>
      <w:r w:rsidRPr="008D7D45">
        <w:rPr>
          <w:lang w:val="en-GB"/>
        </w:rPr>
        <w:t xml:space="preserve"> and </w:t>
      </w:r>
      <w:r w:rsidR="009841C5">
        <w:rPr>
          <w:lang w:val="en-GB"/>
        </w:rPr>
        <w:t>EU</w:t>
      </w:r>
      <w:r w:rsidR="009841C5">
        <w:rPr>
          <w:lang w:val="en-GB"/>
        </w:rPr>
        <w:noBreakHyphen/>
      </w:r>
      <w:r>
        <w:rPr>
          <w:lang w:val="en-GB"/>
        </w:rPr>
        <w:t xml:space="preserve">sourced Humira (adalimumab): </w:t>
      </w:r>
      <w:r w:rsidR="0095702B">
        <w:rPr>
          <w:lang w:val="en-GB"/>
        </w:rPr>
        <w:t>From a pharmacokinetic perspective, the sponsor</w:t>
      </w:r>
      <w:r w:rsidRPr="008D7D45">
        <w:rPr>
          <w:lang w:val="en-GB"/>
        </w:rPr>
        <w:t xml:space="preserve"> provided a literature-based discussion on the impact of high mannose variants on pharmacokinetics. Experimental data on high mannose content showed only minimal impact on </w:t>
      </w:r>
      <w:r w:rsidR="0095702B">
        <w:rPr>
          <w:lang w:val="en-GB"/>
        </w:rPr>
        <w:t>the area under the concentration-time curve (</w:t>
      </w:r>
      <w:r w:rsidRPr="008D7D45">
        <w:rPr>
          <w:lang w:val="en-GB"/>
        </w:rPr>
        <w:t>AUC</w:t>
      </w:r>
      <w:r w:rsidR="0095702B">
        <w:rPr>
          <w:lang w:val="en-GB"/>
        </w:rPr>
        <w:t>)</w:t>
      </w:r>
      <w:r w:rsidRPr="008D7D45">
        <w:rPr>
          <w:lang w:val="en-GB"/>
        </w:rPr>
        <w:t xml:space="preserve">. The extrapolation data on </w:t>
      </w:r>
      <w:r w:rsidR="0095702B">
        <w:rPr>
          <w:lang w:val="en-GB"/>
        </w:rPr>
        <w:t>Abrilada (adalimumab)</w:t>
      </w:r>
      <w:r w:rsidRPr="008D7D45">
        <w:rPr>
          <w:lang w:val="en-GB"/>
        </w:rPr>
        <w:t xml:space="preserve"> and </w:t>
      </w:r>
      <w:r w:rsidR="0095702B">
        <w:rPr>
          <w:lang w:val="en-GB"/>
        </w:rPr>
        <w:t>EU- and US-sourced Humira (adalimumab)</w:t>
      </w:r>
      <w:r w:rsidRPr="008D7D45">
        <w:rPr>
          <w:lang w:val="en-GB"/>
        </w:rPr>
        <w:t xml:space="preserve"> further concluded that the differences in high mannose could theoretically result only in a small </w:t>
      </w:r>
      <w:r w:rsidR="0095702B">
        <w:t>difference in all pharmacokinetic</w:t>
      </w:r>
      <w:r w:rsidRPr="006F6F6F">
        <w:t xml:space="preserve"> parameters.</w:t>
      </w:r>
      <w:r w:rsidR="0095702B">
        <w:t xml:space="preserve"> </w:t>
      </w:r>
      <w:hyperlink r:id="rId20" w:history="1">
        <w:r w:rsidRPr="006F6F6F">
          <w:t xml:space="preserve">In response to </w:t>
        </w:r>
        <w:r>
          <w:t xml:space="preserve">a </w:t>
        </w:r>
        <w:r w:rsidRPr="006F6F6F">
          <w:t>question raised by the EMA evaluator</w:t>
        </w:r>
      </w:hyperlink>
      <w:r w:rsidRPr="006F6F6F">
        <w:t>, the</w:t>
      </w:r>
      <w:r w:rsidRPr="008D7D45">
        <w:rPr>
          <w:lang w:val="en-GB"/>
        </w:rPr>
        <w:t xml:space="preserve"> </w:t>
      </w:r>
      <w:r w:rsidR="0095702B">
        <w:rPr>
          <w:lang w:val="en-GB"/>
        </w:rPr>
        <w:t>sponsor</w:t>
      </w:r>
      <w:r w:rsidRPr="008D7D45">
        <w:rPr>
          <w:lang w:val="en-GB"/>
        </w:rPr>
        <w:t xml:space="preserve"> was able to demonstrate through a series of biological and binding assays that these minor differences did not translate to meaningful biolo</w:t>
      </w:r>
      <w:r w:rsidR="0095702B">
        <w:rPr>
          <w:lang w:val="en-GB"/>
        </w:rPr>
        <w:t xml:space="preserve">gical or clinical differences. </w:t>
      </w:r>
      <w:r w:rsidRPr="008D7D45">
        <w:rPr>
          <w:lang w:val="en-GB"/>
        </w:rPr>
        <w:t>The evaluat</w:t>
      </w:r>
      <w:r w:rsidR="0095702B">
        <w:rPr>
          <w:lang w:val="en-GB"/>
        </w:rPr>
        <w:t>or agrees with the s</w:t>
      </w:r>
      <w:r w:rsidRPr="008D7D45">
        <w:rPr>
          <w:lang w:val="en-GB"/>
        </w:rPr>
        <w:t>ponsor’s assessment that the difference observed in high mannose content i</w:t>
      </w:r>
      <w:r w:rsidR="0095702B">
        <w:rPr>
          <w:lang w:val="en-GB"/>
        </w:rPr>
        <w:t>s minor and the impact on the pharmacokinetics</w:t>
      </w:r>
      <w:r w:rsidRPr="008D7D45">
        <w:rPr>
          <w:lang w:val="en-GB"/>
        </w:rPr>
        <w:t xml:space="preserve"> of adalimumab is not expected to be significant.</w:t>
      </w:r>
    </w:p>
    <w:p w14:paraId="6CD1A7AE" w14:textId="408CAF82" w:rsidR="00570B85" w:rsidRPr="004E0332" w:rsidRDefault="00570B85" w:rsidP="0095702B">
      <w:pPr>
        <w:pStyle w:val="ListBullet"/>
      </w:pPr>
      <w:r>
        <w:rPr>
          <w:lang w:val="en-GB"/>
        </w:rPr>
        <w:t>A</w:t>
      </w:r>
      <w:r w:rsidR="0095702B">
        <w:rPr>
          <w:lang w:val="en-GB"/>
        </w:rPr>
        <w:t>brilada (adalimumab)</w:t>
      </w:r>
      <w:r w:rsidRPr="004E0332">
        <w:rPr>
          <w:lang w:val="en-GB"/>
        </w:rPr>
        <w:t xml:space="preserve"> shows lower level of total %</w:t>
      </w:r>
      <w:proofErr w:type="spellStart"/>
      <w:r>
        <w:rPr>
          <w:lang w:val="en-GB"/>
        </w:rPr>
        <w:t>a</w:t>
      </w:r>
      <w:r w:rsidR="0095702B">
        <w:rPr>
          <w:lang w:val="en-GB"/>
        </w:rPr>
        <w:t>fucosylation</w:t>
      </w:r>
      <w:proofErr w:type="spellEnd"/>
      <w:r w:rsidR="0095702B">
        <w:rPr>
          <w:lang w:val="en-GB"/>
        </w:rPr>
        <w:t xml:space="preserve"> </w:t>
      </w:r>
      <w:r w:rsidRPr="004E0332">
        <w:rPr>
          <w:lang w:val="en-GB"/>
        </w:rPr>
        <w:t xml:space="preserve">when compared to </w:t>
      </w:r>
      <w:r w:rsidR="0095702B">
        <w:rPr>
          <w:lang w:val="en-GB"/>
        </w:rPr>
        <w:t xml:space="preserve">EU-sourced Humira (adalimumab). </w:t>
      </w:r>
      <w:r w:rsidRPr="004E0332">
        <w:rPr>
          <w:lang w:val="en-GB"/>
        </w:rPr>
        <w:t>The lower %</w:t>
      </w:r>
      <w:proofErr w:type="spellStart"/>
      <w:r w:rsidRPr="004E0332">
        <w:rPr>
          <w:lang w:val="en-GB"/>
        </w:rPr>
        <w:t>afucose</w:t>
      </w:r>
      <w:proofErr w:type="spellEnd"/>
      <w:r w:rsidRPr="004E0332">
        <w:rPr>
          <w:lang w:val="en-GB"/>
        </w:rPr>
        <w:t xml:space="preserve"> levels correlate with the lower </w:t>
      </w:r>
      <w:r w:rsidR="0095702B">
        <w:rPr>
          <w:lang w:val="en-GB"/>
        </w:rPr>
        <w:t>antibody dependent cellular cytotoxicity (</w:t>
      </w:r>
      <w:r w:rsidRPr="004E0332">
        <w:rPr>
          <w:lang w:val="en-GB"/>
        </w:rPr>
        <w:t>ADCC</w:t>
      </w:r>
      <w:r w:rsidR="0095702B">
        <w:rPr>
          <w:lang w:val="en-GB"/>
        </w:rPr>
        <w:t>)</w:t>
      </w:r>
      <w:r w:rsidRPr="004E0332">
        <w:rPr>
          <w:lang w:val="en-GB"/>
        </w:rPr>
        <w:t xml:space="preserve"> activity on </w:t>
      </w:r>
      <w:r w:rsidR="009841C5">
        <w:rPr>
          <w:lang w:val="en-GB"/>
        </w:rPr>
        <w:t xml:space="preserve">natural killer </w:t>
      </w:r>
      <w:r w:rsidRPr="004E0332">
        <w:rPr>
          <w:lang w:val="en-GB"/>
        </w:rPr>
        <w:t xml:space="preserve">cells observed with </w:t>
      </w:r>
      <w:r w:rsidR="0095702B">
        <w:rPr>
          <w:lang w:val="en-GB"/>
        </w:rPr>
        <w:t>Abrilada</w:t>
      </w:r>
      <w:r w:rsidR="0095702B" w:rsidRPr="004E0332">
        <w:rPr>
          <w:lang w:val="en-GB"/>
        </w:rPr>
        <w:t xml:space="preserve"> </w:t>
      </w:r>
      <w:r w:rsidR="0095702B">
        <w:rPr>
          <w:lang w:val="en-GB"/>
        </w:rPr>
        <w:t xml:space="preserve">(adalimumab) </w:t>
      </w:r>
      <w:r w:rsidRPr="004E0332">
        <w:rPr>
          <w:lang w:val="en-GB"/>
        </w:rPr>
        <w:t xml:space="preserve">batches. The applicant responded to this concern by providing a more relevant ADCC assay (to that which is obtainable </w:t>
      </w:r>
      <w:r w:rsidRPr="0095702B">
        <w:rPr>
          <w:i/>
          <w:lang w:val="en-GB"/>
        </w:rPr>
        <w:t>in vivo</w:t>
      </w:r>
      <w:r w:rsidRPr="004E0332">
        <w:rPr>
          <w:lang w:val="en-GB"/>
        </w:rPr>
        <w:t xml:space="preserve">) and showed substantial overlap in the ADCC activity range for </w:t>
      </w:r>
      <w:r w:rsidR="0095702B">
        <w:rPr>
          <w:lang w:val="en-GB"/>
        </w:rPr>
        <w:t>Abrilada (adalimumab)</w:t>
      </w:r>
      <w:r w:rsidRPr="004E0332">
        <w:rPr>
          <w:lang w:val="en-GB"/>
        </w:rPr>
        <w:t xml:space="preserve"> and </w:t>
      </w:r>
      <w:r w:rsidR="0095702B">
        <w:rPr>
          <w:lang w:val="en-GB"/>
        </w:rPr>
        <w:t>EU</w:t>
      </w:r>
      <w:r w:rsidR="0095702B">
        <w:rPr>
          <w:lang w:val="en-GB"/>
        </w:rPr>
        <w:noBreakHyphen/>
        <w:t xml:space="preserve">sourced Humira (adalimumab). </w:t>
      </w:r>
      <w:r w:rsidRPr="004E0332">
        <w:rPr>
          <w:lang w:val="en-GB"/>
        </w:rPr>
        <w:t xml:space="preserve">In addition, the applicant proposed to control G0 and Man5 </w:t>
      </w:r>
      <w:r w:rsidR="004128D2">
        <w:rPr>
          <w:lang w:val="en-GB"/>
        </w:rPr>
        <w:t>levels as part of drug substance</w:t>
      </w:r>
      <w:r w:rsidRPr="004E0332">
        <w:rPr>
          <w:lang w:val="en-GB"/>
        </w:rPr>
        <w:t xml:space="preserve"> specifications, as G0 and Man5 are the main </w:t>
      </w:r>
      <w:proofErr w:type="spellStart"/>
      <w:r w:rsidRPr="004E0332">
        <w:rPr>
          <w:lang w:val="en-GB"/>
        </w:rPr>
        <w:t>afucosylated</w:t>
      </w:r>
      <w:proofErr w:type="spellEnd"/>
      <w:r w:rsidRPr="004E0332">
        <w:rPr>
          <w:lang w:val="en-GB"/>
        </w:rPr>
        <w:t xml:space="preserve"> </w:t>
      </w:r>
      <w:proofErr w:type="spellStart"/>
      <w:r w:rsidRPr="004E0332">
        <w:rPr>
          <w:lang w:val="en-GB"/>
        </w:rPr>
        <w:t>glycans</w:t>
      </w:r>
      <w:proofErr w:type="spellEnd"/>
      <w:r w:rsidRPr="004E0332">
        <w:rPr>
          <w:lang w:val="en-GB"/>
        </w:rPr>
        <w:t xml:space="preserve"> present in adalimumab. The evaluator agreed with the EMA assessor that this approach is sound and provides confidence that the </w:t>
      </w:r>
      <w:proofErr w:type="spellStart"/>
      <w:r w:rsidRPr="004E0332">
        <w:rPr>
          <w:lang w:val="en-GB"/>
        </w:rPr>
        <w:t>afucosylation</w:t>
      </w:r>
      <w:proofErr w:type="spellEnd"/>
      <w:r w:rsidRPr="004E0332">
        <w:rPr>
          <w:lang w:val="en-GB"/>
        </w:rPr>
        <w:t xml:space="preserve"> level is appropriately controlled.</w:t>
      </w:r>
    </w:p>
    <w:p w14:paraId="421ABBCA" w14:textId="77777777" w:rsidR="00570B85" w:rsidRDefault="00570B85" w:rsidP="00570B85">
      <w:pPr>
        <w:rPr>
          <w:lang w:val="en-GB"/>
        </w:rPr>
      </w:pPr>
      <w:r w:rsidRPr="001357C9">
        <w:rPr>
          <w:lang w:val="en-GB"/>
        </w:rPr>
        <w:t xml:space="preserve">There are no issues pertaining to drug substance and drug product stability. There are no issues pertaining to drug substance and drug product </w:t>
      </w:r>
      <w:r w:rsidR="004128D2">
        <w:rPr>
          <w:lang w:val="en-GB"/>
        </w:rPr>
        <w:t xml:space="preserve">specifications. </w:t>
      </w:r>
      <w:r w:rsidRPr="001357C9">
        <w:rPr>
          <w:lang w:val="en-GB"/>
        </w:rPr>
        <w:t>All analytic procedures are validated</w:t>
      </w:r>
      <w:r w:rsidR="004128D2">
        <w:rPr>
          <w:lang w:val="en-GB"/>
        </w:rPr>
        <w:t xml:space="preserve">. </w:t>
      </w:r>
      <w:r w:rsidRPr="001357C9">
        <w:rPr>
          <w:lang w:val="en-GB"/>
        </w:rPr>
        <w:t>The proposed specifications for the pre-filled pen are acceptable.</w:t>
      </w:r>
    </w:p>
    <w:p w14:paraId="16A31EB5" w14:textId="77777777" w:rsidR="00570B85" w:rsidRPr="00B64EF1" w:rsidRDefault="00570B85" w:rsidP="00570B85">
      <w:r w:rsidRPr="001357C9">
        <w:t xml:space="preserve">There are no </w:t>
      </w:r>
      <w:r w:rsidRPr="001C23A6">
        <w:t xml:space="preserve">objections to the registration of </w:t>
      </w:r>
      <w:r w:rsidR="004128D2">
        <w:t>Abrilada (adalimumab)</w:t>
      </w:r>
      <w:r w:rsidRPr="001C23A6">
        <w:t xml:space="preserve"> from sterility</w:t>
      </w:r>
      <w:r>
        <w:t>,</w:t>
      </w:r>
      <w:r w:rsidRPr="001C23A6">
        <w:t xml:space="preserve"> endotoxin, container safety an</w:t>
      </w:r>
      <w:r w:rsidR="004128D2">
        <w:t>d viral safety related aspects.</w:t>
      </w:r>
    </w:p>
    <w:p w14:paraId="0ADDD5EE" w14:textId="31D88415" w:rsidR="00570B85" w:rsidRPr="005E0170" w:rsidRDefault="00570B85" w:rsidP="00570B85">
      <w:r w:rsidRPr="005E0170">
        <w:t xml:space="preserve">The </w:t>
      </w:r>
      <w:r w:rsidR="009841C5">
        <w:t>PI</w:t>
      </w:r>
      <w:r w:rsidRPr="005E0170">
        <w:t xml:space="preserve"> is acceptable from a </w:t>
      </w:r>
      <w:r w:rsidR="004128D2">
        <w:t xml:space="preserve">quality </w:t>
      </w:r>
      <w:r w:rsidRPr="005E0170">
        <w:t>perspective.</w:t>
      </w:r>
    </w:p>
    <w:p w14:paraId="7B64CC92" w14:textId="3D995DE5" w:rsidR="00570B85" w:rsidRPr="005F3628" w:rsidRDefault="00570B85" w:rsidP="00570B85">
      <w:r w:rsidRPr="005F3628">
        <w:t>The evaluation report also identified missing information regarding GMP status</w:t>
      </w:r>
      <w:r w:rsidR="004128D2">
        <w:t xml:space="preserve">. </w:t>
      </w:r>
      <w:r w:rsidRPr="005F3628">
        <w:t>This needs to be addressed prior to finalisation of this submission.</w:t>
      </w:r>
      <w:r w:rsidR="009841C5">
        <w:rPr>
          <w:rStyle w:val="FootnoteReference"/>
        </w:rPr>
        <w:footnoteReference w:id="5"/>
      </w:r>
    </w:p>
    <w:p w14:paraId="6508F752" w14:textId="77777777" w:rsidR="004128D2" w:rsidRDefault="00570B85" w:rsidP="004128D2">
      <w:pPr>
        <w:pStyle w:val="Heading4"/>
      </w:pPr>
      <w:r w:rsidRPr="00BF0982">
        <w:t xml:space="preserve">Quality–related </w:t>
      </w:r>
      <w:r w:rsidRPr="004128D2">
        <w:t>proposed</w:t>
      </w:r>
      <w:r w:rsidRPr="00BF0982">
        <w:t xml:space="preserve"> conditions of registration</w:t>
      </w:r>
    </w:p>
    <w:p w14:paraId="2404EF6A" w14:textId="77777777" w:rsidR="004128D2" w:rsidRPr="004128D2" w:rsidRDefault="004128D2" w:rsidP="004128D2">
      <w:r>
        <w:t>The quality evaluator proposed the following conditions of registration:</w:t>
      </w:r>
    </w:p>
    <w:p w14:paraId="6C617B30" w14:textId="6168669F" w:rsidR="00570B85" w:rsidRPr="00B102EA" w:rsidRDefault="004128D2" w:rsidP="004128D2">
      <w:pPr>
        <w:pStyle w:val="Heading5"/>
      </w:pPr>
      <w:r>
        <w:t>Laboratory testing and</w:t>
      </w:r>
      <w:r w:rsidR="00570B85" w:rsidRPr="00B102EA">
        <w:t xml:space="preserve"> compliance with </w:t>
      </w:r>
      <w:r w:rsidR="00A94E94" w:rsidRPr="00B102EA">
        <w:t>certified product det</w:t>
      </w:r>
      <w:r w:rsidR="00570B85" w:rsidRPr="00B102EA">
        <w:t>ail</w:t>
      </w:r>
      <w:r>
        <w:t>s</w:t>
      </w:r>
    </w:p>
    <w:p w14:paraId="72BFDDCA" w14:textId="77777777" w:rsidR="00570B85" w:rsidRDefault="00570B85" w:rsidP="004128D2">
      <w:pPr>
        <w:pStyle w:val="ListBullet"/>
      </w:pPr>
      <w:r w:rsidRPr="00B102EA">
        <w:t xml:space="preserve">All batches of </w:t>
      </w:r>
      <w:r w:rsidR="004128D2">
        <w:t>Abrilada</w:t>
      </w:r>
      <w:r w:rsidRPr="00B102EA">
        <w:t xml:space="preserve"> supplied in Australia must comply with the product details and specifications approved during evaluation and detailed in the Certified Product Details (CPD).</w:t>
      </w:r>
    </w:p>
    <w:p w14:paraId="45AC8A3D" w14:textId="77777777" w:rsidR="00570B85" w:rsidRPr="001F48AA" w:rsidRDefault="00570B85" w:rsidP="004128D2">
      <w:pPr>
        <w:pStyle w:val="ListBullet"/>
      </w:pPr>
      <w:r w:rsidRPr="00B102EA">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074029BE" w14:textId="7E14A73B" w:rsidR="00570B85" w:rsidRPr="003C53D8" w:rsidRDefault="00570B85" w:rsidP="004128D2">
      <w:pPr>
        <w:pStyle w:val="Heading5"/>
      </w:pPr>
      <w:bookmarkStart w:id="38" w:name="_Toc491440826"/>
      <w:r w:rsidRPr="003C53D8">
        <w:t xml:space="preserve">Certified </w:t>
      </w:r>
      <w:r w:rsidR="00A94E94" w:rsidRPr="003C53D8">
        <w:t>product det</w:t>
      </w:r>
      <w:r w:rsidRPr="003C53D8">
        <w:t>ails</w:t>
      </w:r>
      <w:bookmarkEnd w:id="38"/>
    </w:p>
    <w:p w14:paraId="438E20DC" w14:textId="33C5CD92" w:rsidR="00570B85" w:rsidRPr="00570B85" w:rsidRDefault="00570B85" w:rsidP="00570B85">
      <w:pPr>
        <w:pStyle w:val="ListBullet"/>
      </w:pPr>
      <w:r w:rsidRPr="001F48AA">
        <w:t xml:space="preserve">The Certified Product Details (CPD), as described in Guidance 7: Certified Product Details of the Australian Regulatory Guidelines for Prescription Medicines (ARGPM) </w:t>
      </w:r>
      <w:r w:rsidR="00815A54">
        <w:rPr>
          <w:rStyle w:val="Hyperlink"/>
        </w:rPr>
        <w:t>(</w:t>
      </w:r>
      <w:r w:rsidR="00815A54" w:rsidRPr="00704FEB">
        <w:t>http://www.tga.gov.au/industry/pm-argpm-guidance-7.htm</w:t>
      </w:r>
      <w:r w:rsidR="00815A54">
        <w:t>)</w:t>
      </w:r>
      <w:r w:rsidRPr="001F48AA">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E8F72A9" w14:textId="77777777" w:rsidR="008E7846" w:rsidRDefault="008E7846" w:rsidP="008E7846">
      <w:pPr>
        <w:pStyle w:val="Heading3"/>
      </w:pPr>
      <w:bookmarkStart w:id="39" w:name="_Toc314842512"/>
      <w:bookmarkStart w:id="40" w:name="_Toc71104754"/>
      <w:r>
        <w:t>Nonclinical</w:t>
      </w:r>
      <w:bookmarkEnd w:id="39"/>
      <w:bookmarkEnd w:id="40"/>
    </w:p>
    <w:p w14:paraId="202E95F6" w14:textId="77777777" w:rsidR="004128D2" w:rsidRDefault="004128D2" w:rsidP="004128D2">
      <w:pPr>
        <w:rPr>
          <w:kern w:val="2"/>
        </w:rPr>
      </w:pPr>
      <w:r w:rsidRPr="00727FB3">
        <w:rPr>
          <w:kern w:val="2"/>
        </w:rPr>
        <w:t xml:space="preserve">The scope of the nonclinical program was adequate. </w:t>
      </w:r>
      <w:r w:rsidRPr="00727FB3">
        <w:t xml:space="preserve">The nonclinical dossier contained comparative studies on </w:t>
      </w:r>
      <w:r w:rsidRPr="00727FB3">
        <w:rPr>
          <w:i/>
        </w:rPr>
        <w:t>in vitro</w:t>
      </w:r>
      <w:r w:rsidRPr="00727FB3">
        <w:t xml:space="preserve"> cellular uptake and </w:t>
      </w:r>
      <w:r w:rsidRPr="00727FB3">
        <w:rPr>
          <w:i/>
        </w:rPr>
        <w:t>in vivo</w:t>
      </w:r>
      <w:r w:rsidRPr="00727FB3">
        <w:t xml:space="preserve"> repeat-dose toxic</w:t>
      </w:r>
      <w:r>
        <w:t xml:space="preserve">ity (including </w:t>
      </w:r>
      <w:proofErr w:type="spellStart"/>
      <w:r>
        <w:t>toxicokinetics</w:t>
      </w:r>
      <w:proofErr w:type="spellEnd"/>
      <w:r>
        <w:t>).</w:t>
      </w:r>
    </w:p>
    <w:p w14:paraId="363BCCAB" w14:textId="77777777" w:rsidR="004128D2" w:rsidRDefault="004128D2" w:rsidP="004128D2">
      <w:r w:rsidRPr="00727FB3">
        <w:t>The effect of different levels of mannose N-linked glycan content between</w:t>
      </w:r>
      <w:r>
        <w:t xml:space="preserve"> Abrilada (adalimumab) </w:t>
      </w:r>
      <w:r w:rsidRPr="00727FB3">
        <w:t xml:space="preserve">and </w:t>
      </w:r>
      <w:r>
        <w:t xml:space="preserve">US-sourced Humira (adalimumab) </w:t>
      </w:r>
      <w:r w:rsidRPr="00727FB3">
        <w:t>was investigated by assessing uptake of adalimumab into a rat macrophage cell line (expressing a mannose receptor). The</w:t>
      </w:r>
      <w:r>
        <w:t>re</w:t>
      </w:r>
      <w:r w:rsidRPr="00727FB3">
        <w:t xml:space="preserve"> appeared to be minimal involvement in the role of the mannose receptor in cellular uptake and there was no significant difference between the two </w:t>
      </w:r>
      <w:r>
        <w:t>test products, suggesting that</w:t>
      </w:r>
      <w:r w:rsidRPr="00727FB3">
        <w:t xml:space="preserve"> the difference in mannose </w:t>
      </w:r>
      <w:r w:rsidRPr="004128D2">
        <w:rPr>
          <w:i/>
        </w:rPr>
        <w:t>N</w:t>
      </w:r>
      <w:r w:rsidRPr="00727FB3">
        <w:t>-linked glycan patterns appears to have no significant functional effect</w:t>
      </w:r>
      <w:r>
        <w:t>.</w:t>
      </w:r>
    </w:p>
    <w:p w14:paraId="2F278ED8" w14:textId="77777777" w:rsidR="004128D2" w:rsidRPr="00727FB3" w:rsidRDefault="004128D2" w:rsidP="004128D2">
      <w:pPr>
        <w:rPr>
          <w:kern w:val="2"/>
        </w:rPr>
      </w:pPr>
      <w:r w:rsidRPr="00727FB3">
        <w:rPr>
          <w:kern w:val="2"/>
        </w:rPr>
        <w:t xml:space="preserve">Comparable serum </w:t>
      </w:r>
      <w:r>
        <w:rPr>
          <w:kern w:val="2"/>
        </w:rPr>
        <w:t>kinetic profiles after subcutaneous</w:t>
      </w:r>
      <w:r w:rsidRPr="00727FB3">
        <w:rPr>
          <w:kern w:val="2"/>
        </w:rPr>
        <w:t xml:space="preserve"> administration were evident for</w:t>
      </w:r>
      <w:r>
        <w:rPr>
          <w:kern w:val="2"/>
        </w:rPr>
        <w:t xml:space="preserve"> </w:t>
      </w:r>
      <w:r>
        <w:t xml:space="preserve">Abrilada (adalimumab) </w:t>
      </w:r>
      <w:r w:rsidRPr="00727FB3">
        <w:t xml:space="preserve">and </w:t>
      </w:r>
      <w:r>
        <w:t xml:space="preserve">EU-sourced Humira (adalimumab) </w:t>
      </w:r>
      <w:r w:rsidRPr="00727FB3">
        <w:rPr>
          <w:kern w:val="2"/>
        </w:rPr>
        <w:t xml:space="preserve">from </w:t>
      </w:r>
      <w:proofErr w:type="spellStart"/>
      <w:r w:rsidRPr="00727FB3">
        <w:rPr>
          <w:kern w:val="2"/>
        </w:rPr>
        <w:t>toxicokinetic</w:t>
      </w:r>
      <w:proofErr w:type="spellEnd"/>
      <w:r w:rsidRPr="00727FB3">
        <w:rPr>
          <w:kern w:val="2"/>
        </w:rPr>
        <w:t xml:space="preserve"> data obtained in monkeys. No meaningful differences between </w:t>
      </w:r>
      <w:r>
        <w:t xml:space="preserve">Abrilada (adalimumab) </w:t>
      </w:r>
      <w:r w:rsidRPr="00727FB3">
        <w:t xml:space="preserve">and </w:t>
      </w:r>
      <w:r>
        <w:t>EU</w:t>
      </w:r>
      <w:r>
        <w:noBreakHyphen/>
        <w:t>sourced Humira (adalimumab)</w:t>
      </w:r>
      <w:r w:rsidRPr="00727FB3">
        <w:rPr>
          <w:kern w:val="2"/>
        </w:rPr>
        <w:t>were observed in the comparative toxicity study.</w:t>
      </w:r>
    </w:p>
    <w:p w14:paraId="1B9FBC54" w14:textId="77777777" w:rsidR="004128D2" w:rsidRDefault="004128D2" w:rsidP="004128D2">
      <w:pPr>
        <w:rPr>
          <w:kern w:val="2"/>
        </w:rPr>
      </w:pPr>
      <w:r>
        <w:t>T</w:t>
      </w:r>
      <w:r>
        <w:rPr>
          <w:kern w:val="2"/>
        </w:rPr>
        <w:t xml:space="preserve">he nonclinical data support the </w:t>
      </w:r>
      <w:proofErr w:type="spellStart"/>
      <w:r>
        <w:rPr>
          <w:kern w:val="2"/>
        </w:rPr>
        <w:t>biosimilarity</w:t>
      </w:r>
      <w:proofErr w:type="spellEnd"/>
      <w:r>
        <w:rPr>
          <w:kern w:val="2"/>
        </w:rPr>
        <w:t xml:space="preserve"> of </w:t>
      </w:r>
      <w:r>
        <w:t xml:space="preserve">Abrilada (adalimumab) </w:t>
      </w:r>
      <w:r w:rsidRPr="00727FB3">
        <w:t xml:space="preserve">and </w:t>
      </w:r>
      <w:r>
        <w:t>Humira (adalimumab)</w:t>
      </w:r>
    </w:p>
    <w:p w14:paraId="5A089D68" w14:textId="77777777" w:rsidR="004128D2" w:rsidRPr="004128D2" w:rsidRDefault="004128D2" w:rsidP="004128D2">
      <w:r w:rsidRPr="00A8460D">
        <w:rPr>
          <w:kern w:val="2"/>
        </w:rPr>
        <w:t>The Product Infor</w:t>
      </w:r>
      <w:r>
        <w:rPr>
          <w:kern w:val="2"/>
        </w:rPr>
        <w:t>mation is acceptable from a non</w:t>
      </w:r>
      <w:r w:rsidRPr="00A8460D">
        <w:rPr>
          <w:kern w:val="2"/>
        </w:rPr>
        <w:t>clinical perspective.</w:t>
      </w:r>
    </w:p>
    <w:p w14:paraId="178B9625" w14:textId="77777777" w:rsidR="008E7846" w:rsidRDefault="008E7846" w:rsidP="008E7846">
      <w:pPr>
        <w:pStyle w:val="Heading3"/>
      </w:pPr>
      <w:bookmarkStart w:id="41" w:name="_Toc247691530"/>
      <w:bookmarkStart w:id="42" w:name="_Toc314842513"/>
      <w:bookmarkStart w:id="43" w:name="_Toc71104755"/>
      <w:r>
        <w:t>Clinical</w:t>
      </w:r>
      <w:bookmarkEnd w:id="41"/>
      <w:bookmarkEnd w:id="42"/>
      <w:bookmarkEnd w:id="43"/>
    </w:p>
    <w:p w14:paraId="610BCA7A" w14:textId="77777777" w:rsidR="004128D2" w:rsidRDefault="004128D2" w:rsidP="004128D2">
      <w:pPr>
        <w:rPr>
          <w:lang w:eastAsia="en-AU"/>
        </w:rPr>
      </w:pPr>
      <w:r w:rsidRPr="003B495A">
        <w:rPr>
          <w:lang w:eastAsia="en-AU"/>
        </w:rPr>
        <w:t xml:space="preserve">The clinical development program </w:t>
      </w:r>
      <w:r>
        <w:rPr>
          <w:lang w:eastAsia="en-AU"/>
        </w:rPr>
        <w:t xml:space="preserve">for </w:t>
      </w:r>
      <w:r w:rsidR="00B6487E">
        <w:rPr>
          <w:lang w:eastAsia="en-AU"/>
        </w:rPr>
        <w:t xml:space="preserve">Abrilada (adalimumab) </w:t>
      </w:r>
      <w:r w:rsidRPr="003B495A">
        <w:rPr>
          <w:lang w:eastAsia="en-AU"/>
        </w:rPr>
        <w:t>included</w:t>
      </w:r>
      <w:r>
        <w:rPr>
          <w:lang w:eastAsia="en-AU"/>
        </w:rPr>
        <w:t xml:space="preserve"> </w:t>
      </w:r>
      <w:r w:rsidRPr="003B495A">
        <w:rPr>
          <w:lang w:eastAsia="en-AU"/>
        </w:rPr>
        <w:t>3 single-dose PK studies in healthy volunteers</w:t>
      </w:r>
      <w:r>
        <w:rPr>
          <w:lang w:eastAsia="en-AU"/>
        </w:rPr>
        <w:t xml:space="preserve"> (</w:t>
      </w:r>
      <w:r w:rsidR="00B6487E">
        <w:rPr>
          <w:lang w:eastAsia="en-AU"/>
        </w:rPr>
        <w:t>Studies B5381001, B5381005 and</w:t>
      </w:r>
      <w:r>
        <w:rPr>
          <w:lang w:eastAsia="en-AU"/>
        </w:rPr>
        <w:t xml:space="preserve"> B5381007)</w:t>
      </w:r>
      <w:r w:rsidRPr="003B495A">
        <w:rPr>
          <w:lang w:eastAsia="en-AU"/>
        </w:rPr>
        <w:t xml:space="preserve"> </w:t>
      </w:r>
      <w:r>
        <w:rPr>
          <w:lang w:eastAsia="en-AU"/>
        </w:rPr>
        <w:t xml:space="preserve">and </w:t>
      </w:r>
      <w:r w:rsidRPr="003B495A">
        <w:rPr>
          <w:lang w:eastAsia="en-AU"/>
        </w:rPr>
        <w:t>a</w:t>
      </w:r>
      <w:r>
        <w:rPr>
          <w:lang w:eastAsia="en-AU"/>
        </w:rPr>
        <w:t>n</w:t>
      </w:r>
      <w:r w:rsidRPr="003B495A">
        <w:rPr>
          <w:lang w:eastAsia="en-AU"/>
        </w:rPr>
        <w:t xml:space="preserve"> efficacy and safety study in patients </w:t>
      </w:r>
      <w:r>
        <w:rPr>
          <w:lang w:eastAsia="en-AU"/>
        </w:rPr>
        <w:t xml:space="preserve">with </w:t>
      </w:r>
      <w:r w:rsidRPr="003B495A">
        <w:rPr>
          <w:lang w:eastAsia="en-AU"/>
        </w:rPr>
        <w:t>moderate</w:t>
      </w:r>
      <w:r>
        <w:rPr>
          <w:lang w:eastAsia="en-AU"/>
        </w:rPr>
        <w:t>ly</w:t>
      </w:r>
      <w:r w:rsidRPr="003B495A">
        <w:rPr>
          <w:lang w:eastAsia="en-AU"/>
        </w:rPr>
        <w:t xml:space="preserve"> to severe</w:t>
      </w:r>
      <w:r>
        <w:rPr>
          <w:lang w:eastAsia="en-AU"/>
        </w:rPr>
        <w:t>ly active</w:t>
      </w:r>
      <w:r w:rsidR="00B6487E">
        <w:rPr>
          <w:lang w:eastAsia="en-AU"/>
        </w:rPr>
        <w:t xml:space="preserve"> rheumatoid arthritis</w:t>
      </w:r>
      <w:r w:rsidRPr="003B495A">
        <w:rPr>
          <w:lang w:eastAsia="en-AU"/>
        </w:rPr>
        <w:t xml:space="preserve"> (</w:t>
      </w:r>
      <w:r w:rsidR="00B6487E">
        <w:rPr>
          <w:lang w:eastAsia="en-AU"/>
        </w:rPr>
        <w:t xml:space="preserve">Study </w:t>
      </w:r>
      <w:r w:rsidRPr="003B495A">
        <w:rPr>
          <w:lang w:eastAsia="en-AU"/>
        </w:rPr>
        <w:t xml:space="preserve">B5381002), </w:t>
      </w:r>
      <w:r>
        <w:rPr>
          <w:lang w:eastAsia="en-AU"/>
        </w:rPr>
        <w:t>including</w:t>
      </w:r>
      <w:r w:rsidRPr="003B495A">
        <w:rPr>
          <w:lang w:eastAsia="en-AU"/>
        </w:rPr>
        <w:t xml:space="preserve"> a single arm, </w:t>
      </w:r>
      <w:r w:rsidR="00B6487E">
        <w:rPr>
          <w:lang w:eastAsia="en-AU"/>
        </w:rPr>
        <w:t>prefilled pen</w:t>
      </w:r>
      <w:r>
        <w:rPr>
          <w:lang w:eastAsia="en-AU"/>
        </w:rPr>
        <w:t xml:space="preserve"> </w:t>
      </w:r>
      <w:r w:rsidR="00B6487E">
        <w:rPr>
          <w:lang w:eastAsia="en-AU"/>
        </w:rPr>
        <w:t>sub-</w:t>
      </w:r>
      <w:r w:rsidRPr="003B495A">
        <w:rPr>
          <w:lang w:eastAsia="en-AU"/>
        </w:rPr>
        <w:t>study (</w:t>
      </w:r>
      <w:r w:rsidR="00B6487E">
        <w:rPr>
          <w:lang w:eastAsia="en-AU"/>
        </w:rPr>
        <w:t>Study </w:t>
      </w:r>
      <w:r w:rsidRPr="003B495A">
        <w:rPr>
          <w:lang w:eastAsia="en-AU"/>
        </w:rPr>
        <w:t>B5381002b)</w:t>
      </w:r>
      <w:r>
        <w:rPr>
          <w:lang w:eastAsia="en-AU"/>
        </w:rPr>
        <w:t xml:space="preserve">. </w:t>
      </w:r>
      <w:r>
        <w:t>The product proposed for registration is the same product assessed in the clinical studies.</w:t>
      </w:r>
    </w:p>
    <w:p w14:paraId="1C639DA3" w14:textId="77777777" w:rsidR="004128D2" w:rsidRPr="00B6487E" w:rsidRDefault="004128D2" w:rsidP="00B6487E">
      <w:pPr>
        <w:pStyle w:val="Heading4"/>
      </w:pPr>
      <w:r w:rsidRPr="00B6487E">
        <w:t>Pharmacology</w:t>
      </w:r>
    </w:p>
    <w:p w14:paraId="34A33E99" w14:textId="77777777" w:rsidR="004128D2" w:rsidRDefault="005F6CBE" w:rsidP="004128D2">
      <w:pPr>
        <w:pStyle w:val="Heading5"/>
      </w:pPr>
      <w:r>
        <w:t>Pharmacokinetics</w:t>
      </w:r>
    </w:p>
    <w:p w14:paraId="75A538E3" w14:textId="77777777" w:rsidR="005F6CBE" w:rsidRPr="005F6CBE" w:rsidRDefault="005F6CBE" w:rsidP="005F6CBE">
      <w:pPr>
        <w:pStyle w:val="Heading6"/>
      </w:pPr>
      <w:r>
        <w:t>Study B5381001</w:t>
      </w:r>
    </w:p>
    <w:p w14:paraId="5E845D57" w14:textId="77777777" w:rsidR="004128D2" w:rsidRDefault="004128D2" w:rsidP="004128D2">
      <w:r w:rsidRPr="00B6487E">
        <w:rPr>
          <w:bCs/>
          <w:lang w:eastAsia="en-AU"/>
        </w:rPr>
        <w:t>Study B5381001</w:t>
      </w:r>
      <w:r>
        <w:rPr>
          <w:b/>
          <w:bCs/>
          <w:lang w:eastAsia="en-AU"/>
        </w:rPr>
        <w:t xml:space="preserve"> </w:t>
      </w:r>
      <w:r>
        <w:rPr>
          <w:lang w:eastAsia="en-AU"/>
        </w:rPr>
        <w:t>was a</w:t>
      </w:r>
      <w:r w:rsidR="00B6487E">
        <w:rPr>
          <w:lang w:eastAsia="en-AU"/>
        </w:rPr>
        <w:t xml:space="preserve"> double </w:t>
      </w:r>
      <w:r w:rsidRPr="00881944">
        <w:rPr>
          <w:lang w:eastAsia="en-AU"/>
        </w:rPr>
        <w:t>blind, randomi</w:t>
      </w:r>
      <w:r>
        <w:rPr>
          <w:lang w:eastAsia="en-AU"/>
        </w:rPr>
        <w:t>s</w:t>
      </w:r>
      <w:r w:rsidR="00B6487E">
        <w:rPr>
          <w:lang w:eastAsia="en-AU"/>
        </w:rPr>
        <w:t xml:space="preserve">ed, parallel </w:t>
      </w:r>
      <w:r w:rsidRPr="00881944">
        <w:rPr>
          <w:lang w:eastAsia="en-AU"/>
        </w:rPr>
        <w:t>group, 3-arm, 40 mg</w:t>
      </w:r>
      <w:r>
        <w:rPr>
          <w:lang w:eastAsia="en-AU"/>
        </w:rPr>
        <w:t xml:space="preserve"> </w:t>
      </w:r>
      <w:r w:rsidRPr="00881944">
        <w:rPr>
          <w:lang w:eastAsia="en-AU"/>
        </w:rPr>
        <w:t>single</w:t>
      </w:r>
      <w:r w:rsidR="00B6487E">
        <w:rPr>
          <w:lang w:eastAsia="en-AU"/>
        </w:rPr>
        <w:t xml:space="preserve"> </w:t>
      </w:r>
      <w:r w:rsidRPr="00881944">
        <w:rPr>
          <w:lang w:eastAsia="en-AU"/>
        </w:rPr>
        <w:t>dose,</w:t>
      </w:r>
      <w:r>
        <w:rPr>
          <w:lang w:eastAsia="en-AU"/>
        </w:rPr>
        <w:t xml:space="preserve"> </w:t>
      </w:r>
      <w:r w:rsidRPr="00881944">
        <w:rPr>
          <w:lang w:eastAsia="en-AU"/>
        </w:rPr>
        <w:t xml:space="preserve">PK similarity study </w:t>
      </w:r>
      <w:r w:rsidR="00B6487E" w:rsidRPr="00881944">
        <w:rPr>
          <w:lang w:eastAsia="en-AU"/>
        </w:rPr>
        <w:t xml:space="preserve">of </w:t>
      </w:r>
      <w:r w:rsidR="00B6487E">
        <w:rPr>
          <w:lang w:val="en-GB"/>
        </w:rPr>
        <w:t>Abrilada (adalimumab)</w:t>
      </w:r>
      <w:r w:rsidR="00B6487E">
        <w:rPr>
          <w:lang w:eastAsia="en-AU"/>
        </w:rPr>
        <w:t xml:space="preserve">, EU- and US-sourced </w:t>
      </w:r>
      <w:r w:rsidR="00B6487E">
        <w:rPr>
          <w:lang w:val="en-GB"/>
        </w:rPr>
        <w:t>Humira (adalimumab)</w:t>
      </w:r>
      <w:r w:rsidR="00B6487E">
        <w:rPr>
          <w:lang w:eastAsia="en-AU"/>
        </w:rPr>
        <w:t xml:space="preserve"> and administered subcutaneously</w:t>
      </w:r>
      <w:r w:rsidRPr="00881944">
        <w:rPr>
          <w:lang w:eastAsia="en-AU"/>
        </w:rPr>
        <w:t xml:space="preserve"> in the lower abdo</w:t>
      </w:r>
      <w:r w:rsidR="00B6487E">
        <w:rPr>
          <w:lang w:eastAsia="en-AU"/>
        </w:rPr>
        <w:t>men by a prefilled syringe</w:t>
      </w:r>
      <w:r w:rsidRPr="00881944">
        <w:rPr>
          <w:lang w:eastAsia="en-AU"/>
        </w:rPr>
        <w:t xml:space="preserve"> to healthy</w:t>
      </w:r>
      <w:r>
        <w:rPr>
          <w:lang w:eastAsia="en-AU"/>
        </w:rPr>
        <w:t xml:space="preserve"> </w:t>
      </w:r>
      <w:r w:rsidRPr="00881944">
        <w:rPr>
          <w:lang w:eastAsia="en-AU"/>
        </w:rPr>
        <w:t xml:space="preserve">adult volunteer subjects. </w:t>
      </w:r>
      <w:r>
        <w:t xml:space="preserve">The primary objective was to compare the PK of </w:t>
      </w:r>
      <w:r w:rsidR="00B6487E">
        <w:rPr>
          <w:lang w:val="en-GB"/>
        </w:rPr>
        <w:t>Abrilada (adalimumab)</w:t>
      </w:r>
      <w:r w:rsidR="00B6487E">
        <w:rPr>
          <w:lang w:eastAsia="en-AU"/>
        </w:rPr>
        <w:t xml:space="preserve">, to EU- and US-sourced </w:t>
      </w:r>
      <w:r w:rsidR="00B6487E">
        <w:rPr>
          <w:lang w:val="en-GB"/>
        </w:rPr>
        <w:t>Humira (adalimumab)</w:t>
      </w:r>
      <w:r w:rsidR="00B6487E">
        <w:t xml:space="preserve">. </w:t>
      </w:r>
      <w:r>
        <w:t xml:space="preserve">Other objectives were to compare the PK of </w:t>
      </w:r>
      <w:r w:rsidR="00B6487E">
        <w:rPr>
          <w:lang w:eastAsia="en-AU"/>
        </w:rPr>
        <w:t xml:space="preserve">EU- and US-sourced </w:t>
      </w:r>
      <w:r w:rsidR="00B6487E">
        <w:rPr>
          <w:lang w:val="en-GB"/>
        </w:rPr>
        <w:t>Humira (adalimumab)</w:t>
      </w:r>
      <w:r>
        <w:rPr>
          <w:lang w:eastAsia="en-AU"/>
        </w:rPr>
        <w:t>, t</w:t>
      </w:r>
      <w:r>
        <w:t>o evaluate the single-dose safety and tolerability, and to evaluate immunogenicity.</w:t>
      </w:r>
    </w:p>
    <w:p w14:paraId="16FDBCA2" w14:textId="77777777" w:rsidR="004128D2" w:rsidRDefault="004128D2" w:rsidP="004128D2">
      <w:pPr>
        <w:rPr>
          <w:lang w:eastAsia="en-AU"/>
        </w:rPr>
      </w:pPr>
      <w:r>
        <w:t xml:space="preserve">210 healthy subjects were randomised 1:1:1 </w:t>
      </w:r>
      <w:r w:rsidR="00B6487E">
        <w:t xml:space="preserve">to the three treatment groups. </w:t>
      </w:r>
      <w:r>
        <w:rPr>
          <w:lang w:eastAsia="en-AU"/>
        </w:rPr>
        <w:t xml:space="preserve">The PK sampling time period was up to 6 weeks, rather than at least 10 weeks as advised by the </w:t>
      </w:r>
      <w:r w:rsidR="00B6487E">
        <w:rPr>
          <w:lang w:eastAsia="en-AU"/>
        </w:rPr>
        <w:t>EMA’s Committee on Medicinal Products for Human Use (</w:t>
      </w:r>
      <w:r>
        <w:rPr>
          <w:lang w:eastAsia="en-AU"/>
        </w:rPr>
        <w:t>CHMP</w:t>
      </w:r>
      <w:r w:rsidR="00B6487E">
        <w:rPr>
          <w:lang w:eastAsia="en-AU"/>
        </w:rPr>
        <w:t>)</w:t>
      </w:r>
      <w:r>
        <w:rPr>
          <w:lang w:eastAsia="en-AU"/>
        </w:rPr>
        <w:t xml:space="preserve"> b</w:t>
      </w:r>
      <w:r w:rsidR="00B6487E">
        <w:rPr>
          <w:lang w:eastAsia="en-AU"/>
        </w:rPr>
        <w:t xml:space="preserve">efore the study was conducted. </w:t>
      </w:r>
      <w:r>
        <w:rPr>
          <w:lang w:eastAsia="en-AU"/>
        </w:rPr>
        <w:t xml:space="preserve">Consequently, in nearly 50% of subjects, </w:t>
      </w:r>
      <w:r w:rsidR="00B6487E">
        <w:rPr>
          <w:lang w:eastAsia="en-AU"/>
        </w:rPr>
        <w:t>the area under the concentration-time curve from time zero to the last measurable concentration (</w:t>
      </w:r>
      <w:r w:rsidRPr="00B6487E">
        <w:rPr>
          <w:lang w:eastAsia="en-AU"/>
        </w:rPr>
        <w:t>AUC</w:t>
      </w:r>
      <w:r w:rsidR="00B6487E" w:rsidRPr="00B6487E">
        <w:rPr>
          <w:vertAlign w:val="subscript"/>
          <w:lang w:eastAsia="en-AU"/>
        </w:rPr>
        <w:t>0-</w:t>
      </w:r>
      <w:r w:rsidRPr="00B6487E">
        <w:rPr>
          <w:vertAlign w:val="subscript"/>
          <w:lang w:eastAsia="en-AU"/>
        </w:rPr>
        <w:t>t</w:t>
      </w:r>
      <w:r w:rsidR="00B6487E">
        <w:rPr>
          <w:lang w:eastAsia="en-AU"/>
        </w:rPr>
        <w:t xml:space="preserve">) </w:t>
      </w:r>
      <w:r>
        <w:rPr>
          <w:lang w:eastAsia="en-AU"/>
        </w:rPr>
        <w:t xml:space="preserve">did not cover at least 80% of </w:t>
      </w:r>
      <w:r w:rsidR="00B6487E">
        <w:rPr>
          <w:lang w:eastAsia="en-AU"/>
        </w:rPr>
        <w:t>the area under the concentration-time curve from time zero extrapolated to infinity (</w:t>
      </w:r>
      <w:r>
        <w:rPr>
          <w:lang w:eastAsia="en-AU"/>
        </w:rPr>
        <w:t>AUC</w:t>
      </w:r>
      <w:r w:rsidR="00B6487E">
        <w:rPr>
          <w:vertAlign w:val="subscript"/>
          <w:lang w:eastAsia="en-AU"/>
        </w:rPr>
        <w:t>0-</w:t>
      </w:r>
      <w:r w:rsidRPr="008943E7">
        <w:rPr>
          <w:vertAlign w:val="subscript"/>
          <w:lang w:eastAsia="en-AU"/>
        </w:rPr>
        <w:t>inf</w:t>
      </w:r>
      <w:r w:rsidR="00B6487E">
        <w:rPr>
          <w:lang w:eastAsia="en-AU"/>
        </w:rPr>
        <w:t>),</w:t>
      </w:r>
      <w:r>
        <w:rPr>
          <w:lang w:eastAsia="en-AU"/>
        </w:rPr>
        <w:t xml:space="preserve"> so the late elimination phase of the PK profile was not optimally characterised.</w:t>
      </w:r>
    </w:p>
    <w:p w14:paraId="1F3A4727" w14:textId="7529FAF1" w:rsidR="007566A1" w:rsidRDefault="007566A1" w:rsidP="007566A1">
      <w:pPr>
        <w:rPr>
          <w:lang w:eastAsia="en-AU"/>
        </w:rPr>
      </w:pPr>
      <w:r>
        <w:rPr>
          <w:lang w:eastAsia="en-AU"/>
        </w:rPr>
        <w:t>The concentration</w:t>
      </w:r>
      <w:r w:rsidR="009D601A">
        <w:rPr>
          <w:lang w:eastAsia="en-AU"/>
        </w:rPr>
        <w:t>-time</w:t>
      </w:r>
      <w:r>
        <w:rPr>
          <w:lang w:eastAsia="en-AU"/>
        </w:rPr>
        <w:t xml:space="preserve"> profile of </w:t>
      </w:r>
      <w:r w:rsidR="006B70B8">
        <w:t>Abrilada</w:t>
      </w:r>
      <w:r>
        <w:rPr>
          <w:lang w:val="en-GB"/>
        </w:rPr>
        <w:t xml:space="preserve"> (adalimumab)</w:t>
      </w:r>
      <w:r>
        <w:rPr>
          <w:lang w:eastAsia="en-AU"/>
        </w:rPr>
        <w:t xml:space="preserve"> was similar to EU- and US-sourced Humira (adalimumab), but median concentrations were numerically higher in the </w:t>
      </w:r>
      <w:r>
        <w:rPr>
          <w:lang w:val="en-GB"/>
        </w:rPr>
        <w:t>Abrilada</w:t>
      </w:r>
      <w:r>
        <w:rPr>
          <w:lang w:eastAsia="en-AU"/>
        </w:rPr>
        <w:t xml:space="preserve"> group from 48 hours post-dose, as shown in Figure 1, below.</w:t>
      </w:r>
    </w:p>
    <w:p w14:paraId="19C874C4" w14:textId="5BB8EFC7" w:rsidR="007566A1" w:rsidRDefault="007566A1" w:rsidP="007566A1">
      <w:pPr>
        <w:pStyle w:val="FigureTitle"/>
      </w:pPr>
      <w:r>
        <w:t xml:space="preserve">Figure </w:t>
      </w:r>
      <w:fldSimple w:instr=" SEQ Figure \* ARABIC ">
        <w:r w:rsidR="0012232D">
          <w:rPr>
            <w:noProof/>
          </w:rPr>
          <w:t>1</w:t>
        </w:r>
      </w:fldSimple>
      <w:r>
        <w:t xml:space="preserve">: </w:t>
      </w:r>
      <w:r w:rsidRPr="000536FA">
        <w:t>Study B5381001</w:t>
      </w:r>
      <w:r>
        <w:t xml:space="preserve"> </w:t>
      </w:r>
      <w:r w:rsidRPr="000536FA">
        <w:t>M</w:t>
      </w:r>
      <w:r>
        <w:t>edian serum concentration (ng/mL</w:t>
      </w:r>
      <w:r w:rsidRPr="000536FA">
        <w:t>) versus time (h) profiles of Abrilada,</w:t>
      </w:r>
      <w:r>
        <w:t xml:space="preserve"> US- and EU-sourced Humira</w:t>
      </w:r>
      <w:r w:rsidRPr="0061029F">
        <w:t xml:space="preserve"> </w:t>
      </w:r>
      <w:r w:rsidRPr="000536FA">
        <w:t>(</w:t>
      </w:r>
      <w:r>
        <w:t>per protocol</w:t>
      </w:r>
      <w:r w:rsidRPr="000536FA">
        <w:t xml:space="preserve"> analysis set)</w:t>
      </w:r>
    </w:p>
    <w:p w14:paraId="3A3455A0" w14:textId="77777777" w:rsidR="007566A1" w:rsidRDefault="007566A1" w:rsidP="007566A1">
      <w:pPr>
        <w:rPr>
          <w:lang w:eastAsia="en-AU"/>
        </w:rPr>
      </w:pPr>
      <w:r>
        <w:rPr>
          <w:noProof/>
          <w:lang w:eastAsia="en-AU"/>
        </w:rPr>
        <w:drawing>
          <wp:inline distT="0" distB="0" distL="0" distR="0" wp14:anchorId="1701FC54" wp14:editId="4239E80D">
            <wp:extent cx="5395388" cy="3343275"/>
            <wp:effectExtent l="0" t="0" r="0" b="0"/>
            <wp:docPr id="1" name="Picture 1" descr="Study B5381001 Median serum concentration (ng/mL) versus time (h) profiles of Abrilada, US- and EU-sourced Humira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0932" cy="3365300"/>
                    </a:xfrm>
                    <a:prstGeom prst="rect">
                      <a:avLst/>
                    </a:prstGeom>
                  </pic:spPr>
                </pic:pic>
              </a:graphicData>
            </a:graphic>
          </wp:inline>
        </w:drawing>
      </w:r>
    </w:p>
    <w:p w14:paraId="04C5AD7A" w14:textId="77777777" w:rsidR="007566A1" w:rsidRDefault="007566A1" w:rsidP="007566A1">
      <w:r>
        <w:t>PK similarity was demonstrated for maximum (peak) concentration (</w:t>
      </w:r>
      <w:proofErr w:type="spellStart"/>
      <w:r>
        <w:t>C</w:t>
      </w:r>
      <w:r>
        <w:rPr>
          <w:sz w:val="12"/>
          <w:szCs w:val="12"/>
        </w:rPr>
        <w:t>max</w:t>
      </w:r>
      <w:proofErr w:type="spellEnd"/>
      <w:r>
        <w:t>) and the area under the concentration time curve from time zero to 2 weeks (AUC</w:t>
      </w:r>
      <w:r>
        <w:rPr>
          <w:sz w:val="12"/>
          <w:szCs w:val="12"/>
        </w:rPr>
        <w:t>0-2wk</w:t>
      </w:r>
      <w:r>
        <w:t>), but not for AUC</w:t>
      </w:r>
      <w:r>
        <w:rPr>
          <w:sz w:val="12"/>
          <w:szCs w:val="12"/>
        </w:rPr>
        <w:t xml:space="preserve">0-t </w:t>
      </w:r>
      <w:r>
        <w:t>and AUC</w:t>
      </w:r>
      <w:r>
        <w:rPr>
          <w:sz w:val="12"/>
          <w:szCs w:val="12"/>
        </w:rPr>
        <w:t>0-inf</w:t>
      </w:r>
      <w:r>
        <w:t xml:space="preserve"> </w:t>
      </w:r>
      <w:r w:rsidRPr="000536FA">
        <w:t>(</w:t>
      </w:r>
      <w:r w:rsidR="00C304DA">
        <w:t>see Table 4, below).</w:t>
      </w:r>
    </w:p>
    <w:p w14:paraId="2E9CC656" w14:textId="11AE7997" w:rsidR="007566A1" w:rsidRPr="00C304DA" w:rsidRDefault="007566A1" w:rsidP="00C304DA">
      <w:pPr>
        <w:pStyle w:val="TableTitle"/>
      </w:pPr>
      <w:r w:rsidRPr="00C304DA">
        <w:t xml:space="preserve">Table </w:t>
      </w:r>
      <w:fldSimple w:instr=" SEQ Table \* ARABIC ">
        <w:r w:rsidR="0012232D">
          <w:rPr>
            <w:noProof/>
          </w:rPr>
          <w:t>4</w:t>
        </w:r>
      </w:fldSimple>
      <w:r w:rsidRPr="00C304DA">
        <w:t xml:space="preserve">: </w:t>
      </w:r>
      <w:r w:rsidR="00C304DA">
        <w:t>Study B5381001</w:t>
      </w:r>
      <w:r w:rsidR="00C304DA" w:rsidRPr="00C304DA">
        <w:t xml:space="preserve"> Summary of statistical comparisons of PK exposure parameters between test and reference products (Day</w:t>
      </w:r>
      <w:r w:rsidR="00C304DA">
        <w:t>s 1 to 43, per protocol analysis s</w:t>
      </w:r>
      <w:r w:rsidR="00C304DA" w:rsidRPr="00C304DA">
        <w:t>et)</w:t>
      </w:r>
    </w:p>
    <w:p w14:paraId="4F71A0BE" w14:textId="77777777" w:rsidR="007566A1" w:rsidRDefault="007566A1" w:rsidP="007566A1">
      <w:r>
        <w:rPr>
          <w:noProof/>
          <w:lang w:eastAsia="en-AU"/>
        </w:rPr>
        <w:drawing>
          <wp:inline distT="0" distB="0" distL="0" distR="0" wp14:anchorId="428803C7" wp14:editId="7705C6F3">
            <wp:extent cx="5400040" cy="2512982"/>
            <wp:effectExtent l="0" t="0" r="0" b="1905"/>
            <wp:docPr id="2" name="Picture 2" descr="Study B5381001 Summary of statistical comparisons of PK exposure parameters between test and reference products (Days 1 to 43,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512982"/>
                    </a:xfrm>
                    <a:prstGeom prst="rect">
                      <a:avLst/>
                    </a:prstGeom>
                  </pic:spPr>
                </pic:pic>
              </a:graphicData>
            </a:graphic>
          </wp:inline>
        </w:drawing>
      </w:r>
    </w:p>
    <w:p w14:paraId="55306826" w14:textId="77777777" w:rsidR="007566A1" w:rsidRDefault="007566A1" w:rsidP="007566A1">
      <w:r>
        <w:t>For A</w:t>
      </w:r>
      <w:r w:rsidR="00C304DA">
        <w:t>brilada versus EU-sourced Humira</w:t>
      </w:r>
      <w:r>
        <w:t xml:space="preserve">, the upper limit of the 90% </w:t>
      </w:r>
      <w:r w:rsidR="00C304DA">
        <w:t>confidence interval (</w:t>
      </w:r>
      <w:r>
        <w:t>CI</w:t>
      </w:r>
      <w:r w:rsidR="00C304DA">
        <w:t>)</w:t>
      </w:r>
      <w:r>
        <w:t xml:space="preserve"> for AUC</w:t>
      </w:r>
      <w:r w:rsidR="00C304DA">
        <w:rPr>
          <w:vertAlign w:val="subscript"/>
        </w:rPr>
        <w:t>0-i</w:t>
      </w:r>
      <w:r w:rsidRPr="00733105">
        <w:rPr>
          <w:vertAlign w:val="subscript"/>
        </w:rPr>
        <w:t>nf</w:t>
      </w:r>
      <w:r>
        <w:t xml:space="preserve"> exceeded 125%, and </w:t>
      </w:r>
      <w:r w:rsidR="00C304DA">
        <w:t>for Abrilada versus US-sourced Humira</w:t>
      </w:r>
      <w:r>
        <w:t>, the upper limit of the 90% CI exceeded 125% for both AUC</w:t>
      </w:r>
      <w:r w:rsidR="00C304DA">
        <w:rPr>
          <w:vertAlign w:val="subscript"/>
        </w:rPr>
        <w:t>0-t</w:t>
      </w:r>
      <w:r>
        <w:t xml:space="preserve"> and AUC</w:t>
      </w:r>
      <w:r w:rsidR="00C304DA">
        <w:rPr>
          <w:vertAlign w:val="subscript"/>
        </w:rPr>
        <w:t>0-i</w:t>
      </w:r>
      <w:r w:rsidRPr="00733105">
        <w:rPr>
          <w:vertAlign w:val="subscript"/>
        </w:rPr>
        <w:t>nf.</w:t>
      </w:r>
    </w:p>
    <w:p w14:paraId="3D184C73" w14:textId="1124DB94" w:rsidR="00C43261" w:rsidRDefault="007566A1" w:rsidP="007566A1">
      <w:pPr>
        <w:rPr>
          <w:lang w:eastAsia="en-AU"/>
        </w:rPr>
      </w:pPr>
      <w:r>
        <w:rPr>
          <w:lang w:eastAsia="en-AU"/>
        </w:rPr>
        <w:t xml:space="preserve">The incidence of </w:t>
      </w:r>
      <w:r w:rsidR="00C43261">
        <w:rPr>
          <w:lang w:eastAsia="en-AU"/>
        </w:rPr>
        <w:t>antidrug antibodies (ADA)</w:t>
      </w:r>
      <w:r>
        <w:rPr>
          <w:lang w:eastAsia="en-AU"/>
        </w:rPr>
        <w:t xml:space="preserve"> in the </w:t>
      </w:r>
      <w:r w:rsidR="00C43261">
        <w:rPr>
          <w:lang w:val="en-GB"/>
        </w:rPr>
        <w:t>Abrilada</w:t>
      </w:r>
      <w:r w:rsidR="00C43261">
        <w:rPr>
          <w:lang w:eastAsia="en-AU"/>
        </w:rPr>
        <w:t xml:space="preserve">, EU-sourced </w:t>
      </w:r>
      <w:r w:rsidR="00C43261">
        <w:rPr>
          <w:lang w:val="en-GB"/>
        </w:rPr>
        <w:t>Humira</w:t>
      </w:r>
      <w:r w:rsidR="00C43261">
        <w:rPr>
          <w:lang w:eastAsia="en-AU"/>
        </w:rPr>
        <w:t xml:space="preserve"> and US</w:t>
      </w:r>
      <w:r w:rsidR="00C43261">
        <w:rPr>
          <w:lang w:eastAsia="en-AU"/>
        </w:rPr>
        <w:noBreakHyphen/>
        <w:t xml:space="preserve">sourced </w:t>
      </w:r>
      <w:r w:rsidR="00C43261">
        <w:rPr>
          <w:lang w:val="en-GB"/>
        </w:rPr>
        <w:t>Humira</w:t>
      </w:r>
      <w:r>
        <w:rPr>
          <w:lang w:eastAsia="en-AU"/>
        </w:rPr>
        <w:t xml:space="preserve"> groups was 85.5%, 90.0% and 94.4% respectively, and the incidence of </w:t>
      </w:r>
      <w:r w:rsidR="00C43261">
        <w:rPr>
          <w:lang w:eastAsia="en-AU"/>
        </w:rPr>
        <w:t>neutralising antibodies (</w:t>
      </w:r>
      <w:r>
        <w:rPr>
          <w:lang w:eastAsia="en-AU"/>
        </w:rPr>
        <w:t>N</w:t>
      </w:r>
      <w:r w:rsidR="00C43261">
        <w:rPr>
          <w:lang w:eastAsia="en-AU"/>
        </w:rPr>
        <w:t>a</w:t>
      </w:r>
      <w:r>
        <w:rPr>
          <w:lang w:eastAsia="en-AU"/>
        </w:rPr>
        <w:t>b</w:t>
      </w:r>
      <w:r w:rsidR="00C43261">
        <w:rPr>
          <w:lang w:eastAsia="en-AU"/>
        </w:rPr>
        <w:t>)</w:t>
      </w:r>
      <w:r>
        <w:rPr>
          <w:lang w:eastAsia="en-AU"/>
        </w:rPr>
        <w:t xml:space="preserve"> was 53.6%, 61.4% and 66.2% respectively</w:t>
      </w:r>
      <w:r w:rsidR="00C43261">
        <w:rPr>
          <w:lang w:eastAsia="en-AU"/>
        </w:rPr>
        <w:t>, as shown in Table 5, below.</w:t>
      </w:r>
    </w:p>
    <w:p w14:paraId="6839BF07" w14:textId="1D6157FA" w:rsidR="00C43261" w:rsidRDefault="00C43261" w:rsidP="00C43261">
      <w:pPr>
        <w:pStyle w:val="TableTitle"/>
      </w:pPr>
      <w:r>
        <w:t xml:space="preserve">Table </w:t>
      </w:r>
      <w:fldSimple w:instr=" SEQ Table \* ARABIC ">
        <w:r w:rsidR="0012232D">
          <w:rPr>
            <w:noProof/>
          </w:rPr>
          <w:t>5</w:t>
        </w:r>
      </w:fldSimple>
      <w:r>
        <w:t xml:space="preserve">: </w:t>
      </w:r>
      <w:r w:rsidRPr="00215115">
        <w:t xml:space="preserve">Percentage of patients with </w:t>
      </w:r>
      <w:r>
        <w:t>antidrug antibodies and neutralising antibodies across studies</w:t>
      </w:r>
    </w:p>
    <w:p w14:paraId="0A6254ED" w14:textId="77888109" w:rsidR="00C43261" w:rsidRDefault="00C43261" w:rsidP="007566A1">
      <w:pPr>
        <w:rPr>
          <w:lang w:eastAsia="en-AU"/>
        </w:rPr>
      </w:pPr>
      <w:r>
        <w:rPr>
          <w:noProof/>
          <w:lang w:eastAsia="en-AU"/>
        </w:rPr>
        <w:drawing>
          <wp:inline distT="0" distB="0" distL="0" distR="0" wp14:anchorId="33AE5A6E" wp14:editId="386F28B4">
            <wp:extent cx="5400040" cy="1800213"/>
            <wp:effectExtent l="0" t="0" r="0" b="0"/>
            <wp:docPr id="18" name="Picture 18" descr=" Percentage of patients with antidrug antibodies and neutralising antibodie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800213"/>
                    </a:xfrm>
                    <a:prstGeom prst="rect">
                      <a:avLst/>
                    </a:prstGeom>
                  </pic:spPr>
                </pic:pic>
              </a:graphicData>
            </a:graphic>
          </wp:inline>
        </w:drawing>
      </w:r>
    </w:p>
    <w:p w14:paraId="4ACB3439" w14:textId="7DD8F81F" w:rsidR="00815A54" w:rsidRDefault="000D5DC8" w:rsidP="00704FEB">
      <w:pPr>
        <w:pStyle w:val="TableDescription"/>
        <w:rPr>
          <w:lang w:eastAsia="en-AU"/>
        </w:rPr>
      </w:pPr>
      <w:r>
        <w:rPr>
          <w:lang w:eastAsia="en-AU"/>
        </w:rPr>
        <w:t xml:space="preserve">a) </w:t>
      </w:r>
      <w:r w:rsidR="00815A54">
        <w:rPr>
          <w:lang w:eastAsia="en-AU"/>
        </w:rPr>
        <w:t>The summary is for TP.1</w:t>
      </w:r>
      <w:r>
        <w:rPr>
          <w:lang w:eastAsia="en-AU"/>
        </w:rPr>
        <w:t>. Overall, a positive subject was defined as having at least one post-dose sample that tested positive during TP1, regardless of the pre-dose ADA status.</w:t>
      </w:r>
    </w:p>
    <w:p w14:paraId="41CA77AF" w14:textId="70DA51E2" w:rsidR="000D5DC8" w:rsidRDefault="000D5DC8" w:rsidP="00704FEB">
      <w:pPr>
        <w:pStyle w:val="TableDescription"/>
        <w:rPr>
          <w:lang w:eastAsia="en-AU"/>
        </w:rPr>
      </w:pPr>
      <w:r>
        <w:rPr>
          <w:lang w:eastAsia="en-AU"/>
        </w:rPr>
        <w:t>b) ADA testing was performed for a subset of subjects with adverse events of injection site reactions and/or rash (n = 15) and for a subset of matched control subjects (n = 15).</w:t>
      </w:r>
    </w:p>
    <w:p w14:paraId="02844098" w14:textId="1DE8C077" w:rsidR="000D5DC8" w:rsidRDefault="000D5DC8" w:rsidP="00704FEB">
      <w:pPr>
        <w:pStyle w:val="TableDescription"/>
        <w:rPr>
          <w:lang w:eastAsia="en-AU"/>
        </w:rPr>
      </w:pPr>
      <w:r>
        <w:rPr>
          <w:lang w:eastAsia="en-AU"/>
        </w:rPr>
        <w:t>c) ADA positive and negative test results were defined as ADA titre ≥ 1.88 and &lt; 1.88 for all studies respectively.</w:t>
      </w:r>
    </w:p>
    <w:p w14:paraId="51BD115C" w14:textId="093B50D1" w:rsidR="000D5DC8" w:rsidRDefault="000D5DC8" w:rsidP="00704FEB">
      <w:pPr>
        <w:pStyle w:val="TableDescription"/>
        <w:rPr>
          <w:lang w:eastAsia="en-AU"/>
        </w:rPr>
      </w:pPr>
      <w:r>
        <w:rPr>
          <w:lang w:eastAsia="en-AU"/>
        </w:rPr>
        <w:t>d) Nab positive and negative results were defined as Nab titre ≥ 0.70 and &lt; 0.70 for all studies, respectively.</w:t>
      </w:r>
    </w:p>
    <w:p w14:paraId="0DA737FC" w14:textId="77777777" w:rsidR="007566A1" w:rsidRDefault="007566A1" w:rsidP="007566A1">
      <w:pPr>
        <w:rPr>
          <w:color w:val="000000"/>
        </w:rPr>
      </w:pPr>
      <w:r>
        <w:rPr>
          <w:color w:val="000000"/>
        </w:rPr>
        <w:t xml:space="preserve">Differences in the incidence of ADA and </w:t>
      </w:r>
      <w:proofErr w:type="spellStart"/>
      <w:r>
        <w:rPr>
          <w:color w:val="000000"/>
        </w:rPr>
        <w:t>NAb</w:t>
      </w:r>
      <w:proofErr w:type="spellEnd"/>
      <w:r>
        <w:rPr>
          <w:color w:val="000000"/>
        </w:rPr>
        <w:t xml:space="preserve">, and earlier onset of ADAs in the </w:t>
      </w:r>
      <w:r w:rsidR="00EA3522">
        <w:rPr>
          <w:color w:val="000000"/>
        </w:rPr>
        <w:t>US-so</w:t>
      </w:r>
      <w:r w:rsidR="00C43261">
        <w:rPr>
          <w:color w:val="000000"/>
        </w:rPr>
        <w:t>u</w:t>
      </w:r>
      <w:r w:rsidR="00EA3522">
        <w:rPr>
          <w:color w:val="000000"/>
        </w:rPr>
        <w:t>r</w:t>
      </w:r>
      <w:r w:rsidR="00C43261">
        <w:rPr>
          <w:color w:val="000000"/>
        </w:rPr>
        <w:t xml:space="preserve">ced </w:t>
      </w:r>
      <w:r w:rsidR="00C43261">
        <w:rPr>
          <w:lang w:val="en-GB"/>
        </w:rPr>
        <w:t>Humira</w:t>
      </w:r>
      <w:r>
        <w:rPr>
          <w:color w:val="000000"/>
        </w:rPr>
        <w:t xml:space="preserve"> group, may have contributed to the failure to demonstrate similarity for AUC</w:t>
      </w:r>
      <w:r w:rsidR="00C43261">
        <w:rPr>
          <w:color w:val="000000"/>
          <w:sz w:val="12"/>
          <w:szCs w:val="12"/>
        </w:rPr>
        <w:t>0-t</w:t>
      </w:r>
      <w:r>
        <w:rPr>
          <w:color w:val="000000"/>
          <w:sz w:val="12"/>
          <w:szCs w:val="12"/>
        </w:rPr>
        <w:t xml:space="preserve"> </w:t>
      </w:r>
      <w:r>
        <w:rPr>
          <w:color w:val="000000"/>
        </w:rPr>
        <w:t>and AUC</w:t>
      </w:r>
      <w:r w:rsidR="00C43261">
        <w:rPr>
          <w:color w:val="000000"/>
          <w:vertAlign w:val="subscript"/>
        </w:rPr>
        <w:t>0-i</w:t>
      </w:r>
      <w:r w:rsidRPr="00733105">
        <w:rPr>
          <w:color w:val="000000"/>
          <w:vertAlign w:val="subscript"/>
        </w:rPr>
        <w:t>nf</w:t>
      </w:r>
      <w:r w:rsidR="00C43261">
        <w:rPr>
          <w:color w:val="000000"/>
        </w:rPr>
        <w:t>.</w:t>
      </w:r>
    </w:p>
    <w:p w14:paraId="631B79D0" w14:textId="77777777" w:rsidR="005F6CBE" w:rsidRDefault="005F6CBE" w:rsidP="005F6CBE">
      <w:pPr>
        <w:pStyle w:val="Heading6"/>
      </w:pPr>
      <w:r>
        <w:t>Study B5381007</w:t>
      </w:r>
    </w:p>
    <w:p w14:paraId="301D1467" w14:textId="5872160F" w:rsidR="00C43261" w:rsidRDefault="00C43261" w:rsidP="00C43261">
      <w:pPr>
        <w:rPr>
          <w:lang w:eastAsia="en-AU"/>
        </w:rPr>
      </w:pPr>
      <w:r w:rsidRPr="00C43261">
        <w:t>Study B5381007</w:t>
      </w:r>
      <w:r>
        <w:rPr>
          <w:lang w:eastAsia="en-AU"/>
        </w:rPr>
        <w:t xml:space="preserve"> was a double blind, randomised, parallel group, 3-arm, 40 mg single dose, PK similarity study of </w:t>
      </w:r>
      <w:r w:rsidR="006B70B8">
        <w:t>Abrilada</w:t>
      </w:r>
      <w:r w:rsidR="001B50D0">
        <w:rPr>
          <w:lang w:val="en-GB"/>
        </w:rPr>
        <w:t>, US-sourced and EU-sourced Humira</w:t>
      </w:r>
      <w:r>
        <w:rPr>
          <w:lang w:eastAsia="en-AU"/>
        </w:rPr>
        <w:t xml:space="preserve"> administered SC in the lower abdomen by a </w:t>
      </w:r>
      <w:r w:rsidR="001B50D0">
        <w:rPr>
          <w:lang w:eastAsia="en-AU"/>
        </w:rPr>
        <w:t>prefilled syringe</w:t>
      </w:r>
      <w:r>
        <w:rPr>
          <w:lang w:eastAsia="en-AU"/>
        </w:rPr>
        <w:t xml:space="preserve"> to healthy adult volunteer subjects. </w:t>
      </w:r>
      <w:r w:rsidR="001B50D0">
        <w:rPr>
          <w:lang w:eastAsia="en-AU"/>
        </w:rPr>
        <w:t>T</w:t>
      </w:r>
      <w:r>
        <w:rPr>
          <w:lang w:eastAsia="en-AU"/>
        </w:rPr>
        <w:t>his study was performed because PK comparability was not a</w:t>
      </w:r>
      <w:r w:rsidR="001B50D0">
        <w:rPr>
          <w:lang w:eastAsia="en-AU"/>
        </w:rPr>
        <w:t xml:space="preserve">dequately demonstrated in Study B5381001. </w:t>
      </w:r>
      <w:r>
        <w:rPr>
          <w:lang w:eastAsia="en-AU"/>
        </w:rPr>
        <w:t>This study was designed with a larger sample size, longer PK sampling period, and randomis</w:t>
      </w:r>
      <w:r w:rsidR="001B50D0">
        <w:rPr>
          <w:lang w:eastAsia="en-AU"/>
        </w:rPr>
        <w:t>ation was stratified by weight.</w:t>
      </w:r>
      <w:r>
        <w:rPr>
          <w:lang w:eastAsia="en-AU"/>
        </w:rPr>
        <w:t xml:space="preserve"> </w:t>
      </w:r>
      <w:r>
        <w:t xml:space="preserve">The primary objective was to compare the PK of </w:t>
      </w:r>
      <w:r w:rsidR="001B50D0">
        <w:rPr>
          <w:lang w:val="en-GB"/>
        </w:rPr>
        <w:t>Abrilada</w:t>
      </w:r>
      <w:r>
        <w:t xml:space="preserve"> to </w:t>
      </w:r>
      <w:r w:rsidR="001B50D0">
        <w:t xml:space="preserve">EU-sourced </w:t>
      </w:r>
      <w:r w:rsidR="001B50D0">
        <w:rPr>
          <w:lang w:val="en-GB"/>
        </w:rPr>
        <w:t>Humira</w:t>
      </w:r>
      <w:r>
        <w:rPr>
          <w:lang w:eastAsia="en-AU"/>
        </w:rPr>
        <w:t xml:space="preserve"> and to </w:t>
      </w:r>
      <w:r w:rsidR="001B50D0">
        <w:rPr>
          <w:lang w:eastAsia="en-AU"/>
        </w:rPr>
        <w:t xml:space="preserve">US-sourced </w:t>
      </w:r>
      <w:r w:rsidR="001B50D0">
        <w:rPr>
          <w:lang w:val="en-GB"/>
        </w:rPr>
        <w:t>Humira</w:t>
      </w:r>
      <w:r w:rsidR="001B50D0">
        <w:t>.</w:t>
      </w:r>
      <w:r>
        <w:t xml:space="preserve"> Other objectives were to compare the PK of </w:t>
      </w:r>
      <w:r w:rsidR="00CB0B2C">
        <w:rPr>
          <w:lang w:val="en-GB"/>
        </w:rPr>
        <w:t>EU- and US-sourced Humira</w:t>
      </w:r>
      <w:r>
        <w:rPr>
          <w:lang w:eastAsia="en-AU"/>
        </w:rPr>
        <w:t>, t</w:t>
      </w:r>
      <w:r w:rsidR="00CB0B2C">
        <w:t xml:space="preserve">o evaluate the single </w:t>
      </w:r>
      <w:r>
        <w:t>dose safety and tolerability, and to evaluate immunogenicity.</w:t>
      </w:r>
    </w:p>
    <w:p w14:paraId="66A48636" w14:textId="77777777" w:rsidR="00C43261" w:rsidRDefault="00C43261" w:rsidP="00C43261">
      <w:pPr>
        <w:rPr>
          <w:lang w:eastAsia="en-AU"/>
        </w:rPr>
      </w:pPr>
      <w:r>
        <w:t>362 healthy subjects were randomised 1:</w:t>
      </w:r>
      <w:r w:rsidR="00CB0B2C">
        <w:t xml:space="preserve">1:1 to the 3 treatment groups. </w:t>
      </w:r>
      <w:r>
        <w:rPr>
          <w:lang w:eastAsia="en-AU"/>
        </w:rPr>
        <w:t xml:space="preserve">The PK sampling time </w:t>
      </w:r>
      <w:r w:rsidR="00CB0B2C">
        <w:rPr>
          <w:lang w:eastAsia="en-AU"/>
        </w:rPr>
        <w:t xml:space="preserve">period was up to 50 days (approximately </w:t>
      </w:r>
      <w:r>
        <w:rPr>
          <w:lang w:eastAsia="en-AU"/>
        </w:rPr>
        <w:t>7 weeks). A higher proportion of subjects achieved AUC</w:t>
      </w:r>
      <w:r w:rsidR="00CB0B2C">
        <w:rPr>
          <w:vertAlign w:val="subscript"/>
          <w:lang w:eastAsia="en-AU"/>
        </w:rPr>
        <w:t>0-t</w:t>
      </w:r>
      <w:r>
        <w:rPr>
          <w:lang w:eastAsia="en-AU"/>
        </w:rPr>
        <w:t xml:space="preserve"> of at least 80% of AUC</w:t>
      </w:r>
      <w:r w:rsidR="00CB0B2C">
        <w:rPr>
          <w:vertAlign w:val="subscript"/>
          <w:lang w:eastAsia="en-AU"/>
        </w:rPr>
        <w:t>0-i</w:t>
      </w:r>
      <w:r w:rsidRPr="000D40C1">
        <w:rPr>
          <w:vertAlign w:val="subscript"/>
          <w:lang w:eastAsia="en-AU"/>
        </w:rPr>
        <w:t>nf</w:t>
      </w:r>
      <w:r>
        <w:rPr>
          <w:lang w:eastAsia="en-AU"/>
        </w:rPr>
        <w:t xml:space="preserve"> than in Study B5381001, but in</w:t>
      </w:r>
      <w:r w:rsidR="00CB0B2C">
        <w:rPr>
          <w:lang w:eastAsia="en-AU"/>
        </w:rPr>
        <w:t xml:space="preserve"> approximately </w:t>
      </w:r>
      <w:r>
        <w:rPr>
          <w:lang w:eastAsia="en-AU"/>
        </w:rPr>
        <w:t>20% of subjects AUC</w:t>
      </w:r>
      <w:r w:rsidR="00CB0B2C">
        <w:rPr>
          <w:vertAlign w:val="subscript"/>
          <w:lang w:eastAsia="en-AU"/>
        </w:rPr>
        <w:t>0-t</w:t>
      </w:r>
      <w:r>
        <w:rPr>
          <w:lang w:eastAsia="en-AU"/>
        </w:rPr>
        <w:t xml:space="preserve"> did not cover at least 80% of AUC</w:t>
      </w:r>
      <w:r w:rsidR="00CB0B2C">
        <w:rPr>
          <w:vertAlign w:val="subscript"/>
          <w:lang w:eastAsia="en-AU"/>
        </w:rPr>
        <w:t>0-i</w:t>
      </w:r>
      <w:r w:rsidRPr="00171B7E">
        <w:rPr>
          <w:vertAlign w:val="subscript"/>
          <w:lang w:eastAsia="en-AU"/>
        </w:rPr>
        <w:t>nf</w:t>
      </w:r>
      <w:r>
        <w:rPr>
          <w:lang w:eastAsia="en-AU"/>
        </w:rPr>
        <w:t>.</w:t>
      </w:r>
    </w:p>
    <w:p w14:paraId="50BDBACE" w14:textId="3B456D5F" w:rsidR="00A92CEB" w:rsidRDefault="00CB0B2C" w:rsidP="00CB0B2C">
      <w:pPr>
        <w:rPr>
          <w:lang w:eastAsia="en-AU"/>
        </w:rPr>
      </w:pPr>
      <w:r>
        <w:rPr>
          <w:lang w:eastAsia="en-AU"/>
        </w:rPr>
        <w:t xml:space="preserve">This study confirmed similarity in PK between </w:t>
      </w:r>
      <w:r w:rsidR="006B70B8">
        <w:t>Abrilada</w:t>
      </w:r>
      <w:r w:rsidR="00A92CEB">
        <w:rPr>
          <w:lang w:val="en-GB"/>
        </w:rPr>
        <w:t>, US-sourced and EU-sourced Humira</w:t>
      </w:r>
      <w:r>
        <w:rPr>
          <w:lang w:eastAsia="en-AU"/>
        </w:rPr>
        <w:t xml:space="preserve">, with the 90% CIs for the primary PK parameters all within the equivalence </w:t>
      </w:r>
      <w:r w:rsidR="00A92CEB">
        <w:rPr>
          <w:lang w:eastAsia="en-AU"/>
        </w:rPr>
        <w:t>range 80% to 125%, as shown in Table 6, below.</w:t>
      </w:r>
    </w:p>
    <w:p w14:paraId="32C0EF93" w14:textId="4ED28A65" w:rsidR="004329EB" w:rsidRDefault="00A92CEB" w:rsidP="00CB0B2C">
      <w:pPr>
        <w:rPr>
          <w:lang w:eastAsia="en-AU"/>
        </w:rPr>
      </w:pPr>
      <w:r>
        <w:rPr>
          <w:lang w:eastAsia="en-AU"/>
        </w:rPr>
        <w:t xml:space="preserve">Exposure was slightly higher for </w:t>
      </w:r>
      <w:r>
        <w:rPr>
          <w:lang w:val="en-GB"/>
        </w:rPr>
        <w:t>Abrilada</w:t>
      </w:r>
      <w:r>
        <w:rPr>
          <w:lang w:eastAsia="en-AU"/>
        </w:rPr>
        <w:t xml:space="preserve"> compared to </w:t>
      </w:r>
      <w:r>
        <w:rPr>
          <w:lang w:val="en-GB"/>
        </w:rPr>
        <w:t>EU- and US-sourced Humira</w:t>
      </w:r>
      <w:r>
        <w:rPr>
          <w:lang w:eastAsia="en-AU"/>
        </w:rPr>
        <w:t xml:space="preserve">. The point estimates for the </w:t>
      </w:r>
      <w:proofErr w:type="spellStart"/>
      <w:r>
        <w:rPr>
          <w:lang w:eastAsia="en-AU"/>
        </w:rPr>
        <w:t>C</w:t>
      </w:r>
      <w:r w:rsidRPr="00514014">
        <w:rPr>
          <w:vertAlign w:val="subscript"/>
          <w:lang w:eastAsia="en-AU"/>
        </w:rPr>
        <w:t>max</w:t>
      </w:r>
      <w:proofErr w:type="spellEnd"/>
      <w:r>
        <w:rPr>
          <w:lang w:eastAsia="en-AU"/>
        </w:rPr>
        <w:t xml:space="preserve"> and AUC ratios were all above 100%, and for </w:t>
      </w:r>
      <w:r>
        <w:rPr>
          <w:lang w:val="en-GB"/>
        </w:rPr>
        <w:t>Abrilada</w:t>
      </w:r>
      <w:r>
        <w:rPr>
          <w:lang w:eastAsia="en-AU"/>
        </w:rPr>
        <w:t xml:space="preserve"> versus </w:t>
      </w:r>
      <w:r>
        <w:rPr>
          <w:lang w:val="en-GB"/>
        </w:rPr>
        <w:t>EU-sourced Humira</w:t>
      </w:r>
      <w:r>
        <w:rPr>
          <w:lang w:eastAsia="en-AU"/>
        </w:rPr>
        <w:t xml:space="preserve">, the 90% CIs were above 100% for </w:t>
      </w:r>
      <w:proofErr w:type="spellStart"/>
      <w:r>
        <w:rPr>
          <w:lang w:eastAsia="en-AU"/>
        </w:rPr>
        <w:t>C</w:t>
      </w:r>
      <w:r w:rsidRPr="00514014">
        <w:rPr>
          <w:vertAlign w:val="subscript"/>
          <w:lang w:eastAsia="en-AU"/>
        </w:rPr>
        <w:t>max</w:t>
      </w:r>
      <w:proofErr w:type="spellEnd"/>
      <w:r>
        <w:rPr>
          <w:lang w:eastAsia="en-AU"/>
        </w:rPr>
        <w:t xml:space="preserve"> and AUC</w:t>
      </w:r>
      <w:r w:rsidRPr="00514014">
        <w:rPr>
          <w:vertAlign w:val="subscript"/>
          <w:lang w:eastAsia="en-AU"/>
        </w:rPr>
        <w:t>0-2wk</w:t>
      </w:r>
      <w:r>
        <w:rPr>
          <w:lang w:eastAsia="en-AU"/>
        </w:rPr>
        <w:t xml:space="preserve">, and for </w:t>
      </w:r>
      <w:r>
        <w:rPr>
          <w:lang w:val="en-GB"/>
        </w:rPr>
        <w:t>Abrilada</w:t>
      </w:r>
      <w:r>
        <w:rPr>
          <w:lang w:eastAsia="en-AU"/>
        </w:rPr>
        <w:t xml:space="preserve"> versus US-sourced </w:t>
      </w:r>
      <w:r>
        <w:rPr>
          <w:lang w:val="en-GB"/>
        </w:rPr>
        <w:t>Humira</w:t>
      </w:r>
      <w:r>
        <w:rPr>
          <w:lang w:eastAsia="en-AU"/>
        </w:rPr>
        <w:t xml:space="preserve">, the 90% CIs were above 100% for all of the </w:t>
      </w:r>
      <w:proofErr w:type="spellStart"/>
      <w:r>
        <w:rPr>
          <w:lang w:eastAsia="en-AU"/>
        </w:rPr>
        <w:t>C</w:t>
      </w:r>
      <w:r w:rsidRPr="00514014">
        <w:rPr>
          <w:vertAlign w:val="subscript"/>
          <w:lang w:eastAsia="en-AU"/>
        </w:rPr>
        <w:t>max</w:t>
      </w:r>
      <w:proofErr w:type="spellEnd"/>
      <w:r>
        <w:rPr>
          <w:lang w:eastAsia="en-AU"/>
        </w:rPr>
        <w:t xml:space="preserve"> and AUC parameters.</w:t>
      </w:r>
      <w:r w:rsidR="008F0406">
        <w:rPr>
          <w:lang w:eastAsia="en-AU"/>
        </w:rPr>
        <w:t xml:space="preserve"> Figure 2, shown below, demonstrates the median serum adalimu</w:t>
      </w:r>
      <w:r w:rsidR="004329EB">
        <w:rPr>
          <w:lang w:eastAsia="en-AU"/>
        </w:rPr>
        <w:t>mab concentration</w:t>
      </w:r>
      <w:r w:rsidR="008F0406">
        <w:rPr>
          <w:lang w:eastAsia="en-AU"/>
        </w:rPr>
        <w:t xml:space="preserve"> versus time</w:t>
      </w:r>
      <w:r w:rsidR="004329EB">
        <w:rPr>
          <w:lang w:eastAsia="en-AU"/>
        </w:rPr>
        <w:t xml:space="preserve"> profiles in the per protocol analysis set for the Abrilada, US</w:t>
      </w:r>
      <w:r w:rsidR="004329EB">
        <w:rPr>
          <w:lang w:eastAsia="en-AU"/>
        </w:rPr>
        <w:noBreakHyphen/>
        <w:t xml:space="preserve"> and EU</w:t>
      </w:r>
      <w:r w:rsidR="004329EB">
        <w:rPr>
          <w:lang w:eastAsia="en-AU"/>
        </w:rPr>
        <w:noBreakHyphen/>
        <w:t>sourced Humira treatment groups.</w:t>
      </w:r>
    </w:p>
    <w:p w14:paraId="35201AD5" w14:textId="31921014" w:rsidR="00A92CEB" w:rsidRDefault="00A92CEB" w:rsidP="00A92CEB">
      <w:pPr>
        <w:pStyle w:val="TableTitle"/>
      </w:pPr>
      <w:r>
        <w:t xml:space="preserve">Table </w:t>
      </w:r>
      <w:fldSimple w:instr=" SEQ Table \* ARABIC ">
        <w:r w:rsidR="0012232D">
          <w:rPr>
            <w:noProof/>
          </w:rPr>
          <w:t>6</w:t>
        </w:r>
      </w:fldSimple>
      <w:r>
        <w:t xml:space="preserve">: </w:t>
      </w:r>
      <w:r w:rsidRPr="005F3874">
        <w:t>Summary of statistical comparisons of PK exposure parameters (</w:t>
      </w:r>
      <w:proofErr w:type="spellStart"/>
      <w:r w:rsidRPr="005F3874">
        <w:t>C</w:t>
      </w:r>
      <w:r w:rsidRPr="005F3874">
        <w:rPr>
          <w:sz w:val="12"/>
          <w:szCs w:val="12"/>
        </w:rPr>
        <w:t>max</w:t>
      </w:r>
      <w:proofErr w:type="spellEnd"/>
      <w:r w:rsidRPr="005F3874">
        <w:t>, AUC</w:t>
      </w:r>
      <w:r w:rsidRPr="005F3874">
        <w:rPr>
          <w:sz w:val="12"/>
          <w:szCs w:val="12"/>
        </w:rPr>
        <w:t>0</w:t>
      </w:r>
      <w:r w:rsidR="004329EB">
        <w:noBreakHyphen/>
      </w:r>
      <w:r w:rsidRPr="005F3874">
        <w:rPr>
          <w:sz w:val="12"/>
          <w:szCs w:val="12"/>
        </w:rPr>
        <w:t>2wk</w:t>
      </w:r>
      <w:r w:rsidRPr="005F3874">
        <w:t>,</w:t>
      </w:r>
      <w:r>
        <w:t xml:space="preserve"> </w:t>
      </w:r>
      <w:proofErr w:type="spellStart"/>
      <w:r w:rsidRPr="005F3874">
        <w:t>AUC</w:t>
      </w:r>
      <w:r w:rsidRPr="005F3874">
        <w:rPr>
          <w:sz w:val="12"/>
          <w:szCs w:val="12"/>
        </w:rPr>
        <w:t>t</w:t>
      </w:r>
      <w:proofErr w:type="spellEnd"/>
      <w:r w:rsidRPr="005F3874">
        <w:t xml:space="preserve">, and </w:t>
      </w:r>
      <w:proofErr w:type="spellStart"/>
      <w:r w:rsidRPr="005F3874">
        <w:t>AUC</w:t>
      </w:r>
      <w:r w:rsidRPr="005F3874">
        <w:rPr>
          <w:sz w:val="12"/>
          <w:szCs w:val="12"/>
        </w:rPr>
        <w:t>inf</w:t>
      </w:r>
      <w:proofErr w:type="spellEnd"/>
      <w:r w:rsidRPr="005F3874">
        <w:t>) between test and comparator products</w:t>
      </w:r>
      <w:r>
        <w:t>, Study B5381007</w:t>
      </w:r>
    </w:p>
    <w:p w14:paraId="2BB21AE6" w14:textId="287981AF" w:rsidR="00A92CEB" w:rsidRDefault="00A92CEB" w:rsidP="00CB0B2C">
      <w:pPr>
        <w:rPr>
          <w:lang w:eastAsia="en-AU"/>
        </w:rPr>
      </w:pPr>
      <w:r>
        <w:rPr>
          <w:noProof/>
          <w:lang w:eastAsia="en-AU"/>
        </w:rPr>
        <w:drawing>
          <wp:inline distT="0" distB="0" distL="0" distR="0" wp14:anchorId="7BC637E9" wp14:editId="7E5BD5D0">
            <wp:extent cx="5400040" cy="241045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410454"/>
                    </a:xfrm>
                    <a:prstGeom prst="rect">
                      <a:avLst/>
                    </a:prstGeom>
                  </pic:spPr>
                </pic:pic>
              </a:graphicData>
            </a:graphic>
          </wp:inline>
        </w:drawing>
      </w:r>
    </w:p>
    <w:p w14:paraId="5DC1D5E8" w14:textId="183E00BA" w:rsidR="004329EB" w:rsidRDefault="004329EB" w:rsidP="004329EB">
      <w:pPr>
        <w:pStyle w:val="FigureTitle"/>
      </w:pPr>
      <w:r>
        <w:t xml:space="preserve">Figure </w:t>
      </w:r>
      <w:fldSimple w:instr=" SEQ Figure \* ARABIC ">
        <w:r w:rsidR="0012232D">
          <w:rPr>
            <w:noProof/>
          </w:rPr>
          <w:t>2</w:t>
        </w:r>
      </w:fldSimple>
      <w:r>
        <w:t xml:space="preserve">: Study B5381007 </w:t>
      </w:r>
      <w:r w:rsidRPr="005F3874">
        <w:t>Medi</w:t>
      </w:r>
      <w:r>
        <w:t>an</w:t>
      </w:r>
      <w:r w:rsidRPr="005F3874">
        <w:t xml:space="preserve"> serum ad</w:t>
      </w:r>
      <w:r>
        <w:t xml:space="preserve">alimumab concentration (ng/mL) versus </w:t>
      </w:r>
      <w:r w:rsidRPr="005F3874">
        <w:t xml:space="preserve">time (h) profiles of </w:t>
      </w:r>
      <w:r>
        <w:t>Abrilada</w:t>
      </w:r>
      <w:r w:rsidRPr="005F3874">
        <w:t xml:space="preserve">, </w:t>
      </w:r>
      <w:r>
        <w:t xml:space="preserve">US- and EU-sourced Humira </w:t>
      </w:r>
      <w:r w:rsidRPr="005F3874">
        <w:t>(</w:t>
      </w:r>
      <w:r>
        <w:t>per protocol</w:t>
      </w:r>
      <w:r w:rsidRPr="005F3874">
        <w:t xml:space="preserve"> analysis set)</w:t>
      </w:r>
    </w:p>
    <w:p w14:paraId="5870EAA5" w14:textId="200E0D91" w:rsidR="004329EB" w:rsidRDefault="004329EB" w:rsidP="00CB0B2C">
      <w:r>
        <w:rPr>
          <w:noProof/>
          <w:lang w:eastAsia="en-AU"/>
        </w:rPr>
        <w:drawing>
          <wp:inline distT="0" distB="0" distL="0" distR="0" wp14:anchorId="309C0A6A" wp14:editId="6D48623E">
            <wp:extent cx="5242560" cy="3259611"/>
            <wp:effectExtent l="0" t="0" r="0" b="0"/>
            <wp:docPr id="21" name="Picture 21" descr="Study B5381007 Median serum adalimumab concentration (ng/ml) versus time (h) profiles of Abrilada, US- and EU-sourced HUMIRA-US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61025" cy="3271092"/>
                    </a:xfrm>
                    <a:prstGeom prst="rect">
                      <a:avLst/>
                    </a:prstGeom>
                  </pic:spPr>
                </pic:pic>
              </a:graphicData>
            </a:graphic>
          </wp:inline>
        </w:drawing>
      </w:r>
    </w:p>
    <w:p w14:paraId="3045A30D" w14:textId="147760FA" w:rsidR="004128D2" w:rsidRDefault="00CB0B2C" w:rsidP="004128D2">
      <w:r>
        <w:rPr>
          <w:lang w:eastAsia="en-AU"/>
        </w:rPr>
        <w:t xml:space="preserve">The incidence of ADAs in the </w:t>
      </w:r>
      <w:r>
        <w:rPr>
          <w:lang w:val="en-GB"/>
        </w:rPr>
        <w:t>A</w:t>
      </w:r>
      <w:r w:rsidR="00A92CEB">
        <w:rPr>
          <w:lang w:val="en-GB"/>
        </w:rPr>
        <w:t>brilada</w:t>
      </w:r>
      <w:r>
        <w:rPr>
          <w:lang w:eastAsia="en-AU"/>
        </w:rPr>
        <w:t xml:space="preserve">, </w:t>
      </w:r>
      <w:r w:rsidR="00EA3522">
        <w:rPr>
          <w:lang w:eastAsia="en-AU"/>
        </w:rPr>
        <w:t xml:space="preserve">EU-sourced and US-sourced Humira groups </w:t>
      </w:r>
      <w:r>
        <w:rPr>
          <w:lang w:eastAsia="en-AU"/>
        </w:rPr>
        <w:t xml:space="preserve">was 76.5%, 70.3% and 79.7% respectively, and the incidence of </w:t>
      </w:r>
      <w:proofErr w:type="spellStart"/>
      <w:r>
        <w:rPr>
          <w:lang w:eastAsia="en-AU"/>
        </w:rPr>
        <w:t>NAbs</w:t>
      </w:r>
      <w:proofErr w:type="spellEnd"/>
      <w:r>
        <w:rPr>
          <w:lang w:eastAsia="en-AU"/>
        </w:rPr>
        <w:t xml:space="preserve"> was 64.7%, 60.2% and 62.7% respectively (</w:t>
      </w:r>
      <w:r w:rsidR="00EA3522">
        <w:rPr>
          <w:lang w:eastAsia="en-AU"/>
        </w:rPr>
        <w:t>refer to Table 5, above).</w:t>
      </w:r>
      <w:r>
        <w:rPr>
          <w:lang w:eastAsia="en-AU"/>
        </w:rPr>
        <w:t xml:space="preserve"> The incidence of early onset ADAs was similar across the three groups.</w:t>
      </w:r>
    </w:p>
    <w:p w14:paraId="7A8CE9EF" w14:textId="77777777" w:rsidR="005F6CBE" w:rsidRDefault="005F6CBE" w:rsidP="005F6CBE">
      <w:pPr>
        <w:pStyle w:val="Heading6"/>
      </w:pPr>
      <w:r>
        <w:t>Study B5381005</w:t>
      </w:r>
    </w:p>
    <w:p w14:paraId="0AF76938" w14:textId="77777777" w:rsidR="005F6CBE" w:rsidRDefault="005F6CBE" w:rsidP="005F6CBE">
      <w:r w:rsidRPr="005F6CBE">
        <w:t>Study B5381005</w:t>
      </w:r>
      <w:r>
        <w:rPr>
          <w:lang w:eastAsia="en-AU"/>
        </w:rPr>
        <w:t xml:space="preserve"> was an open-label, randomised (1:1), parallel group, 2-arm, 40 mg single dose relative bioavailability study to assess the PK of </w:t>
      </w:r>
      <w:r>
        <w:rPr>
          <w:lang w:val="en-GB"/>
        </w:rPr>
        <w:t>Abrilada</w:t>
      </w:r>
      <w:r>
        <w:rPr>
          <w:lang w:eastAsia="en-AU"/>
        </w:rPr>
        <w:t xml:space="preserve"> following SC administration using a prefilled syringed or a prefilled pen in healthy adult volunteer subjects. </w:t>
      </w:r>
      <w:r>
        <w:t xml:space="preserve">The primary objective was to compare the single-dose PK of </w:t>
      </w:r>
      <w:r>
        <w:rPr>
          <w:lang w:val="en-GB"/>
        </w:rPr>
        <w:t>Abrilada</w:t>
      </w:r>
      <w:r>
        <w:t xml:space="preserve"> administered with a prefilled pen compared to a prefilled syringe in healthy adult subjects. Secondary objectives were to evaluate the safety and tolerability of </w:t>
      </w:r>
      <w:r>
        <w:rPr>
          <w:lang w:val="en-GB"/>
        </w:rPr>
        <w:t>Abrilada</w:t>
      </w:r>
      <w:r>
        <w:t xml:space="preserve"> administered with the prefilled pen device compared to the prefilled syringe, and to evaluate the full PK profile following a single-dose of </w:t>
      </w:r>
      <w:r>
        <w:rPr>
          <w:lang w:val="en-GB"/>
        </w:rPr>
        <w:t>Abrilada</w:t>
      </w:r>
      <w:r>
        <w:t xml:space="preserve"> administered with the prefilled pen device and the prefilled syringe. An exploratory objective was to evaluate the immunogenicity of adalimumab administered with the prefilled pen and with the prefilled syringe.</w:t>
      </w:r>
    </w:p>
    <w:p w14:paraId="508C3254" w14:textId="0327C00D" w:rsidR="005F6CBE" w:rsidRDefault="005F6CBE" w:rsidP="005F6CBE">
      <w:r>
        <w:t>163 subjects were included in the per protocol population. The PK sampling period was up to 6 weeks.</w:t>
      </w:r>
      <w:r w:rsidR="00490513">
        <w:t xml:space="preserve"> </w:t>
      </w:r>
      <w:r>
        <w:t xml:space="preserve">The primary PK endpoints were </w:t>
      </w:r>
      <w:proofErr w:type="spellStart"/>
      <w:r>
        <w:t>C</w:t>
      </w:r>
      <w:r>
        <w:rPr>
          <w:sz w:val="12"/>
          <w:szCs w:val="12"/>
        </w:rPr>
        <w:t>max</w:t>
      </w:r>
      <w:proofErr w:type="spellEnd"/>
      <w:r>
        <w:rPr>
          <w:sz w:val="12"/>
          <w:szCs w:val="12"/>
        </w:rPr>
        <w:t xml:space="preserve"> </w:t>
      </w:r>
      <w:r>
        <w:t>and AUC</w:t>
      </w:r>
      <w:r>
        <w:rPr>
          <w:sz w:val="12"/>
          <w:szCs w:val="12"/>
        </w:rPr>
        <w:t xml:space="preserve">0-2wk </w:t>
      </w:r>
      <w:r>
        <w:t xml:space="preserve">for demonstration of PK comparability, because the </w:t>
      </w:r>
      <w:r w:rsidR="00EB2A14">
        <w:t>sponsor</w:t>
      </w:r>
      <w:r>
        <w:t xml:space="preserve"> had an opinion that differences in the delivery devices were not anticipated to impact the terminal phase of the PK profiles.</w:t>
      </w:r>
    </w:p>
    <w:p w14:paraId="2D73A811" w14:textId="77777777" w:rsidR="005F6CBE" w:rsidRDefault="005F6CBE" w:rsidP="005F6CBE">
      <w:r w:rsidRPr="009B050C">
        <w:t xml:space="preserve">Comparable PK was demonstrated for </w:t>
      </w:r>
      <w:r w:rsidR="00EB2A14">
        <w:rPr>
          <w:lang w:val="en-GB"/>
        </w:rPr>
        <w:t>Abrilada</w:t>
      </w:r>
      <w:r w:rsidRPr="009B050C">
        <w:t xml:space="preserve"> administered by </w:t>
      </w:r>
      <w:r w:rsidR="00EB2A14">
        <w:t>prefilled pen and prefilled syringe, as shown in Table 7, below</w:t>
      </w:r>
      <w:r w:rsidRPr="009B050C">
        <w:t>.</w:t>
      </w:r>
      <w:r>
        <w:t xml:space="preserve"> Median</w:t>
      </w:r>
      <w:r w:rsidR="00EB2A14">
        <w:t xml:space="preserve"> time to maximum concentration</w:t>
      </w:r>
      <w:r>
        <w:t xml:space="preserve"> </w:t>
      </w:r>
      <w:r w:rsidR="00EB2A14">
        <w:t>(</w:t>
      </w:r>
      <w:proofErr w:type="spellStart"/>
      <w:r>
        <w:t>T</w:t>
      </w:r>
      <w:r w:rsidR="00EB2A14">
        <w:rPr>
          <w:sz w:val="12"/>
          <w:szCs w:val="12"/>
        </w:rPr>
        <w:t>max</w:t>
      </w:r>
      <w:proofErr w:type="spellEnd"/>
      <w:r w:rsidR="00EB2A14">
        <w:t xml:space="preserve">) was 166 hours for the prefilled syringe (range 48 to </w:t>
      </w:r>
      <w:r>
        <w:t>674 h</w:t>
      </w:r>
      <w:r w:rsidR="00EB2A14">
        <w:t>ours</w:t>
      </w:r>
      <w:r>
        <w:t>) and 142 h</w:t>
      </w:r>
      <w:r w:rsidR="00EB2A14">
        <w:t xml:space="preserve">ours for the prefilled pen, (range 45 to </w:t>
      </w:r>
      <w:r>
        <w:t>336 h</w:t>
      </w:r>
      <w:r w:rsidR="00EB2A14">
        <w:t>ou</w:t>
      </w:r>
      <w:r>
        <w:t>r</w:t>
      </w:r>
      <w:r w:rsidR="00EB2A14">
        <w:t>s).</w:t>
      </w:r>
    </w:p>
    <w:p w14:paraId="49036F10" w14:textId="1A406B72" w:rsidR="00EB2A14" w:rsidRDefault="00EB2A14" w:rsidP="00EB2A14">
      <w:pPr>
        <w:pStyle w:val="TableTitle"/>
      </w:pPr>
      <w:r>
        <w:t xml:space="preserve">Table </w:t>
      </w:r>
      <w:fldSimple w:instr=" SEQ Table \* ARABIC ">
        <w:r w:rsidR="0012232D">
          <w:rPr>
            <w:noProof/>
          </w:rPr>
          <w:t>7</w:t>
        </w:r>
      </w:fldSimple>
      <w:r>
        <w:t xml:space="preserve">: </w:t>
      </w:r>
      <w:r w:rsidRPr="007A43AF">
        <w:t>Study B5381005</w:t>
      </w:r>
      <w:r>
        <w:t xml:space="preserve"> </w:t>
      </w:r>
      <w:r w:rsidRPr="007A43AF">
        <w:t xml:space="preserve">Summary </w:t>
      </w:r>
      <w:r w:rsidR="009841C5" w:rsidRPr="007A43AF">
        <w:t>of statistical compari</w:t>
      </w:r>
      <w:r w:rsidR="009841C5">
        <w:t xml:space="preserve">sons of </w:t>
      </w:r>
      <w:proofErr w:type="spellStart"/>
      <w:r w:rsidR="009841C5">
        <w:t>pk</w:t>
      </w:r>
      <w:proofErr w:type="spellEnd"/>
      <w:r w:rsidR="009841C5">
        <w:t xml:space="preserve"> exposure parameters b</w:t>
      </w:r>
      <w:r w:rsidRPr="007A43AF">
        <w:t xml:space="preserve">etween </w:t>
      </w:r>
      <w:r w:rsidR="009841C5" w:rsidRPr="007A43AF">
        <w:t>test and reference treatment arms</w:t>
      </w:r>
    </w:p>
    <w:p w14:paraId="23C89F51" w14:textId="2742EC8B" w:rsidR="005F6CBE" w:rsidRDefault="00EB2A14" w:rsidP="004128D2">
      <w:r>
        <w:rPr>
          <w:noProof/>
          <w:lang w:eastAsia="en-AU"/>
        </w:rPr>
        <w:drawing>
          <wp:inline distT="0" distB="0" distL="0" distR="0" wp14:anchorId="340E11C0" wp14:editId="1ACBD32F">
            <wp:extent cx="5400040" cy="1140913"/>
            <wp:effectExtent l="0" t="0" r="0" b="2540"/>
            <wp:docPr id="6" name="Picture 6" descr="Summary of Statistical Comparisons of PK Exposure Parameters (Cmax, AUC0-2wk, AUClast, and AUCinf) Between Test and Reference Treatment Arms, Study B538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140913"/>
                    </a:xfrm>
                    <a:prstGeom prst="rect">
                      <a:avLst/>
                    </a:prstGeom>
                  </pic:spPr>
                </pic:pic>
              </a:graphicData>
            </a:graphic>
          </wp:inline>
        </w:drawing>
      </w:r>
    </w:p>
    <w:p w14:paraId="4D794CBD" w14:textId="0AF4818C" w:rsidR="004329EB" w:rsidRDefault="0087611A" w:rsidP="004128D2">
      <w:r>
        <w:t xml:space="preserve">Figure 3, shown below, </w:t>
      </w:r>
      <w:r w:rsidR="004329EB">
        <w:t xml:space="preserve">demonstrates the median serum concentration versus time profiles of Abrilada </w:t>
      </w:r>
      <w:r>
        <w:t>in healthy volunteers following the subcutaneous administration of a 40 mg dose via a prefilled syringe, and a prefilled pen.</w:t>
      </w:r>
    </w:p>
    <w:p w14:paraId="6294AC7B" w14:textId="7BD1F828" w:rsidR="00EB2A14" w:rsidRDefault="00EB2A14" w:rsidP="00EB2A14">
      <w:pPr>
        <w:pStyle w:val="FigureTitle"/>
      </w:pPr>
      <w:r>
        <w:t xml:space="preserve">Figure </w:t>
      </w:r>
      <w:fldSimple w:instr=" SEQ Figure \* ARABIC ">
        <w:r w:rsidR="0012232D">
          <w:rPr>
            <w:noProof/>
          </w:rPr>
          <w:t>3</w:t>
        </w:r>
      </w:fldSimple>
      <w:r>
        <w:t xml:space="preserve">: Study B5381005 </w:t>
      </w:r>
      <w:r w:rsidRPr="007A43AF">
        <w:t>M</w:t>
      </w:r>
      <w:r>
        <w:t xml:space="preserve">edian serum concentration (ng/mL) versus </w:t>
      </w:r>
      <w:r w:rsidRPr="007A43AF">
        <w:t xml:space="preserve">time (h) profiles of </w:t>
      </w:r>
      <w:r>
        <w:t xml:space="preserve">Abrilada </w:t>
      </w:r>
      <w:r w:rsidRPr="007A43AF">
        <w:t>following SC administ</w:t>
      </w:r>
      <w:r>
        <w:t xml:space="preserve">ration of 40 mg dose using a prefilled syringe or prefilled pen in healthy subjects </w:t>
      </w:r>
      <w:r w:rsidRPr="007A43AF">
        <w:t>(</w:t>
      </w:r>
      <w:r>
        <w:t xml:space="preserve">per protocol </w:t>
      </w:r>
      <w:r w:rsidRPr="007A43AF">
        <w:t>population)</w:t>
      </w:r>
    </w:p>
    <w:p w14:paraId="7CA9E483" w14:textId="77777777" w:rsidR="00EB2A14" w:rsidRDefault="00EB2A14" w:rsidP="004128D2">
      <w:r>
        <w:rPr>
          <w:noProof/>
          <w:lang w:eastAsia="en-AU"/>
        </w:rPr>
        <w:drawing>
          <wp:inline distT="0" distB="0" distL="0" distR="0" wp14:anchorId="18718326" wp14:editId="55C110CF">
            <wp:extent cx="4906467" cy="2987040"/>
            <wp:effectExtent l="0" t="0" r="8890" b="3810"/>
            <wp:docPr id="5" name="Picture 5" descr="Study B5381005 Median serum concentration (ng/mL) versus time (h) profiles of Abrilada following SC administration of 40 mg dose using a prefilled syringe or prefilled pen in healthy subjects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1195" cy="3026446"/>
                    </a:xfrm>
                    <a:prstGeom prst="rect">
                      <a:avLst/>
                    </a:prstGeom>
                  </pic:spPr>
                </pic:pic>
              </a:graphicData>
            </a:graphic>
          </wp:inline>
        </w:drawing>
      </w:r>
    </w:p>
    <w:p w14:paraId="1CB08322" w14:textId="77777777" w:rsidR="00EB2A14" w:rsidRDefault="00EB2A14" w:rsidP="00EB2A14">
      <w:pPr>
        <w:pStyle w:val="Heading6"/>
      </w:pPr>
      <w:r>
        <w:rPr>
          <w:lang w:eastAsia="en-AU"/>
        </w:rPr>
        <w:t xml:space="preserve">Study </w:t>
      </w:r>
      <w:r w:rsidRPr="00B06373">
        <w:rPr>
          <w:lang w:eastAsia="en-AU"/>
        </w:rPr>
        <w:t>B5381002</w:t>
      </w:r>
    </w:p>
    <w:p w14:paraId="3AA36779" w14:textId="42ACFAF0" w:rsidR="00EB2A14" w:rsidRDefault="00EB2A14" w:rsidP="00EB2A14">
      <w:pPr>
        <w:rPr>
          <w:lang w:eastAsia="en-AU"/>
        </w:rPr>
      </w:pPr>
      <w:r w:rsidRPr="00EB2A14">
        <w:t>Study B5381002</w:t>
      </w:r>
      <w:r>
        <w:rPr>
          <w:lang w:eastAsia="en-AU"/>
        </w:rPr>
        <w:t xml:space="preserve"> was a multinational, 2-arm, randomised, double blind, parallel group study comparing the safety, efficacy, population PK, and immunogenicity of </w:t>
      </w:r>
      <w:r>
        <w:rPr>
          <w:lang w:val="en-GB"/>
        </w:rPr>
        <w:t>Abrilada (drug development name: PF-06410293)</w:t>
      </w:r>
      <w:r>
        <w:rPr>
          <w:lang w:eastAsia="en-AU"/>
        </w:rPr>
        <w:t xml:space="preserve"> versus EU-sourced Humira, in combination with methotrexate (</w:t>
      </w:r>
      <w:r w:rsidR="009841C5">
        <w:rPr>
          <w:lang w:eastAsia="en-AU"/>
        </w:rPr>
        <w:t>methotrexate</w:t>
      </w:r>
      <w:r>
        <w:rPr>
          <w:lang w:eastAsia="en-AU"/>
        </w:rPr>
        <w:t xml:space="preserve">) in patients with moderately to severely active rheumatoid arthritis who had an inadequate response to </w:t>
      </w:r>
      <w:r w:rsidR="009841C5">
        <w:rPr>
          <w:lang w:eastAsia="en-AU"/>
        </w:rPr>
        <w:t>methotrexate</w:t>
      </w:r>
      <w:r>
        <w:rPr>
          <w:lang w:eastAsia="en-AU"/>
        </w:rPr>
        <w:t xml:space="preserve"> therapy. The evaluation of PK was a secondary objective. The study design is des</w:t>
      </w:r>
      <w:r w:rsidR="00AF3BEE">
        <w:rPr>
          <w:lang w:eastAsia="en-AU"/>
        </w:rPr>
        <w:t xml:space="preserve">cribed in further detail in the </w:t>
      </w:r>
      <w:r w:rsidR="00AF3BEE" w:rsidRPr="00AF3BEE">
        <w:rPr>
          <w:i/>
          <w:lang w:eastAsia="en-AU"/>
        </w:rPr>
        <w:t xml:space="preserve">efficacy </w:t>
      </w:r>
      <w:r w:rsidR="00AF3BEE">
        <w:rPr>
          <w:lang w:eastAsia="en-AU"/>
        </w:rPr>
        <w:t>section, below. 597 </w:t>
      </w:r>
      <w:r>
        <w:rPr>
          <w:lang w:eastAsia="en-AU"/>
        </w:rPr>
        <w:t xml:space="preserve">patients were randomised 1:1 to receive either </w:t>
      </w:r>
      <w:r w:rsidR="00AF3BEE">
        <w:rPr>
          <w:lang w:val="en-GB"/>
        </w:rPr>
        <w:t>Abrilada</w:t>
      </w:r>
      <w:r>
        <w:rPr>
          <w:lang w:eastAsia="en-AU"/>
        </w:rPr>
        <w:t xml:space="preserve"> or </w:t>
      </w:r>
      <w:r w:rsidR="00AF3BEE">
        <w:rPr>
          <w:lang w:eastAsia="en-AU"/>
        </w:rPr>
        <w:t xml:space="preserve">EU-sourced </w:t>
      </w:r>
      <w:r w:rsidR="00AF3BEE">
        <w:rPr>
          <w:lang w:val="en-GB"/>
        </w:rPr>
        <w:t>Humira</w:t>
      </w:r>
      <w:r w:rsidR="00AF3BEE">
        <w:rPr>
          <w:lang w:eastAsia="en-AU"/>
        </w:rPr>
        <w:t>-40 mg every other week</w:t>
      </w:r>
      <w:r>
        <w:rPr>
          <w:lang w:eastAsia="en-AU"/>
        </w:rPr>
        <w:t xml:space="preserve"> administered SC </w:t>
      </w:r>
      <w:r w:rsidR="00AF3BEE">
        <w:rPr>
          <w:lang w:eastAsia="en-AU"/>
        </w:rPr>
        <w:t>in the abdomen or thigh by a prefilled syringe</w:t>
      </w:r>
      <w:r>
        <w:rPr>
          <w:lang w:eastAsia="en-AU"/>
        </w:rPr>
        <w:t>.</w:t>
      </w:r>
    </w:p>
    <w:p w14:paraId="29C568AC" w14:textId="2FA2143C" w:rsidR="00EB2A14" w:rsidRDefault="00EB2A14" w:rsidP="00EB2A14">
      <w:r>
        <w:rPr>
          <w:lang w:eastAsia="en-AU"/>
        </w:rPr>
        <w:t xml:space="preserve">The mean serum trough concentrations were slightly higher in the </w:t>
      </w:r>
      <w:r w:rsidR="00AF3BEE">
        <w:rPr>
          <w:lang w:val="en-GB"/>
        </w:rPr>
        <w:t>Abrilada</w:t>
      </w:r>
      <w:r>
        <w:rPr>
          <w:lang w:eastAsia="en-AU"/>
        </w:rPr>
        <w:t xml:space="preserve"> group than the</w:t>
      </w:r>
      <w:r w:rsidR="00AF3BEE">
        <w:rPr>
          <w:lang w:eastAsia="en-AU"/>
        </w:rPr>
        <w:t xml:space="preserve"> EU-sourced Humira</w:t>
      </w:r>
      <w:r>
        <w:rPr>
          <w:lang w:eastAsia="en-AU"/>
        </w:rPr>
        <w:t xml:space="preserve"> group throughout the study, but there was considerable overlap in serum concentrations between the two study groups, and inter-individual variability in serum </w:t>
      </w:r>
      <w:r w:rsidR="004B5A30">
        <w:rPr>
          <w:lang w:eastAsia="en-AU"/>
        </w:rPr>
        <w:t>trough concentrations was high, as shown in Table 8, below.</w:t>
      </w:r>
      <w:r>
        <w:rPr>
          <w:lang w:eastAsia="en-AU"/>
        </w:rPr>
        <w:t xml:space="preserve"> </w:t>
      </w:r>
      <w:r>
        <w:t xml:space="preserve">The steady-state mean trough concentrations with </w:t>
      </w:r>
      <w:r w:rsidR="004B5A30">
        <w:rPr>
          <w:lang w:val="en-GB"/>
        </w:rPr>
        <w:t>Abrilada</w:t>
      </w:r>
      <w:r>
        <w:t xml:space="preserve"> were</w:t>
      </w:r>
      <w:r w:rsidR="004B5A30">
        <w:t xml:space="preserve"> similar to those reported in rheumatoid arthritis</w:t>
      </w:r>
      <w:r>
        <w:t xml:space="preserve"> patients with </w:t>
      </w:r>
      <w:r w:rsidR="009841C5">
        <w:t>methotrexate</w:t>
      </w:r>
      <w:r>
        <w:t xml:space="preserve"> in the </w:t>
      </w:r>
      <w:r w:rsidR="004B5A30">
        <w:rPr>
          <w:lang w:val="en-GB"/>
        </w:rPr>
        <w:t>Humira</w:t>
      </w:r>
      <w:r>
        <w:t xml:space="preserve"> </w:t>
      </w:r>
      <w:r w:rsidR="004B5A30">
        <w:t>Summary of Product Characteristics (</w:t>
      </w:r>
      <w:proofErr w:type="spellStart"/>
      <w:r>
        <w:t>SmPC</w:t>
      </w:r>
      <w:proofErr w:type="spellEnd"/>
      <w:r w:rsidR="004B5A30">
        <w:t xml:space="preserve">; approximately 5 to 8 μg/mL). </w:t>
      </w:r>
      <w:r>
        <w:t>Mean trough concentrations were lower in ADA-positive subjects than ADA-negative subjects.</w:t>
      </w:r>
    </w:p>
    <w:p w14:paraId="154D4E8D" w14:textId="4EECBFD1" w:rsidR="00AF3BEE" w:rsidRDefault="00AF3BEE" w:rsidP="00AF3BEE">
      <w:pPr>
        <w:pStyle w:val="TableTitle"/>
      </w:pPr>
      <w:r>
        <w:t xml:space="preserve">Table </w:t>
      </w:r>
      <w:fldSimple w:instr=" SEQ Table \* ARABIC ">
        <w:r w:rsidR="0012232D">
          <w:rPr>
            <w:noProof/>
          </w:rPr>
          <w:t>8</w:t>
        </w:r>
      </w:fldSimple>
      <w:r>
        <w:t xml:space="preserve">: </w:t>
      </w:r>
      <w:r w:rsidRPr="00C4126D">
        <w:t>Study B5381002</w:t>
      </w:r>
      <w:r>
        <w:t xml:space="preserve"> </w:t>
      </w:r>
      <w:r w:rsidRPr="00C4126D">
        <w:t xml:space="preserve">Serum </w:t>
      </w:r>
      <w:r>
        <w:t>Abrilada</w:t>
      </w:r>
      <w:r w:rsidRPr="00C4126D">
        <w:t xml:space="preserve"> and </w:t>
      </w:r>
      <w:r>
        <w:t>EU-sourced Humira concentrations versus t</w:t>
      </w:r>
      <w:r w:rsidRPr="00C4126D">
        <w:t xml:space="preserve">ime by </w:t>
      </w:r>
      <w:r>
        <w:t>antidrug antibody status (PK p</w:t>
      </w:r>
      <w:r w:rsidRPr="00C4126D">
        <w:t>opula</w:t>
      </w:r>
      <w:r>
        <w:t>tion; treatment phase 1)</w:t>
      </w:r>
    </w:p>
    <w:p w14:paraId="51CB3650" w14:textId="77777777" w:rsidR="00AF3BEE" w:rsidRDefault="00AF3BEE" w:rsidP="00EB2A14">
      <w:r>
        <w:rPr>
          <w:noProof/>
          <w:lang w:eastAsia="en-AU"/>
        </w:rPr>
        <w:drawing>
          <wp:inline distT="0" distB="0" distL="0" distR="0" wp14:anchorId="6AAEC464" wp14:editId="7D5BBC24">
            <wp:extent cx="5400040" cy="3050610"/>
            <wp:effectExtent l="0" t="0" r="0" b="0"/>
            <wp:docPr id="9" name="Picture 9" descr="Study B5381002 Serum Abrilada and EU-sourced Humira concentrations versus time by antidrug antibody status (PK population; treatment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400040" cy="3050610"/>
                    </a:xfrm>
                    <a:prstGeom prst="rect">
                      <a:avLst/>
                    </a:prstGeom>
                  </pic:spPr>
                </pic:pic>
              </a:graphicData>
            </a:graphic>
          </wp:inline>
        </w:drawing>
      </w:r>
    </w:p>
    <w:p w14:paraId="7BEF72A6" w14:textId="77777777" w:rsidR="004B5A30" w:rsidRDefault="004B5A30" w:rsidP="004B5A30">
      <w:pPr>
        <w:pStyle w:val="Heading5"/>
        <w:rPr>
          <w:color w:val="auto"/>
        </w:rPr>
      </w:pPr>
      <w:r>
        <w:t>Population pharmacokinetic data</w:t>
      </w:r>
    </w:p>
    <w:p w14:paraId="2C0E5779" w14:textId="073D1F1B" w:rsidR="004B5A30" w:rsidRDefault="004B5A30" w:rsidP="004B5A30">
      <w:r>
        <w:t>Two population PK analysis reports were presented in the dossier: o</w:t>
      </w:r>
      <w:r w:rsidR="00E9369A">
        <w:t>ne for data from S</w:t>
      </w:r>
      <w:r>
        <w:t>tudies B5381001 and B5381007 (single dose in healthy subjects; dense PK sampl</w:t>
      </w:r>
      <w:r w:rsidR="00E9369A">
        <w:t>ing) and another for data from S</w:t>
      </w:r>
      <w:r>
        <w:t>tudy</w:t>
      </w:r>
      <w:r w:rsidR="00E9369A">
        <w:t xml:space="preserve"> B5381002 (multiple doses in rheumatoid arthritis</w:t>
      </w:r>
      <w:r>
        <w:t xml:space="preserve"> patients; sparse PK sampling).</w:t>
      </w:r>
      <w:r w:rsidR="00E9369A">
        <w:t xml:space="preserve"> </w:t>
      </w:r>
      <w:r w:rsidR="000F286B">
        <w:t>The po</w:t>
      </w:r>
      <w:r w:rsidR="00E9369A">
        <w:t xml:space="preserve">pulation </w:t>
      </w:r>
      <w:r>
        <w:t>PK analysis for healthy subject</w:t>
      </w:r>
      <w:r w:rsidR="00E9369A">
        <w:t xml:space="preserve">s was an exploratory analysis. </w:t>
      </w:r>
      <w:r w:rsidR="00E9369A">
        <w:rPr>
          <w:lang w:val="en-GB"/>
        </w:rPr>
        <w:t>Abrilada</w:t>
      </w:r>
      <w:r>
        <w:t xml:space="preserve"> </w:t>
      </w:r>
      <w:r w:rsidR="00E9369A">
        <w:t xml:space="preserve">was estimated to have roughly </w:t>
      </w:r>
      <w:r>
        <w:t xml:space="preserve">8% lower clearance than </w:t>
      </w:r>
      <w:r w:rsidR="00E9369A">
        <w:t>EU-sourced Humira</w:t>
      </w:r>
      <w:r>
        <w:t xml:space="preserve">, which is in line with the observed higher AUC values of </w:t>
      </w:r>
      <w:r w:rsidR="00E9369A">
        <w:rPr>
          <w:lang w:val="en-GB"/>
        </w:rPr>
        <w:t>Abrilada</w:t>
      </w:r>
      <w:r>
        <w:t xml:space="preserve"> </w:t>
      </w:r>
      <w:r w:rsidR="00E9369A">
        <w:t>in S</w:t>
      </w:r>
      <w:r w:rsidR="000F286B">
        <w:t>tudies </w:t>
      </w:r>
      <w:r>
        <w:t>B5381001 and B5381007</w:t>
      </w:r>
      <w:r w:rsidR="00E9369A">
        <w:t>.</w:t>
      </w:r>
      <w:r>
        <w:t xml:space="preserve"> Other identified covariates on clearance (increased clearance in subjects with </w:t>
      </w:r>
      <w:r w:rsidR="00E9369A">
        <w:t>ADAs</w:t>
      </w:r>
      <w:r>
        <w:t>, and decreased clearance with increasing serum albumin level) are biologica</w:t>
      </w:r>
      <w:r w:rsidR="00E9369A">
        <w:t xml:space="preserve">lly plausible. </w:t>
      </w:r>
      <w:r>
        <w:t>The pop</w:t>
      </w:r>
      <w:r w:rsidR="00E9369A">
        <w:t xml:space="preserve">ulation </w:t>
      </w:r>
      <w:r>
        <w:t xml:space="preserve">PK models in </w:t>
      </w:r>
      <w:r w:rsidR="00E9369A">
        <w:t>rheumatoid arthritis</w:t>
      </w:r>
      <w:r>
        <w:t xml:space="preserve"> patients had several uncertainties and it cannot be concluded that the models adequately des</w:t>
      </w:r>
      <w:r w:rsidR="00E9369A">
        <w:t>cribe the PK in patients with rheumatoid arthritis.</w:t>
      </w:r>
      <w:r>
        <w:t xml:space="preserve"> Clarification of the models was not requested as pop</w:t>
      </w:r>
      <w:r w:rsidR="00E9369A">
        <w:t xml:space="preserve">ulation </w:t>
      </w:r>
      <w:r>
        <w:t xml:space="preserve">PK modelling is not an important consideration in concluding </w:t>
      </w:r>
      <w:proofErr w:type="spellStart"/>
      <w:r>
        <w:t>biosimilarity</w:t>
      </w:r>
      <w:proofErr w:type="spellEnd"/>
      <w:r>
        <w:t xml:space="preserve"> with </w:t>
      </w:r>
      <w:r w:rsidR="00E9369A">
        <w:rPr>
          <w:lang w:val="en-GB"/>
        </w:rPr>
        <w:t>Hum</w:t>
      </w:r>
      <w:r w:rsidR="00BB7C78">
        <w:rPr>
          <w:lang w:val="en-GB"/>
        </w:rPr>
        <w:t>i</w:t>
      </w:r>
      <w:r w:rsidR="00E9369A">
        <w:rPr>
          <w:lang w:val="en-GB"/>
        </w:rPr>
        <w:t>ra</w:t>
      </w:r>
      <w:r>
        <w:t>.</w:t>
      </w:r>
    </w:p>
    <w:p w14:paraId="3D3E7887" w14:textId="77777777" w:rsidR="004B5A30" w:rsidRDefault="004B5A30" w:rsidP="004B5A30">
      <w:pPr>
        <w:pStyle w:val="Heading5"/>
      </w:pPr>
      <w:r w:rsidRPr="00AA53F4">
        <w:t>P</w:t>
      </w:r>
      <w:r>
        <w:t>harmacodynamics</w:t>
      </w:r>
    </w:p>
    <w:p w14:paraId="20A29608" w14:textId="77777777" w:rsidR="004B5A30" w:rsidRPr="000E0357" w:rsidRDefault="00E9369A" w:rsidP="004B5A30">
      <w:r>
        <w:t>No specific clinical pharmacodynamic</w:t>
      </w:r>
      <w:r w:rsidR="004B5A30">
        <w:t xml:space="preserve"> biomarkers are available for </w:t>
      </w:r>
      <w:r>
        <w:t>tumour necrosis factor alpha (</w:t>
      </w:r>
      <w:r w:rsidR="004B5A30">
        <w:t>TNF-α</w:t>
      </w:r>
      <w:r>
        <w:t>) functional studies.</w:t>
      </w:r>
      <w:r w:rsidR="004B5A30">
        <w:t xml:space="preserve"> Study B5381002 included </w:t>
      </w:r>
      <w:r>
        <w:t>high sensitivity C-reactive protein (</w:t>
      </w:r>
      <w:proofErr w:type="spellStart"/>
      <w:r w:rsidR="004B5A30">
        <w:t>hs</w:t>
      </w:r>
      <w:proofErr w:type="spellEnd"/>
      <w:r w:rsidR="004B5A30">
        <w:t>-CRP</w:t>
      </w:r>
      <w:r>
        <w:t>)</w:t>
      </w:r>
      <w:r w:rsidR="004B5A30">
        <w:t xml:space="preserve"> data and exploratory data from Vectra-DA analysis, which did not reveal clinically significant differences between the two treatments.</w:t>
      </w:r>
    </w:p>
    <w:p w14:paraId="18627338" w14:textId="77777777" w:rsidR="000F286B" w:rsidRDefault="000F286B" w:rsidP="000F286B">
      <w:pPr>
        <w:pStyle w:val="Heading4"/>
      </w:pPr>
      <w:bookmarkStart w:id="44" w:name="_Ref55487925"/>
      <w:r w:rsidRPr="00AA53F4">
        <w:t>Efficacy</w:t>
      </w:r>
      <w:bookmarkEnd w:id="44"/>
    </w:p>
    <w:p w14:paraId="13EAFBAB" w14:textId="77777777" w:rsidR="000F286B" w:rsidRDefault="000F286B" w:rsidP="000F286B">
      <w:pPr>
        <w:pStyle w:val="Heading5"/>
        <w:rPr>
          <w:lang w:eastAsia="en-AU"/>
        </w:rPr>
      </w:pPr>
      <w:r>
        <w:rPr>
          <w:lang w:eastAsia="en-AU"/>
        </w:rPr>
        <w:t xml:space="preserve">Study </w:t>
      </w:r>
      <w:r w:rsidRPr="00B06373">
        <w:rPr>
          <w:lang w:eastAsia="en-AU"/>
        </w:rPr>
        <w:t>B5381002</w:t>
      </w:r>
    </w:p>
    <w:p w14:paraId="38C59E2C" w14:textId="52BDA549" w:rsidR="000F286B" w:rsidRDefault="000F286B" w:rsidP="000F286B">
      <w:r>
        <w:rPr>
          <w:lang w:eastAsia="en-AU"/>
        </w:rPr>
        <w:t xml:space="preserve">Study B5381002 was a multinational, 2-arm, randomised, double blind, parallel group study comparing the safety, efficacy, population PK, and immunogenicity of </w:t>
      </w:r>
      <w:r>
        <w:rPr>
          <w:lang w:val="en-GB"/>
        </w:rPr>
        <w:t>Abrilada</w:t>
      </w:r>
      <w:r>
        <w:rPr>
          <w:lang w:eastAsia="en-AU"/>
        </w:rPr>
        <w:t xml:space="preserve"> versus EU-sourced </w:t>
      </w:r>
      <w:r>
        <w:rPr>
          <w:lang w:val="en-GB"/>
        </w:rPr>
        <w:t>Humira</w:t>
      </w:r>
      <w:r>
        <w:rPr>
          <w:lang w:eastAsia="en-AU"/>
        </w:rPr>
        <w:t>, in</w:t>
      </w:r>
      <w:r w:rsidR="009841C5">
        <w:rPr>
          <w:lang w:eastAsia="en-AU"/>
        </w:rPr>
        <w:t xml:space="preserve"> combination with methotrexate </w:t>
      </w:r>
      <w:r>
        <w:rPr>
          <w:lang w:eastAsia="en-AU"/>
        </w:rPr>
        <w:t xml:space="preserve">in patients with moderately to severely active rheumatoid arthritis who had an inadequate response to </w:t>
      </w:r>
      <w:r w:rsidR="009841C5">
        <w:rPr>
          <w:lang w:eastAsia="en-AU"/>
        </w:rPr>
        <w:t>methotrexate</w:t>
      </w:r>
      <w:r>
        <w:rPr>
          <w:lang w:eastAsia="en-AU"/>
        </w:rPr>
        <w:t xml:space="preserve"> therapy. </w:t>
      </w:r>
      <w:r>
        <w:t>The study was also designed to evaluate clinical response, safety and immunogenicity after transition (randomised blind single transition) from EU-sourced Humira to Abrilada after 6 or 12 months of EU-sourced Humira treatment.</w:t>
      </w:r>
      <w:r>
        <w:rPr>
          <w:lang w:eastAsia="en-AU"/>
        </w:rPr>
        <w:t xml:space="preserve"> Adalimumab 40 mg was administered SC every other week by prefilled syringe.</w:t>
      </w:r>
    </w:p>
    <w:p w14:paraId="1051C9AA" w14:textId="77777777" w:rsidR="000F286B" w:rsidRDefault="000F286B" w:rsidP="000F286B">
      <w:r>
        <w:t>The primary objective was to demonstrate therapeutic equivalence of Abrilada and EU</w:t>
      </w:r>
      <w:r>
        <w:noBreakHyphen/>
        <w:t xml:space="preserve">sourced Humira, based on the primary endpoint of </w:t>
      </w:r>
      <w:r w:rsidRPr="00BC652A">
        <w:t>ACR20</w:t>
      </w:r>
      <w:r>
        <w:t xml:space="preserve"> response at Week 12.</w:t>
      </w:r>
      <w:bookmarkStart w:id="45" w:name="_Ref65814091"/>
      <w:r w:rsidR="00BC652A">
        <w:rPr>
          <w:rStyle w:val="FootnoteReference"/>
        </w:rPr>
        <w:footnoteReference w:id="6"/>
      </w:r>
      <w:bookmarkEnd w:id="45"/>
      <w:r>
        <w:t xml:space="preserve"> The EMA’s CHMP endorsed a symmetric equivalence margin (-14%, 14%) for the 2-sided 95% CI. The US Food and Drug Administration (FDA) endorsed an alternative, asymmetric equivalence margin (-12%, 15%) for the 2-sided 90% CI. Secondary objectives were to evaluate the multiple composite and individual parameters of clinical response, to evaluate the overall safety, tolerability and immunogenicity, and to evaluate the population PK and pharmacodynamic response.</w:t>
      </w:r>
    </w:p>
    <w:p w14:paraId="2CB243C5" w14:textId="1FD1D73F" w:rsidR="000F286B" w:rsidRDefault="000F286B" w:rsidP="000F286B">
      <w:r>
        <w:t xml:space="preserve">Study B5381002 recruited adult patients with moderately to severely active </w:t>
      </w:r>
      <w:r w:rsidR="004A7331">
        <w:t>rheumatoid arthritis</w:t>
      </w:r>
      <w:r>
        <w:t xml:space="preserve"> treated with oral, SC or</w:t>
      </w:r>
      <w:r w:rsidR="004A7331">
        <w:t xml:space="preserve"> intramuscular</w:t>
      </w:r>
      <w:r>
        <w:t xml:space="preserve"> </w:t>
      </w:r>
      <w:r w:rsidR="009841C5">
        <w:t>methotrexate</w:t>
      </w:r>
      <w:r>
        <w:t xml:space="preserve"> for at least 12 weeks and on a sta</w:t>
      </w:r>
      <w:r w:rsidR="004A7331">
        <w:t xml:space="preserve">ble dose for at least 4 weeks. </w:t>
      </w:r>
      <w:r>
        <w:t xml:space="preserve">Subjects were required to continue their background </w:t>
      </w:r>
      <w:r w:rsidR="009841C5">
        <w:t>methotrexate</w:t>
      </w:r>
      <w:r>
        <w:t xml:space="preserve"> without change for the duration of the study, and any background oral corticosteroid for the first 12 months, unless required </w:t>
      </w:r>
      <w:r w:rsidR="004A7331">
        <w:t>for toxicity.</w:t>
      </w:r>
    </w:p>
    <w:p w14:paraId="4DDE9B35" w14:textId="77777777" w:rsidR="004A7331" w:rsidRDefault="000F286B" w:rsidP="000F286B">
      <w:r>
        <w:t xml:space="preserve">The study design is shown in </w:t>
      </w:r>
      <w:r w:rsidR="004A7331">
        <w:t>Figure 4.</w:t>
      </w:r>
    </w:p>
    <w:p w14:paraId="6FF51465" w14:textId="3360048B" w:rsidR="004A7331" w:rsidRDefault="004A7331" w:rsidP="004A7331">
      <w:pPr>
        <w:pStyle w:val="FigureTitle"/>
      </w:pPr>
      <w:r>
        <w:t xml:space="preserve">Figure </w:t>
      </w:r>
      <w:fldSimple w:instr=" SEQ Figure \* ARABIC ">
        <w:r w:rsidR="0012232D">
          <w:rPr>
            <w:noProof/>
          </w:rPr>
          <w:t>4</w:t>
        </w:r>
      </w:fldSimple>
      <w:r>
        <w:t>: Study B5381002 design schema</w:t>
      </w:r>
    </w:p>
    <w:p w14:paraId="281C6639" w14:textId="77777777" w:rsidR="004A7331" w:rsidRDefault="004A7331" w:rsidP="000F286B">
      <w:r>
        <w:rPr>
          <w:noProof/>
          <w:lang w:eastAsia="en-AU"/>
        </w:rPr>
        <w:drawing>
          <wp:inline distT="0" distB="0" distL="0" distR="0" wp14:anchorId="1F104091" wp14:editId="379ACA75">
            <wp:extent cx="5400040" cy="2835829"/>
            <wp:effectExtent l="0" t="0" r="0" b="3175"/>
            <wp:docPr id="10" name="Picture 10" descr="Study B5381002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835829"/>
                    </a:xfrm>
                    <a:prstGeom prst="rect">
                      <a:avLst/>
                    </a:prstGeom>
                  </pic:spPr>
                </pic:pic>
              </a:graphicData>
            </a:graphic>
          </wp:inline>
        </w:drawing>
      </w:r>
    </w:p>
    <w:p w14:paraId="648A522D" w14:textId="77777777" w:rsidR="000F286B" w:rsidRDefault="000F286B" w:rsidP="000F286B">
      <w:r>
        <w:t>The s</w:t>
      </w:r>
      <w:r w:rsidR="004A7331">
        <w:t>tudy was blinded up to Week 52.</w:t>
      </w:r>
      <w:r>
        <w:t xml:space="preserve"> 597 patients were randomised 1:1 to </w:t>
      </w:r>
      <w:r w:rsidR="004A7331">
        <w:t>Abrilada</w:t>
      </w:r>
      <w:r>
        <w:t xml:space="preserve"> or </w:t>
      </w:r>
      <w:r w:rsidR="004A7331">
        <w:t>EU</w:t>
      </w:r>
      <w:r w:rsidR="004A7331">
        <w:noBreakHyphen/>
        <w:t>sourced Humira.</w:t>
      </w:r>
      <w:r>
        <w:t xml:space="preserve"> 584 subjects completed Week 12 (primary endpoint), 291 of 297 in the </w:t>
      </w:r>
      <w:r w:rsidR="004A7331">
        <w:t xml:space="preserve">Abrilada </w:t>
      </w:r>
      <w:r>
        <w:t xml:space="preserve">group and 293 of 300 in the </w:t>
      </w:r>
      <w:r w:rsidR="004A7331">
        <w:t>EU-sourced Humira group.</w:t>
      </w:r>
      <w:r>
        <w:t xml:space="preserve"> 559 patients completed Treatment Period 1 (TP1), 286 (96.3%) in the </w:t>
      </w:r>
      <w:r w:rsidR="004A7331">
        <w:t>Abrilada</w:t>
      </w:r>
      <w:r>
        <w:t xml:space="preserve"> group and 273 (91.0%) in the </w:t>
      </w:r>
      <w:r w:rsidR="004A7331">
        <w:t>EU</w:t>
      </w:r>
      <w:r w:rsidR="004A7331">
        <w:noBreakHyphen/>
        <w:t xml:space="preserve">sourced Humira </w:t>
      </w:r>
      <w:r>
        <w:t>group</w:t>
      </w:r>
      <w:r w:rsidR="004A7331">
        <w:t xml:space="preserve">. </w:t>
      </w:r>
      <w:r>
        <w:t xml:space="preserve">At the end of TP1, patients in the </w:t>
      </w:r>
      <w:r w:rsidR="004A7331">
        <w:t>EU</w:t>
      </w:r>
      <w:r w:rsidR="004A7331">
        <w:noBreakHyphen/>
        <w:t xml:space="preserve">sourced Humira </w:t>
      </w:r>
      <w:r>
        <w:t xml:space="preserve">group were re-randomised 1:1 to </w:t>
      </w:r>
      <w:r w:rsidR="004A7331">
        <w:t>EU</w:t>
      </w:r>
      <w:r w:rsidR="004A7331">
        <w:noBreakHyphen/>
        <w:t xml:space="preserve">sourced Humira </w:t>
      </w:r>
      <w:r>
        <w:t>or A</w:t>
      </w:r>
      <w:r w:rsidR="004A7331">
        <w:t xml:space="preserve">brilada. </w:t>
      </w:r>
      <w:r>
        <w:t xml:space="preserve">At the end of TP2, all remaining patients on </w:t>
      </w:r>
      <w:r w:rsidR="004A7331">
        <w:t>EU</w:t>
      </w:r>
      <w:r w:rsidR="004A7331">
        <w:noBreakHyphen/>
        <w:t xml:space="preserve">sourced Humira </w:t>
      </w:r>
      <w:r>
        <w:t>were changed to A</w:t>
      </w:r>
      <w:r w:rsidR="004A7331">
        <w:t>brilada</w:t>
      </w:r>
      <w:r>
        <w:t xml:space="preserve"> (open label</w:t>
      </w:r>
      <w:r w:rsidR="004A7331">
        <w:t xml:space="preserve"> extension</w:t>
      </w:r>
      <w:r>
        <w:t>).</w:t>
      </w:r>
    </w:p>
    <w:p w14:paraId="297F6E67" w14:textId="2C4A45DD" w:rsidR="000F286B" w:rsidRDefault="000F286B" w:rsidP="000F286B">
      <w:r>
        <w:t xml:space="preserve">The primary efficacy endpoint </w:t>
      </w:r>
      <w:r w:rsidR="004A7331">
        <w:t>was ACR20 response at Week 12.</w:t>
      </w:r>
      <w:r w:rsidR="00BC652A" w:rsidRPr="00BC652A">
        <w:rPr>
          <w:vertAlign w:val="superscript"/>
        </w:rPr>
        <w:fldChar w:fldCharType="begin"/>
      </w:r>
      <w:r w:rsidR="00BC652A" w:rsidRPr="00BC652A">
        <w:rPr>
          <w:vertAlign w:val="superscript"/>
        </w:rPr>
        <w:instrText xml:space="preserve"> NOTEREF _Ref65814091 \h </w:instrText>
      </w:r>
      <w:r w:rsidR="00BC652A">
        <w:rPr>
          <w:vertAlign w:val="superscript"/>
        </w:rPr>
        <w:instrText xml:space="preserve"> \* MERGEFORMAT </w:instrText>
      </w:r>
      <w:r w:rsidR="00BC652A" w:rsidRPr="00BC652A">
        <w:rPr>
          <w:vertAlign w:val="superscript"/>
        </w:rPr>
      </w:r>
      <w:r w:rsidR="00BC652A" w:rsidRPr="00BC652A">
        <w:rPr>
          <w:vertAlign w:val="superscript"/>
        </w:rPr>
        <w:fldChar w:fldCharType="separate"/>
      </w:r>
      <w:r w:rsidR="0012232D">
        <w:rPr>
          <w:vertAlign w:val="superscript"/>
        </w:rPr>
        <w:t>6</w:t>
      </w:r>
      <w:r w:rsidR="00BC652A" w:rsidRPr="00BC652A">
        <w:rPr>
          <w:vertAlign w:val="superscript"/>
        </w:rPr>
        <w:fldChar w:fldCharType="end"/>
      </w:r>
      <w:r w:rsidR="004A7331">
        <w:t xml:space="preserve"> </w:t>
      </w:r>
      <w:r>
        <w:t>Secondary efficacy endpoints were: ACR20 at Weeks 2, 4, 6, 8, 18 and 26; ACR50 and ACR70 at Week 12 and Weeks 2, 4, 6, 8, 18 and 26; individual components of the ACR criteria (incl</w:t>
      </w:r>
      <w:r w:rsidR="004A7331">
        <w:t>uding HAQ DI) with change from B</w:t>
      </w:r>
      <w:r>
        <w:t xml:space="preserve">aseline at Week 12 and Weeks 2, 4, 6, </w:t>
      </w:r>
      <w:r w:rsidR="00BC652A">
        <w:t>8, 18 and 26; mean change from B</w:t>
      </w:r>
      <w:r>
        <w:t>aseline in disease activity measured by DAS28-4 (CRP) at Week 12 and Weeks 2, 4, 6, 8, 18 and 26;</w:t>
      </w:r>
      <w:r w:rsidR="00BC652A">
        <w:rPr>
          <w:rStyle w:val="FootnoteReference"/>
        </w:rPr>
        <w:footnoteReference w:id="7"/>
      </w:r>
      <w:r>
        <w:t xml:space="preserve"> EULAR response at Week 12 and Weeks 2, 4, 6, 8, 18 and 26;</w:t>
      </w:r>
      <w:r w:rsidR="00BC652A">
        <w:rPr>
          <w:rStyle w:val="FootnoteReference"/>
        </w:rPr>
        <w:footnoteReference w:id="8"/>
      </w:r>
      <w:r>
        <w:t xml:space="preserve"> proportion of subjects with DAS remission </w:t>
      </w:r>
      <w:r w:rsidRPr="00BD5652">
        <w:t xml:space="preserve">(DAS </w:t>
      </w:r>
      <w:r>
        <w:t>≤</w:t>
      </w:r>
      <w:r w:rsidRPr="00BD5652">
        <w:rPr>
          <w:rFonts w:hint="eastAsia"/>
        </w:rPr>
        <w:t xml:space="preserve"> </w:t>
      </w:r>
      <w:r w:rsidRPr="00BD5652">
        <w:t>2.6) at Week 12 and Weeks</w:t>
      </w:r>
      <w:r>
        <w:t xml:space="preserve"> 2, 4, 6, 8, 18 and 26; and proportion of subjects with ACR/EULAR remission at Week 12 and Weeks 2, 4, 6, 8, 18 and 26.</w:t>
      </w:r>
    </w:p>
    <w:p w14:paraId="18BB2808" w14:textId="77777777" w:rsidR="000F286B" w:rsidRDefault="000F286B" w:rsidP="000F286B">
      <w:r>
        <w:t>The baseline demographic and disease characteristics were well balanced across the groups.</w:t>
      </w:r>
    </w:p>
    <w:p w14:paraId="5EFB80BD" w14:textId="77777777" w:rsidR="004B5A30" w:rsidRDefault="00630FC5" w:rsidP="00EB2A14">
      <w:r>
        <w:t>For the primary efficacy endpoint</w:t>
      </w:r>
      <w:r w:rsidRPr="00037D63">
        <w:t xml:space="preserve"> </w:t>
      </w:r>
      <w:r>
        <w:t xml:space="preserve">in the </w:t>
      </w:r>
      <w:r w:rsidR="00EF7EF5">
        <w:t>intention to treat</w:t>
      </w:r>
      <w:r>
        <w:t xml:space="preserve"> population, 204 (68.7%) subjects in the </w:t>
      </w:r>
      <w:r w:rsidR="00EF7EF5">
        <w:t>Abrilada</w:t>
      </w:r>
      <w:r>
        <w:t xml:space="preserve"> arm and 218 (72.7%) subjects in the </w:t>
      </w:r>
      <w:r w:rsidR="00EF7EF5">
        <w:t>EU-sourced Humira</w:t>
      </w:r>
      <w:r>
        <w:t xml:space="preserve"> arm achieved an ACR20 response at Week 12, a t</w:t>
      </w:r>
      <w:r w:rsidR="00EF7EF5">
        <w:t xml:space="preserve">reatment difference of -3.98%. </w:t>
      </w:r>
      <w:r>
        <w:t>The primary analysis for ACR20 response at Week 12 is shown in Table 9 below. Therapeutic equivalence was demonstrated for the primary endpoint, as the 2-sided 95% CI of the difference in ACR2</w:t>
      </w:r>
      <w:r w:rsidR="00EF7EF5">
        <w:t>0 response at Week 12 in the intention to treat</w:t>
      </w:r>
      <w:r>
        <w:t xml:space="preserve"> population was within the pre-specified e</w:t>
      </w:r>
      <w:r w:rsidR="00EF7EF5">
        <w:t xml:space="preserve">quivalence margin (-14%, 14%). </w:t>
      </w:r>
      <w:r>
        <w:t>A similar resu</w:t>
      </w:r>
      <w:r w:rsidR="00EF7EF5">
        <w:t xml:space="preserve">lt was seen in the per protocol population. </w:t>
      </w:r>
      <w:r>
        <w:t>The finding of therapeutic equivalence was further supported by the 2-sided 90% CI falling within the pre-specified asymmetric equivalence ma</w:t>
      </w:r>
      <w:r w:rsidR="00EF7EF5">
        <w:t>rgin (-12%, 15%) in both the intention to treat and per protocol</w:t>
      </w:r>
      <w:r>
        <w:t xml:space="preserve"> populations.</w:t>
      </w:r>
    </w:p>
    <w:p w14:paraId="7186B796" w14:textId="739C3212" w:rsidR="00630FC5" w:rsidRDefault="00630FC5" w:rsidP="00630FC5">
      <w:pPr>
        <w:pStyle w:val="TableTitle"/>
      </w:pPr>
      <w:r>
        <w:t xml:space="preserve">Table </w:t>
      </w:r>
      <w:fldSimple w:instr=" SEQ Table \* ARABIC ">
        <w:r w:rsidR="0012232D">
          <w:rPr>
            <w:noProof/>
          </w:rPr>
          <w:t>9</w:t>
        </w:r>
      </w:fldSimple>
      <w:r>
        <w:t>: Study B</w:t>
      </w:r>
      <w:r w:rsidR="00473C57">
        <w:t>5</w:t>
      </w:r>
      <w:r>
        <w:t xml:space="preserve">381002 Exact binomial approach </w:t>
      </w:r>
      <w:r w:rsidR="00EF7EF5">
        <w:t>for ACR20 response rate at Week </w:t>
      </w:r>
      <w:r>
        <w:t>12, using non-responder imputation for missing data (Intention to treat and per protocol populations; TP1)</w:t>
      </w:r>
    </w:p>
    <w:p w14:paraId="583DE908" w14:textId="77777777" w:rsidR="00630FC5" w:rsidRDefault="00630FC5" w:rsidP="00EB2A14">
      <w:r>
        <w:rPr>
          <w:noProof/>
          <w:lang w:eastAsia="en-AU"/>
        </w:rPr>
        <w:drawing>
          <wp:inline distT="0" distB="0" distL="0" distR="0" wp14:anchorId="38AE0007" wp14:editId="0643D59A">
            <wp:extent cx="5400040" cy="2659337"/>
            <wp:effectExtent l="0" t="0" r="0" b="8255"/>
            <wp:docPr id="11" name="Picture 11" descr="Study B7381002 Exact binomial approach for ACR20 response rate at Week 12, using non-responder imputation for missing data (Intention to treat and per protocol populations; 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659337"/>
                    </a:xfrm>
                    <a:prstGeom prst="rect">
                      <a:avLst/>
                    </a:prstGeom>
                  </pic:spPr>
                </pic:pic>
              </a:graphicData>
            </a:graphic>
          </wp:inline>
        </w:drawing>
      </w:r>
    </w:p>
    <w:p w14:paraId="5A21B557" w14:textId="77777777" w:rsidR="00630FC5" w:rsidRDefault="00630FC5" w:rsidP="00EB2A14">
      <w:r>
        <w:t>The difference in ACR20 response rate between the treatment arms ranged from -4.17% to 2.26% across all time-points in TP1, as shown in Figure 5, below.</w:t>
      </w:r>
    </w:p>
    <w:p w14:paraId="5A36B7DA" w14:textId="23D37BD7" w:rsidR="00630FC5" w:rsidRDefault="00630FC5" w:rsidP="00630FC5">
      <w:pPr>
        <w:pStyle w:val="FigureTitle"/>
      </w:pPr>
      <w:r>
        <w:t xml:space="preserve">Figure </w:t>
      </w:r>
      <w:fldSimple w:instr=" SEQ Figure \* ARABIC ">
        <w:r w:rsidR="0012232D">
          <w:rPr>
            <w:noProof/>
          </w:rPr>
          <w:t>5</w:t>
        </w:r>
      </w:fldSimple>
      <w:r>
        <w:t xml:space="preserve">: Study B5381002 </w:t>
      </w:r>
      <w:r w:rsidR="00EF7EF5">
        <w:t>ACR20 response rate by visit (Intention to treat population;</w:t>
      </w:r>
      <w:r w:rsidRPr="00AE1DE1">
        <w:t xml:space="preserve"> TP1</w:t>
      </w:r>
      <w:r w:rsidR="00EF7EF5">
        <w:t>)</w:t>
      </w:r>
    </w:p>
    <w:p w14:paraId="0037F998" w14:textId="77777777" w:rsidR="00630FC5" w:rsidRDefault="00630FC5" w:rsidP="00EB2A14">
      <w:r>
        <w:rPr>
          <w:noProof/>
          <w:lang w:eastAsia="en-AU"/>
        </w:rPr>
        <w:drawing>
          <wp:inline distT="0" distB="0" distL="0" distR="0" wp14:anchorId="73662C3D" wp14:editId="31BC2250">
            <wp:extent cx="5013960" cy="3273001"/>
            <wp:effectExtent l="0" t="0" r="0" b="3810"/>
            <wp:docPr id="12" name="Picture 12" descr="Study B5381002 ACR20 response rate by visit, ITT population - 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72" cy="3283258"/>
                    </a:xfrm>
                    <a:prstGeom prst="rect">
                      <a:avLst/>
                    </a:prstGeom>
                  </pic:spPr>
                </pic:pic>
              </a:graphicData>
            </a:graphic>
          </wp:inline>
        </w:drawing>
      </w:r>
    </w:p>
    <w:p w14:paraId="7E6EF60F" w14:textId="77777777" w:rsidR="00630FC5" w:rsidRDefault="00630FC5" w:rsidP="00EB2A14">
      <w:pPr>
        <w:rPr>
          <w:rFonts w:asciiTheme="minorHAnsi" w:hAnsiTheme="minorHAnsi"/>
        </w:rPr>
      </w:pPr>
      <w:r>
        <w:t>Although not pre-specified, the 95% CI for each time-point was within the equivalence margin set for the primary endpoint (-14%, 14%)</w:t>
      </w:r>
      <w:r w:rsidR="00395701">
        <w:rPr>
          <w:rFonts w:asciiTheme="minorHAnsi" w:hAnsiTheme="minorHAnsi"/>
        </w:rPr>
        <w:t xml:space="preserve">. </w:t>
      </w:r>
      <w:r w:rsidRPr="00E3319A">
        <w:rPr>
          <w:rFonts w:asciiTheme="minorHAnsi" w:eastAsia="Verdana,Bold" w:hAnsiTheme="minorHAnsi" w:cs="Verdana,Bold"/>
          <w:bCs/>
        </w:rPr>
        <w:t xml:space="preserve">ACR50 and ACR70 response rates </w:t>
      </w:r>
      <w:r w:rsidRPr="00E3319A">
        <w:rPr>
          <w:rFonts w:asciiTheme="minorHAnsi" w:hAnsiTheme="minorHAnsi"/>
        </w:rPr>
        <w:t xml:space="preserve">were </w:t>
      </w:r>
      <w:r>
        <w:rPr>
          <w:rFonts w:asciiTheme="minorHAnsi" w:hAnsiTheme="minorHAnsi"/>
        </w:rPr>
        <w:t xml:space="preserve">also </w:t>
      </w:r>
      <w:r w:rsidRPr="00E3319A">
        <w:rPr>
          <w:rFonts w:asciiTheme="minorHAnsi" w:hAnsiTheme="minorHAnsi"/>
        </w:rPr>
        <w:t xml:space="preserve">similar between </w:t>
      </w:r>
      <w:r>
        <w:rPr>
          <w:rFonts w:asciiTheme="minorHAnsi" w:hAnsiTheme="minorHAnsi"/>
        </w:rPr>
        <w:t>treatment</w:t>
      </w:r>
      <w:r w:rsidRPr="00E3319A">
        <w:rPr>
          <w:rFonts w:asciiTheme="minorHAnsi" w:hAnsiTheme="minorHAnsi"/>
        </w:rPr>
        <w:t xml:space="preserve"> groups</w:t>
      </w:r>
      <w:r>
        <w:rPr>
          <w:rFonts w:asciiTheme="minorHAnsi" w:hAnsiTheme="minorHAnsi"/>
        </w:rPr>
        <w:t xml:space="preserve"> (see Figure 6, below)</w:t>
      </w:r>
      <w:r w:rsidRPr="00E3319A">
        <w:rPr>
          <w:rFonts w:asciiTheme="minorHAnsi" w:hAnsiTheme="minorHAnsi"/>
        </w:rPr>
        <w:t xml:space="preserve"> with the</w:t>
      </w:r>
      <w:r>
        <w:rPr>
          <w:rFonts w:asciiTheme="minorHAnsi" w:hAnsiTheme="minorHAnsi"/>
        </w:rPr>
        <w:t xml:space="preserve"> </w:t>
      </w:r>
      <w:r w:rsidRPr="00E3319A">
        <w:rPr>
          <w:rFonts w:asciiTheme="minorHAnsi" w:hAnsiTheme="minorHAnsi"/>
        </w:rPr>
        <w:t>differences ranging from -1.88% to 4.93%</w:t>
      </w:r>
      <w:r>
        <w:rPr>
          <w:rFonts w:asciiTheme="minorHAnsi" w:hAnsiTheme="minorHAnsi"/>
        </w:rPr>
        <w:t xml:space="preserve"> for ACR50</w:t>
      </w:r>
      <w:r w:rsidRPr="00E3319A">
        <w:rPr>
          <w:rFonts w:asciiTheme="minorHAnsi" w:hAnsiTheme="minorHAnsi"/>
        </w:rPr>
        <w:t xml:space="preserve"> and 2.50% to 0.79%</w:t>
      </w:r>
      <w:r>
        <w:rPr>
          <w:rFonts w:asciiTheme="minorHAnsi" w:hAnsiTheme="minorHAnsi"/>
        </w:rPr>
        <w:t xml:space="preserve"> for ACR70</w:t>
      </w:r>
      <w:r w:rsidRPr="00E3319A">
        <w:rPr>
          <w:rFonts w:asciiTheme="minorHAnsi" w:hAnsiTheme="minorHAnsi"/>
        </w:rPr>
        <w:t xml:space="preserve"> acros</w:t>
      </w:r>
      <w:r w:rsidR="00395701">
        <w:rPr>
          <w:rFonts w:asciiTheme="minorHAnsi" w:hAnsiTheme="minorHAnsi"/>
        </w:rPr>
        <w:t>s all study visits in the intention to treat</w:t>
      </w:r>
      <w:r w:rsidRPr="00E3319A">
        <w:rPr>
          <w:rFonts w:asciiTheme="minorHAnsi" w:hAnsiTheme="minorHAnsi"/>
        </w:rPr>
        <w:t xml:space="preserve"> population up to Week 26.</w:t>
      </w:r>
    </w:p>
    <w:p w14:paraId="01E2A659" w14:textId="4364F5D6" w:rsidR="00630FC5" w:rsidRDefault="00630FC5" w:rsidP="00630FC5">
      <w:pPr>
        <w:pStyle w:val="FigureTitle"/>
      </w:pPr>
      <w:r>
        <w:t xml:space="preserve">Figure </w:t>
      </w:r>
      <w:fldSimple w:instr=" SEQ Figure \* ARABIC ">
        <w:r w:rsidR="0012232D">
          <w:rPr>
            <w:noProof/>
          </w:rPr>
          <w:t>6</w:t>
        </w:r>
      </w:fldSimple>
      <w:r>
        <w:t xml:space="preserve">: Study B5381002 </w:t>
      </w:r>
      <w:r w:rsidRPr="00B70BD2">
        <w:t xml:space="preserve">ACR50 </w:t>
      </w:r>
      <w:r w:rsidR="00395701" w:rsidRPr="00B70BD2">
        <w:t>response rate by visit</w:t>
      </w:r>
      <w:r w:rsidR="00395701">
        <w:t xml:space="preserve"> (Intention to treat population;</w:t>
      </w:r>
      <w:r>
        <w:t xml:space="preserve"> TP1</w:t>
      </w:r>
      <w:r w:rsidR="00395701">
        <w:t>)</w:t>
      </w:r>
    </w:p>
    <w:p w14:paraId="6F1460CC" w14:textId="77777777" w:rsidR="00630FC5" w:rsidRDefault="00630FC5" w:rsidP="00EB2A14">
      <w:pPr>
        <w:rPr>
          <w:rFonts w:asciiTheme="minorHAnsi" w:hAnsiTheme="minorHAnsi"/>
        </w:rPr>
      </w:pPr>
      <w:r>
        <w:rPr>
          <w:noProof/>
          <w:lang w:eastAsia="en-AU"/>
        </w:rPr>
        <w:drawing>
          <wp:inline distT="0" distB="0" distL="0" distR="0" wp14:anchorId="197D1E2C" wp14:editId="6FFB3FEB">
            <wp:extent cx="5197192" cy="3390900"/>
            <wp:effectExtent l="0" t="0" r="3810" b="0"/>
            <wp:docPr id="14" name="Picture 14" descr="ACR50 Response Rate by Visit, ITT Population – TP1, Study B538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1810" cy="3393913"/>
                    </a:xfrm>
                    <a:prstGeom prst="rect">
                      <a:avLst/>
                    </a:prstGeom>
                  </pic:spPr>
                </pic:pic>
              </a:graphicData>
            </a:graphic>
          </wp:inline>
        </w:drawing>
      </w:r>
    </w:p>
    <w:p w14:paraId="7BD2625A" w14:textId="77777777" w:rsidR="00630FC5" w:rsidRPr="002D5CBF" w:rsidRDefault="00630FC5" w:rsidP="002D5CBF">
      <w:r>
        <w:t>The differences in DAS28-4 (CRP) between the treatment arms at each visit were all less than the minimal clinically important difference of 0.6 (</w:t>
      </w:r>
      <w:r w:rsidR="002D5CBF">
        <w:t>see Figure 7, below)</w:t>
      </w:r>
      <w:r>
        <w:t>. Outcomes for EULAR response, DAS remission and ACR/EULAR remission were also similar across the treatment groups.</w:t>
      </w:r>
    </w:p>
    <w:p w14:paraId="51140B5C" w14:textId="310FC761" w:rsidR="002D5CBF" w:rsidRDefault="002D5CBF" w:rsidP="002D5CBF">
      <w:pPr>
        <w:pStyle w:val="FigureTitle"/>
      </w:pPr>
      <w:r>
        <w:t xml:space="preserve">Figure </w:t>
      </w:r>
      <w:fldSimple w:instr=" SEQ Figure \* ARABIC ">
        <w:r w:rsidR="0012232D">
          <w:rPr>
            <w:noProof/>
          </w:rPr>
          <w:t>7</w:t>
        </w:r>
      </w:fldSimple>
      <w:r>
        <w:t>: Study B5381002 M</w:t>
      </w:r>
      <w:r w:rsidR="00395701">
        <w:t>ean change from B</w:t>
      </w:r>
      <w:r w:rsidRPr="00E3319A">
        <w:t xml:space="preserve">aseline in DAS28-4 (CRP) </w:t>
      </w:r>
      <w:r w:rsidR="00395701">
        <w:t xml:space="preserve">value by visit (Intention to treat population; </w:t>
      </w:r>
      <w:r w:rsidRPr="00E3319A">
        <w:t>TP1</w:t>
      </w:r>
      <w:r w:rsidR="00395701">
        <w:t>)</w:t>
      </w:r>
    </w:p>
    <w:p w14:paraId="09049B39" w14:textId="77777777" w:rsidR="002D5CBF" w:rsidRDefault="00630FC5" w:rsidP="00630FC5">
      <w:pPr>
        <w:rPr>
          <w:rFonts w:asciiTheme="minorHAnsi" w:hAnsiTheme="minorHAnsi"/>
        </w:rPr>
      </w:pPr>
      <w:r>
        <w:rPr>
          <w:noProof/>
          <w:lang w:eastAsia="en-AU"/>
        </w:rPr>
        <w:drawing>
          <wp:inline distT="0" distB="0" distL="0" distR="0" wp14:anchorId="14D01495" wp14:editId="0DB25580">
            <wp:extent cx="4968240" cy="3202740"/>
            <wp:effectExtent l="0" t="0" r="3810" b="0"/>
            <wp:docPr id="13" name="Picture 13" descr="Study B5381002 Mean change from baseline in DAS28-4 (CRP) by visit, ITT population – TP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1083" cy="3211019"/>
                    </a:xfrm>
                    <a:prstGeom prst="rect">
                      <a:avLst/>
                    </a:prstGeom>
                  </pic:spPr>
                </pic:pic>
              </a:graphicData>
            </a:graphic>
          </wp:inline>
        </w:drawing>
      </w:r>
    </w:p>
    <w:p w14:paraId="10C3822C" w14:textId="22F0B810" w:rsidR="002D5CBF" w:rsidRDefault="002D5CBF" w:rsidP="002D5CBF">
      <w:pPr>
        <w:rPr>
          <w:lang w:eastAsia="en-AU"/>
        </w:rPr>
      </w:pPr>
      <w:r>
        <w:rPr>
          <w:lang w:eastAsia="en-AU"/>
        </w:rPr>
        <w:t>ACR20 response rates based on ADA status were similar ac</w:t>
      </w:r>
      <w:r w:rsidR="00487CE0">
        <w:rPr>
          <w:lang w:eastAsia="en-AU"/>
        </w:rPr>
        <w:t xml:space="preserve">ross the two treatment groups. </w:t>
      </w:r>
      <w:r>
        <w:rPr>
          <w:lang w:eastAsia="en-AU"/>
        </w:rPr>
        <w:t xml:space="preserve">In both arms, ACR20 response rates trended higher in ADA negative and </w:t>
      </w:r>
      <w:proofErr w:type="spellStart"/>
      <w:r>
        <w:rPr>
          <w:lang w:eastAsia="en-AU"/>
        </w:rPr>
        <w:t>NAb</w:t>
      </w:r>
      <w:proofErr w:type="spellEnd"/>
      <w:r>
        <w:rPr>
          <w:lang w:eastAsia="en-AU"/>
        </w:rPr>
        <w:t xml:space="preserve"> non-positive subjects, compared to ADA positive and </w:t>
      </w:r>
      <w:proofErr w:type="spellStart"/>
      <w:r>
        <w:rPr>
          <w:lang w:eastAsia="en-AU"/>
        </w:rPr>
        <w:t>NAb</w:t>
      </w:r>
      <w:proofErr w:type="spellEnd"/>
      <w:r>
        <w:rPr>
          <w:lang w:eastAsia="en-AU"/>
        </w:rPr>
        <w:t xml:space="preserve"> positive subject</w:t>
      </w:r>
      <w:r w:rsidRPr="00F51151">
        <w:t>s.</w:t>
      </w:r>
      <w:r w:rsidR="00490513">
        <w:t xml:space="preserve"> </w:t>
      </w:r>
      <w:r w:rsidRPr="00F51151">
        <w:t xml:space="preserve">Week 12 ACR20 response rates were 63.7% and 65.7% for the </w:t>
      </w:r>
      <w:r w:rsidR="00395701">
        <w:t>Abrilada</w:t>
      </w:r>
      <w:r>
        <w:t xml:space="preserve"> and </w:t>
      </w:r>
      <w:r w:rsidR="00395701">
        <w:t>EU-sourced Humira</w:t>
      </w:r>
      <w:r w:rsidRPr="00F51151">
        <w:t xml:space="preserve"> ADA positive subgroups, respectively, and 70.9% and 77.2% for the ADA negative subgroups, respectively. Week 12 ACR20 response rates were 50.0% and 64.0% for the </w:t>
      </w:r>
      <w:r>
        <w:t>A</w:t>
      </w:r>
      <w:r w:rsidR="00395701">
        <w:t>brilada</w:t>
      </w:r>
      <w:r>
        <w:t xml:space="preserve"> and </w:t>
      </w:r>
      <w:r w:rsidR="00395701">
        <w:t>EU</w:t>
      </w:r>
      <w:r w:rsidR="00395701">
        <w:noBreakHyphen/>
        <w:t>sourced Humira</w:t>
      </w:r>
      <w:r w:rsidRPr="00F51151">
        <w:t xml:space="preserve"> </w:t>
      </w:r>
      <w:proofErr w:type="spellStart"/>
      <w:r w:rsidRPr="00F51151">
        <w:t>NAb</w:t>
      </w:r>
      <w:proofErr w:type="spellEnd"/>
      <w:r w:rsidRPr="00F51151">
        <w:t xml:space="preserve"> positive subgroups, respectively, and 70.9% and 74.0% for the </w:t>
      </w:r>
      <w:proofErr w:type="spellStart"/>
      <w:r w:rsidRPr="00F51151">
        <w:t>NAb</w:t>
      </w:r>
      <w:proofErr w:type="spellEnd"/>
      <w:r w:rsidRPr="00F51151">
        <w:t xml:space="preserve"> non-positive subgroups, respectively.</w:t>
      </w:r>
    </w:p>
    <w:p w14:paraId="376588C2" w14:textId="77777777" w:rsidR="002D5CBF" w:rsidRDefault="002D5CBF" w:rsidP="002D5CBF">
      <w:r>
        <w:rPr>
          <w:lang w:eastAsia="en-AU"/>
        </w:rPr>
        <w:t xml:space="preserve">In </w:t>
      </w:r>
      <w:r w:rsidR="00395701">
        <w:rPr>
          <w:lang w:eastAsia="en-AU"/>
        </w:rPr>
        <w:t>Treatment Phase 2 (</w:t>
      </w:r>
      <w:r>
        <w:rPr>
          <w:lang w:eastAsia="en-AU"/>
        </w:rPr>
        <w:t>TP2</w:t>
      </w:r>
      <w:r w:rsidR="00395701">
        <w:rPr>
          <w:lang w:eastAsia="en-AU"/>
        </w:rPr>
        <w:t>)</w:t>
      </w:r>
      <w:r>
        <w:rPr>
          <w:lang w:eastAsia="en-AU"/>
        </w:rPr>
        <w:t xml:space="preserve">, efficacy outcomes for patients who switched from </w:t>
      </w:r>
      <w:r w:rsidR="00395701">
        <w:t>EU</w:t>
      </w:r>
      <w:r w:rsidR="00395701">
        <w:noBreakHyphen/>
        <w:t>sourced Humira</w:t>
      </w:r>
      <w:r>
        <w:rPr>
          <w:lang w:eastAsia="en-AU"/>
        </w:rPr>
        <w:t xml:space="preserve"> to </w:t>
      </w:r>
      <w:r w:rsidR="00395701">
        <w:rPr>
          <w:lang w:eastAsia="en-AU"/>
        </w:rPr>
        <w:t>Abrilada</w:t>
      </w:r>
      <w:r>
        <w:rPr>
          <w:lang w:eastAsia="en-AU"/>
        </w:rPr>
        <w:t xml:space="preserve"> were similar to patients who continued to receive </w:t>
      </w:r>
      <w:r w:rsidR="00395701">
        <w:rPr>
          <w:lang w:eastAsia="en-AU"/>
        </w:rPr>
        <w:t>Abrilada</w:t>
      </w:r>
      <w:r>
        <w:rPr>
          <w:lang w:eastAsia="en-AU"/>
        </w:rPr>
        <w:t xml:space="preserve"> or </w:t>
      </w:r>
      <w:r w:rsidR="00395701">
        <w:t>EU</w:t>
      </w:r>
      <w:r w:rsidR="00395701">
        <w:noBreakHyphen/>
        <w:t>sourced Humira</w:t>
      </w:r>
      <w:r>
        <w:rPr>
          <w:lang w:eastAsia="en-AU"/>
        </w:rPr>
        <w:t>.</w:t>
      </w:r>
      <w:r w:rsidR="00395701">
        <w:t xml:space="preserve"> </w:t>
      </w:r>
      <w:r>
        <w:rPr>
          <w:lang w:eastAsia="en-AU"/>
        </w:rPr>
        <w:t>ACR20, ACR50 and ACR70 response rates were similar across the th</w:t>
      </w:r>
      <w:r w:rsidR="00395701">
        <w:rPr>
          <w:lang w:eastAsia="en-AU"/>
        </w:rPr>
        <w:t xml:space="preserve">ree treatment groups over TP2. </w:t>
      </w:r>
      <w:r w:rsidRPr="00052BE0">
        <w:rPr>
          <w:rFonts w:asciiTheme="minorHAnsi" w:hAnsiTheme="minorHAnsi"/>
        </w:rPr>
        <w:t xml:space="preserve">Mean </w:t>
      </w:r>
      <w:r w:rsidRPr="00052BE0">
        <w:rPr>
          <w:rFonts w:asciiTheme="minorHAnsi" w:eastAsia="Verdana,Bold" w:hAnsiTheme="minorHAnsi" w:cs="Verdana,Bold"/>
          <w:bCs/>
        </w:rPr>
        <w:t xml:space="preserve">DAS28-4 (CRP) </w:t>
      </w:r>
      <w:r w:rsidRPr="00052BE0">
        <w:rPr>
          <w:rFonts w:asciiTheme="minorHAnsi" w:hAnsiTheme="minorHAnsi"/>
        </w:rPr>
        <w:t>value</w:t>
      </w:r>
      <w:r>
        <w:rPr>
          <w:rFonts w:asciiTheme="minorHAnsi" w:hAnsiTheme="minorHAnsi"/>
        </w:rPr>
        <w:t>s</w:t>
      </w:r>
      <w:r w:rsidRPr="00052BE0">
        <w:rPr>
          <w:rFonts w:asciiTheme="minorHAnsi" w:hAnsiTheme="minorHAnsi"/>
        </w:rPr>
        <w:t xml:space="preserve"> at Week 26 pre-dose w</w:t>
      </w:r>
      <w:r>
        <w:rPr>
          <w:rFonts w:asciiTheme="minorHAnsi" w:hAnsiTheme="minorHAnsi"/>
        </w:rPr>
        <w:t>ere</w:t>
      </w:r>
      <w:r w:rsidRPr="00052BE0">
        <w:rPr>
          <w:rFonts w:asciiTheme="minorHAnsi" w:hAnsiTheme="minorHAnsi"/>
        </w:rPr>
        <w:t xml:space="preserve"> 3.2, 3.4, and 3.0 in the </w:t>
      </w:r>
      <w:r w:rsidR="00395701" w:rsidRPr="00052BE0">
        <w:rPr>
          <w:rFonts w:asciiTheme="minorHAnsi" w:hAnsiTheme="minorHAnsi"/>
        </w:rPr>
        <w:t>A</w:t>
      </w:r>
      <w:r w:rsidR="00395701">
        <w:rPr>
          <w:rFonts w:asciiTheme="minorHAnsi" w:hAnsiTheme="minorHAnsi"/>
        </w:rPr>
        <w:t>brilada/Abrilada;</w:t>
      </w:r>
      <w:r>
        <w:rPr>
          <w:rFonts w:asciiTheme="minorHAnsi" w:hAnsiTheme="minorHAnsi"/>
        </w:rPr>
        <w:t xml:space="preserve"> </w:t>
      </w:r>
      <w:r w:rsidR="00395701">
        <w:t>EU</w:t>
      </w:r>
      <w:r w:rsidR="00395701">
        <w:noBreakHyphen/>
        <w:t>sourced Humira</w:t>
      </w:r>
      <w:r w:rsidRPr="00052BE0">
        <w:rPr>
          <w:rFonts w:asciiTheme="minorHAnsi" w:hAnsiTheme="minorHAnsi"/>
        </w:rPr>
        <w:t>/</w:t>
      </w:r>
      <w:r w:rsidR="00395701">
        <w:t>EU</w:t>
      </w:r>
      <w:r w:rsidR="00395701">
        <w:noBreakHyphen/>
        <w:t>sourced Humira</w:t>
      </w:r>
      <w:r w:rsidR="00395701">
        <w:rPr>
          <w:rFonts w:asciiTheme="minorHAnsi" w:hAnsiTheme="minorHAnsi"/>
        </w:rPr>
        <w:t>;</w:t>
      </w:r>
      <w:r w:rsidRPr="00052BE0">
        <w:rPr>
          <w:rFonts w:asciiTheme="minorHAnsi" w:hAnsiTheme="minorHAnsi"/>
        </w:rPr>
        <w:t xml:space="preserve"> and </w:t>
      </w:r>
      <w:r w:rsidR="00395701">
        <w:t>EU</w:t>
      </w:r>
      <w:r w:rsidR="00395701">
        <w:noBreakHyphen/>
        <w:t>sourced Humira</w:t>
      </w:r>
      <w:r w:rsidR="00395701" w:rsidRPr="00F51151">
        <w:t xml:space="preserve"> </w:t>
      </w:r>
      <w:r w:rsidRPr="00052BE0">
        <w:rPr>
          <w:rFonts w:asciiTheme="minorHAnsi" w:hAnsiTheme="minorHAnsi"/>
        </w:rPr>
        <w:t>/</w:t>
      </w:r>
      <w:r>
        <w:rPr>
          <w:rFonts w:asciiTheme="minorHAnsi" w:hAnsiTheme="minorHAnsi"/>
        </w:rPr>
        <w:t>A</w:t>
      </w:r>
      <w:r w:rsidR="00395701">
        <w:rPr>
          <w:rFonts w:asciiTheme="minorHAnsi" w:hAnsiTheme="minorHAnsi"/>
        </w:rPr>
        <w:t>brilada</w:t>
      </w:r>
      <w:r w:rsidRPr="00052BE0">
        <w:rPr>
          <w:rFonts w:asciiTheme="minorHAnsi" w:hAnsiTheme="minorHAnsi"/>
        </w:rPr>
        <w:t xml:space="preserve"> groups, respectively, and</w:t>
      </w:r>
      <w:r w:rsidRPr="00E810A8">
        <w:rPr>
          <w:rFonts w:asciiTheme="minorHAnsi" w:hAnsiTheme="minorHAnsi"/>
        </w:rPr>
        <w:t xml:space="preserve"> </w:t>
      </w:r>
      <w:r w:rsidRPr="00052BE0">
        <w:rPr>
          <w:rFonts w:asciiTheme="minorHAnsi" w:hAnsiTheme="minorHAnsi"/>
        </w:rPr>
        <w:t xml:space="preserve">at Week 52 </w:t>
      </w:r>
      <w:r>
        <w:rPr>
          <w:rFonts w:asciiTheme="minorHAnsi" w:hAnsiTheme="minorHAnsi"/>
        </w:rPr>
        <w:t xml:space="preserve">were </w:t>
      </w:r>
      <w:r w:rsidRPr="00052BE0">
        <w:rPr>
          <w:rFonts w:asciiTheme="minorHAnsi" w:hAnsiTheme="minorHAnsi"/>
        </w:rPr>
        <w:t>3.0, 3.2 and 2.8, respectively.</w:t>
      </w:r>
      <w:r w:rsidR="00395701">
        <w:rPr>
          <w:rFonts w:asciiTheme="minorHAnsi" w:hAnsiTheme="minorHAnsi"/>
        </w:rPr>
        <w:t xml:space="preserve"> </w:t>
      </w:r>
      <w:r w:rsidRPr="00CF7482">
        <w:t>Measures of major response (ACR70, EULAR good response, DAS remission and ACR/EULAR remission) showed additional improvement during TP2 in all treatment groups.</w:t>
      </w:r>
    </w:p>
    <w:p w14:paraId="4D3C4BD9" w14:textId="77777777" w:rsidR="00395701" w:rsidRDefault="002B0C1B" w:rsidP="00395701">
      <w:pPr>
        <w:pStyle w:val="Heading5"/>
        <w:rPr>
          <w:lang w:eastAsia="en-AU"/>
        </w:rPr>
      </w:pPr>
      <w:r>
        <w:t>Study B538</w:t>
      </w:r>
      <w:r w:rsidR="00395701">
        <w:t>1002b</w:t>
      </w:r>
    </w:p>
    <w:p w14:paraId="1D36A7B7" w14:textId="69EF31EF" w:rsidR="002D5CBF" w:rsidRPr="004C6ED5" w:rsidRDefault="00395701" w:rsidP="002D5CBF">
      <w:r>
        <w:rPr>
          <w:lang w:eastAsia="en-AU"/>
        </w:rPr>
        <w:t>An open-label, single arm, prefilled pen</w:t>
      </w:r>
      <w:r w:rsidR="002D5CBF">
        <w:rPr>
          <w:lang w:eastAsia="en-AU"/>
        </w:rPr>
        <w:t xml:space="preserve"> sub</w:t>
      </w:r>
      <w:r>
        <w:rPr>
          <w:lang w:eastAsia="en-AU"/>
        </w:rPr>
        <w:t>-</w:t>
      </w:r>
      <w:r w:rsidR="002D5CBF">
        <w:rPr>
          <w:lang w:eastAsia="en-AU"/>
        </w:rPr>
        <w:t>study (</w:t>
      </w:r>
      <w:r>
        <w:rPr>
          <w:lang w:eastAsia="en-AU"/>
        </w:rPr>
        <w:t xml:space="preserve">Study </w:t>
      </w:r>
      <w:r w:rsidR="002D5CBF">
        <w:rPr>
          <w:lang w:eastAsia="en-AU"/>
        </w:rPr>
        <w:t>B5381002b) was conducted in a subset of patients (n</w:t>
      </w:r>
      <w:r>
        <w:rPr>
          <w:lang w:eastAsia="en-AU"/>
        </w:rPr>
        <w:t xml:space="preserve"> </w:t>
      </w:r>
      <w:r w:rsidR="002D5CBF">
        <w:rPr>
          <w:lang w:eastAsia="en-AU"/>
        </w:rPr>
        <w:t>=</w:t>
      </w:r>
      <w:r>
        <w:rPr>
          <w:lang w:eastAsia="en-AU"/>
        </w:rPr>
        <w:t xml:space="preserve"> </w:t>
      </w:r>
      <w:r w:rsidR="002D5CBF">
        <w:rPr>
          <w:lang w:eastAsia="en-AU"/>
        </w:rPr>
        <w:t>50) participating in</w:t>
      </w:r>
      <w:r>
        <w:rPr>
          <w:lang w:eastAsia="en-AU"/>
        </w:rPr>
        <w:t xml:space="preserve"> Study B5381002 during the open </w:t>
      </w:r>
      <w:r w:rsidR="002D5CBF">
        <w:rPr>
          <w:lang w:eastAsia="en-AU"/>
        </w:rPr>
        <w:t xml:space="preserve">label </w:t>
      </w:r>
      <w:r>
        <w:rPr>
          <w:lang w:eastAsia="en-AU"/>
        </w:rPr>
        <w:t>Treatment Phase 3 (</w:t>
      </w:r>
      <w:r w:rsidR="002D5CBF">
        <w:rPr>
          <w:lang w:eastAsia="en-AU"/>
        </w:rPr>
        <w:t>TP3</w:t>
      </w:r>
      <w:r>
        <w:rPr>
          <w:lang w:eastAsia="en-AU"/>
        </w:rPr>
        <w:t>).</w:t>
      </w:r>
      <w:r w:rsidR="002D5CBF">
        <w:rPr>
          <w:lang w:eastAsia="en-AU"/>
        </w:rPr>
        <w:t xml:space="preserve"> It evaluated the success of </w:t>
      </w:r>
      <w:r>
        <w:rPr>
          <w:lang w:val="en-GB"/>
        </w:rPr>
        <w:t>Abrilada</w:t>
      </w:r>
      <w:r w:rsidR="002D5CBF">
        <w:rPr>
          <w:lang w:eastAsia="en-AU"/>
        </w:rPr>
        <w:t xml:space="preserve"> administration by the subject or their non-healthcare professional caregiver using the </w:t>
      </w:r>
      <w:r>
        <w:rPr>
          <w:lang w:eastAsia="en-AU"/>
        </w:rPr>
        <w:t xml:space="preserve">prefilled pen device. </w:t>
      </w:r>
      <w:r w:rsidR="002D5CBF">
        <w:rPr>
          <w:lang w:eastAsia="en-AU"/>
        </w:rPr>
        <w:t xml:space="preserve">The subjects received a minimum of 6 injections using the </w:t>
      </w:r>
      <w:r>
        <w:rPr>
          <w:lang w:eastAsia="en-AU"/>
        </w:rPr>
        <w:t>prefilled pen</w:t>
      </w:r>
      <w:r w:rsidR="002D5CBF">
        <w:rPr>
          <w:lang w:eastAsia="en-AU"/>
        </w:rPr>
        <w:t xml:space="preserve"> with the option of staying on the </w:t>
      </w:r>
      <w:r>
        <w:rPr>
          <w:lang w:eastAsia="en-AU"/>
        </w:rPr>
        <w:t>prefilled pen</w:t>
      </w:r>
      <w:r w:rsidR="002D5CBF">
        <w:rPr>
          <w:lang w:eastAsia="en-AU"/>
        </w:rPr>
        <w:t xml:space="preserve"> device to the end of the study.</w:t>
      </w:r>
      <w:r w:rsidR="00490513">
        <w:rPr>
          <w:lang w:eastAsia="en-AU"/>
        </w:rPr>
        <w:t xml:space="preserve"> </w:t>
      </w:r>
      <w:r w:rsidR="002D5CBF">
        <w:rPr>
          <w:lang w:eastAsia="en-AU"/>
        </w:rPr>
        <w:t xml:space="preserve">The study included a wide age range, but few of the participants had severe </w:t>
      </w:r>
      <w:r>
        <w:rPr>
          <w:lang w:eastAsia="en-AU"/>
        </w:rPr>
        <w:t xml:space="preserve">hand disability. </w:t>
      </w:r>
      <w:r w:rsidR="002D5CBF">
        <w:t>The primary endpoint was a del</w:t>
      </w:r>
      <w:r>
        <w:t>ivery system success rate</w:t>
      </w:r>
      <w:r w:rsidR="002D5CBF">
        <w:t xml:space="preserve"> </w:t>
      </w:r>
      <w:r>
        <w:t>based on participant (actual prefilled pen u</w:t>
      </w:r>
      <w:r w:rsidR="002D5CBF">
        <w:t xml:space="preserve">ser) and investigator/designated observer observations of the success of </w:t>
      </w:r>
      <w:r w:rsidR="0086580C">
        <w:t>Abrilada administration by prefilled pen</w:t>
      </w:r>
      <w:r>
        <w:t xml:space="preserve">. </w:t>
      </w:r>
      <w:r w:rsidR="002D5CBF">
        <w:t>The</w:t>
      </w:r>
      <w:r w:rsidRPr="00395701">
        <w:t xml:space="preserve"> </w:t>
      </w:r>
      <w:r>
        <w:t xml:space="preserve">delivery system success rate </w:t>
      </w:r>
      <w:r w:rsidR="002D5CBF">
        <w:t>at each visit was 100.0% with th</w:t>
      </w:r>
      <w:r w:rsidR="002D5CBF" w:rsidRPr="00CF7482">
        <w:t>e lower bound of the 2-sided 95% CI exceeding 92% and</w:t>
      </w:r>
      <w:r>
        <w:t xml:space="preserve"> the upper bound being 100.0%. </w:t>
      </w:r>
      <w:r w:rsidR="002D5CBF" w:rsidRPr="00CF7482">
        <w:t xml:space="preserve">The </w:t>
      </w:r>
      <w:r w:rsidRPr="00CF7482">
        <w:t>observer assessment tool</w:t>
      </w:r>
      <w:r w:rsidR="002D5CBF" w:rsidRPr="00CF7482">
        <w:t xml:space="preserve"> observers recorded all injections as successful.</w:t>
      </w:r>
      <w:r>
        <w:t xml:space="preserve"> </w:t>
      </w:r>
      <w:r w:rsidR="002D5CBF">
        <w:t xml:space="preserve">95.9% of completed </w:t>
      </w:r>
      <w:proofErr w:type="spellStart"/>
      <w:r w:rsidR="002D5CBF">
        <w:t>substudy</w:t>
      </w:r>
      <w:proofErr w:type="spellEnd"/>
      <w:r w:rsidR="002D5CBF">
        <w:t xml:space="preserve"> patients selected to continue </w:t>
      </w:r>
      <w:r w:rsidR="00EB632E">
        <w:t>prefilled pen</w:t>
      </w:r>
      <w:r w:rsidR="002D5CBF">
        <w:t xml:space="preserve"> injections for the remainder of the </w:t>
      </w:r>
      <w:r w:rsidR="00EB632E">
        <w:t xml:space="preserve">Study </w:t>
      </w:r>
      <w:r w:rsidR="002D5CBF">
        <w:t>B5381002 study period.</w:t>
      </w:r>
    </w:p>
    <w:p w14:paraId="54CCCFD3" w14:textId="77777777" w:rsidR="002D5CBF" w:rsidRDefault="002D5CBF" w:rsidP="002D5CBF">
      <w:pPr>
        <w:pStyle w:val="Heading4"/>
      </w:pPr>
      <w:r w:rsidRPr="00AA53F4">
        <w:t>Safety</w:t>
      </w:r>
    </w:p>
    <w:p w14:paraId="504DC245" w14:textId="77777777" w:rsidR="002D5CBF" w:rsidRDefault="00EB632E" w:rsidP="002D5CBF">
      <w:r>
        <w:t>Humira</w:t>
      </w:r>
      <w:r w:rsidR="002D5CBF">
        <w:t xml:space="preserve"> was first re</w:t>
      </w:r>
      <w:r>
        <w:t xml:space="preserve">gistered in Australia in 2003. </w:t>
      </w:r>
      <w:r w:rsidR="002D5CBF">
        <w:t>The safety profile of H</w:t>
      </w:r>
      <w:r>
        <w:t>umira</w:t>
      </w:r>
      <w:r w:rsidR="002D5CBF">
        <w:t xml:space="preserve"> has been well characterised a</w:t>
      </w:r>
      <w:r>
        <w:t>cross the proposed indications.</w:t>
      </w:r>
    </w:p>
    <w:p w14:paraId="5222AB21" w14:textId="77777777" w:rsidR="002D5CBF" w:rsidRDefault="002D5CBF" w:rsidP="002D5CBF">
      <w:r>
        <w:t xml:space="preserve">The safety profile of </w:t>
      </w:r>
      <w:r w:rsidR="00EB632E">
        <w:t>Abrilada</w:t>
      </w:r>
      <w:r>
        <w:t xml:space="preserve"> was assessed in </w:t>
      </w:r>
      <w:r w:rsidRPr="003B495A">
        <w:rPr>
          <w:lang w:eastAsia="en-AU"/>
        </w:rPr>
        <w:t>3 single-dose PK studies in healthy volunteers (</w:t>
      </w:r>
      <w:r w:rsidR="00EB632E">
        <w:rPr>
          <w:lang w:eastAsia="en-AU"/>
        </w:rPr>
        <w:t>Studies B5381001, B5381005 and</w:t>
      </w:r>
      <w:r w:rsidRPr="003B495A">
        <w:rPr>
          <w:lang w:eastAsia="en-AU"/>
        </w:rPr>
        <w:t xml:space="preserve"> B5381007), a</w:t>
      </w:r>
      <w:r>
        <w:rPr>
          <w:lang w:eastAsia="en-AU"/>
        </w:rPr>
        <w:t xml:space="preserve">nd a multi-dose comparative </w:t>
      </w:r>
      <w:r w:rsidRPr="003B495A">
        <w:rPr>
          <w:lang w:eastAsia="en-AU"/>
        </w:rPr>
        <w:t xml:space="preserve">efficacy and safety study in patients </w:t>
      </w:r>
      <w:r>
        <w:rPr>
          <w:lang w:eastAsia="en-AU"/>
        </w:rPr>
        <w:t xml:space="preserve">with </w:t>
      </w:r>
      <w:r w:rsidRPr="003B495A">
        <w:rPr>
          <w:lang w:eastAsia="en-AU"/>
        </w:rPr>
        <w:t>moderate</w:t>
      </w:r>
      <w:r>
        <w:rPr>
          <w:lang w:eastAsia="en-AU"/>
        </w:rPr>
        <w:t>ly</w:t>
      </w:r>
      <w:r w:rsidRPr="003B495A">
        <w:rPr>
          <w:lang w:eastAsia="en-AU"/>
        </w:rPr>
        <w:t xml:space="preserve"> to severe</w:t>
      </w:r>
      <w:r>
        <w:rPr>
          <w:lang w:eastAsia="en-AU"/>
        </w:rPr>
        <w:t>ly active</w:t>
      </w:r>
      <w:r w:rsidR="00EB632E">
        <w:rPr>
          <w:lang w:eastAsia="en-AU"/>
        </w:rPr>
        <w:t xml:space="preserve"> rheumatoid arthritis</w:t>
      </w:r>
      <w:r w:rsidRPr="003B495A">
        <w:rPr>
          <w:lang w:eastAsia="en-AU"/>
        </w:rPr>
        <w:t xml:space="preserve"> (</w:t>
      </w:r>
      <w:r w:rsidR="00EB632E">
        <w:rPr>
          <w:lang w:eastAsia="en-AU"/>
        </w:rPr>
        <w:t xml:space="preserve">Study </w:t>
      </w:r>
      <w:r w:rsidRPr="003B495A">
        <w:rPr>
          <w:lang w:eastAsia="en-AU"/>
        </w:rPr>
        <w:t>B5381002)</w:t>
      </w:r>
      <w:r>
        <w:rPr>
          <w:lang w:eastAsia="en-AU"/>
        </w:rPr>
        <w:t xml:space="preserve"> which included</w:t>
      </w:r>
      <w:r w:rsidRPr="003B495A">
        <w:rPr>
          <w:lang w:eastAsia="en-AU"/>
        </w:rPr>
        <w:t xml:space="preserve"> a single arm, </w:t>
      </w:r>
      <w:r w:rsidR="00EB632E">
        <w:rPr>
          <w:lang w:eastAsia="en-AU"/>
        </w:rPr>
        <w:t>prefilled pen</w:t>
      </w:r>
      <w:r>
        <w:rPr>
          <w:lang w:eastAsia="en-AU"/>
        </w:rPr>
        <w:t xml:space="preserve"> </w:t>
      </w:r>
      <w:r w:rsidRPr="003B495A">
        <w:rPr>
          <w:lang w:eastAsia="en-AU"/>
        </w:rPr>
        <w:t>sub-study (</w:t>
      </w:r>
      <w:r w:rsidR="00EB632E">
        <w:rPr>
          <w:lang w:eastAsia="en-AU"/>
        </w:rPr>
        <w:t>Study </w:t>
      </w:r>
      <w:r w:rsidRPr="003B495A">
        <w:rPr>
          <w:lang w:eastAsia="en-AU"/>
        </w:rPr>
        <w:t>B5381002b)</w:t>
      </w:r>
      <w:r w:rsidR="00EB632E">
        <w:rPr>
          <w:lang w:eastAsia="en-AU"/>
        </w:rPr>
        <w:t>.</w:t>
      </w:r>
      <w:r>
        <w:rPr>
          <w:lang w:eastAsia="en-AU"/>
        </w:rPr>
        <w:t xml:space="preserve"> 1,329 subjects received at le</w:t>
      </w:r>
      <w:r w:rsidR="00EB632E">
        <w:rPr>
          <w:lang w:eastAsia="en-AU"/>
        </w:rPr>
        <w:t>ast one</w:t>
      </w:r>
      <w:r>
        <w:rPr>
          <w:lang w:eastAsia="en-AU"/>
        </w:rPr>
        <w:t xml:space="preserve"> dose of study medication in these studies, with 950 subjects receiving </w:t>
      </w:r>
      <w:r w:rsidR="00EB632E">
        <w:rPr>
          <w:lang w:eastAsia="en-AU"/>
        </w:rPr>
        <w:t>Abrilada.</w:t>
      </w:r>
      <w:r>
        <w:rPr>
          <w:lang w:eastAsia="en-AU"/>
        </w:rPr>
        <w:t xml:space="preserve"> </w:t>
      </w:r>
      <w:r>
        <w:t>A pooled safety analysis was not performed due to the hetero</w:t>
      </w:r>
      <w:r w:rsidR="00EB632E">
        <w:t>geneity of study populations (rheumatoid arthritis</w:t>
      </w:r>
      <w:r>
        <w:t xml:space="preserve"> patients versus healthy subjects) and the difference in duration of treatment/exposure (multiple doses versus single-dose).</w:t>
      </w:r>
    </w:p>
    <w:p w14:paraId="170BF791" w14:textId="77777777" w:rsidR="00EB632E" w:rsidRDefault="00EB632E" w:rsidP="00EB632E">
      <w:pPr>
        <w:pStyle w:val="Heading5"/>
        <w:rPr>
          <w:lang w:eastAsia="en-AU"/>
        </w:rPr>
      </w:pPr>
      <w:r>
        <w:t>Study B5381002</w:t>
      </w:r>
    </w:p>
    <w:p w14:paraId="412542B4" w14:textId="041ACE4C" w:rsidR="002D5CBF" w:rsidRDefault="002D5CBF" w:rsidP="002D5CBF">
      <w:pPr>
        <w:rPr>
          <w:lang w:eastAsia="en-AU"/>
        </w:rPr>
      </w:pPr>
      <w:r w:rsidRPr="00EB632E">
        <w:t>Study B5381002</w:t>
      </w:r>
      <w:r>
        <w:rPr>
          <w:b/>
          <w:lang w:eastAsia="en-AU"/>
        </w:rPr>
        <w:t xml:space="preserve"> </w:t>
      </w:r>
      <w:r w:rsidRPr="00EC0558">
        <w:rPr>
          <w:lang w:eastAsia="en-AU"/>
        </w:rPr>
        <w:t xml:space="preserve">compared the safety of </w:t>
      </w:r>
      <w:r w:rsidR="00EB632E">
        <w:rPr>
          <w:lang w:eastAsia="en-AU"/>
        </w:rPr>
        <w:t>Abrilada</w:t>
      </w:r>
      <w:r w:rsidRPr="00EC0558">
        <w:rPr>
          <w:lang w:eastAsia="en-AU"/>
        </w:rPr>
        <w:t xml:space="preserve"> and </w:t>
      </w:r>
      <w:r w:rsidR="00EB632E">
        <w:rPr>
          <w:lang w:eastAsia="en-AU"/>
        </w:rPr>
        <w:t>EU-sourced Humira</w:t>
      </w:r>
      <w:r>
        <w:rPr>
          <w:lang w:eastAsia="en-AU"/>
        </w:rPr>
        <w:t>, 40 mg</w:t>
      </w:r>
      <w:r w:rsidR="00EB632E">
        <w:rPr>
          <w:lang w:eastAsia="en-AU"/>
        </w:rPr>
        <w:t xml:space="preserve"> SC every other week by prefilled syringe</w:t>
      </w:r>
      <w:r>
        <w:rPr>
          <w:lang w:eastAsia="en-AU"/>
        </w:rPr>
        <w:t xml:space="preserve"> in either the thigh or abdomen, in patients with </w:t>
      </w:r>
      <w:r w:rsidR="00EB632E">
        <w:rPr>
          <w:lang w:eastAsia="en-AU"/>
        </w:rPr>
        <w:t>moderately to severely active rheumatoid arthritis.</w:t>
      </w:r>
      <w:r>
        <w:rPr>
          <w:lang w:eastAsia="en-AU"/>
        </w:rPr>
        <w:t xml:space="preserve"> The safety population in TP1 included 596 subjects who received SC adalimumab, 297 in the </w:t>
      </w:r>
      <w:r w:rsidR="00EB632E">
        <w:rPr>
          <w:lang w:eastAsia="en-AU"/>
        </w:rPr>
        <w:t>Abrilada</w:t>
      </w:r>
      <w:r>
        <w:rPr>
          <w:lang w:eastAsia="en-AU"/>
        </w:rPr>
        <w:t xml:space="preserve"> arm and 299 in the </w:t>
      </w:r>
      <w:r w:rsidR="00EB632E">
        <w:rPr>
          <w:lang w:eastAsia="en-AU"/>
        </w:rPr>
        <w:t>EU</w:t>
      </w:r>
      <w:r w:rsidR="009F3053">
        <w:rPr>
          <w:lang w:eastAsia="en-AU"/>
        </w:rPr>
        <w:noBreakHyphen/>
      </w:r>
      <w:r w:rsidR="00EB632E">
        <w:rPr>
          <w:lang w:eastAsia="en-AU"/>
        </w:rPr>
        <w:t>sourced Humira arm.</w:t>
      </w:r>
      <w:r>
        <w:rPr>
          <w:lang w:eastAsia="en-AU"/>
        </w:rPr>
        <w:t xml:space="preserve"> The median duration of treatment in T</w:t>
      </w:r>
      <w:r w:rsidR="00EB632E">
        <w:rPr>
          <w:lang w:eastAsia="en-AU"/>
        </w:rPr>
        <w:t xml:space="preserve">P1 was 24.1 weeks in each arm. </w:t>
      </w:r>
      <w:r>
        <w:rPr>
          <w:lang w:eastAsia="en-AU"/>
        </w:rPr>
        <w:t xml:space="preserve">Prior to Week 26 dosing, patients in the </w:t>
      </w:r>
      <w:r w:rsidR="00EB632E">
        <w:rPr>
          <w:lang w:eastAsia="en-AU"/>
        </w:rPr>
        <w:t>EU-sourced Humira</w:t>
      </w:r>
      <w:r>
        <w:rPr>
          <w:lang w:eastAsia="en-AU"/>
        </w:rPr>
        <w:t xml:space="preserve"> arm were re-randomised </w:t>
      </w:r>
      <w:r w:rsidR="00EB632E">
        <w:rPr>
          <w:lang w:eastAsia="en-AU"/>
        </w:rPr>
        <w:t xml:space="preserve">in a </w:t>
      </w:r>
      <w:r>
        <w:rPr>
          <w:lang w:eastAsia="en-AU"/>
        </w:rPr>
        <w:t>1:1</w:t>
      </w:r>
      <w:r w:rsidR="00EB632E">
        <w:rPr>
          <w:lang w:eastAsia="en-AU"/>
        </w:rPr>
        <w:t xml:space="preserve"> ratio</w:t>
      </w:r>
      <w:r>
        <w:rPr>
          <w:lang w:eastAsia="en-AU"/>
        </w:rPr>
        <w:t xml:space="preserve"> to </w:t>
      </w:r>
      <w:r w:rsidR="00EB632E">
        <w:rPr>
          <w:lang w:eastAsia="en-AU"/>
        </w:rPr>
        <w:t>Abrilada</w:t>
      </w:r>
      <w:r>
        <w:rPr>
          <w:lang w:eastAsia="en-AU"/>
        </w:rPr>
        <w:t xml:space="preserve"> or </w:t>
      </w:r>
      <w:r w:rsidR="00EB632E">
        <w:rPr>
          <w:lang w:eastAsia="en-AU"/>
        </w:rPr>
        <w:t xml:space="preserve">EU-sourced Humira. </w:t>
      </w:r>
      <w:r>
        <w:rPr>
          <w:lang w:eastAsia="en-AU"/>
        </w:rPr>
        <w:t xml:space="preserve">The safety population in TP2 included 283 subjects in the </w:t>
      </w:r>
      <w:r w:rsidR="00EB632E">
        <w:rPr>
          <w:lang w:eastAsia="en-AU"/>
        </w:rPr>
        <w:t>Abrilada</w:t>
      </w:r>
      <w:r>
        <w:rPr>
          <w:lang w:eastAsia="en-AU"/>
        </w:rPr>
        <w:t>/</w:t>
      </w:r>
      <w:r w:rsidR="00EB632E">
        <w:rPr>
          <w:lang w:eastAsia="en-AU"/>
        </w:rPr>
        <w:t>Abrilada</w:t>
      </w:r>
      <w:r>
        <w:rPr>
          <w:lang w:eastAsia="en-AU"/>
        </w:rPr>
        <w:t xml:space="preserve"> group, 135 subjects in the </w:t>
      </w:r>
      <w:r w:rsidR="00EB632E">
        <w:rPr>
          <w:lang w:eastAsia="en-AU"/>
        </w:rPr>
        <w:t>EU-sourced Humira</w:t>
      </w:r>
      <w:r>
        <w:rPr>
          <w:lang w:eastAsia="en-AU"/>
        </w:rPr>
        <w:t>/</w:t>
      </w:r>
      <w:r w:rsidR="000D5DC8">
        <w:rPr>
          <w:lang w:eastAsia="en-AU"/>
        </w:rPr>
        <w:t xml:space="preserve"> </w:t>
      </w:r>
      <w:r w:rsidR="00EB632E">
        <w:rPr>
          <w:lang w:eastAsia="en-AU"/>
        </w:rPr>
        <w:t>EU</w:t>
      </w:r>
      <w:r w:rsidR="000D5DC8">
        <w:rPr>
          <w:lang w:eastAsia="en-AU"/>
        </w:rPr>
        <w:noBreakHyphen/>
      </w:r>
      <w:r w:rsidR="00EB632E">
        <w:rPr>
          <w:lang w:eastAsia="en-AU"/>
        </w:rPr>
        <w:t>sourced Humira</w:t>
      </w:r>
      <w:r>
        <w:rPr>
          <w:lang w:eastAsia="en-AU"/>
        </w:rPr>
        <w:t xml:space="preserve"> group, and 133 subjects in the </w:t>
      </w:r>
      <w:r w:rsidR="00EB632E">
        <w:rPr>
          <w:lang w:eastAsia="en-AU"/>
        </w:rPr>
        <w:t>EU-sourced Humira</w:t>
      </w:r>
      <w:r>
        <w:rPr>
          <w:lang w:eastAsia="en-AU"/>
        </w:rPr>
        <w:t>/</w:t>
      </w:r>
      <w:r w:rsidR="00EB632E">
        <w:rPr>
          <w:lang w:eastAsia="en-AU"/>
        </w:rPr>
        <w:t>Abrilada</w:t>
      </w:r>
      <w:r>
        <w:rPr>
          <w:lang w:eastAsia="en-AU"/>
        </w:rPr>
        <w:t xml:space="preserve"> group.</w:t>
      </w:r>
      <w:r w:rsidR="00EB632E">
        <w:rPr>
          <w:lang w:eastAsia="en-AU"/>
        </w:rPr>
        <w:t xml:space="preserve"> </w:t>
      </w:r>
      <w:r>
        <w:rPr>
          <w:lang w:eastAsia="en-AU"/>
        </w:rPr>
        <w:t xml:space="preserve">Patients treated in TP3 received open-label </w:t>
      </w:r>
      <w:r w:rsidR="00EB632E">
        <w:rPr>
          <w:lang w:eastAsia="en-AU"/>
        </w:rPr>
        <w:t>Abrilada.</w:t>
      </w:r>
      <w:r>
        <w:rPr>
          <w:lang w:eastAsia="en-AU"/>
        </w:rPr>
        <w:t xml:space="preserve"> The median duration of treatment in TP3 was 24.1 weeks.</w:t>
      </w:r>
    </w:p>
    <w:p w14:paraId="4D7CC2BD" w14:textId="6DE87FF9" w:rsidR="00EB632E" w:rsidRDefault="002D5CBF" w:rsidP="00EB632E">
      <w:r>
        <w:rPr>
          <w:lang w:eastAsia="en-AU"/>
        </w:rPr>
        <w:t>All-causality</w:t>
      </w:r>
      <w:r w:rsidR="00EB632E">
        <w:rPr>
          <w:lang w:eastAsia="en-AU"/>
        </w:rPr>
        <w:t xml:space="preserve"> treatment emergent adverse events</w:t>
      </w:r>
      <w:r>
        <w:rPr>
          <w:lang w:eastAsia="en-AU"/>
        </w:rPr>
        <w:t xml:space="preserve"> </w:t>
      </w:r>
      <w:r w:rsidR="00EB632E">
        <w:rPr>
          <w:lang w:eastAsia="en-AU"/>
        </w:rPr>
        <w:t>(TEAE)</w:t>
      </w:r>
      <w:r>
        <w:rPr>
          <w:lang w:eastAsia="en-AU"/>
        </w:rPr>
        <w:t xml:space="preserve"> for </w:t>
      </w:r>
      <w:r w:rsidR="00EB632E">
        <w:rPr>
          <w:lang w:eastAsia="en-AU"/>
        </w:rPr>
        <w:t>Abrilada</w:t>
      </w:r>
      <w:r>
        <w:rPr>
          <w:lang w:eastAsia="en-AU"/>
        </w:rPr>
        <w:t xml:space="preserve"> were similar to </w:t>
      </w:r>
      <w:r w:rsidR="00EB632E">
        <w:rPr>
          <w:lang w:eastAsia="en-AU"/>
        </w:rPr>
        <w:t>EU</w:t>
      </w:r>
      <w:r w:rsidR="009F3053">
        <w:rPr>
          <w:lang w:eastAsia="en-AU"/>
        </w:rPr>
        <w:noBreakHyphen/>
      </w:r>
      <w:r w:rsidR="00EB632E">
        <w:rPr>
          <w:lang w:eastAsia="en-AU"/>
        </w:rPr>
        <w:t>sourced Humira</w:t>
      </w:r>
      <w:r w:rsidR="00007B13">
        <w:rPr>
          <w:lang w:eastAsia="en-AU"/>
        </w:rPr>
        <w:t xml:space="preserve"> in TP1</w:t>
      </w:r>
      <w:r>
        <w:rPr>
          <w:lang w:eastAsia="en-AU"/>
        </w:rPr>
        <w:t xml:space="preserve"> and TP2 (</w:t>
      </w:r>
      <w:r w:rsidR="00007B13">
        <w:rPr>
          <w:lang w:eastAsia="en-AU"/>
        </w:rPr>
        <w:t>see Tables 10 and 11, respectively).</w:t>
      </w:r>
      <w:r>
        <w:rPr>
          <w:lang w:eastAsia="en-AU"/>
        </w:rPr>
        <w:t xml:space="preserve"> </w:t>
      </w:r>
      <w:r w:rsidRPr="00A844B2">
        <w:t xml:space="preserve">The most frequently reported </w:t>
      </w:r>
      <w:r>
        <w:t>TE</w:t>
      </w:r>
      <w:r w:rsidRPr="00A844B2">
        <w:t>AEs</w:t>
      </w:r>
      <w:r>
        <w:t xml:space="preserve"> for </w:t>
      </w:r>
      <w:r w:rsidR="00EB632E">
        <w:t>Abrilada</w:t>
      </w:r>
      <w:r>
        <w:t xml:space="preserve"> in TP1</w:t>
      </w:r>
      <w:r w:rsidRPr="00A844B2">
        <w:t xml:space="preserve"> were viral upper respiratory tract</w:t>
      </w:r>
      <w:r w:rsidR="00007B13">
        <w:t xml:space="preserve"> infection, headache, anaemia, alanine transaminase</w:t>
      </w:r>
      <w:r>
        <w:t xml:space="preserve"> increased, and hypertension (</w:t>
      </w:r>
      <w:r w:rsidR="00007B13">
        <w:t>see Table 12, below</w:t>
      </w:r>
      <w:r>
        <w:t>).</w:t>
      </w:r>
      <w:bookmarkStart w:id="46" w:name="_Ref55832679"/>
      <w:bookmarkStart w:id="47" w:name="_Ref56160474"/>
    </w:p>
    <w:bookmarkEnd w:id="46"/>
    <w:bookmarkEnd w:id="47"/>
    <w:p w14:paraId="4647B436" w14:textId="6080C6C8" w:rsidR="00EB632E" w:rsidRDefault="00EB632E" w:rsidP="00007B13">
      <w:pPr>
        <w:pStyle w:val="TableTitle"/>
      </w:pPr>
      <w:r>
        <w:t xml:space="preserve">Table </w:t>
      </w:r>
      <w:fldSimple w:instr=" SEQ Table \* ARABIC ">
        <w:r w:rsidR="0012232D">
          <w:rPr>
            <w:noProof/>
          </w:rPr>
          <w:t>10</w:t>
        </w:r>
      </w:fldSimple>
      <w:r>
        <w:t xml:space="preserve">: </w:t>
      </w:r>
      <w:r>
        <w:rPr>
          <w:rFonts w:asciiTheme="minorHAnsi" w:eastAsia="Verdana,Bold" w:hAnsiTheme="minorHAnsi" w:cs="Verdana,Bold"/>
          <w:bCs/>
          <w:szCs w:val="19"/>
        </w:rPr>
        <w:t>S</w:t>
      </w:r>
      <w:r w:rsidRPr="00F05833">
        <w:rPr>
          <w:rFonts w:asciiTheme="minorHAnsi" w:eastAsia="Verdana,Bold" w:hAnsiTheme="minorHAnsi" w:cs="Verdana,Bold"/>
          <w:bCs/>
          <w:szCs w:val="19"/>
        </w:rPr>
        <w:t>tudy B5381002</w:t>
      </w:r>
      <w:r>
        <w:rPr>
          <w:rFonts w:asciiTheme="minorHAnsi" w:eastAsia="Verdana,Bold" w:hAnsiTheme="minorHAnsi" w:cs="Verdana,Bold"/>
          <w:bCs/>
          <w:szCs w:val="19"/>
        </w:rPr>
        <w:t xml:space="preserve"> </w:t>
      </w:r>
      <w:r w:rsidRPr="00F05833">
        <w:rPr>
          <w:rFonts w:asciiTheme="minorHAnsi" w:eastAsia="Verdana,Bold" w:hAnsiTheme="minorHAnsi" w:cs="Verdana,Bold"/>
          <w:bCs/>
          <w:szCs w:val="19"/>
        </w:rPr>
        <w:t xml:space="preserve">All-causality </w:t>
      </w:r>
      <w:r>
        <w:rPr>
          <w:lang w:eastAsia="en-AU"/>
        </w:rPr>
        <w:t>treatment emergent adverse events</w:t>
      </w:r>
      <w:r>
        <w:rPr>
          <w:rFonts w:asciiTheme="minorHAnsi" w:eastAsia="Verdana,Bold" w:hAnsiTheme="minorHAnsi" w:cs="Verdana,Bold"/>
          <w:bCs/>
          <w:szCs w:val="19"/>
        </w:rPr>
        <w:t xml:space="preserve"> (safety population; TP1)</w:t>
      </w:r>
    </w:p>
    <w:p w14:paraId="47D95681" w14:textId="77777777" w:rsidR="002D5CBF" w:rsidRDefault="002D5CBF" w:rsidP="002D5CBF">
      <w:r>
        <w:rPr>
          <w:noProof/>
          <w:lang w:eastAsia="en-AU"/>
        </w:rPr>
        <w:drawing>
          <wp:inline distT="0" distB="0" distL="0" distR="0" wp14:anchorId="0D86B9EA" wp14:editId="0496F225">
            <wp:extent cx="5212080" cy="2084601"/>
            <wp:effectExtent l="0" t="0" r="7620" b="0"/>
            <wp:docPr id="20" name="Picture 20" descr="Study B5381002 All-causality treatment emergent adverse events (safety population; 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3025" cy="2100977"/>
                    </a:xfrm>
                    <a:prstGeom prst="rect">
                      <a:avLst/>
                    </a:prstGeom>
                  </pic:spPr>
                </pic:pic>
              </a:graphicData>
            </a:graphic>
          </wp:inline>
        </w:drawing>
      </w:r>
    </w:p>
    <w:p w14:paraId="77D8795D" w14:textId="00B56381" w:rsidR="00007B13" w:rsidRPr="00007B13" w:rsidRDefault="00007B13" w:rsidP="00007B13">
      <w:pPr>
        <w:pStyle w:val="TableTitle"/>
      </w:pPr>
      <w:r w:rsidRPr="00007B13">
        <w:t xml:space="preserve">Table </w:t>
      </w:r>
      <w:fldSimple w:instr=" SEQ Table \* ARABIC ">
        <w:r w:rsidR="0012232D">
          <w:rPr>
            <w:noProof/>
          </w:rPr>
          <w:t>11</w:t>
        </w:r>
      </w:fldSimple>
      <w:r w:rsidRPr="00007B13">
        <w:t>: Study B5381002 All-causality treatment emergent adverse events (safety population; TP2)</w:t>
      </w:r>
    </w:p>
    <w:p w14:paraId="46B4D135" w14:textId="77777777" w:rsidR="002D5CBF" w:rsidRPr="00007B13" w:rsidRDefault="002D5CBF" w:rsidP="00007B13">
      <w:r>
        <w:rPr>
          <w:noProof/>
          <w:lang w:eastAsia="en-AU"/>
        </w:rPr>
        <w:drawing>
          <wp:inline distT="0" distB="0" distL="0" distR="0" wp14:anchorId="2DD42865" wp14:editId="6F7E1A79">
            <wp:extent cx="5151120" cy="1942656"/>
            <wp:effectExtent l="0" t="0" r="0" b="635"/>
            <wp:docPr id="15" name="Picture 15" descr="Study B5381002 All-causality treatment emergent adverse events (safety population; 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3290" cy="1954788"/>
                    </a:xfrm>
                    <a:prstGeom prst="rect">
                      <a:avLst/>
                    </a:prstGeom>
                  </pic:spPr>
                </pic:pic>
              </a:graphicData>
            </a:graphic>
          </wp:inline>
        </w:drawing>
      </w:r>
    </w:p>
    <w:p w14:paraId="21CAB1CD" w14:textId="3F6443D0" w:rsidR="00007B13" w:rsidRPr="00007B13" w:rsidRDefault="00007B13" w:rsidP="00007B13">
      <w:pPr>
        <w:pStyle w:val="TableTitle"/>
      </w:pPr>
      <w:r w:rsidRPr="00007B13">
        <w:t xml:space="preserve">Table </w:t>
      </w:r>
      <w:fldSimple w:instr=" SEQ Table \* ARABIC ">
        <w:r w:rsidR="0012232D">
          <w:rPr>
            <w:noProof/>
          </w:rPr>
          <w:t>12</w:t>
        </w:r>
      </w:fldSimple>
      <w:r w:rsidRPr="00007B13">
        <w:t>: Study B5381002 All-causality treatment emergent adverse events in ≤ 2% subjects in any treatment arm by Preferred Term (safety population; TP1)</w:t>
      </w:r>
    </w:p>
    <w:p w14:paraId="7813CD40" w14:textId="77777777" w:rsidR="002D5CBF" w:rsidRDefault="002D5CBF" w:rsidP="002D5CBF">
      <w:r>
        <w:rPr>
          <w:noProof/>
          <w:lang w:eastAsia="en-AU"/>
        </w:rPr>
        <w:drawing>
          <wp:inline distT="0" distB="0" distL="0" distR="0" wp14:anchorId="0E064727" wp14:editId="21E46EC6">
            <wp:extent cx="5485858" cy="3162300"/>
            <wp:effectExtent l="0" t="0" r="635" b="0"/>
            <wp:docPr id="16" name="Picture 16" descr="Study B5381002 All-causality treatment emergent adverse events in ≤ 2% subjects in any treatment arm by Preferred Term (safety population; 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9941" cy="3164654"/>
                    </a:xfrm>
                    <a:prstGeom prst="rect">
                      <a:avLst/>
                    </a:prstGeom>
                  </pic:spPr>
                </pic:pic>
              </a:graphicData>
            </a:graphic>
          </wp:inline>
        </w:drawing>
      </w:r>
    </w:p>
    <w:p w14:paraId="2AB610E7" w14:textId="4C914676" w:rsidR="00007B13" w:rsidRPr="00007B13" w:rsidRDefault="00007B13" w:rsidP="00007B13">
      <w:pPr>
        <w:pStyle w:val="TableTitle"/>
      </w:pPr>
      <w:r w:rsidRPr="00007B13">
        <w:t xml:space="preserve">Table </w:t>
      </w:r>
      <w:fldSimple w:instr=" SEQ Table \* ARABIC ">
        <w:r w:rsidR="0012232D">
          <w:rPr>
            <w:noProof/>
          </w:rPr>
          <w:t>13</w:t>
        </w:r>
      </w:fldSimple>
      <w:r w:rsidRPr="00007B13">
        <w:t>: Study B5381002 All-causality treatment emergent adverse events in ≤ 2% subjects in any treatment arm by Preferred Term (safety population; TP2)</w:t>
      </w:r>
    </w:p>
    <w:p w14:paraId="25B3431D" w14:textId="77777777" w:rsidR="002D5CBF" w:rsidRDefault="002D5CBF" w:rsidP="002D5CBF">
      <w:r>
        <w:rPr>
          <w:noProof/>
          <w:lang w:eastAsia="en-AU"/>
        </w:rPr>
        <w:drawing>
          <wp:inline distT="0" distB="0" distL="0" distR="0" wp14:anchorId="537A5FF8" wp14:editId="18C09639">
            <wp:extent cx="5446832" cy="3462655"/>
            <wp:effectExtent l="0" t="0" r="1905" b="4445"/>
            <wp:docPr id="17" name="Picture 17" descr="Study B5381002 All-causality treatment emergent adverse events in ≤ 2% subjects in any treatment arm by Preferred Term (safety population; 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5522" cy="3468179"/>
                    </a:xfrm>
                    <a:prstGeom prst="rect">
                      <a:avLst/>
                    </a:prstGeom>
                  </pic:spPr>
                </pic:pic>
              </a:graphicData>
            </a:graphic>
          </wp:inline>
        </w:drawing>
      </w:r>
    </w:p>
    <w:p w14:paraId="6922772A" w14:textId="1136DB42" w:rsidR="002D5CBF" w:rsidRDefault="002D5CBF" w:rsidP="002D5CBF">
      <w:r>
        <w:t xml:space="preserve">Treatment-related TEAEs were similar in the </w:t>
      </w:r>
      <w:r w:rsidR="00EB632E">
        <w:t>Abrilada</w:t>
      </w:r>
      <w:r>
        <w:t xml:space="preserve"> and </w:t>
      </w:r>
      <w:r w:rsidR="00EB632E">
        <w:t>EU-sourced Humira</w:t>
      </w:r>
      <w:r w:rsidR="00007B13">
        <w:t xml:space="preserve"> arms in TP1 (18.5% versus 23.1%). </w:t>
      </w:r>
      <w:r>
        <w:t>The most frequently reported treatment-related TEAEs w</w:t>
      </w:r>
      <w:r w:rsidR="00007B13">
        <w:t>ere injection site reaction, alanine transaminase</w:t>
      </w:r>
      <w:r>
        <w:t xml:space="preserve"> increased, and viral upper respiratory tract infection.</w:t>
      </w:r>
      <w:r w:rsidR="00490513">
        <w:t xml:space="preserve"> </w:t>
      </w:r>
      <w:r>
        <w:t xml:space="preserve">In TP1, there were 8 (2.7%) treatment-related </w:t>
      </w:r>
      <w:r w:rsidR="00007B13">
        <w:t>adverse events</w:t>
      </w:r>
      <w:r>
        <w:t xml:space="preserve"> of Grade 3 or higher in the </w:t>
      </w:r>
      <w:r w:rsidR="00EB632E">
        <w:t>Abrilada</w:t>
      </w:r>
      <w:r>
        <w:t xml:space="preserve"> arm and 9 (3.0%) in </w:t>
      </w:r>
      <w:r w:rsidR="00EB632E">
        <w:t>EU-sourced Humira</w:t>
      </w:r>
      <w:r>
        <w:t xml:space="preserve"> arm. In TP2, there were only single treatment-related </w:t>
      </w:r>
      <w:r w:rsidR="00872EF1">
        <w:t>adverse events</w:t>
      </w:r>
      <w:r>
        <w:t xml:space="preserve"> of Grade 3 or higher.</w:t>
      </w:r>
    </w:p>
    <w:p w14:paraId="6A4278F9" w14:textId="58120541" w:rsidR="002D5CBF" w:rsidRDefault="002D5CBF" w:rsidP="002D5CBF">
      <w:r>
        <w:t xml:space="preserve">Serious AEs were similar in the </w:t>
      </w:r>
      <w:r w:rsidR="00EB632E">
        <w:t>Abrilada</w:t>
      </w:r>
      <w:r>
        <w:t xml:space="preserve"> and </w:t>
      </w:r>
      <w:r w:rsidR="00EB632E">
        <w:t>EU-sourced Humira</w:t>
      </w:r>
      <w:r w:rsidR="001C406A">
        <w:t xml:space="preserve"> arms in TP1 (4.0% versus</w:t>
      </w:r>
      <w:r>
        <w:t xml:space="preserve"> 4.3%), with the most common MedDRA</w:t>
      </w:r>
      <w:r w:rsidR="001C406A">
        <w:rPr>
          <w:rStyle w:val="FootnoteReference"/>
        </w:rPr>
        <w:footnoteReference w:id="9"/>
      </w:r>
      <w:r w:rsidR="001C406A">
        <w:t xml:space="preserve"> System Organ Class</w:t>
      </w:r>
      <w:r w:rsidRPr="004A5550">
        <w:t xml:space="preserve"> </w:t>
      </w:r>
      <w:r>
        <w:t xml:space="preserve">being </w:t>
      </w:r>
      <w:r w:rsidRPr="004A5550">
        <w:rPr>
          <w:i/>
        </w:rPr>
        <w:t>Infections and infestations</w:t>
      </w:r>
      <w:r w:rsidR="001C406A">
        <w:t xml:space="preserve"> (3 (1.0%) subjects in each arm). Two deaths were reported in Study </w:t>
      </w:r>
      <w:r>
        <w:t xml:space="preserve">B5381002. The first death occurred in the </w:t>
      </w:r>
      <w:r w:rsidR="00EB632E">
        <w:t>EU-sourced Humira</w:t>
      </w:r>
      <w:r>
        <w:t xml:space="preserve"> arm during TP1, and was assessed as related to underlying medical history.</w:t>
      </w:r>
      <w:r w:rsidR="00490513">
        <w:t xml:space="preserve"> </w:t>
      </w:r>
      <w:r>
        <w:t xml:space="preserve">The patient experienced a </w:t>
      </w:r>
      <w:r w:rsidR="001C406A">
        <w:t>serious adverse event</w:t>
      </w:r>
      <w:r>
        <w:t xml:space="preserve"> of myocardial infarction on Day 131, was hospitalised and received percutaneous angio</w:t>
      </w:r>
      <w:r w:rsidR="001C406A">
        <w:t>plasty, but died the next day. The other death was due to serious adverse event</w:t>
      </w:r>
      <w:r>
        <w:t xml:space="preserve">s of anaemia, upper gastrointestinal haemorrhage, shock, pneumonia aspiration and </w:t>
      </w:r>
      <w:r w:rsidR="001C406A">
        <w:t>respiratory failure during TP3.</w:t>
      </w:r>
      <w:r>
        <w:t xml:space="preserve"> This patient was in the </w:t>
      </w:r>
      <w:r w:rsidR="00EB632E">
        <w:t>EU-sourced Humira</w:t>
      </w:r>
      <w:r>
        <w:t>/</w:t>
      </w:r>
      <w:r w:rsidR="00EB632E">
        <w:t>EU-sourced Humira</w:t>
      </w:r>
      <w:r>
        <w:t>/</w:t>
      </w:r>
      <w:r w:rsidR="00EB632E">
        <w:t>Abrilada</w:t>
      </w:r>
      <w:r>
        <w:t xml:space="preserve"> group, and the death was reported to be related to a concomitant medication.</w:t>
      </w:r>
    </w:p>
    <w:p w14:paraId="1327C5D2" w14:textId="77777777" w:rsidR="002D5CBF" w:rsidRDefault="002D5CBF" w:rsidP="002D5CBF">
      <w:r>
        <w:t>Adverse events of special interest in Study B5381002 included injection site reactions, anaphylactic reaction/angioedema/</w:t>
      </w:r>
      <w:proofErr w:type="spellStart"/>
      <w:r>
        <w:t>urticaria</w:t>
      </w:r>
      <w:proofErr w:type="spellEnd"/>
      <w:r>
        <w:t>, and opportun</w:t>
      </w:r>
      <w:r w:rsidR="001C406A">
        <w:t xml:space="preserve">istic infections including tuberculosis. </w:t>
      </w:r>
      <w:r>
        <w:t xml:space="preserve">No clinically meaningful differences in </w:t>
      </w:r>
      <w:r w:rsidR="001C406A">
        <w:t>adverse events of special interest</w:t>
      </w:r>
      <w:r>
        <w:t xml:space="preserve"> were observed for </w:t>
      </w:r>
      <w:r w:rsidR="00EB632E">
        <w:t>Abrilada</w:t>
      </w:r>
      <w:r>
        <w:t xml:space="preserve"> and </w:t>
      </w:r>
      <w:r w:rsidR="00EB632E">
        <w:t>EU-sourced Humira</w:t>
      </w:r>
      <w:r w:rsidR="001C406A">
        <w:t>.</w:t>
      </w:r>
      <w:r>
        <w:t xml:space="preserve"> In TP1, t</w:t>
      </w:r>
      <w:r w:rsidRPr="00A844B2">
        <w:t xml:space="preserve">he incidence of </w:t>
      </w:r>
      <w:r>
        <w:t>injection site reactions</w:t>
      </w:r>
      <w:r w:rsidRPr="00A844B2">
        <w:t xml:space="preserve"> was similar in </w:t>
      </w:r>
      <w:r>
        <w:t xml:space="preserve">the </w:t>
      </w:r>
      <w:r w:rsidR="00EB632E">
        <w:t>Abrilada</w:t>
      </w:r>
      <w:r>
        <w:t xml:space="preserve"> </w:t>
      </w:r>
      <w:r w:rsidRPr="00A844B2">
        <w:t>(1.7%</w:t>
      </w:r>
      <w:r>
        <w:t>)</w:t>
      </w:r>
      <w:r w:rsidRPr="00A844B2">
        <w:t xml:space="preserve"> and </w:t>
      </w:r>
      <w:r w:rsidR="00EB632E">
        <w:t>EU-sourced Humira</w:t>
      </w:r>
      <w:r w:rsidRPr="00A844B2">
        <w:t xml:space="preserve"> </w:t>
      </w:r>
      <w:r>
        <w:t>(</w:t>
      </w:r>
      <w:r w:rsidRPr="00A844B2">
        <w:t>2.0%)</w:t>
      </w:r>
      <w:r>
        <w:t xml:space="preserve"> arm</w:t>
      </w:r>
      <w:r w:rsidRPr="00A844B2">
        <w:t>s</w:t>
      </w:r>
      <w:r w:rsidR="001C406A">
        <w:t>, with no serious adverse events</w:t>
      </w:r>
      <w:r w:rsidRPr="00A844B2">
        <w:t>.</w:t>
      </w:r>
      <w:r w:rsidR="001C406A">
        <w:t xml:space="preserve"> </w:t>
      </w:r>
      <w:r>
        <w:t>There were no ca</w:t>
      </w:r>
      <w:r w:rsidR="001C406A">
        <w:t xml:space="preserve">ses of </w:t>
      </w:r>
      <w:proofErr w:type="spellStart"/>
      <w:r w:rsidR="001C406A">
        <w:t>anaphylactoid</w:t>
      </w:r>
      <w:proofErr w:type="spellEnd"/>
      <w:r w:rsidR="001C406A">
        <w:t xml:space="preserve"> reaction. Six cases of latent tuberculosis (</w:t>
      </w:r>
      <w:proofErr w:type="spellStart"/>
      <w:r w:rsidR="001C406A">
        <w:t>QuantiFERON</w:t>
      </w:r>
      <w:proofErr w:type="spellEnd"/>
      <w:r>
        <w:t>-TB conversion)</w:t>
      </w:r>
      <w:r w:rsidR="001C406A">
        <w:rPr>
          <w:rStyle w:val="FootnoteReference"/>
        </w:rPr>
        <w:footnoteReference w:id="10"/>
      </w:r>
      <w:r>
        <w:t xml:space="preserve"> were reported in TP1, 5 in the </w:t>
      </w:r>
      <w:r w:rsidR="00EB632E">
        <w:t>Abrilada</w:t>
      </w:r>
      <w:r>
        <w:t xml:space="preserve"> arm and 1 in the </w:t>
      </w:r>
      <w:r w:rsidR="001C406A">
        <w:t>EU</w:t>
      </w:r>
      <w:r w:rsidR="001C406A">
        <w:noBreakHyphen/>
      </w:r>
      <w:r w:rsidR="00EB632E">
        <w:t>sourced Humira</w:t>
      </w:r>
      <w:r>
        <w:t xml:space="preserve"> arm, leading to permanent discontinu</w:t>
      </w:r>
      <w:r w:rsidR="001C406A">
        <w:t xml:space="preserve">ation of study treatment. </w:t>
      </w:r>
      <w:r>
        <w:t xml:space="preserve">There were no cases of active </w:t>
      </w:r>
      <w:r w:rsidR="001C406A">
        <w:t xml:space="preserve">tuberculosis. </w:t>
      </w:r>
      <w:r>
        <w:t xml:space="preserve">The incidences of neoplasms were similar for </w:t>
      </w:r>
      <w:r w:rsidR="00EB632E">
        <w:t>Abrilada</w:t>
      </w:r>
      <w:r>
        <w:t xml:space="preserve"> and </w:t>
      </w:r>
      <w:r w:rsidR="00EB632E">
        <w:t>EU-sourced Humira</w:t>
      </w:r>
      <w:r>
        <w:t>.</w:t>
      </w:r>
    </w:p>
    <w:p w14:paraId="77DCC933" w14:textId="77777777" w:rsidR="002D5CBF" w:rsidRDefault="002D5CBF" w:rsidP="002D5CBF">
      <w:r>
        <w:t xml:space="preserve">Safety findings for laboratory parameters in </w:t>
      </w:r>
      <w:r w:rsidR="00BC5011">
        <w:t xml:space="preserve">Study </w:t>
      </w:r>
      <w:r>
        <w:t xml:space="preserve">B5381002 were similar for </w:t>
      </w:r>
      <w:r w:rsidR="00EB632E">
        <w:t>Abrilada</w:t>
      </w:r>
      <w:r>
        <w:t xml:space="preserve"> and </w:t>
      </w:r>
      <w:r w:rsidR="00EB632E">
        <w:t>EU-sourced Humira</w:t>
      </w:r>
      <w:r w:rsidR="00BC5011">
        <w:t>.</w:t>
      </w:r>
    </w:p>
    <w:p w14:paraId="6C1FA768" w14:textId="77777777" w:rsidR="002D5CBF" w:rsidRDefault="002D5CBF" w:rsidP="002D5CBF">
      <w:r>
        <w:t xml:space="preserve">In Study B5381002 (TP1), the incidences of ADA and </w:t>
      </w:r>
      <w:proofErr w:type="spellStart"/>
      <w:r>
        <w:t>NAb</w:t>
      </w:r>
      <w:proofErr w:type="spellEnd"/>
      <w:r>
        <w:t xml:space="preserve"> were similar in the </w:t>
      </w:r>
      <w:r w:rsidR="00EB632E">
        <w:t>Abrilada</w:t>
      </w:r>
      <w:r>
        <w:t xml:space="preserve"> and </w:t>
      </w:r>
      <w:r w:rsidR="00EB632E">
        <w:t>EU-sourced Humira</w:t>
      </w:r>
      <w:r>
        <w:t xml:space="preserve"> arms. The proportion of patients who d</w:t>
      </w:r>
      <w:r w:rsidR="00BC5011">
        <w:t>eveloped ADA was lower in the rheumatoid arthritis</w:t>
      </w:r>
      <w:r>
        <w:t xml:space="preserve"> study than in the studies of healthy volunteers</w:t>
      </w:r>
      <w:r w:rsidR="00BC5011">
        <w:t xml:space="preserve"> (see Table 5, earlier in this document).</w:t>
      </w:r>
      <w:r>
        <w:t xml:space="preserve"> The presence of ADA and </w:t>
      </w:r>
      <w:proofErr w:type="spellStart"/>
      <w:r>
        <w:t>NAb</w:t>
      </w:r>
      <w:proofErr w:type="spellEnd"/>
      <w:r>
        <w:t xml:space="preserve"> did not affect safety outcomes.</w:t>
      </w:r>
    </w:p>
    <w:p w14:paraId="1566209E" w14:textId="77777777" w:rsidR="002D5CBF" w:rsidRPr="00BC5011" w:rsidRDefault="002D5CBF" w:rsidP="00630FC5">
      <w:r>
        <w:t>The safety findings in the single-dose PK similarity studies were consistent with the establishe</w:t>
      </w:r>
      <w:r w:rsidR="00BC5011">
        <w:t>d safety profile of adalimumab.</w:t>
      </w:r>
      <w:r>
        <w:t xml:space="preserve"> In the </w:t>
      </w:r>
      <w:r w:rsidRPr="00FD70CD">
        <w:t>PK</w:t>
      </w:r>
      <w:r w:rsidRPr="00FD70CD">
        <w:rPr>
          <w:b/>
        </w:rPr>
        <w:t xml:space="preserve"> </w:t>
      </w:r>
      <w:r w:rsidRPr="00BC5011">
        <w:t>Study B5381005</w:t>
      </w:r>
      <w:r>
        <w:t xml:space="preserve"> which compared </w:t>
      </w:r>
      <w:r w:rsidR="00EB632E">
        <w:t>Abrilada</w:t>
      </w:r>
      <w:r>
        <w:t xml:space="preserve"> administered by </w:t>
      </w:r>
      <w:r w:rsidR="00BC5011">
        <w:t>prefilled syringe or prefilled</w:t>
      </w:r>
      <w:r w:rsidR="00D24743">
        <w:t xml:space="preserve"> </w:t>
      </w:r>
      <w:r w:rsidR="00BC5011">
        <w:t>pen</w:t>
      </w:r>
      <w:r>
        <w:t xml:space="preserve">, the incidence of injection site reactions was similar in both groups, and no notable differences were observed in the </w:t>
      </w:r>
      <w:r w:rsidR="00BC5011">
        <w:t>injection site pain assessment.</w:t>
      </w:r>
    </w:p>
    <w:p w14:paraId="09FE0D2B" w14:textId="77777777" w:rsidR="008E7846" w:rsidRDefault="00386150" w:rsidP="007B6132">
      <w:pPr>
        <w:pStyle w:val="Heading3"/>
        <w:rPr>
          <w:lang w:eastAsia="en-AU"/>
        </w:rPr>
      </w:pPr>
      <w:bookmarkStart w:id="48" w:name="_Toc314842514"/>
      <w:bookmarkStart w:id="49" w:name="_Toc71104756"/>
      <w:r>
        <w:rPr>
          <w:lang w:eastAsia="en-AU"/>
        </w:rPr>
        <w:t>Risk m</w:t>
      </w:r>
      <w:r w:rsidR="008E7846">
        <w:rPr>
          <w:lang w:eastAsia="en-AU"/>
        </w:rPr>
        <w:t xml:space="preserve">anagement </w:t>
      </w:r>
      <w:r>
        <w:rPr>
          <w:lang w:eastAsia="en-AU"/>
        </w:rPr>
        <w:t>p</w:t>
      </w:r>
      <w:r w:rsidR="008E7846">
        <w:rPr>
          <w:lang w:eastAsia="en-AU"/>
        </w:rPr>
        <w:t>lan</w:t>
      </w:r>
      <w:bookmarkEnd w:id="48"/>
      <w:bookmarkEnd w:id="49"/>
    </w:p>
    <w:p w14:paraId="724BCDD6" w14:textId="77777777" w:rsidR="00145403" w:rsidRDefault="00787503" w:rsidP="00145403">
      <w:r>
        <w:t xml:space="preserve">The sponsor </w:t>
      </w:r>
      <w:r w:rsidR="00145403" w:rsidRPr="00145403">
        <w:t>has submitted EU-</w:t>
      </w:r>
      <w:r>
        <w:t>risk management plan (</w:t>
      </w:r>
      <w:r w:rsidR="00145403" w:rsidRPr="00145403">
        <w:t>RMP</w:t>
      </w:r>
      <w:r>
        <w:t>) version 1.0 (date 11 </w:t>
      </w:r>
      <w:r w:rsidR="00145403" w:rsidRPr="00145403">
        <w:t>Oct</w:t>
      </w:r>
      <w:r>
        <w:t>ober 2019; data lock point</w:t>
      </w:r>
      <w:r w:rsidR="00145403" w:rsidRPr="00145403">
        <w:t xml:space="preserve"> 5 Jan</w:t>
      </w:r>
      <w:r>
        <w:t>uary</w:t>
      </w:r>
      <w:r w:rsidR="00145403" w:rsidRPr="00145403">
        <w:t xml:space="preserve"> 2018) and </w:t>
      </w:r>
      <w:r>
        <w:t>Australian-specific Annex (</w:t>
      </w:r>
      <w:r w:rsidR="00145403" w:rsidRPr="00145403">
        <w:t>ASA</w:t>
      </w:r>
      <w:r>
        <w:t>)</w:t>
      </w:r>
      <w:r w:rsidR="00145403" w:rsidRPr="00145403">
        <w:t xml:space="preserve"> version 1.0 (date 13 Apr</w:t>
      </w:r>
      <w:r>
        <w:t>il</w:t>
      </w:r>
      <w:r w:rsidR="00145403" w:rsidRPr="00145403">
        <w:t xml:space="preserve"> 2020) in support</w:t>
      </w:r>
      <w:r>
        <w:t xml:space="preserve"> of this application. At the second round of evaluation,</w:t>
      </w:r>
      <w:r w:rsidR="00145403" w:rsidRPr="00145403">
        <w:t xml:space="preserve"> the sponsor submitted ASA version 2.0 (date 12 Oct</w:t>
      </w:r>
      <w:r>
        <w:t>ober</w:t>
      </w:r>
      <w:r w:rsidR="00145403" w:rsidRPr="00145403">
        <w:t xml:space="preserve"> 2020).</w:t>
      </w:r>
    </w:p>
    <w:p w14:paraId="612472D1" w14:textId="14F89EED" w:rsidR="007D53B6" w:rsidRDefault="007D53B6" w:rsidP="007D53B6">
      <w:r>
        <w:t>The summary of safety concerns and their associated risk monitoring and mitigation strat</w:t>
      </w:r>
      <w:r w:rsidR="0086580C">
        <w:t>egies are summarised in Table 14</w:t>
      </w:r>
      <w:r>
        <w:t>.</w:t>
      </w:r>
      <w:r>
        <w:rPr>
          <w:rStyle w:val="FootnoteReference"/>
        </w:rPr>
        <w:footnoteReference w:id="11"/>
      </w:r>
    </w:p>
    <w:p w14:paraId="4E55A14E" w14:textId="7DF243F4" w:rsidR="00145403" w:rsidRPr="00145403" w:rsidRDefault="00145403" w:rsidP="00145403">
      <w:pPr>
        <w:pStyle w:val="TableTitle"/>
      </w:pPr>
      <w:r w:rsidRPr="00145403">
        <w:t xml:space="preserve">Table </w:t>
      </w:r>
      <w:fldSimple w:instr=" SEQ Table \* ARABIC ">
        <w:r w:rsidR="0012232D">
          <w:rPr>
            <w:noProof/>
          </w:rPr>
          <w:t>14</w:t>
        </w:r>
      </w:fldSimple>
      <w:r w:rsidRPr="00145403">
        <w:t>: Summary of safety concerns</w:t>
      </w:r>
    </w:p>
    <w:tbl>
      <w:tblPr>
        <w:tblStyle w:val="TableTGAblue"/>
        <w:tblW w:w="8658" w:type="dxa"/>
        <w:tblLayout w:type="fixed"/>
        <w:tblLook w:val="04A0" w:firstRow="1" w:lastRow="0" w:firstColumn="1" w:lastColumn="0" w:noHBand="0" w:noVBand="1"/>
      </w:tblPr>
      <w:tblGrid>
        <w:gridCol w:w="1327"/>
        <w:gridCol w:w="3371"/>
        <w:gridCol w:w="900"/>
        <w:gridCol w:w="1080"/>
        <w:gridCol w:w="900"/>
        <w:gridCol w:w="1080"/>
      </w:tblGrid>
      <w:tr w:rsidR="00145403" w:rsidRPr="00BF52F4" w14:paraId="7AB6FEAF" w14:textId="77777777" w:rsidTr="00490513">
        <w:trPr>
          <w:cnfStyle w:val="100000000000" w:firstRow="1" w:lastRow="0" w:firstColumn="0" w:lastColumn="0" w:oddVBand="0" w:evenVBand="0" w:oddHBand="0" w:evenHBand="0" w:firstRowFirstColumn="0" w:firstRowLastColumn="0" w:lastRowFirstColumn="0" w:lastRowLastColumn="0"/>
          <w:trHeight w:val="131"/>
        </w:trPr>
        <w:tc>
          <w:tcPr>
            <w:tcW w:w="4698" w:type="dxa"/>
            <w:gridSpan w:val="2"/>
            <w:vMerge w:val="restart"/>
            <w:tcBorders>
              <w:top w:val="single" w:sz="4" w:space="0" w:color="auto"/>
              <w:left w:val="single" w:sz="4" w:space="0" w:color="auto"/>
              <w:bottom w:val="single" w:sz="4" w:space="0" w:color="auto"/>
              <w:right w:val="single" w:sz="4" w:space="0" w:color="auto"/>
            </w:tcBorders>
          </w:tcPr>
          <w:p w14:paraId="4619FDF5" w14:textId="77777777" w:rsidR="00145403" w:rsidRPr="00BF52F4" w:rsidRDefault="00145403" w:rsidP="00145403">
            <w:pPr>
              <w:pStyle w:val="Tabletext"/>
              <w:rPr>
                <w:b w:val="0"/>
              </w:rPr>
            </w:pPr>
            <w:r w:rsidRPr="00BF52F4">
              <w:t>Summary of safety concerns</w:t>
            </w:r>
          </w:p>
        </w:tc>
        <w:tc>
          <w:tcPr>
            <w:tcW w:w="1980" w:type="dxa"/>
            <w:gridSpan w:val="2"/>
            <w:tcBorders>
              <w:top w:val="single" w:sz="4" w:space="0" w:color="auto"/>
              <w:left w:val="single" w:sz="4" w:space="0" w:color="auto"/>
              <w:bottom w:val="single" w:sz="4" w:space="0" w:color="auto"/>
              <w:right w:val="single" w:sz="4" w:space="0" w:color="auto"/>
            </w:tcBorders>
          </w:tcPr>
          <w:p w14:paraId="6E308AED" w14:textId="77777777" w:rsidR="00145403" w:rsidRPr="00BF52F4" w:rsidRDefault="00145403" w:rsidP="00145403">
            <w:pPr>
              <w:pStyle w:val="Tabletext"/>
              <w:ind w:left="0" w:right="0"/>
              <w:rPr>
                <w:b w:val="0"/>
                <w:sz w:val="18"/>
              </w:rPr>
            </w:pPr>
            <w:r w:rsidRPr="00BF52F4">
              <w:rPr>
                <w:sz w:val="18"/>
              </w:rPr>
              <w:t>Pharmacovigilance</w:t>
            </w:r>
          </w:p>
        </w:tc>
        <w:tc>
          <w:tcPr>
            <w:tcW w:w="1980" w:type="dxa"/>
            <w:gridSpan w:val="2"/>
            <w:tcBorders>
              <w:top w:val="single" w:sz="4" w:space="0" w:color="auto"/>
              <w:left w:val="single" w:sz="4" w:space="0" w:color="auto"/>
              <w:bottom w:val="single" w:sz="4" w:space="0" w:color="auto"/>
              <w:right w:val="single" w:sz="4" w:space="0" w:color="auto"/>
            </w:tcBorders>
          </w:tcPr>
          <w:p w14:paraId="574E87A7" w14:textId="77777777" w:rsidR="00145403" w:rsidRPr="00BF52F4" w:rsidRDefault="00145403" w:rsidP="00145403">
            <w:pPr>
              <w:pStyle w:val="Tabletext"/>
              <w:ind w:left="0" w:right="0"/>
              <w:rPr>
                <w:b w:val="0"/>
                <w:sz w:val="18"/>
              </w:rPr>
            </w:pPr>
            <w:r w:rsidRPr="00BF52F4">
              <w:rPr>
                <w:sz w:val="18"/>
              </w:rPr>
              <w:t>Risk Minimisation</w:t>
            </w:r>
          </w:p>
        </w:tc>
      </w:tr>
      <w:tr w:rsidR="00145403" w:rsidRPr="00BF52F4" w14:paraId="5B957E38" w14:textId="77777777" w:rsidTr="00490513">
        <w:trPr>
          <w:trHeight w:val="150"/>
        </w:trPr>
        <w:tc>
          <w:tcPr>
            <w:tcW w:w="4698" w:type="dxa"/>
            <w:gridSpan w:val="2"/>
            <w:vMerge/>
            <w:tcBorders>
              <w:top w:val="single" w:sz="4" w:space="0" w:color="auto"/>
              <w:left w:val="single" w:sz="4" w:space="0" w:color="auto"/>
              <w:bottom w:val="single" w:sz="4" w:space="0" w:color="auto"/>
              <w:right w:val="single" w:sz="4" w:space="0" w:color="auto"/>
            </w:tcBorders>
          </w:tcPr>
          <w:p w14:paraId="59558ACA" w14:textId="77777777" w:rsidR="00145403" w:rsidRPr="00BF52F4" w:rsidRDefault="00145403" w:rsidP="00145403">
            <w:pPr>
              <w:pStyle w:val="Tabletext"/>
              <w:rPr>
                <w:b/>
              </w:rPr>
            </w:pPr>
          </w:p>
        </w:tc>
        <w:tc>
          <w:tcPr>
            <w:tcW w:w="900" w:type="dxa"/>
            <w:tcBorders>
              <w:top w:val="single" w:sz="4" w:space="0" w:color="auto"/>
              <w:left w:val="single" w:sz="4" w:space="0" w:color="auto"/>
              <w:bottom w:val="single" w:sz="4" w:space="0" w:color="auto"/>
              <w:right w:val="single" w:sz="4" w:space="0" w:color="auto"/>
            </w:tcBorders>
            <w:shd w:val="clear" w:color="auto" w:fill="006DA7"/>
          </w:tcPr>
          <w:p w14:paraId="41BA541B" w14:textId="77777777" w:rsidR="00145403" w:rsidRPr="00490513" w:rsidRDefault="00145403" w:rsidP="00145403">
            <w:pPr>
              <w:pStyle w:val="Tabletext"/>
              <w:ind w:left="0" w:right="0"/>
              <w:rPr>
                <w:color w:val="FFFFFF" w:themeColor="background1"/>
                <w:sz w:val="18"/>
              </w:rPr>
            </w:pPr>
            <w:r w:rsidRPr="00490513">
              <w:rPr>
                <w:color w:val="FFFFFF" w:themeColor="background1"/>
                <w:sz w:val="18"/>
              </w:rPr>
              <w:t>Routine</w:t>
            </w:r>
          </w:p>
        </w:tc>
        <w:tc>
          <w:tcPr>
            <w:tcW w:w="1080" w:type="dxa"/>
            <w:tcBorders>
              <w:top w:val="single" w:sz="4" w:space="0" w:color="auto"/>
              <w:left w:val="single" w:sz="4" w:space="0" w:color="auto"/>
              <w:bottom w:val="single" w:sz="4" w:space="0" w:color="auto"/>
              <w:right w:val="single" w:sz="4" w:space="0" w:color="auto"/>
            </w:tcBorders>
            <w:shd w:val="clear" w:color="auto" w:fill="006DA7"/>
          </w:tcPr>
          <w:p w14:paraId="243958CA" w14:textId="77777777" w:rsidR="00145403" w:rsidRPr="00490513" w:rsidRDefault="00145403" w:rsidP="00145403">
            <w:pPr>
              <w:pStyle w:val="Tabletext"/>
              <w:ind w:left="0" w:right="0"/>
              <w:rPr>
                <w:color w:val="FFFFFF" w:themeColor="background1"/>
                <w:sz w:val="18"/>
              </w:rPr>
            </w:pPr>
            <w:r w:rsidRPr="00490513">
              <w:rPr>
                <w:color w:val="FFFFFF" w:themeColor="background1"/>
                <w:sz w:val="18"/>
              </w:rPr>
              <w:t>Additional</w:t>
            </w:r>
          </w:p>
        </w:tc>
        <w:tc>
          <w:tcPr>
            <w:tcW w:w="900" w:type="dxa"/>
            <w:tcBorders>
              <w:top w:val="single" w:sz="4" w:space="0" w:color="auto"/>
              <w:left w:val="single" w:sz="4" w:space="0" w:color="auto"/>
              <w:bottom w:val="single" w:sz="4" w:space="0" w:color="auto"/>
              <w:right w:val="single" w:sz="4" w:space="0" w:color="auto"/>
            </w:tcBorders>
            <w:shd w:val="clear" w:color="auto" w:fill="006DA7"/>
          </w:tcPr>
          <w:p w14:paraId="47101413" w14:textId="77777777" w:rsidR="00145403" w:rsidRPr="00490513" w:rsidRDefault="00145403" w:rsidP="00145403">
            <w:pPr>
              <w:pStyle w:val="Tabletext"/>
              <w:ind w:left="0" w:right="0"/>
              <w:rPr>
                <w:color w:val="FFFFFF" w:themeColor="background1"/>
                <w:sz w:val="18"/>
              </w:rPr>
            </w:pPr>
            <w:r w:rsidRPr="00490513">
              <w:rPr>
                <w:color w:val="FFFFFF" w:themeColor="background1"/>
                <w:sz w:val="18"/>
              </w:rPr>
              <w:t>Routine</w:t>
            </w:r>
          </w:p>
        </w:tc>
        <w:tc>
          <w:tcPr>
            <w:tcW w:w="1080" w:type="dxa"/>
            <w:tcBorders>
              <w:top w:val="single" w:sz="4" w:space="0" w:color="auto"/>
              <w:left w:val="single" w:sz="4" w:space="0" w:color="auto"/>
              <w:bottom w:val="single" w:sz="4" w:space="0" w:color="auto"/>
              <w:right w:val="single" w:sz="4" w:space="0" w:color="auto"/>
            </w:tcBorders>
            <w:shd w:val="clear" w:color="auto" w:fill="006DA7"/>
          </w:tcPr>
          <w:p w14:paraId="4EDEFCCF" w14:textId="77777777" w:rsidR="00145403" w:rsidRPr="00490513" w:rsidRDefault="00145403" w:rsidP="00145403">
            <w:pPr>
              <w:pStyle w:val="Tabletext"/>
              <w:ind w:left="0" w:right="0"/>
              <w:rPr>
                <w:color w:val="FFFFFF" w:themeColor="background1"/>
                <w:sz w:val="18"/>
              </w:rPr>
            </w:pPr>
            <w:r w:rsidRPr="00490513">
              <w:rPr>
                <w:color w:val="FFFFFF" w:themeColor="background1"/>
                <w:sz w:val="18"/>
              </w:rPr>
              <w:t>Additional</w:t>
            </w:r>
          </w:p>
        </w:tc>
      </w:tr>
      <w:tr w:rsidR="00145403" w:rsidRPr="00BF52F4" w14:paraId="27ECB749" w14:textId="77777777" w:rsidTr="00490513">
        <w:trPr>
          <w:trHeight w:val="137"/>
        </w:trPr>
        <w:tc>
          <w:tcPr>
            <w:tcW w:w="1327" w:type="dxa"/>
            <w:vMerge w:val="restart"/>
            <w:tcBorders>
              <w:top w:val="single" w:sz="4" w:space="0" w:color="auto"/>
            </w:tcBorders>
          </w:tcPr>
          <w:p w14:paraId="11180F33" w14:textId="77777777" w:rsidR="00145403" w:rsidRPr="00BF52F4" w:rsidRDefault="00145403" w:rsidP="00145403">
            <w:pPr>
              <w:pStyle w:val="Tabletext"/>
              <w:ind w:left="0" w:right="0"/>
              <w:rPr>
                <w:b/>
              </w:rPr>
            </w:pPr>
            <w:r w:rsidRPr="00BF52F4">
              <w:rPr>
                <w:b/>
              </w:rPr>
              <w:t>Important identified risks</w:t>
            </w:r>
          </w:p>
        </w:tc>
        <w:tc>
          <w:tcPr>
            <w:tcW w:w="3371" w:type="dxa"/>
            <w:tcBorders>
              <w:top w:val="single" w:sz="4" w:space="0" w:color="auto"/>
            </w:tcBorders>
          </w:tcPr>
          <w:p w14:paraId="630BDDBC" w14:textId="77777777" w:rsidR="00145403" w:rsidRPr="00BF52F4" w:rsidRDefault="00145403" w:rsidP="00145403">
            <w:pPr>
              <w:pStyle w:val="Tabletext"/>
              <w:ind w:left="0" w:right="0"/>
            </w:pPr>
            <w:r>
              <w:t>Serious infections</w:t>
            </w:r>
          </w:p>
        </w:tc>
        <w:tc>
          <w:tcPr>
            <w:tcW w:w="900" w:type="dxa"/>
            <w:tcBorders>
              <w:top w:val="single" w:sz="4" w:space="0" w:color="auto"/>
            </w:tcBorders>
          </w:tcPr>
          <w:p w14:paraId="594656B4" w14:textId="77777777" w:rsidR="00145403" w:rsidRPr="009F5F65" w:rsidRDefault="00145403" w:rsidP="00145403">
            <w:pPr>
              <w:pStyle w:val="Tabletext"/>
              <w:jc w:val="center"/>
            </w:pPr>
            <w:r w:rsidRPr="009F5F65">
              <w:sym w:font="Wingdings" w:char="F0FC"/>
            </w:r>
          </w:p>
        </w:tc>
        <w:tc>
          <w:tcPr>
            <w:tcW w:w="1080" w:type="dxa"/>
            <w:tcBorders>
              <w:top w:val="single" w:sz="4" w:space="0" w:color="auto"/>
            </w:tcBorders>
          </w:tcPr>
          <w:p w14:paraId="7A791652" w14:textId="77777777" w:rsidR="00145403" w:rsidRPr="009F5F65" w:rsidRDefault="00145403" w:rsidP="00145403">
            <w:pPr>
              <w:pStyle w:val="Tabletext"/>
              <w:jc w:val="center"/>
            </w:pPr>
            <w:r w:rsidRPr="009F5F65">
              <w:t>–</w:t>
            </w:r>
          </w:p>
        </w:tc>
        <w:tc>
          <w:tcPr>
            <w:tcW w:w="900" w:type="dxa"/>
            <w:tcBorders>
              <w:top w:val="single" w:sz="4" w:space="0" w:color="auto"/>
            </w:tcBorders>
          </w:tcPr>
          <w:p w14:paraId="125A4D50" w14:textId="77777777" w:rsidR="00145403" w:rsidRPr="009F5F65" w:rsidRDefault="00145403" w:rsidP="00145403">
            <w:pPr>
              <w:pStyle w:val="Tabletext"/>
              <w:jc w:val="center"/>
            </w:pPr>
            <w:r w:rsidRPr="009F5F65">
              <w:sym w:font="Wingdings" w:char="F0FC"/>
            </w:r>
          </w:p>
        </w:tc>
        <w:tc>
          <w:tcPr>
            <w:tcW w:w="1080" w:type="dxa"/>
            <w:tcBorders>
              <w:top w:val="single" w:sz="4" w:space="0" w:color="auto"/>
            </w:tcBorders>
          </w:tcPr>
          <w:p w14:paraId="2D54C3EA" w14:textId="77777777" w:rsidR="00145403" w:rsidRPr="009F5F65" w:rsidRDefault="00145403" w:rsidP="00145403">
            <w:pPr>
              <w:pStyle w:val="Tabletext"/>
              <w:jc w:val="center"/>
              <w:rPr>
                <w:vertAlign w:val="superscript"/>
              </w:rPr>
            </w:pPr>
            <w:r w:rsidRPr="009F5F65">
              <w:sym w:font="Wingdings" w:char="F0FC"/>
            </w:r>
            <w:r w:rsidRPr="009F5F65">
              <w:rPr>
                <w:rFonts w:asciiTheme="majorHAnsi" w:hAnsiTheme="majorHAnsi"/>
                <w:szCs w:val="20"/>
                <w:vertAlign w:val="superscript"/>
              </w:rPr>
              <w:t>*</w:t>
            </w:r>
          </w:p>
        </w:tc>
      </w:tr>
      <w:tr w:rsidR="00145403" w:rsidRPr="00BF52F4" w14:paraId="060BCD0E" w14:textId="77777777" w:rsidTr="00145403">
        <w:trPr>
          <w:trHeight w:val="94"/>
        </w:trPr>
        <w:tc>
          <w:tcPr>
            <w:tcW w:w="1327" w:type="dxa"/>
            <w:vMerge/>
          </w:tcPr>
          <w:p w14:paraId="3F4025BD" w14:textId="77777777" w:rsidR="00145403" w:rsidRPr="00BF52F4" w:rsidRDefault="00145403" w:rsidP="00145403">
            <w:pPr>
              <w:pStyle w:val="Tabletext"/>
              <w:ind w:left="0" w:right="0"/>
              <w:rPr>
                <w:b/>
              </w:rPr>
            </w:pPr>
          </w:p>
        </w:tc>
        <w:tc>
          <w:tcPr>
            <w:tcW w:w="3371" w:type="dxa"/>
          </w:tcPr>
          <w:p w14:paraId="1AF4A2AC" w14:textId="77777777" w:rsidR="00145403" w:rsidRPr="00BF52F4" w:rsidRDefault="00145403" w:rsidP="00145403">
            <w:pPr>
              <w:pStyle w:val="Tabletext"/>
              <w:ind w:left="0" w:right="0"/>
            </w:pPr>
            <w:r>
              <w:t>Tuberculosis (TB)</w:t>
            </w:r>
          </w:p>
        </w:tc>
        <w:tc>
          <w:tcPr>
            <w:tcW w:w="900" w:type="dxa"/>
          </w:tcPr>
          <w:p w14:paraId="36116040" w14:textId="77777777" w:rsidR="00145403" w:rsidRPr="009F5F65" w:rsidRDefault="00145403" w:rsidP="00145403">
            <w:pPr>
              <w:pStyle w:val="Tabletext"/>
              <w:jc w:val="center"/>
            </w:pPr>
            <w:r w:rsidRPr="009F5F65">
              <w:sym w:font="Wingdings" w:char="F0FC"/>
            </w:r>
          </w:p>
        </w:tc>
        <w:tc>
          <w:tcPr>
            <w:tcW w:w="1080" w:type="dxa"/>
          </w:tcPr>
          <w:p w14:paraId="53A640D4" w14:textId="77777777" w:rsidR="00145403" w:rsidRPr="009F5F65" w:rsidRDefault="00145403" w:rsidP="00145403">
            <w:pPr>
              <w:pStyle w:val="Tabletext"/>
              <w:jc w:val="center"/>
            </w:pPr>
            <w:r w:rsidRPr="009F5F65">
              <w:t>–</w:t>
            </w:r>
          </w:p>
        </w:tc>
        <w:tc>
          <w:tcPr>
            <w:tcW w:w="900" w:type="dxa"/>
          </w:tcPr>
          <w:p w14:paraId="2C11ED18" w14:textId="77777777" w:rsidR="00145403" w:rsidRPr="009F5F65" w:rsidRDefault="00145403" w:rsidP="00145403">
            <w:pPr>
              <w:pStyle w:val="Tabletext"/>
              <w:jc w:val="center"/>
            </w:pPr>
            <w:r w:rsidRPr="009F5F65">
              <w:sym w:font="Wingdings" w:char="F0FC"/>
            </w:r>
          </w:p>
        </w:tc>
        <w:tc>
          <w:tcPr>
            <w:tcW w:w="1080" w:type="dxa"/>
          </w:tcPr>
          <w:p w14:paraId="46C170A9" w14:textId="77777777" w:rsidR="00145403" w:rsidRPr="009F5F65" w:rsidRDefault="00145403" w:rsidP="00145403">
            <w:pPr>
              <w:pStyle w:val="Tabletext"/>
              <w:jc w:val="center"/>
            </w:pPr>
            <w:r w:rsidRPr="009F5F65">
              <w:sym w:font="Wingdings" w:char="F0FC"/>
            </w:r>
            <w:r w:rsidRPr="009F5F65">
              <w:rPr>
                <w:rFonts w:asciiTheme="majorHAnsi" w:hAnsiTheme="majorHAnsi"/>
                <w:szCs w:val="20"/>
                <w:vertAlign w:val="superscript"/>
              </w:rPr>
              <w:t>*</w:t>
            </w:r>
          </w:p>
        </w:tc>
      </w:tr>
      <w:tr w:rsidR="00145403" w:rsidRPr="00BF52F4" w14:paraId="66F4EFEF" w14:textId="77777777" w:rsidTr="00145403">
        <w:trPr>
          <w:trHeight w:val="94"/>
        </w:trPr>
        <w:tc>
          <w:tcPr>
            <w:tcW w:w="1327" w:type="dxa"/>
            <w:vMerge/>
          </w:tcPr>
          <w:p w14:paraId="0DC63468" w14:textId="77777777" w:rsidR="00145403" w:rsidRPr="00BF52F4" w:rsidRDefault="00145403" w:rsidP="00145403">
            <w:pPr>
              <w:pStyle w:val="Tabletext"/>
              <w:ind w:left="0" w:right="0"/>
              <w:rPr>
                <w:b/>
              </w:rPr>
            </w:pPr>
          </w:p>
        </w:tc>
        <w:tc>
          <w:tcPr>
            <w:tcW w:w="3371" w:type="dxa"/>
          </w:tcPr>
          <w:p w14:paraId="07D5349B" w14:textId="77777777" w:rsidR="00145403" w:rsidRPr="00BF52F4" w:rsidRDefault="00145403" w:rsidP="00145403">
            <w:pPr>
              <w:pStyle w:val="Tabletext"/>
              <w:ind w:left="0" w:right="0"/>
            </w:pPr>
            <w:r>
              <w:t>Malignancies</w:t>
            </w:r>
          </w:p>
        </w:tc>
        <w:tc>
          <w:tcPr>
            <w:tcW w:w="900" w:type="dxa"/>
          </w:tcPr>
          <w:p w14:paraId="194FC1FA" w14:textId="77777777" w:rsidR="00145403" w:rsidRPr="009F5F65" w:rsidRDefault="00145403" w:rsidP="00145403">
            <w:pPr>
              <w:pStyle w:val="Tabletext"/>
              <w:jc w:val="center"/>
            </w:pPr>
            <w:r w:rsidRPr="009F5F65">
              <w:sym w:font="Wingdings" w:char="F0FC"/>
            </w:r>
          </w:p>
        </w:tc>
        <w:tc>
          <w:tcPr>
            <w:tcW w:w="1080" w:type="dxa"/>
          </w:tcPr>
          <w:p w14:paraId="23D158FB" w14:textId="77777777" w:rsidR="00145403" w:rsidRPr="009F5F65" w:rsidRDefault="00145403" w:rsidP="00145403">
            <w:pPr>
              <w:pStyle w:val="Tabletext"/>
              <w:jc w:val="center"/>
            </w:pPr>
            <w:r w:rsidRPr="009F5F65">
              <w:t>–</w:t>
            </w:r>
          </w:p>
        </w:tc>
        <w:tc>
          <w:tcPr>
            <w:tcW w:w="900" w:type="dxa"/>
          </w:tcPr>
          <w:p w14:paraId="314F61C3" w14:textId="77777777" w:rsidR="00145403" w:rsidRPr="009F5F65" w:rsidRDefault="00145403" w:rsidP="00145403">
            <w:pPr>
              <w:pStyle w:val="Tabletext"/>
              <w:jc w:val="center"/>
            </w:pPr>
            <w:r w:rsidRPr="009F5F65">
              <w:sym w:font="Wingdings" w:char="F0FC"/>
            </w:r>
          </w:p>
        </w:tc>
        <w:tc>
          <w:tcPr>
            <w:tcW w:w="1080" w:type="dxa"/>
          </w:tcPr>
          <w:p w14:paraId="4D6641BE" w14:textId="77777777" w:rsidR="00145403" w:rsidRPr="009F5F65" w:rsidRDefault="00145403" w:rsidP="00145403">
            <w:pPr>
              <w:pStyle w:val="Tabletext"/>
              <w:jc w:val="center"/>
            </w:pPr>
            <w:r w:rsidRPr="009F5F65">
              <w:sym w:font="Wingdings" w:char="F0FC"/>
            </w:r>
            <w:r w:rsidRPr="009F5F65">
              <w:rPr>
                <w:rFonts w:asciiTheme="majorHAnsi" w:hAnsiTheme="majorHAnsi"/>
                <w:szCs w:val="20"/>
                <w:vertAlign w:val="superscript"/>
              </w:rPr>
              <w:t>*</w:t>
            </w:r>
          </w:p>
        </w:tc>
      </w:tr>
      <w:tr w:rsidR="00145403" w:rsidRPr="00BF52F4" w14:paraId="009CBA9D" w14:textId="77777777" w:rsidTr="00145403">
        <w:trPr>
          <w:trHeight w:val="94"/>
        </w:trPr>
        <w:tc>
          <w:tcPr>
            <w:tcW w:w="1327" w:type="dxa"/>
            <w:vMerge/>
          </w:tcPr>
          <w:p w14:paraId="5DA5A2D4" w14:textId="77777777" w:rsidR="00145403" w:rsidRPr="00BF52F4" w:rsidRDefault="00145403" w:rsidP="00145403">
            <w:pPr>
              <w:pStyle w:val="Tabletext"/>
              <w:ind w:left="0" w:right="0"/>
              <w:rPr>
                <w:b/>
              </w:rPr>
            </w:pPr>
          </w:p>
        </w:tc>
        <w:tc>
          <w:tcPr>
            <w:tcW w:w="3371" w:type="dxa"/>
          </w:tcPr>
          <w:p w14:paraId="36647449" w14:textId="77777777" w:rsidR="00145403" w:rsidRDefault="00145403" w:rsidP="00145403">
            <w:pPr>
              <w:pStyle w:val="Tabletext"/>
              <w:ind w:left="0" w:right="0"/>
            </w:pPr>
            <w:r w:rsidRPr="00B26509">
              <w:t>Demyelinating disorders (incl</w:t>
            </w:r>
            <w:r w:rsidR="005518FE">
              <w:t>uding multiple sclerosis (MS)</w:t>
            </w:r>
            <w:r>
              <w:t xml:space="preserve">, </w:t>
            </w:r>
            <w:proofErr w:type="spellStart"/>
            <w:r w:rsidR="005518FE">
              <w:t>Guillain-Barré</w:t>
            </w:r>
            <w:proofErr w:type="spellEnd"/>
            <w:r w:rsidR="005518FE">
              <w:t xml:space="preserve"> syndrome (GBS) and optic neuritis (ON)</w:t>
            </w:r>
            <w:r w:rsidRPr="00B26509">
              <w:t>)</w:t>
            </w:r>
          </w:p>
        </w:tc>
        <w:tc>
          <w:tcPr>
            <w:tcW w:w="900" w:type="dxa"/>
          </w:tcPr>
          <w:p w14:paraId="46CDE31F" w14:textId="77777777" w:rsidR="00145403" w:rsidRPr="009F5F65" w:rsidRDefault="00145403" w:rsidP="00145403">
            <w:pPr>
              <w:pStyle w:val="Tabletext"/>
              <w:jc w:val="center"/>
            </w:pPr>
            <w:r w:rsidRPr="009F5F65">
              <w:sym w:font="Wingdings" w:char="F0FC"/>
            </w:r>
          </w:p>
        </w:tc>
        <w:tc>
          <w:tcPr>
            <w:tcW w:w="1080" w:type="dxa"/>
          </w:tcPr>
          <w:p w14:paraId="638EE47E" w14:textId="77777777" w:rsidR="00145403" w:rsidRPr="009F5F65" w:rsidRDefault="00145403" w:rsidP="00145403">
            <w:pPr>
              <w:pStyle w:val="Tabletext"/>
              <w:jc w:val="center"/>
            </w:pPr>
            <w:r w:rsidRPr="009F5F65">
              <w:t>–</w:t>
            </w:r>
          </w:p>
        </w:tc>
        <w:tc>
          <w:tcPr>
            <w:tcW w:w="900" w:type="dxa"/>
          </w:tcPr>
          <w:p w14:paraId="7BE09381" w14:textId="77777777" w:rsidR="00145403" w:rsidRPr="009F5F65" w:rsidRDefault="00145403" w:rsidP="00145403">
            <w:pPr>
              <w:pStyle w:val="Tabletext"/>
              <w:jc w:val="center"/>
            </w:pPr>
            <w:r w:rsidRPr="009F5F65">
              <w:sym w:font="Wingdings" w:char="F0FC"/>
            </w:r>
          </w:p>
        </w:tc>
        <w:tc>
          <w:tcPr>
            <w:tcW w:w="1080" w:type="dxa"/>
          </w:tcPr>
          <w:p w14:paraId="7187C4FB" w14:textId="77777777" w:rsidR="00145403" w:rsidRPr="009F5F65" w:rsidRDefault="00145403" w:rsidP="00145403">
            <w:pPr>
              <w:pStyle w:val="Tabletext"/>
              <w:jc w:val="center"/>
            </w:pPr>
            <w:r w:rsidRPr="009F5F65">
              <w:sym w:font="Wingdings" w:char="F0FC"/>
            </w:r>
            <w:r w:rsidRPr="009F5F65">
              <w:rPr>
                <w:rFonts w:asciiTheme="majorHAnsi" w:hAnsiTheme="majorHAnsi"/>
                <w:szCs w:val="20"/>
                <w:vertAlign w:val="superscript"/>
              </w:rPr>
              <w:t>*</w:t>
            </w:r>
          </w:p>
        </w:tc>
      </w:tr>
      <w:tr w:rsidR="00145403" w:rsidRPr="00BF52F4" w14:paraId="6B799A4C" w14:textId="77777777" w:rsidTr="00704FEB">
        <w:trPr>
          <w:cantSplit/>
          <w:trHeight w:val="187"/>
        </w:trPr>
        <w:tc>
          <w:tcPr>
            <w:tcW w:w="1327" w:type="dxa"/>
            <w:vMerge/>
          </w:tcPr>
          <w:p w14:paraId="17AFBC08" w14:textId="77777777" w:rsidR="00145403" w:rsidRPr="00BF52F4" w:rsidRDefault="00145403" w:rsidP="00145403">
            <w:pPr>
              <w:pStyle w:val="Tabletext"/>
              <w:ind w:left="0" w:right="0"/>
              <w:rPr>
                <w:b/>
              </w:rPr>
            </w:pPr>
          </w:p>
        </w:tc>
        <w:tc>
          <w:tcPr>
            <w:tcW w:w="3371" w:type="dxa"/>
          </w:tcPr>
          <w:p w14:paraId="4BCD2BB7" w14:textId="77777777" w:rsidR="00145403" w:rsidRPr="00BF52F4" w:rsidRDefault="00145403" w:rsidP="00145403">
            <w:pPr>
              <w:pStyle w:val="Tabletext"/>
              <w:ind w:left="0" w:right="0"/>
            </w:pPr>
            <w:r w:rsidRPr="00B26509">
              <w:t xml:space="preserve">Bacillus </w:t>
            </w:r>
            <w:proofErr w:type="spellStart"/>
            <w:r w:rsidRPr="00B26509">
              <w:t>Calmette-Guérin</w:t>
            </w:r>
            <w:proofErr w:type="spellEnd"/>
            <w:r w:rsidRPr="00B26509">
              <w:t xml:space="preserve"> (BCG) disease following live BCG</w:t>
            </w:r>
            <w:r>
              <w:t xml:space="preserve"> </w:t>
            </w:r>
            <w:r w:rsidRPr="00B26509">
              <w:t>vaccination in infants with in utero exposure to adalimumab</w:t>
            </w:r>
          </w:p>
        </w:tc>
        <w:tc>
          <w:tcPr>
            <w:tcW w:w="900" w:type="dxa"/>
          </w:tcPr>
          <w:p w14:paraId="1912E24A" w14:textId="77777777" w:rsidR="00145403" w:rsidRPr="009F5F65" w:rsidRDefault="00145403" w:rsidP="00145403">
            <w:pPr>
              <w:pStyle w:val="Tabletext"/>
              <w:jc w:val="center"/>
            </w:pPr>
            <w:r w:rsidRPr="009F5F65">
              <w:sym w:font="Wingdings" w:char="F0FC"/>
            </w:r>
          </w:p>
        </w:tc>
        <w:tc>
          <w:tcPr>
            <w:tcW w:w="1080" w:type="dxa"/>
          </w:tcPr>
          <w:p w14:paraId="047FE1BD" w14:textId="77777777" w:rsidR="00145403" w:rsidRPr="009F5F65" w:rsidRDefault="00145403" w:rsidP="00145403">
            <w:pPr>
              <w:pStyle w:val="Tabletext"/>
              <w:jc w:val="center"/>
            </w:pPr>
            <w:r w:rsidRPr="009F5F65">
              <w:t>–</w:t>
            </w:r>
          </w:p>
        </w:tc>
        <w:tc>
          <w:tcPr>
            <w:tcW w:w="900" w:type="dxa"/>
          </w:tcPr>
          <w:p w14:paraId="3903D39F" w14:textId="77777777" w:rsidR="00145403" w:rsidRPr="009F5F65" w:rsidRDefault="00145403" w:rsidP="00145403">
            <w:pPr>
              <w:pStyle w:val="Tabletext"/>
              <w:jc w:val="center"/>
            </w:pPr>
            <w:r w:rsidRPr="009F5F65">
              <w:sym w:font="Wingdings" w:char="F0FC"/>
            </w:r>
          </w:p>
        </w:tc>
        <w:tc>
          <w:tcPr>
            <w:tcW w:w="1080" w:type="dxa"/>
          </w:tcPr>
          <w:p w14:paraId="62DA4AEF" w14:textId="77777777" w:rsidR="00145403" w:rsidRPr="009F5F65" w:rsidRDefault="00145403" w:rsidP="00145403">
            <w:pPr>
              <w:pStyle w:val="Tabletext"/>
              <w:jc w:val="center"/>
            </w:pPr>
            <w:r w:rsidRPr="009F5F65">
              <w:sym w:font="Wingdings" w:char="F0FC"/>
            </w:r>
            <w:r w:rsidRPr="009F5F65">
              <w:rPr>
                <w:rFonts w:asciiTheme="majorHAnsi" w:hAnsiTheme="majorHAnsi"/>
                <w:szCs w:val="20"/>
                <w:vertAlign w:val="superscript"/>
              </w:rPr>
              <w:t>*</w:t>
            </w:r>
          </w:p>
        </w:tc>
      </w:tr>
      <w:tr w:rsidR="00145403" w:rsidRPr="00BF52F4" w14:paraId="19761D5C" w14:textId="77777777" w:rsidTr="00145403">
        <w:trPr>
          <w:trHeight w:val="159"/>
        </w:trPr>
        <w:tc>
          <w:tcPr>
            <w:tcW w:w="1327" w:type="dxa"/>
            <w:vMerge w:val="restart"/>
          </w:tcPr>
          <w:p w14:paraId="33214FE5" w14:textId="77777777" w:rsidR="00145403" w:rsidRPr="00BF52F4" w:rsidRDefault="00145403" w:rsidP="00145403">
            <w:pPr>
              <w:pStyle w:val="Tabletext"/>
              <w:ind w:left="0" w:right="0"/>
              <w:rPr>
                <w:b/>
              </w:rPr>
            </w:pPr>
            <w:r w:rsidRPr="00BF52F4">
              <w:rPr>
                <w:b/>
              </w:rPr>
              <w:t>Important potential risks</w:t>
            </w:r>
          </w:p>
        </w:tc>
        <w:tc>
          <w:tcPr>
            <w:tcW w:w="3371" w:type="dxa"/>
          </w:tcPr>
          <w:p w14:paraId="2002C874" w14:textId="77777777" w:rsidR="00145403" w:rsidRPr="00BF52F4" w:rsidRDefault="00145403" w:rsidP="00145403">
            <w:pPr>
              <w:pStyle w:val="Tabletext"/>
              <w:ind w:left="0" w:right="0"/>
            </w:pPr>
            <w:r w:rsidRPr="00B26509">
              <w:t>Progressive</w:t>
            </w:r>
            <w:r>
              <w:t xml:space="preserve"> multifocal leukoencephalopathy </w:t>
            </w:r>
            <w:r w:rsidRPr="00B26509">
              <w:t>(PML)</w:t>
            </w:r>
          </w:p>
        </w:tc>
        <w:tc>
          <w:tcPr>
            <w:tcW w:w="900" w:type="dxa"/>
          </w:tcPr>
          <w:p w14:paraId="25D0CFD3" w14:textId="77777777" w:rsidR="00145403" w:rsidRPr="009F5F65" w:rsidRDefault="00145403" w:rsidP="00145403">
            <w:pPr>
              <w:pStyle w:val="Tabletext"/>
              <w:jc w:val="center"/>
            </w:pPr>
            <w:r w:rsidRPr="009F5F65">
              <w:sym w:font="Wingdings" w:char="F0FC"/>
            </w:r>
          </w:p>
        </w:tc>
        <w:tc>
          <w:tcPr>
            <w:tcW w:w="1080" w:type="dxa"/>
          </w:tcPr>
          <w:p w14:paraId="56C1A8A5" w14:textId="77777777" w:rsidR="00145403" w:rsidRPr="009F5F65" w:rsidRDefault="00145403" w:rsidP="00145403">
            <w:pPr>
              <w:pStyle w:val="Tabletext"/>
              <w:jc w:val="center"/>
            </w:pPr>
            <w:r w:rsidRPr="009F5F65">
              <w:t>–</w:t>
            </w:r>
          </w:p>
        </w:tc>
        <w:tc>
          <w:tcPr>
            <w:tcW w:w="900" w:type="dxa"/>
          </w:tcPr>
          <w:p w14:paraId="5E6F975C" w14:textId="77777777" w:rsidR="00145403" w:rsidRPr="009F5F65" w:rsidRDefault="00145403" w:rsidP="00145403">
            <w:pPr>
              <w:pStyle w:val="Tabletext"/>
              <w:jc w:val="center"/>
            </w:pPr>
            <w:r w:rsidRPr="009F5F65">
              <w:t>–</w:t>
            </w:r>
          </w:p>
        </w:tc>
        <w:tc>
          <w:tcPr>
            <w:tcW w:w="1080" w:type="dxa"/>
          </w:tcPr>
          <w:p w14:paraId="7A0E80F5" w14:textId="77777777" w:rsidR="00145403" w:rsidRPr="009F5F65" w:rsidRDefault="00145403" w:rsidP="00145403">
            <w:pPr>
              <w:pStyle w:val="Tabletext"/>
              <w:jc w:val="center"/>
            </w:pPr>
            <w:r w:rsidRPr="009F5F65">
              <w:t>–</w:t>
            </w:r>
          </w:p>
        </w:tc>
      </w:tr>
      <w:tr w:rsidR="00145403" w:rsidRPr="00BF52F4" w14:paraId="51358597" w14:textId="77777777" w:rsidTr="00145403">
        <w:trPr>
          <w:trHeight w:val="122"/>
        </w:trPr>
        <w:tc>
          <w:tcPr>
            <w:tcW w:w="1327" w:type="dxa"/>
            <w:vMerge/>
          </w:tcPr>
          <w:p w14:paraId="63510AB1" w14:textId="77777777" w:rsidR="00145403" w:rsidRPr="00BF52F4" w:rsidRDefault="00145403" w:rsidP="00145403">
            <w:pPr>
              <w:pStyle w:val="Tabletext"/>
              <w:ind w:left="0" w:right="0"/>
              <w:rPr>
                <w:b/>
              </w:rPr>
            </w:pPr>
          </w:p>
        </w:tc>
        <w:tc>
          <w:tcPr>
            <w:tcW w:w="3371" w:type="dxa"/>
          </w:tcPr>
          <w:p w14:paraId="371411F3" w14:textId="77777777" w:rsidR="00145403" w:rsidRPr="00BF52F4" w:rsidRDefault="00145403" w:rsidP="00145403">
            <w:pPr>
              <w:pStyle w:val="Tabletext"/>
              <w:ind w:left="0" w:right="0"/>
            </w:pPr>
            <w:r w:rsidRPr="00B26509">
              <w:t>Reversible posterior leukoencephalopathy syndrome (RPLS)</w:t>
            </w:r>
          </w:p>
        </w:tc>
        <w:tc>
          <w:tcPr>
            <w:tcW w:w="900" w:type="dxa"/>
          </w:tcPr>
          <w:p w14:paraId="18017577" w14:textId="77777777" w:rsidR="00145403" w:rsidRPr="009F5F65" w:rsidRDefault="00145403" w:rsidP="00145403">
            <w:pPr>
              <w:pStyle w:val="Tabletext"/>
              <w:jc w:val="center"/>
            </w:pPr>
            <w:r w:rsidRPr="009F5F65">
              <w:sym w:font="Wingdings" w:char="F0FC"/>
            </w:r>
          </w:p>
        </w:tc>
        <w:tc>
          <w:tcPr>
            <w:tcW w:w="1080" w:type="dxa"/>
          </w:tcPr>
          <w:p w14:paraId="0B041613" w14:textId="77777777" w:rsidR="00145403" w:rsidRPr="009F5F65" w:rsidRDefault="00145403" w:rsidP="00145403">
            <w:pPr>
              <w:pStyle w:val="Tabletext"/>
              <w:jc w:val="center"/>
            </w:pPr>
            <w:r w:rsidRPr="009F5F65">
              <w:t>–</w:t>
            </w:r>
          </w:p>
        </w:tc>
        <w:tc>
          <w:tcPr>
            <w:tcW w:w="900" w:type="dxa"/>
          </w:tcPr>
          <w:p w14:paraId="36CF8116" w14:textId="77777777" w:rsidR="00145403" w:rsidRPr="009F5F65" w:rsidRDefault="00145403" w:rsidP="00145403">
            <w:pPr>
              <w:pStyle w:val="Tabletext"/>
              <w:jc w:val="center"/>
            </w:pPr>
            <w:r w:rsidRPr="009F5F65">
              <w:t>–</w:t>
            </w:r>
          </w:p>
        </w:tc>
        <w:tc>
          <w:tcPr>
            <w:tcW w:w="1080" w:type="dxa"/>
          </w:tcPr>
          <w:p w14:paraId="51980CF2" w14:textId="77777777" w:rsidR="00145403" w:rsidRPr="009F5F65" w:rsidRDefault="00145403" w:rsidP="00145403">
            <w:pPr>
              <w:pStyle w:val="Tabletext"/>
              <w:jc w:val="center"/>
            </w:pPr>
            <w:r w:rsidRPr="009F5F65">
              <w:t>–</w:t>
            </w:r>
          </w:p>
        </w:tc>
      </w:tr>
      <w:tr w:rsidR="00145403" w:rsidRPr="00BF52F4" w14:paraId="21127317" w14:textId="77777777" w:rsidTr="00145403">
        <w:trPr>
          <w:trHeight w:val="112"/>
        </w:trPr>
        <w:tc>
          <w:tcPr>
            <w:tcW w:w="1327" w:type="dxa"/>
            <w:vMerge/>
          </w:tcPr>
          <w:p w14:paraId="0D52DE5B" w14:textId="77777777" w:rsidR="00145403" w:rsidRPr="00BF52F4" w:rsidRDefault="00145403" w:rsidP="00145403">
            <w:pPr>
              <w:pStyle w:val="Tabletext"/>
              <w:ind w:left="0" w:right="0"/>
              <w:rPr>
                <w:b/>
              </w:rPr>
            </w:pPr>
          </w:p>
        </w:tc>
        <w:tc>
          <w:tcPr>
            <w:tcW w:w="3371" w:type="dxa"/>
          </w:tcPr>
          <w:p w14:paraId="3F28FD22" w14:textId="77777777" w:rsidR="00145403" w:rsidRPr="00BF52F4" w:rsidRDefault="00145403" w:rsidP="00145403">
            <w:pPr>
              <w:pStyle w:val="Tabletext"/>
              <w:ind w:left="0" w:right="0"/>
            </w:pPr>
            <w:r w:rsidRPr="00B26509">
              <w:t>Adenocarcinoma of colon in ulcerative colitis (UC) patients</w:t>
            </w:r>
          </w:p>
        </w:tc>
        <w:tc>
          <w:tcPr>
            <w:tcW w:w="900" w:type="dxa"/>
          </w:tcPr>
          <w:p w14:paraId="2283E469" w14:textId="77777777" w:rsidR="00145403" w:rsidRPr="009F5F65" w:rsidRDefault="00145403" w:rsidP="00145403">
            <w:pPr>
              <w:pStyle w:val="Tabletext"/>
              <w:jc w:val="center"/>
            </w:pPr>
            <w:r w:rsidRPr="009F5F65">
              <w:sym w:font="Wingdings" w:char="F0FC"/>
            </w:r>
          </w:p>
        </w:tc>
        <w:tc>
          <w:tcPr>
            <w:tcW w:w="1080" w:type="dxa"/>
          </w:tcPr>
          <w:p w14:paraId="38DE4891" w14:textId="77777777" w:rsidR="00145403" w:rsidRPr="009F5F65" w:rsidRDefault="00145403" w:rsidP="00145403">
            <w:pPr>
              <w:pStyle w:val="Tabletext"/>
              <w:jc w:val="center"/>
            </w:pPr>
            <w:r w:rsidRPr="009F5F65">
              <w:t>–</w:t>
            </w:r>
          </w:p>
        </w:tc>
        <w:tc>
          <w:tcPr>
            <w:tcW w:w="900" w:type="dxa"/>
          </w:tcPr>
          <w:p w14:paraId="4292B3E6" w14:textId="77777777" w:rsidR="00145403" w:rsidRPr="009F5F65" w:rsidRDefault="00145403" w:rsidP="00145403">
            <w:pPr>
              <w:pStyle w:val="Tabletext"/>
              <w:jc w:val="center"/>
            </w:pPr>
            <w:r w:rsidRPr="009F5F65">
              <w:sym w:font="Wingdings" w:char="F0FC"/>
            </w:r>
          </w:p>
        </w:tc>
        <w:tc>
          <w:tcPr>
            <w:tcW w:w="1080" w:type="dxa"/>
          </w:tcPr>
          <w:p w14:paraId="110C5480" w14:textId="77777777" w:rsidR="00145403" w:rsidRPr="009F5F65" w:rsidRDefault="00145403" w:rsidP="00145403">
            <w:pPr>
              <w:pStyle w:val="Tabletext"/>
              <w:jc w:val="center"/>
            </w:pPr>
            <w:r w:rsidRPr="009F5F65">
              <w:t>–</w:t>
            </w:r>
          </w:p>
        </w:tc>
      </w:tr>
      <w:tr w:rsidR="00145403" w:rsidRPr="00BF52F4" w14:paraId="14A1E676" w14:textId="77777777" w:rsidTr="00145403">
        <w:trPr>
          <w:trHeight w:val="178"/>
        </w:trPr>
        <w:tc>
          <w:tcPr>
            <w:tcW w:w="1327" w:type="dxa"/>
            <w:vMerge w:val="restart"/>
          </w:tcPr>
          <w:p w14:paraId="5BD602DC" w14:textId="77777777" w:rsidR="00145403" w:rsidRPr="00BF52F4" w:rsidRDefault="00145403" w:rsidP="00145403">
            <w:pPr>
              <w:pStyle w:val="Tabletext"/>
              <w:ind w:left="0" w:right="0"/>
              <w:rPr>
                <w:b/>
              </w:rPr>
            </w:pPr>
            <w:r w:rsidRPr="00BF52F4">
              <w:rPr>
                <w:b/>
              </w:rPr>
              <w:t>Missing information</w:t>
            </w:r>
          </w:p>
        </w:tc>
        <w:tc>
          <w:tcPr>
            <w:tcW w:w="3371" w:type="dxa"/>
          </w:tcPr>
          <w:p w14:paraId="3C389308" w14:textId="77777777" w:rsidR="00145403" w:rsidRPr="00BF52F4" w:rsidRDefault="00145403" w:rsidP="00145403">
            <w:pPr>
              <w:pStyle w:val="Tabletext"/>
              <w:ind w:left="0" w:right="0"/>
            </w:pPr>
            <w:r w:rsidRPr="00B26509">
              <w:t>Patients with immune compromised conditions</w:t>
            </w:r>
          </w:p>
        </w:tc>
        <w:tc>
          <w:tcPr>
            <w:tcW w:w="900" w:type="dxa"/>
          </w:tcPr>
          <w:p w14:paraId="616D5CF7" w14:textId="77777777" w:rsidR="00145403" w:rsidRPr="009F5F65" w:rsidRDefault="00145403" w:rsidP="00145403">
            <w:pPr>
              <w:pStyle w:val="Tabletext"/>
              <w:jc w:val="center"/>
            </w:pPr>
            <w:r w:rsidRPr="009F5F65">
              <w:sym w:font="Wingdings" w:char="F0FC"/>
            </w:r>
          </w:p>
        </w:tc>
        <w:tc>
          <w:tcPr>
            <w:tcW w:w="1080" w:type="dxa"/>
          </w:tcPr>
          <w:p w14:paraId="3B945F60" w14:textId="77777777" w:rsidR="00145403" w:rsidRPr="009F5F65" w:rsidRDefault="00145403" w:rsidP="00145403">
            <w:pPr>
              <w:pStyle w:val="Tabletext"/>
              <w:jc w:val="center"/>
            </w:pPr>
            <w:r w:rsidRPr="009F5F65">
              <w:t>–</w:t>
            </w:r>
          </w:p>
        </w:tc>
        <w:tc>
          <w:tcPr>
            <w:tcW w:w="900" w:type="dxa"/>
          </w:tcPr>
          <w:p w14:paraId="461BB214" w14:textId="77777777" w:rsidR="00145403" w:rsidRPr="009F5F65" w:rsidRDefault="00145403" w:rsidP="00145403">
            <w:pPr>
              <w:pStyle w:val="Tabletext"/>
              <w:jc w:val="center"/>
            </w:pPr>
            <w:r w:rsidRPr="009F5F65">
              <w:sym w:font="Wingdings" w:char="F0FC"/>
            </w:r>
          </w:p>
        </w:tc>
        <w:tc>
          <w:tcPr>
            <w:tcW w:w="1080" w:type="dxa"/>
          </w:tcPr>
          <w:p w14:paraId="2F8B78B1" w14:textId="77777777" w:rsidR="00145403" w:rsidRPr="009F5F65" w:rsidRDefault="00145403" w:rsidP="00145403">
            <w:pPr>
              <w:pStyle w:val="Tabletext"/>
              <w:jc w:val="center"/>
            </w:pPr>
            <w:r w:rsidRPr="009F5F65">
              <w:t>–</w:t>
            </w:r>
          </w:p>
        </w:tc>
      </w:tr>
      <w:tr w:rsidR="00145403" w:rsidRPr="00BF52F4" w14:paraId="18A28458" w14:textId="77777777" w:rsidTr="00145403">
        <w:trPr>
          <w:trHeight w:val="103"/>
        </w:trPr>
        <w:tc>
          <w:tcPr>
            <w:tcW w:w="1327" w:type="dxa"/>
            <w:vMerge/>
          </w:tcPr>
          <w:p w14:paraId="2212ED46" w14:textId="77777777" w:rsidR="00145403" w:rsidRPr="00BF52F4" w:rsidRDefault="00145403" w:rsidP="00145403">
            <w:pPr>
              <w:pStyle w:val="Tabletext"/>
              <w:ind w:left="0" w:right="0"/>
            </w:pPr>
          </w:p>
        </w:tc>
        <w:tc>
          <w:tcPr>
            <w:tcW w:w="3371" w:type="dxa"/>
          </w:tcPr>
          <w:p w14:paraId="4B2556F1" w14:textId="77777777" w:rsidR="00145403" w:rsidRPr="00BF52F4" w:rsidRDefault="00145403" w:rsidP="00145403">
            <w:pPr>
              <w:pStyle w:val="Tabletext"/>
              <w:ind w:left="0" w:right="0"/>
            </w:pPr>
            <w:r w:rsidRPr="00B26509">
              <w:t>Long-term safety information in</w:t>
            </w:r>
            <w:r>
              <w:t xml:space="preserve"> the treatment of children aged </w:t>
            </w:r>
            <w:r w:rsidRPr="00B26509">
              <w:t>from 6 years to less than 18 years with Crohn’s disease (CD)</w:t>
            </w:r>
          </w:p>
        </w:tc>
        <w:tc>
          <w:tcPr>
            <w:tcW w:w="900" w:type="dxa"/>
          </w:tcPr>
          <w:p w14:paraId="72854473" w14:textId="77777777" w:rsidR="00145403" w:rsidRPr="009F5F65" w:rsidRDefault="00145403" w:rsidP="00145403">
            <w:pPr>
              <w:pStyle w:val="Tabletext"/>
              <w:jc w:val="center"/>
            </w:pPr>
            <w:r w:rsidRPr="009F5F65">
              <w:sym w:font="Wingdings" w:char="F0FC"/>
            </w:r>
          </w:p>
        </w:tc>
        <w:tc>
          <w:tcPr>
            <w:tcW w:w="1080" w:type="dxa"/>
          </w:tcPr>
          <w:p w14:paraId="7D9FD501" w14:textId="77777777" w:rsidR="00145403" w:rsidRPr="009F5F65" w:rsidRDefault="00145403" w:rsidP="00145403">
            <w:pPr>
              <w:pStyle w:val="Tabletext"/>
              <w:jc w:val="center"/>
            </w:pPr>
            <w:r w:rsidRPr="009F5F65">
              <w:t>–</w:t>
            </w:r>
          </w:p>
        </w:tc>
        <w:tc>
          <w:tcPr>
            <w:tcW w:w="900" w:type="dxa"/>
          </w:tcPr>
          <w:p w14:paraId="77BB707C" w14:textId="77777777" w:rsidR="00145403" w:rsidRPr="009F5F65" w:rsidRDefault="00145403" w:rsidP="00145403">
            <w:pPr>
              <w:pStyle w:val="Tabletext"/>
              <w:jc w:val="center"/>
            </w:pPr>
            <w:r w:rsidRPr="009F5F65">
              <w:t>–</w:t>
            </w:r>
          </w:p>
        </w:tc>
        <w:tc>
          <w:tcPr>
            <w:tcW w:w="1080" w:type="dxa"/>
          </w:tcPr>
          <w:p w14:paraId="6CD73F41" w14:textId="77777777" w:rsidR="00145403" w:rsidRPr="009F5F65" w:rsidRDefault="00145403" w:rsidP="00145403">
            <w:pPr>
              <w:pStyle w:val="Tabletext"/>
              <w:jc w:val="center"/>
            </w:pPr>
            <w:r w:rsidRPr="009F5F65">
              <w:t>–</w:t>
            </w:r>
          </w:p>
        </w:tc>
      </w:tr>
      <w:tr w:rsidR="00145403" w:rsidRPr="00BF52F4" w14:paraId="003ACECD" w14:textId="77777777" w:rsidTr="00145403">
        <w:trPr>
          <w:trHeight w:val="103"/>
        </w:trPr>
        <w:tc>
          <w:tcPr>
            <w:tcW w:w="1327" w:type="dxa"/>
            <w:vMerge/>
          </w:tcPr>
          <w:p w14:paraId="2DBBF4D1" w14:textId="77777777" w:rsidR="00145403" w:rsidRPr="00BF52F4" w:rsidRDefault="00145403" w:rsidP="00145403">
            <w:pPr>
              <w:pStyle w:val="Tabletext"/>
              <w:ind w:left="0" w:right="0"/>
            </w:pPr>
          </w:p>
        </w:tc>
        <w:tc>
          <w:tcPr>
            <w:tcW w:w="3371" w:type="dxa"/>
          </w:tcPr>
          <w:p w14:paraId="1EABCF64" w14:textId="77777777" w:rsidR="00145403" w:rsidRPr="00BF52F4" w:rsidRDefault="00145403" w:rsidP="00145403">
            <w:pPr>
              <w:pStyle w:val="Tabletext"/>
              <w:ind w:left="0" w:right="0"/>
            </w:pPr>
            <w:r w:rsidRPr="00B26509">
              <w:t>Episodic treatment in psoriasis (</w:t>
            </w:r>
            <w:r>
              <w:t xml:space="preserve">Ps), UC and juvenile idiopathic </w:t>
            </w:r>
            <w:r w:rsidRPr="00B26509">
              <w:t>arthritis (JIA)</w:t>
            </w:r>
          </w:p>
        </w:tc>
        <w:tc>
          <w:tcPr>
            <w:tcW w:w="900" w:type="dxa"/>
          </w:tcPr>
          <w:p w14:paraId="40400486" w14:textId="77777777" w:rsidR="00145403" w:rsidRPr="009F5F65" w:rsidRDefault="00145403" w:rsidP="00145403">
            <w:pPr>
              <w:pStyle w:val="Tabletext"/>
              <w:jc w:val="center"/>
            </w:pPr>
            <w:r w:rsidRPr="009F5F65">
              <w:sym w:font="Wingdings" w:char="F0FC"/>
            </w:r>
          </w:p>
        </w:tc>
        <w:tc>
          <w:tcPr>
            <w:tcW w:w="1080" w:type="dxa"/>
          </w:tcPr>
          <w:p w14:paraId="72FA504F" w14:textId="77777777" w:rsidR="00145403" w:rsidRPr="009F5F65" w:rsidRDefault="00145403" w:rsidP="00145403">
            <w:pPr>
              <w:pStyle w:val="Tabletext"/>
              <w:jc w:val="center"/>
            </w:pPr>
            <w:r w:rsidRPr="009F5F65">
              <w:t>–</w:t>
            </w:r>
          </w:p>
        </w:tc>
        <w:tc>
          <w:tcPr>
            <w:tcW w:w="900" w:type="dxa"/>
          </w:tcPr>
          <w:p w14:paraId="07E7D96B" w14:textId="77777777" w:rsidR="00145403" w:rsidRPr="009F5F65" w:rsidRDefault="00145403" w:rsidP="00145403">
            <w:pPr>
              <w:pStyle w:val="Tabletext"/>
              <w:jc w:val="center"/>
            </w:pPr>
            <w:r w:rsidRPr="009F5F65">
              <w:t>–</w:t>
            </w:r>
          </w:p>
        </w:tc>
        <w:tc>
          <w:tcPr>
            <w:tcW w:w="1080" w:type="dxa"/>
          </w:tcPr>
          <w:p w14:paraId="648C94F1" w14:textId="77777777" w:rsidR="00145403" w:rsidRPr="009F5F65" w:rsidRDefault="00145403" w:rsidP="00145403">
            <w:pPr>
              <w:pStyle w:val="Tabletext"/>
              <w:jc w:val="center"/>
            </w:pPr>
          </w:p>
        </w:tc>
      </w:tr>
      <w:tr w:rsidR="00145403" w:rsidRPr="00BF52F4" w14:paraId="1E12E28B" w14:textId="77777777" w:rsidTr="00145403">
        <w:trPr>
          <w:trHeight w:val="103"/>
        </w:trPr>
        <w:tc>
          <w:tcPr>
            <w:tcW w:w="1327" w:type="dxa"/>
            <w:vMerge/>
          </w:tcPr>
          <w:p w14:paraId="6B1C3B81" w14:textId="77777777" w:rsidR="00145403" w:rsidRPr="00BF52F4" w:rsidRDefault="00145403" w:rsidP="00145403">
            <w:pPr>
              <w:pStyle w:val="Tabletext"/>
              <w:ind w:left="0" w:right="0"/>
            </w:pPr>
          </w:p>
        </w:tc>
        <w:tc>
          <w:tcPr>
            <w:tcW w:w="3371" w:type="dxa"/>
          </w:tcPr>
          <w:p w14:paraId="3523A413" w14:textId="77777777" w:rsidR="00145403" w:rsidRPr="00BF52F4" w:rsidRDefault="00145403" w:rsidP="00145403">
            <w:pPr>
              <w:pStyle w:val="Tabletext"/>
              <w:ind w:left="0" w:right="0"/>
            </w:pPr>
            <w:r w:rsidRPr="00B26509">
              <w:t>Long-term safety information</w:t>
            </w:r>
            <w:r>
              <w:t xml:space="preserve"> in the treatment of adults and </w:t>
            </w:r>
            <w:r w:rsidRPr="00B26509">
              <w:t>children with uveitis</w:t>
            </w:r>
          </w:p>
        </w:tc>
        <w:tc>
          <w:tcPr>
            <w:tcW w:w="900" w:type="dxa"/>
          </w:tcPr>
          <w:p w14:paraId="335A3775" w14:textId="77777777" w:rsidR="00145403" w:rsidRPr="009F5F65" w:rsidRDefault="00145403" w:rsidP="00145403">
            <w:pPr>
              <w:pStyle w:val="Tabletext"/>
              <w:jc w:val="center"/>
            </w:pPr>
            <w:r w:rsidRPr="009F5F65">
              <w:sym w:font="Wingdings" w:char="F0FC"/>
            </w:r>
          </w:p>
        </w:tc>
        <w:tc>
          <w:tcPr>
            <w:tcW w:w="1080" w:type="dxa"/>
          </w:tcPr>
          <w:p w14:paraId="270E5314" w14:textId="77777777" w:rsidR="00145403" w:rsidRPr="009F5F65" w:rsidRDefault="00145403" w:rsidP="00145403">
            <w:pPr>
              <w:pStyle w:val="Tabletext"/>
              <w:jc w:val="center"/>
            </w:pPr>
            <w:r w:rsidRPr="009F5F65">
              <w:t>–</w:t>
            </w:r>
          </w:p>
        </w:tc>
        <w:tc>
          <w:tcPr>
            <w:tcW w:w="900" w:type="dxa"/>
          </w:tcPr>
          <w:p w14:paraId="6B95FC5B" w14:textId="77777777" w:rsidR="00145403" w:rsidRPr="009F5F65" w:rsidRDefault="00145403" w:rsidP="00145403">
            <w:pPr>
              <w:pStyle w:val="Tabletext"/>
              <w:jc w:val="center"/>
            </w:pPr>
            <w:r w:rsidRPr="009F5F65">
              <w:sym w:font="Wingdings" w:char="F0FC"/>
            </w:r>
          </w:p>
        </w:tc>
        <w:tc>
          <w:tcPr>
            <w:tcW w:w="1080" w:type="dxa"/>
          </w:tcPr>
          <w:p w14:paraId="73FF23F2" w14:textId="77777777" w:rsidR="00145403" w:rsidRPr="009F5F65" w:rsidRDefault="00145403" w:rsidP="00145403">
            <w:pPr>
              <w:pStyle w:val="Tabletext"/>
              <w:jc w:val="center"/>
            </w:pPr>
            <w:r w:rsidRPr="009F5F65">
              <w:t>–</w:t>
            </w:r>
          </w:p>
        </w:tc>
      </w:tr>
    </w:tbl>
    <w:p w14:paraId="5589AA10" w14:textId="77777777" w:rsidR="00145403" w:rsidRDefault="008562B2" w:rsidP="005518FE">
      <w:pPr>
        <w:pStyle w:val="TableDescription"/>
      </w:pPr>
      <w:r>
        <w:t>* Adult and p</w:t>
      </w:r>
      <w:r w:rsidR="005518FE" w:rsidRPr="005518FE">
        <w:t>aediatric Patient Reminder Cards</w:t>
      </w:r>
    </w:p>
    <w:p w14:paraId="1D4E112A" w14:textId="77777777" w:rsidR="005518FE" w:rsidRDefault="005518FE" w:rsidP="005518FE">
      <w:r>
        <w:t>The summary of safety concerns is generally consistent with the reference product an</w:t>
      </w:r>
      <w:r w:rsidR="008562B2">
        <w:t xml:space="preserve">d other adalimumab </w:t>
      </w:r>
      <w:proofErr w:type="spellStart"/>
      <w:r w:rsidR="008562B2">
        <w:t>biosimilars</w:t>
      </w:r>
      <w:proofErr w:type="spellEnd"/>
      <w:r w:rsidR="008562B2">
        <w:t>.</w:t>
      </w:r>
    </w:p>
    <w:p w14:paraId="56F53A91" w14:textId="77777777" w:rsidR="005518FE" w:rsidRDefault="005518FE" w:rsidP="005518FE">
      <w:r>
        <w:t>Routine pharmacovigilance is proposed for all safety concerns, with no additional pharmacovigilance activities proposed. This is acceptable.</w:t>
      </w:r>
    </w:p>
    <w:p w14:paraId="18D4C35D" w14:textId="77777777" w:rsidR="008562B2" w:rsidRDefault="005518FE" w:rsidP="005518FE">
      <w:r>
        <w:t>Routine and additional risk minimisation activities generally alig</w:t>
      </w:r>
      <w:r w:rsidR="008562B2">
        <w:t xml:space="preserve">n with the innovator, however </w:t>
      </w:r>
      <w:r>
        <w:t>mock-ups of adult and paediatric Patient Reminder Cards have not been provided for review. The sponsor is requested and commits to providing copies of the Cards to TGA for review prior to launch. Per the agreed RMP, the Card is</w:t>
      </w:r>
      <w:r w:rsidR="008562B2">
        <w:t xml:space="preserve"> to</w:t>
      </w:r>
      <w:r>
        <w:t xml:space="preserve"> be distributed to prescribers of adalimumab (regardless of indication of use) who will then provide to their patients. Draft packaging labels have been provided, which direct consumers to the Pfizer website to access the CMI. The sponsor is advised that the link to the </w:t>
      </w:r>
      <w:r w:rsidR="008562B2">
        <w:t>Consumer Medicines Information (</w:t>
      </w:r>
      <w:r>
        <w:t>CMI</w:t>
      </w:r>
      <w:r w:rsidR="008562B2">
        <w:t>)</w:t>
      </w:r>
      <w:r>
        <w:t xml:space="preserve"> document must remain up-to-date and consistent with the most recent approved PI document and that the website used must be acceptable to the TGA and in compliance wit</w:t>
      </w:r>
      <w:r w:rsidR="008562B2">
        <w:t>h all advertising restrictions.</w:t>
      </w:r>
    </w:p>
    <w:p w14:paraId="355795D6" w14:textId="77777777" w:rsidR="005518FE" w:rsidRDefault="008562B2" w:rsidP="005518FE">
      <w:r>
        <w:t>At</w:t>
      </w:r>
      <w:r w:rsidR="005518FE">
        <w:t xml:space="preserve"> the </w:t>
      </w:r>
      <w:r>
        <w:t xml:space="preserve">third round of evaluation the </w:t>
      </w:r>
      <w:r w:rsidR="005518FE">
        <w:t xml:space="preserve">CMI has been provided in the new format. </w:t>
      </w:r>
      <w:r>
        <w:t>The RMP</w:t>
      </w:r>
      <w:r w:rsidR="005518FE">
        <w:t xml:space="preserve"> is acceptable.</w:t>
      </w:r>
      <w:r>
        <w:t xml:space="preserve"> The sponsor has agreed to</w:t>
      </w:r>
      <w:r w:rsidRPr="008562B2">
        <w:t xml:space="preserve"> submit the adult and paediatric Patient Reminder Cards for rev</w:t>
      </w:r>
      <w:r>
        <w:t>iew prior to product launch.</w:t>
      </w:r>
    </w:p>
    <w:p w14:paraId="7C1BFE6B" w14:textId="77777777" w:rsidR="008562B2" w:rsidRDefault="008562B2" w:rsidP="008562B2">
      <w:pPr>
        <w:pStyle w:val="Heading4"/>
      </w:pPr>
      <w:r w:rsidRPr="008562B2">
        <w:t>Recommended conditions of registration</w:t>
      </w:r>
    </w:p>
    <w:p w14:paraId="58FC3A3E" w14:textId="77777777" w:rsidR="008562B2" w:rsidRPr="008562B2" w:rsidRDefault="008562B2" w:rsidP="008562B2">
      <w:r>
        <w:t>The RMP evaluator recommended the follow wording as conditions of registration:</w:t>
      </w:r>
    </w:p>
    <w:p w14:paraId="5F53419A" w14:textId="77777777" w:rsidR="008562B2" w:rsidRPr="008562B2" w:rsidRDefault="008562B2" w:rsidP="008562B2">
      <w:pPr>
        <w:ind w:left="720"/>
      </w:pPr>
      <w:r w:rsidRPr="008562B2">
        <w:t xml:space="preserve">The Abrilada EU-Risk Management Plan (RMP) (version </w:t>
      </w:r>
      <w:r>
        <w:t>1.0, dated 11 </w:t>
      </w:r>
      <w:r w:rsidRPr="008562B2">
        <w:t>Oct</w:t>
      </w:r>
      <w:r>
        <w:t>ober </w:t>
      </w:r>
      <w:r w:rsidRPr="008562B2">
        <w:t>2019, data lock point 05 Jan</w:t>
      </w:r>
      <w:r>
        <w:t>uary</w:t>
      </w:r>
      <w:r w:rsidRPr="008562B2">
        <w:t xml:space="preserve"> 2018), with Australian Specific Annex </w:t>
      </w:r>
      <w:r>
        <w:t xml:space="preserve">(ASA) </w:t>
      </w:r>
      <w:r w:rsidRPr="008562B2">
        <w:t>(version 2.0, dated 12 Oct</w:t>
      </w:r>
      <w:r>
        <w:t>ober</w:t>
      </w:r>
      <w:r w:rsidRPr="008562B2">
        <w:t xml:space="preserve"> 2020),</w:t>
      </w:r>
      <w:r>
        <w:t xml:space="preserve"> included with submission PM</w:t>
      </w:r>
      <w:r>
        <w:noBreakHyphen/>
        <w:t>2020</w:t>
      </w:r>
      <w:r>
        <w:noBreakHyphen/>
      </w:r>
      <w:r w:rsidRPr="008562B2">
        <w:t>01818-1-3, and any subsequent revisions, as agreed with the TGA will be implemented in Australia.</w:t>
      </w:r>
    </w:p>
    <w:p w14:paraId="18088C10" w14:textId="77777777" w:rsidR="008562B2" w:rsidRDefault="008562B2" w:rsidP="008562B2">
      <w:pPr>
        <w:ind w:left="720"/>
      </w:pPr>
      <w:r w:rsidRPr="008562B2">
        <w:t>An obligatory component of risk management plans is routine pharmacovigilance. Routine pharmacovigilance includes the submission of periodic safety update reports (PSURs</w:t>
      </w:r>
      <w:r>
        <w:t>).</w:t>
      </w:r>
    </w:p>
    <w:p w14:paraId="1AF1F07F" w14:textId="77777777" w:rsidR="008562B2" w:rsidRDefault="008562B2" w:rsidP="008562B2">
      <w:pPr>
        <w:ind w:left="720"/>
      </w:pPr>
      <w:r w:rsidRPr="008562B2">
        <w:t>Reports are to be provided in line with the current published list of EU reference dates and frequency of submission of PSURs until the period covered by such reports is not less than three years from th</w:t>
      </w:r>
      <w:r>
        <w:t>e date of this approval letter.</w:t>
      </w:r>
    </w:p>
    <w:p w14:paraId="4EA3F1D5" w14:textId="77777777" w:rsidR="008562B2" w:rsidRPr="008562B2" w:rsidRDefault="008562B2" w:rsidP="008562B2">
      <w:pPr>
        <w:ind w:left="720"/>
      </w:pPr>
      <w:r w:rsidRPr="008562B2">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w:t>
      </w:r>
      <w:r>
        <w:t>ation to vary the registration.</w:t>
      </w:r>
    </w:p>
    <w:p w14:paraId="02814CFA" w14:textId="77777777" w:rsidR="008E7846" w:rsidRDefault="00AA0ED0" w:rsidP="008E7846">
      <w:pPr>
        <w:pStyle w:val="Heading3"/>
      </w:pPr>
      <w:bookmarkStart w:id="50" w:name="_Toc247691531"/>
      <w:bookmarkStart w:id="51" w:name="_Toc314842515"/>
      <w:bookmarkStart w:id="52" w:name="_Toc196046505"/>
      <w:bookmarkStart w:id="53" w:name="_Toc196046949"/>
      <w:bookmarkStart w:id="54" w:name="_Toc71104757"/>
      <w:r>
        <w:t>Risk-benefit a</w:t>
      </w:r>
      <w:r w:rsidR="008E7846">
        <w:t>nalysis</w:t>
      </w:r>
      <w:bookmarkEnd w:id="50"/>
      <w:bookmarkEnd w:id="51"/>
      <w:bookmarkEnd w:id="54"/>
    </w:p>
    <w:p w14:paraId="3572C912" w14:textId="77777777" w:rsidR="00D23139" w:rsidRDefault="007D53B6" w:rsidP="00D23139">
      <w:pPr>
        <w:pStyle w:val="Heading4"/>
      </w:pPr>
      <w:r>
        <w:t>Delegate’s considerations</w:t>
      </w:r>
    </w:p>
    <w:p w14:paraId="0F987E80" w14:textId="77777777" w:rsidR="008562B2" w:rsidRDefault="008562B2" w:rsidP="008562B2">
      <w:pPr>
        <w:pStyle w:val="Heading5"/>
      </w:pPr>
      <w:proofErr w:type="spellStart"/>
      <w:r>
        <w:t>Biosimilarity</w:t>
      </w:r>
      <w:proofErr w:type="spellEnd"/>
    </w:p>
    <w:p w14:paraId="6839BF80" w14:textId="1F6F9B6B" w:rsidR="006259EC" w:rsidRDefault="006259EC" w:rsidP="006259EC">
      <w:r>
        <w:t>This application to register Abrilada</w:t>
      </w:r>
      <w:r w:rsidR="003B51AB">
        <w:t xml:space="preserve"> (</w:t>
      </w:r>
      <w:r w:rsidR="00473C57">
        <w:t>adalimumab</w:t>
      </w:r>
      <w:r w:rsidR="003B51AB">
        <w:t>)</w:t>
      </w:r>
      <w:r>
        <w:t xml:space="preserve"> is based on </w:t>
      </w:r>
      <w:proofErr w:type="spellStart"/>
      <w:r>
        <w:t>biosimilarity</w:t>
      </w:r>
      <w:proofErr w:type="spellEnd"/>
      <w:r>
        <w:t xml:space="preserve"> to the Australian reference product, Humira</w:t>
      </w:r>
      <w:r w:rsidR="003B51AB">
        <w:t xml:space="preserve"> (</w:t>
      </w:r>
      <w:r w:rsidR="00473C57">
        <w:t>adalimumab</w:t>
      </w:r>
      <w:r w:rsidR="003B51AB">
        <w:t>)</w:t>
      </w:r>
      <w:r>
        <w:t>.</w:t>
      </w:r>
      <w:r w:rsidR="004E5FF6">
        <w:rPr>
          <w:rStyle w:val="FootnoteReference"/>
        </w:rPr>
        <w:footnoteReference w:id="12"/>
      </w:r>
      <w:r>
        <w:t xml:space="preserve"> The proposed indications, dosage, and route of administration of </w:t>
      </w:r>
      <w:r w:rsidR="004E5FF6">
        <w:t>Abrilada</w:t>
      </w:r>
      <w:r>
        <w:t xml:space="preserve"> are the same as </w:t>
      </w:r>
      <w:r w:rsidR="004E5FF6">
        <w:t>Humira</w:t>
      </w:r>
      <w:r>
        <w:t xml:space="preserve"> in </w:t>
      </w:r>
      <w:r w:rsidR="004E5FF6">
        <w:t>Australia</w:t>
      </w:r>
      <w:r w:rsidR="003B51AB">
        <w:t xml:space="preserve"> (these are listed under </w:t>
      </w:r>
      <w:r w:rsidR="003B51AB" w:rsidRPr="003B51AB">
        <w:rPr>
          <w:i/>
        </w:rPr>
        <w:t>section: Introduction to product submission</w:t>
      </w:r>
      <w:r w:rsidR="003B51AB">
        <w:t>, at the start of this document)</w:t>
      </w:r>
      <w:r w:rsidR="004E5FF6">
        <w:t>.</w:t>
      </w:r>
      <w:r>
        <w:t xml:space="preserve"> The comparability studies for </w:t>
      </w:r>
      <w:r w:rsidR="004E5FF6">
        <w:t>Abrilada</w:t>
      </w:r>
      <w:r>
        <w:t xml:space="preserve"> were based on EU- and US-sourced </w:t>
      </w:r>
      <w:r w:rsidR="004E5FF6">
        <w:t>Humira</w:t>
      </w:r>
      <w:r>
        <w:t>, but the findings are applicable to Australia because a</w:t>
      </w:r>
      <w:r w:rsidR="004E5FF6">
        <w:rPr>
          <w:lang w:val="en-GB"/>
        </w:rPr>
        <w:t xml:space="preserve"> bridging study demonstrated c</w:t>
      </w:r>
      <w:r w:rsidRPr="00AB099C">
        <w:rPr>
          <w:lang w:val="en-GB"/>
        </w:rPr>
        <w:t xml:space="preserve">omparability of Australian-sourced </w:t>
      </w:r>
      <w:r w:rsidR="004E5FF6" w:rsidRPr="00AB099C">
        <w:rPr>
          <w:lang w:val="en-GB"/>
        </w:rPr>
        <w:t>Humira</w:t>
      </w:r>
      <w:r w:rsidRPr="00AB099C">
        <w:rPr>
          <w:lang w:val="en-GB"/>
        </w:rPr>
        <w:t xml:space="preserve"> </w:t>
      </w:r>
      <w:r>
        <w:rPr>
          <w:lang w:val="en-GB"/>
        </w:rPr>
        <w:t>with</w:t>
      </w:r>
      <w:r w:rsidRPr="00AB099C">
        <w:rPr>
          <w:lang w:val="en-GB"/>
        </w:rPr>
        <w:t xml:space="preserve"> EU- and US-sourced </w:t>
      </w:r>
      <w:r w:rsidR="004E5FF6" w:rsidRPr="00AB099C">
        <w:rPr>
          <w:lang w:val="en-GB"/>
        </w:rPr>
        <w:t>Humira</w:t>
      </w:r>
      <w:r w:rsidRPr="00AB099C">
        <w:rPr>
          <w:lang w:val="en-GB"/>
        </w:rPr>
        <w:t>.</w:t>
      </w:r>
    </w:p>
    <w:p w14:paraId="0A748AE3" w14:textId="1B7E95DC" w:rsidR="006259EC" w:rsidRDefault="006259EC" w:rsidP="006259EC">
      <w:pPr>
        <w:rPr>
          <w:lang w:val="en-GB"/>
        </w:rPr>
      </w:pPr>
      <w:r>
        <w:t xml:space="preserve">The </w:t>
      </w:r>
      <w:r w:rsidR="004E5FF6">
        <w:t>s</w:t>
      </w:r>
      <w:r>
        <w:t xml:space="preserve">ponsor performed a comprehensive comparability program following the principles described in the </w:t>
      </w:r>
      <w:r w:rsidRPr="00F83E68">
        <w:rPr>
          <w:i/>
        </w:rPr>
        <w:t>Guideline on similar biological medicinal products containing biotechnology-derived proteins as active substance: quality issues</w:t>
      </w:r>
      <w:r w:rsidR="00204A56">
        <w:rPr>
          <w:i/>
        </w:rPr>
        <w:t>;</w:t>
      </w:r>
      <w:r w:rsidR="003B51AB" w:rsidRPr="003B51AB">
        <w:rPr>
          <w:i/>
          <w:vertAlign w:val="superscript"/>
        </w:rPr>
        <w:fldChar w:fldCharType="begin"/>
      </w:r>
      <w:r w:rsidR="003B51AB" w:rsidRPr="003B51AB">
        <w:rPr>
          <w:i/>
          <w:vertAlign w:val="superscript"/>
        </w:rPr>
        <w:instrText xml:space="preserve"> NOTEREF _Ref66250500 \h </w:instrText>
      </w:r>
      <w:r w:rsidR="003B51AB">
        <w:rPr>
          <w:i/>
          <w:vertAlign w:val="superscript"/>
        </w:rPr>
        <w:instrText xml:space="preserve"> \* MERGEFORMAT </w:instrText>
      </w:r>
      <w:r w:rsidR="003B51AB" w:rsidRPr="003B51AB">
        <w:rPr>
          <w:i/>
          <w:vertAlign w:val="superscript"/>
        </w:rPr>
      </w:r>
      <w:r w:rsidR="003B51AB" w:rsidRPr="003B51AB">
        <w:rPr>
          <w:i/>
          <w:vertAlign w:val="superscript"/>
        </w:rPr>
        <w:fldChar w:fldCharType="separate"/>
      </w:r>
      <w:r w:rsidR="0012232D">
        <w:rPr>
          <w:i/>
          <w:vertAlign w:val="superscript"/>
        </w:rPr>
        <w:t>3</w:t>
      </w:r>
      <w:r w:rsidR="003B51AB" w:rsidRPr="003B51AB">
        <w:rPr>
          <w:i/>
          <w:vertAlign w:val="superscript"/>
        </w:rPr>
        <w:fldChar w:fldCharType="end"/>
      </w:r>
      <w:r>
        <w:rPr>
          <w:i/>
        </w:rPr>
        <w:t xml:space="preserve"> </w:t>
      </w:r>
      <w:r>
        <w:t xml:space="preserve">the </w:t>
      </w:r>
      <w:r>
        <w:rPr>
          <w:i/>
        </w:rPr>
        <w:t>G</w:t>
      </w:r>
      <w:r w:rsidRPr="00645E9C">
        <w:rPr>
          <w:i/>
        </w:rPr>
        <w:t>uideline on similar biological medicinal products containing monoclonal antibodies – non-clinical and clinical issues</w:t>
      </w:r>
      <w:r w:rsidR="003B51AB">
        <w:rPr>
          <w:i/>
        </w:rPr>
        <w:t>;</w:t>
      </w:r>
      <w:r w:rsidR="003B51AB" w:rsidRPr="003B51AB">
        <w:rPr>
          <w:i/>
          <w:vertAlign w:val="superscript"/>
        </w:rPr>
        <w:fldChar w:fldCharType="begin"/>
      </w:r>
      <w:r w:rsidR="003B51AB" w:rsidRPr="003B51AB">
        <w:rPr>
          <w:i/>
          <w:vertAlign w:val="superscript"/>
        </w:rPr>
        <w:instrText xml:space="preserve"> NOTEREF _Ref66250622 \h </w:instrText>
      </w:r>
      <w:r w:rsidR="003B51AB">
        <w:rPr>
          <w:i/>
          <w:vertAlign w:val="superscript"/>
        </w:rPr>
        <w:instrText xml:space="preserve"> \* MERGEFORMAT </w:instrText>
      </w:r>
      <w:r w:rsidR="003B51AB" w:rsidRPr="003B51AB">
        <w:rPr>
          <w:i/>
          <w:vertAlign w:val="superscript"/>
        </w:rPr>
      </w:r>
      <w:r w:rsidR="003B51AB" w:rsidRPr="003B51AB">
        <w:rPr>
          <w:i/>
          <w:vertAlign w:val="superscript"/>
        </w:rPr>
        <w:fldChar w:fldCharType="separate"/>
      </w:r>
      <w:r w:rsidR="0012232D">
        <w:rPr>
          <w:i/>
          <w:vertAlign w:val="superscript"/>
        </w:rPr>
        <w:t>4</w:t>
      </w:r>
      <w:r w:rsidR="003B51AB" w:rsidRPr="003B51AB">
        <w:rPr>
          <w:i/>
          <w:vertAlign w:val="superscript"/>
        </w:rPr>
        <w:fldChar w:fldCharType="end"/>
      </w:r>
      <w:r>
        <w:t xml:space="preserve"> and the overarching </w:t>
      </w:r>
      <w:r w:rsidRPr="00645E9C">
        <w:rPr>
          <w:i/>
        </w:rPr>
        <w:t>Guideline on similar biological medicinal products</w:t>
      </w:r>
      <w:r>
        <w:t>.</w:t>
      </w:r>
      <w:r w:rsidR="003B51AB" w:rsidRPr="003B51AB">
        <w:rPr>
          <w:vertAlign w:val="superscript"/>
        </w:rPr>
        <w:fldChar w:fldCharType="begin"/>
      </w:r>
      <w:r w:rsidR="003B51AB" w:rsidRPr="003B51AB">
        <w:rPr>
          <w:vertAlign w:val="superscript"/>
        </w:rPr>
        <w:instrText xml:space="preserve"> NOTEREF _Ref66250631 \h </w:instrText>
      </w:r>
      <w:r w:rsidR="003B51AB">
        <w:rPr>
          <w:vertAlign w:val="superscript"/>
        </w:rPr>
        <w:instrText xml:space="preserve"> \* MERGEFORMAT </w:instrText>
      </w:r>
      <w:r w:rsidR="003B51AB" w:rsidRPr="003B51AB">
        <w:rPr>
          <w:vertAlign w:val="superscript"/>
        </w:rPr>
      </w:r>
      <w:r w:rsidR="003B51AB" w:rsidRPr="003B51AB">
        <w:rPr>
          <w:vertAlign w:val="superscript"/>
        </w:rPr>
        <w:fldChar w:fldCharType="separate"/>
      </w:r>
      <w:r w:rsidR="0012232D">
        <w:rPr>
          <w:vertAlign w:val="superscript"/>
        </w:rPr>
        <w:t>2</w:t>
      </w:r>
      <w:r w:rsidR="003B51AB" w:rsidRPr="003B51AB">
        <w:rPr>
          <w:vertAlign w:val="superscript"/>
        </w:rPr>
        <w:fldChar w:fldCharType="end"/>
      </w:r>
    </w:p>
    <w:p w14:paraId="3400E3D5" w14:textId="77777777" w:rsidR="006259EC" w:rsidRDefault="006259EC" w:rsidP="006259EC">
      <w:r>
        <w:t xml:space="preserve">The quality assessment demonstrated high similarity between </w:t>
      </w:r>
      <w:r w:rsidR="004E5FF6">
        <w:t xml:space="preserve">Abrilada </w:t>
      </w:r>
      <w:r>
        <w:t xml:space="preserve">and </w:t>
      </w:r>
      <w:r w:rsidR="004E5FF6">
        <w:t xml:space="preserve">Humira </w:t>
      </w:r>
      <w:r>
        <w:t>for primary, secondary and higher order structures, post-translational modifications (charge variants and glycan profiles), purity and impurities, quan</w:t>
      </w:r>
      <w:r w:rsidR="004E5FF6">
        <w:t>tity, biological activity in fragment antigen binding and fragment crystallisable</w:t>
      </w:r>
      <w:r>
        <w:t xml:space="preserve"> related functions, and compa</w:t>
      </w:r>
      <w:r w:rsidR="004E5FF6">
        <w:t xml:space="preserve">rative stability studies. </w:t>
      </w:r>
      <w:r>
        <w:t xml:space="preserve">Comprehensive </w:t>
      </w:r>
      <w:r w:rsidRPr="00A25DEB">
        <w:rPr>
          <w:i/>
        </w:rPr>
        <w:t>in vitro</w:t>
      </w:r>
      <w:r>
        <w:t xml:space="preserve"> studies demonstrated similarity of key functional activities of </w:t>
      </w:r>
      <w:r w:rsidR="004E5FF6">
        <w:t>Abrilada</w:t>
      </w:r>
      <w:r>
        <w:t xml:space="preserve"> and </w:t>
      </w:r>
      <w:r w:rsidR="004E5FF6">
        <w:t>Humira.</w:t>
      </w:r>
      <w:r>
        <w:t xml:space="preserve"> Minor differences in high mannose variants and </w:t>
      </w:r>
      <w:proofErr w:type="spellStart"/>
      <w:r>
        <w:t>afucosylation</w:t>
      </w:r>
      <w:proofErr w:type="spellEnd"/>
      <w:r>
        <w:t xml:space="preserve"> levels are not expected</w:t>
      </w:r>
      <w:r w:rsidR="004E5FF6">
        <w:t xml:space="preserve"> to be clinically significant. </w:t>
      </w:r>
      <w:r>
        <w:t xml:space="preserve">Comparable toxicity and </w:t>
      </w:r>
      <w:proofErr w:type="spellStart"/>
      <w:r>
        <w:t>toxicokinetic</w:t>
      </w:r>
      <w:proofErr w:type="spellEnd"/>
      <w:r>
        <w:t xml:space="preserve"> findings were demonstrated for </w:t>
      </w:r>
      <w:r w:rsidR="004E5FF6">
        <w:t>Abrilada</w:t>
      </w:r>
      <w:r>
        <w:t xml:space="preserve"> and </w:t>
      </w:r>
      <w:r w:rsidR="004E5FF6">
        <w:t>EU-sourced Humira</w:t>
      </w:r>
      <w:r>
        <w:t xml:space="preserve"> in </w:t>
      </w:r>
      <w:proofErr w:type="spellStart"/>
      <w:r>
        <w:t>cynomolgus</w:t>
      </w:r>
      <w:proofErr w:type="spellEnd"/>
      <w:r>
        <w:t xml:space="preserve"> monkeys.</w:t>
      </w:r>
    </w:p>
    <w:p w14:paraId="21313327" w14:textId="77777777" w:rsidR="006259EC" w:rsidRDefault="006259EC" w:rsidP="006259EC">
      <w:pPr>
        <w:rPr>
          <w:lang w:eastAsia="en-AU"/>
        </w:rPr>
      </w:pPr>
      <w:r>
        <w:rPr>
          <w:lang w:eastAsia="en-AU"/>
        </w:rPr>
        <w:t>C</w:t>
      </w:r>
      <w:r w:rsidRPr="003B495A">
        <w:rPr>
          <w:lang w:eastAsia="en-AU"/>
        </w:rPr>
        <w:t xml:space="preserve">linical </w:t>
      </w:r>
      <w:r>
        <w:rPr>
          <w:lang w:eastAsia="en-AU"/>
        </w:rPr>
        <w:t xml:space="preserve">comparability studies </w:t>
      </w:r>
      <w:r w:rsidRPr="003B495A">
        <w:rPr>
          <w:lang w:eastAsia="en-AU"/>
        </w:rPr>
        <w:t>included</w:t>
      </w:r>
      <w:r>
        <w:rPr>
          <w:lang w:eastAsia="en-AU"/>
        </w:rPr>
        <w:t xml:space="preserve"> </w:t>
      </w:r>
      <w:r w:rsidR="00040426">
        <w:rPr>
          <w:lang w:eastAsia="en-AU"/>
        </w:rPr>
        <w:t xml:space="preserve">three single </w:t>
      </w:r>
      <w:r w:rsidRPr="003B495A">
        <w:rPr>
          <w:lang w:eastAsia="en-AU"/>
        </w:rPr>
        <w:t>dose PK studies in healthy volunteers</w:t>
      </w:r>
      <w:r>
        <w:rPr>
          <w:lang w:eastAsia="en-AU"/>
        </w:rPr>
        <w:t xml:space="preserve"> (</w:t>
      </w:r>
      <w:r w:rsidR="00040426">
        <w:rPr>
          <w:lang w:eastAsia="en-AU"/>
        </w:rPr>
        <w:t>Studies B5381001, B5381005 and</w:t>
      </w:r>
      <w:r>
        <w:rPr>
          <w:lang w:eastAsia="en-AU"/>
        </w:rPr>
        <w:t xml:space="preserve"> B5381007)</w:t>
      </w:r>
      <w:r w:rsidRPr="003B495A">
        <w:rPr>
          <w:lang w:eastAsia="en-AU"/>
        </w:rPr>
        <w:t xml:space="preserve"> </w:t>
      </w:r>
      <w:r>
        <w:rPr>
          <w:lang w:eastAsia="en-AU"/>
        </w:rPr>
        <w:t xml:space="preserve">and </w:t>
      </w:r>
      <w:r w:rsidRPr="003B495A">
        <w:rPr>
          <w:lang w:eastAsia="en-AU"/>
        </w:rPr>
        <w:t>a</w:t>
      </w:r>
      <w:r>
        <w:rPr>
          <w:lang w:eastAsia="en-AU"/>
        </w:rPr>
        <w:t xml:space="preserve"> randomised, double-blind</w:t>
      </w:r>
      <w:r w:rsidRPr="003B495A">
        <w:rPr>
          <w:lang w:eastAsia="en-AU"/>
        </w:rPr>
        <w:t xml:space="preserve"> efficacy and safety study in patients </w:t>
      </w:r>
      <w:r>
        <w:rPr>
          <w:lang w:eastAsia="en-AU"/>
        </w:rPr>
        <w:t xml:space="preserve">with </w:t>
      </w:r>
      <w:r w:rsidRPr="003B495A">
        <w:rPr>
          <w:lang w:eastAsia="en-AU"/>
        </w:rPr>
        <w:t>moderate</w:t>
      </w:r>
      <w:r>
        <w:rPr>
          <w:lang w:eastAsia="en-AU"/>
        </w:rPr>
        <w:t>ly</w:t>
      </w:r>
      <w:r w:rsidRPr="003B495A">
        <w:rPr>
          <w:lang w:eastAsia="en-AU"/>
        </w:rPr>
        <w:t xml:space="preserve"> to severe</w:t>
      </w:r>
      <w:r>
        <w:rPr>
          <w:lang w:eastAsia="en-AU"/>
        </w:rPr>
        <w:t>ly active</w:t>
      </w:r>
      <w:r w:rsidR="00040426">
        <w:rPr>
          <w:lang w:eastAsia="en-AU"/>
        </w:rPr>
        <w:t xml:space="preserve"> rheumatoid arthritis</w:t>
      </w:r>
      <w:r w:rsidRPr="003B495A">
        <w:rPr>
          <w:lang w:eastAsia="en-AU"/>
        </w:rPr>
        <w:t xml:space="preserve"> (</w:t>
      </w:r>
      <w:r w:rsidR="00040426">
        <w:rPr>
          <w:lang w:eastAsia="en-AU"/>
        </w:rPr>
        <w:t xml:space="preserve">Study </w:t>
      </w:r>
      <w:r w:rsidRPr="003B495A">
        <w:rPr>
          <w:lang w:eastAsia="en-AU"/>
        </w:rPr>
        <w:t>B5381002)</w:t>
      </w:r>
      <w:r>
        <w:rPr>
          <w:lang w:eastAsia="en-AU"/>
        </w:rPr>
        <w:t xml:space="preserve"> which</w:t>
      </w:r>
      <w:r w:rsidRPr="003B495A">
        <w:rPr>
          <w:lang w:eastAsia="en-AU"/>
        </w:rPr>
        <w:t xml:space="preserve"> </w:t>
      </w:r>
      <w:r>
        <w:rPr>
          <w:lang w:eastAsia="en-AU"/>
        </w:rPr>
        <w:t>included</w:t>
      </w:r>
      <w:r w:rsidRPr="003B495A">
        <w:rPr>
          <w:lang w:eastAsia="en-AU"/>
        </w:rPr>
        <w:t xml:space="preserve"> a </w:t>
      </w:r>
      <w:r w:rsidR="00040426">
        <w:rPr>
          <w:lang w:eastAsia="en-AU"/>
        </w:rPr>
        <w:t>prefilled pen</w:t>
      </w:r>
      <w:r>
        <w:rPr>
          <w:lang w:eastAsia="en-AU"/>
        </w:rPr>
        <w:t xml:space="preserve"> </w:t>
      </w:r>
      <w:r w:rsidRPr="003B495A">
        <w:rPr>
          <w:lang w:eastAsia="en-AU"/>
        </w:rPr>
        <w:t>sub-study (</w:t>
      </w:r>
      <w:r w:rsidR="00040426">
        <w:rPr>
          <w:lang w:eastAsia="en-AU"/>
        </w:rPr>
        <w:t xml:space="preserve">Study </w:t>
      </w:r>
      <w:r w:rsidRPr="003B495A">
        <w:rPr>
          <w:lang w:eastAsia="en-AU"/>
        </w:rPr>
        <w:t>B5381002b)</w:t>
      </w:r>
      <w:r w:rsidR="00040426">
        <w:rPr>
          <w:lang w:eastAsia="en-AU"/>
        </w:rPr>
        <w:t>.</w:t>
      </w:r>
      <w:r>
        <w:rPr>
          <w:lang w:eastAsia="en-AU"/>
        </w:rPr>
        <w:t xml:space="preserve"> </w:t>
      </w:r>
      <w:r>
        <w:t xml:space="preserve">Overall, the clinical PK, efficacy, safety, and immunogenicity data support the </w:t>
      </w:r>
      <w:proofErr w:type="spellStart"/>
      <w:r>
        <w:t>biosimilarity</w:t>
      </w:r>
      <w:proofErr w:type="spellEnd"/>
      <w:r>
        <w:t xml:space="preserve"> of </w:t>
      </w:r>
      <w:r w:rsidR="00040426">
        <w:t>Abrilada</w:t>
      </w:r>
      <w:r>
        <w:t xml:space="preserve"> and </w:t>
      </w:r>
      <w:r w:rsidR="00040426">
        <w:t>Humira</w:t>
      </w:r>
      <w:r>
        <w:t>.</w:t>
      </w:r>
    </w:p>
    <w:p w14:paraId="778431A9" w14:textId="77777777" w:rsidR="006259EC" w:rsidRDefault="006259EC" w:rsidP="006259EC">
      <w:r>
        <w:t xml:space="preserve">The comparability of the PK of a single 40 mg SC dose of </w:t>
      </w:r>
      <w:r w:rsidR="00040426">
        <w:t>Abrilada, EU-sourced and US</w:t>
      </w:r>
      <w:r w:rsidR="00040426">
        <w:noBreakHyphen/>
        <w:t xml:space="preserve">sourced Humira </w:t>
      </w:r>
      <w:r>
        <w:t xml:space="preserve">in healthy subjects was assessed two clinical PK similarity studies, </w:t>
      </w:r>
      <w:r w:rsidR="00040426">
        <w:t xml:space="preserve">Studies </w:t>
      </w:r>
      <w:r>
        <w:t xml:space="preserve">B5381001 and B5381007. In Study B5381001, comparable PK was demonstrated for </w:t>
      </w:r>
      <w:proofErr w:type="spellStart"/>
      <w:r>
        <w:t>C</w:t>
      </w:r>
      <w:r w:rsidRPr="00D969D9">
        <w:rPr>
          <w:vertAlign w:val="subscript"/>
        </w:rPr>
        <w:t>max</w:t>
      </w:r>
      <w:proofErr w:type="spellEnd"/>
      <w:r>
        <w:t xml:space="preserve"> and AUC</w:t>
      </w:r>
      <w:r w:rsidRPr="00D969D9">
        <w:rPr>
          <w:vertAlign w:val="subscript"/>
        </w:rPr>
        <w:t>0-2wk</w:t>
      </w:r>
      <w:r>
        <w:t>, but not for AUC</w:t>
      </w:r>
      <w:r w:rsidR="00040426">
        <w:rPr>
          <w:vertAlign w:val="subscript"/>
        </w:rPr>
        <w:t>0-t</w:t>
      </w:r>
      <w:r>
        <w:t xml:space="preserve"> and AUC</w:t>
      </w:r>
      <w:r w:rsidR="00040426">
        <w:rPr>
          <w:vertAlign w:val="subscript"/>
        </w:rPr>
        <w:t>0-i</w:t>
      </w:r>
      <w:r w:rsidRPr="00D969D9">
        <w:rPr>
          <w:vertAlign w:val="subscript"/>
        </w:rPr>
        <w:t>nf</w:t>
      </w:r>
      <w:r w:rsidR="00040426">
        <w:t xml:space="preserve">. </w:t>
      </w:r>
      <w:r>
        <w:t xml:space="preserve">Exposure was numerically higher for </w:t>
      </w:r>
      <w:r w:rsidR="00040426">
        <w:t>Abrilada</w:t>
      </w:r>
      <w:r>
        <w:t xml:space="preserve"> compared to </w:t>
      </w:r>
      <w:r w:rsidR="00040426">
        <w:t>EU- and US-sourced Humira</w:t>
      </w:r>
      <w:r>
        <w:t xml:space="preserve">. </w:t>
      </w:r>
      <w:r w:rsidR="00040426">
        <w:t xml:space="preserve">The 6 </w:t>
      </w:r>
      <w:r>
        <w:t>week PK sampling period limited the capacity of the study to characterise the late elimination phase of the PK profile.</w:t>
      </w:r>
      <w:r w:rsidR="00040426">
        <w:t xml:space="preserve"> </w:t>
      </w:r>
      <w:r>
        <w:t>In addition, the</w:t>
      </w:r>
      <w:r w:rsidR="00040426">
        <w:t xml:space="preserve"> s</w:t>
      </w:r>
      <w:r>
        <w:t>ponsor considered that small differences in immunogenicity between the groups may have impacted on the failure to demonstrate comparable AUC</w:t>
      </w:r>
      <w:r w:rsidR="00040426">
        <w:rPr>
          <w:vertAlign w:val="subscript"/>
        </w:rPr>
        <w:t>0-t</w:t>
      </w:r>
      <w:r>
        <w:rPr>
          <w:vertAlign w:val="subscript"/>
        </w:rPr>
        <w:t xml:space="preserve"> </w:t>
      </w:r>
      <w:r>
        <w:t>and AUC</w:t>
      </w:r>
      <w:r w:rsidR="00040426">
        <w:rPr>
          <w:vertAlign w:val="subscript"/>
        </w:rPr>
        <w:t>0-i</w:t>
      </w:r>
      <w:r w:rsidRPr="00D969D9">
        <w:rPr>
          <w:vertAlign w:val="subscript"/>
        </w:rPr>
        <w:t>nf</w:t>
      </w:r>
      <w:r>
        <w:t>. Study B5381007 was conducted to address uncertainties in the PK and immunogenicity findings from Study B5381001.</w:t>
      </w:r>
      <w:r w:rsidR="00040426">
        <w:t xml:space="preserve"> </w:t>
      </w:r>
      <w:r>
        <w:t>Study B5381007 demonstrated comparable PK (</w:t>
      </w:r>
      <w:proofErr w:type="spellStart"/>
      <w:r>
        <w:t>C</w:t>
      </w:r>
      <w:r w:rsidRPr="00D969D9">
        <w:rPr>
          <w:vertAlign w:val="subscript"/>
        </w:rPr>
        <w:t>max</w:t>
      </w:r>
      <w:proofErr w:type="spellEnd"/>
      <w:r>
        <w:t>, AUC</w:t>
      </w:r>
      <w:r w:rsidRPr="00D969D9">
        <w:rPr>
          <w:vertAlign w:val="subscript"/>
        </w:rPr>
        <w:t>0-2wk</w:t>
      </w:r>
      <w:r>
        <w:t>, AUC</w:t>
      </w:r>
      <w:r w:rsidR="00040426">
        <w:rPr>
          <w:vertAlign w:val="subscript"/>
        </w:rPr>
        <w:t>0-t</w:t>
      </w:r>
      <w:r>
        <w:t>, and AUC</w:t>
      </w:r>
      <w:r w:rsidR="00040426">
        <w:rPr>
          <w:vertAlign w:val="subscript"/>
        </w:rPr>
        <w:t>0-i</w:t>
      </w:r>
      <w:r w:rsidRPr="00D969D9">
        <w:rPr>
          <w:vertAlign w:val="subscript"/>
        </w:rPr>
        <w:t>nf</w:t>
      </w:r>
      <w:r>
        <w:t xml:space="preserve">) for </w:t>
      </w:r>
      <w:r w:rsidR="00040426">
        <w:t>Abrilada, EU-sourced Humira and US</w:t>
      </w:r>
      <w:r w:rsidR="00040426">
        <w:noBreakHyphen/>
        <w:t>sourced Humira</w:t>
      </w:r>
      <w:r>
        <w:t>.</w:t>
      </w:r>
      <w:r w:rsidR="00040426">
        <w:t xml:space="preserve"> </w:t>
      </w:r>
      <w:r>
        <w:t xml:space="preserve">Study B5381005 demonstrated comparable PK for a single 40 mg SC dose of </w:t>
      </w:r>
      <w:r w:rsidR="00040426">
        <w:t>Abrilada administered by prefilled syringe or prefilled pen</w:t>
      </w:r>
      <w:r>
        <w:t>.</w:t>
      </w:r>
      <w:r w:rsidR="00040426">
        <w:t xml:space="preserve"> </w:t>
      </w:r>
      <w:r>
        <w:t xml:space="preserve">In patients </w:t>
      </w:r>
      <w:r w:rsidR="00040426">
        <w:t>with rheumatoid arthritis</w:t>
      </w:r>
      <w:r>
        <w:t xml:space="preserve"> (Study B5381002), mean trough concentrations </w:t>
      </w:r>
      <w:r>
        <w:rPr>
          <w:lang w:eastAsia="en-AU"/>
        </w:rPr>
        <w:t>were</w:t>
      </w:r>
      <w:r w:rsidR="00040426">
        <w:rPr>
          <w:lang w:eastAsia="en-AU"/>
        </w:rPr>
        <w:t xml:space="preserve"> slightly higher in the Abrilada</w:t>
      </w:r>
      <w:r>
        <w:rPr>
          <w:lang w:eastAsia="en-AU"/>
        </w:rPr>
        <w:t xml:space="preserve"> group than the EU</w:t>
      </w:r>
      <w:r w:rsidR="00040426">
        <w:rPr>
          <w:lang w:eastAsia="en-AU"/>
        </w:rPr>
        <w:t>-sourced Humira</w:t>
      </w:r>
      <w:r>
        <w:rPr>
          <w:lang w:eastAsia="en-AU"/>
        </w:rPr>
        <w:t xml:space="preserve"> group throughout the study, but there was considerable overlap in serum concentrations between the two study groups, and inter-individual variability in serum t</w:t>
      </w:r>
      <w:r w:rsidR="00040426">
        <w:rPr>
          <w:lang w:eastAsia="en-AU"/>
        </w:rPr>
        <w:t xml:space="preserve">rough concentrations was high. </w:t>
      </w:r>
      <w:r>
        <w:t xml:space="preserve">The steady-state mean trough concentrations of </w:t>
      </w:r>
      <w:r w:rsidR="00040426">
        <w:t>Abrilada</w:t>
      </w:r>
      <w:r>
        <w:t xml:space="preserve"> were</w:t>
      </w:r>
      <w:r w:rsidR="00040426">
        <w:t xml:space="preserve"> similar to those reported in rheumatoid arthritis</w:t>
      </w:r>
      <w:r>
        <w:t xml:space="preserve"> patients with </w:t>
      </w:r>
      <w:r w:rsidR="00040426">
        <w:t>methotrexate</w:t>
      </w:r>
      <w:r>
        <w:t xml:space="preserve"> in the </w:t>
      </w:r>
      <w:r w:rsidR="00040426">
        <w:t xml:space="preserve">Humira </w:t>
      </w:r>
      <w:proofErr w:type="spellStart"/>
      <w:r w:rsidR="00040426">
        <w:t>SmPC</w:t>
      </w:r>
      <w:proofErr w:type="spellEnd"/>
      <w:r w:rsidR="00040426">
        <w:t xml:space="preserve"> (around 5 to 8 μg/mL</w:t>
      </w:r>
      <w:r>
        <w:t>).</w:t>
      </w:r>
      <w:r w:rsidR="00A37F5B">
        <w:rPr>
          <w:rStyle w:val="FootnoteReference"/>
        </w:rPr>
        <w:footnoteReference w:id="13"/>
      </w:r>
    </w:p>
    <w:p w14:paraId="25722013" w14:textId="76A1A06C" w:rsidR="006259EC" w:rsidRDefault="006259EC" w:rsidP="006259EC">
      <w:r>
        <w:t xml:space="preserve">The randomised, double-blind efficacy and safety study, </w:t>
      </w:r>
      <w:r w:rsidR="00A37F5B">
        <w:t xml:space="preserve">Study </w:t>
      </w:r>
      <w:r>
        <w:t xml:space="preserve">B5381002, demonstrated therapeutic equivalence of </w:t>
      </w:r>
      <w:r w:rsidR="00A37F5B">
        <w:t xml:space="preserve">Abrilada </w:t>
      </w:r>
      <w:r>
        <w:t xml:space="preserve">and </w:t>
      </w:r>
      <w:r w:rsidR="00A37F5B">
        <w:t>EU-sourced Humira</w:t>
      </w:r>
      <w:r>
        <w:t xml:space="preserve"> based on ACR20 response at Week 12</w:t>
      </w:r>
      <w:r w:rsidR="00A37F5B">
        <w:t>.</w:t>
      </w:r>
      <w:r w:rsidR="00A37F5B" w:rsidRPr="00A37F5B">
        <w:rPr>
          <w:vertAlign w:val="superscript"/>
        </w:rPr>
        <w:fldChar w:fldCharType="begin"/>
      </w:r>
      <w:r w:rsidR="00A37F5B" w:rsidRPr="00A37F5B">
        <w:rPr>
          <w:vertAlign w:val="superscript"/>
        </w:rPr>
        <w:instrText xml:space="preserve"> NOTEREF _Ref65814091 \h </w:instrText>
      </w:r>
      <w:r w:rsidR="00A37F5B">
        <w:rPr>
          <w:vertAlign w:val="superscript"/>
        </w:rPr>
        <w:instrText xml:space="preserve"> \* MERGEFORMAT </w:instrText>
      </w:r>
      <w:r w:rsidR="00A37F5B" w:rsidRPr="00A37F5B">
        <w:rPr>
          <w:vertAlign w:val="superscript"/>
        </w:rPr>
      </w:r>
      <w:r w:rsidR="00A37F5B" w:rsidRPr="00A37F5B">
        <w:rPr>
          <w:vertAlign w:val="superscript"/>
        </w:rPr>
        <w:fldChar w:fldCharType="separate"/>
      </w:r>
      <w:r w:rsidR="0012232D">
        <w:rPr>
          <w:vertAlign w:val="superscript"/>
        </w:rPr>
        <w:t>6</w:t>
      </w:r>
      <w:r w:rsidR="00A37F5B" w:rsidRPr="00A37F5B">
        <w:rPr>
          <w:vertAlign w:val="superscript"/>
        </w:rPr>
        <w:fldChar w:fldCharType="end"/>
      </w:r>
      <w:r w:rsidR="00A37F5B">
        <w:t xml:space="preserve"> </w:t>
      </w:r>
      <w:r>
        <w:t>The primary outcome demonstrating equivalent efficacy was supported by consistent findings from sensitivity analyses and secondary efficacy endpoint</w:t>
      </w:r>
      <w:r w:rsidR="00A37F5B">
        <w:t>s.</w:t>
      </w:r>
    </w:p>
    <w:p w14:paraId="26454029" w14:textId="77777777" w:rsidR="00596CCF" w:rsidRDefault="006259EC" w:rsidP="006259EC">
      <w:r>
        <w:t>The safety profile of H</w:t>
      </w:r>
      <w:r w:rsidR="00A37F5B">
        <w:t>umira</w:t>
      </w:r>
      <w:r>
        <w:t xml:space="preserve"> in the proposed in</w:t>
      </w:r>
      <w:r w:rsidR="00A37F5B">
        <w:t xml:space="preserve">dications is well established. </w:t>
      </w:r>
      <w:r>
        <w:t>The safety profile of A</w:t>
      </w:r>
      <w:r w:rsidR="00A37F5B">
        <w:t>brilada</w:t>
      </w:r>
      <w:r>
        <w:t xml:space="preserve"> has been adequately characterised in the development program</w:t>
      </w:r>
      <w:r w:rsidR="00A37F5B">
        <w:t xml:space="preserve">. </w:t>
      </w:r>
      <w:r>
        <w:t>The safety profile of A</w:t>
      </w:r>
      <w:r w:rsidR="00A37F5B">
        <w:t>brilada</w:t>
      </w:r>
      <w:r w:rsidR="00A37F5B" w:rsidRPr="00A457AB">
        <w:t xml:space="preserve"> </w:t>
      </w:r>
      <w:r>
        <w:t xml:space="preserve">was similar to </w:t>
      </w:r>
      <w:r w:rsidR="00A37F5B">
        <w:t>EU-sourced Humira</w:t>
      </w:r>
      <w:r w:rsidRPr="009D4948">
        <w:t xml:space="preserve"> </w:t>
      </w:r>
      <w:r>
        <w:t>in Study B5381002, and consistent with the established safety profile of H</w:t>
      </w:r>
      <w:r w:rsidR="00A37F5B">
        <w:t>umira.</w:t>
      </w:r>
      <w:r>
        <w:t xml:space="preserve"> The randomised, single-dose PK similarity studies in healthy volunteers supported similar safety for A</w:t>
      </w:r>
      <w:r w:rsidR="00A37F5B">
        <w:t>brilada</w:t>
      </w:r>
      <w:r>
        <w:t xml:space="preserve"> and </w:t>
      </w:r>
      <w:r w:rsidR="00596CCF">
        <w:t>Humira.</w:t>
      </w:r>
    </w:p>
    <w:p w14:paraId="49BB34C5" w14:textId="37A0F725" w:rsidR="006259EC" w:rsidRDefault="006259EC" w:rsidP="006259EC">
      <w:r>
        <w:t xml:space="preserve">The immunogenicity of </w:t>
      </w:r>
      <w:r w:rsidR="0025502F">
        <w:t>Abrilada</w:t>
      </w:r>
      <w:r>
        <w:t xml:space="preserve"> is overall similar to </w:t>
      </w:r>
      <w:r w:rsidR="0025502F">
        <w:t xml:space="preserve">EU-sourced Humira </w:t>
      </w:r>
      <w:r>
        <w:t xml:space="preserve">and </w:t>
      </w:r>
      <w:r w:rsidR="0025502F">
        <w:t xml:space="preserve">US-sourced Humira. </w:t>
      </w:r>
      <w:r>
        <w:t xml:space="preserve">The incidence of ADA was very high in healthy subjects after administration of a single 40mg SC dose of adalimumab in the PK similarity studies, and a majority of ADA-positive subjects were also positive for </w:t>
      </w:r>
      <w:proofErr w:type="spellStart"/>
      <w:r>
        <w:t>NAb</w:t>
      </w:r>
      <w:proofErr w:type="spellEnd"/>
      <w:r>
        <w:t xml:space="preserve">. Small differences in the immunogenicity of </w:t>
      </w:r>
      <w:r w:rsidR="0025502F">
        <w:t>Abrilada</w:t>
      </w:r>
      <w:r>
        <w:t xml:space="preserve">, </w:t>
      </w:r>
      <w:r w:rsidR="0025502F">
        <w:t xml:space="preserve">EU- and US-sourced Humira </w:t>
      </w:r>
      <w:r>
        <w:t>were observed in the single-dose PK similarity studies, but there was not a consistent pattern across the studies.</w:t>
      </w:r>
      <w:r w:rsidR="00490513">
        <w:t xml:space="preserve"> </w:t>
      </w:r>
      <w:r>
        <w:t>The proportion of patients who develope</w:t>
      </w:r>
      <w:r w:rsidR="0025502F">
        <w:t>d ADA was lower in the rheumatoid arthritis</w:t>
      </w:r>
      <w:r>
        <w:t xml:space="preserve"> study than in the studies of healthy volunteers, possibly due to concomitant </w:t>
      </w:r>
      <w:r w:rsidR="0025502F">
        <w:t>methotrexate</w:t>
      </w:r>
      <w:r>
        <w:t xml:space="preserve"> treatment and/or the underlying condition. In Study B5381002, the proportions of patients who developed ADA and </w:t>
      </w:r>
      <w:proofErr w:type="spellStart"/>
      <w:r>
        <w:t>NAb</w:t>
      </w:r>
      <w:proofErr w:type="spellEnd"/>
      <w:r>
        <w:t xml:space="preserve"> were similar for </w:t>
      </w:r>
      <w:r w:rsidR="0025502F">
        <w:t>Abrilada</w:t>
      </w:r>
      <w:r>
        <w:t xml:space="preserve"> and </w:t>
      </w:r>
      <w:r w:rsidR="0025502F">
        <w:t xml:space="preserve">EU-sourced Humira. </w:t>
      </w:r>
      <w:r>
        <w:t xml:space="preserve">Mean trough concentrations were notably lower in ADA-positive subjects compared to ADA-negative subjects for both </w:t>
      </w:r>
      <w:r w:rsidR="0025502F">
        <w:t>Abrilada</w:t>
      </w:r>
      <w:r>
        <w:t xml:space="preserve"> and </w:t>
      </w:r>
      <w:r w:rsidR="0025502F">
        <w:t>EU-sourced Humira.</w:t>
      </w:r>
      <w:r>
        <w:t xml:space="preserve"> </w:t>
      </w:r>
      <w:r w:rsidRPr="00DE0BE7">
        <w:rPr>
          <w:lang w:eastAsia="en-AU"/>
        </w:rPr>
        <w:t xml:space="preserve">ACR20 </w:t>
      </w:r>
      <w:r>
        <w:rPr>
          <w:lang w:eastAsia="en-AU"/>
        </w:rPr>
        <w:t xml:space="preserve">response rates trended higher in ADA negative and </w:t>
      </w:r>
      <w:proofErr w:type="spellStart"/>
      <w:r>
        <w:rPr>
          <w:lang w:eastAsia="en-AU"/>
        </w:rPr>
        <w:t>NAb</w:t>
      </w:r>
      <w:proofErr w:type="spellEnd"/>
      <w:r>
        <w:rPr>
          <w:lang w:eastAsia="en-AU"/>
        </w:rPr>
        <w:t xml:space="preserve"> non-positive subjects, compared to ADA positive and </w:t>
      </w:r>
      <w:proofErr w:type="spellStart"/>
      <w:r>
        <w:rPr>
          <w:lang w:eastAsia="en-AU"/>
        </w:rPr>
        <w:t>NAb</w:t>
      </w:r>
      <w:proofErr w:type="spellEnd"/>
      <w:r>
        <w:rPr>
          <w:lang w:eastAsia="en-AU"/>
        </w:rPr>
        <w:t xml:space="preserve"> positive subject</w:t>
      </w:r>
      <w:r w:rsidRPr="00F51151">
        <w:t>s</w:t>
      </w:r>
      <w:r>
        <w:t xml:space="preserve">, for both </w:t>
      </w:r>
      <w:r w:rsidR="0025502F">
        <w:t>Abrilada</w:t>
      </w:r>
      <w:r>
        <w:t xml:space="preserve"> and </w:t>
      </w:r>
      <w:r w:rsidR="0025502F">
        <w:t>EU-sourced Humira.</w:t>
      </w:r>
      <w:r>
        <w:t xml:space="preserve"> The presence of ADA and </w:t>
      </w:r>
      <w:proofErr w:type="spellStart"/>
      <w:r>
        <w:t>NAb</w:t>
      </w:r>
      <w:proofErr w:type="spellEnd"/>
      <w:r>
        <w:t xml:space="preserve"> did not affect safety outcomes. No anaphylaxis or systemic allergic reactions were reported in any of the studies.</w:t>
      </w:r>
    </w:p>
    <w:p w14:paraId="2DE4352C" w14:textId="77777777" w:rsidR="008562B2" w:rsidRDefault="006259EC" w:rsidP="008562B2">
      <w:r>
        <w:t>T</w:t>
      </w:r>
      <w:r w:rsidRPr="00ED7D4E">
        <w:t xml:space="preserve">he </w:t>
      </w:r>
      <w:r w:rsidR="0025502F">
        <w:t>Abrilada</w:t>
      </w:r>
      <w:r w:rsidRPr="00ED7D4E">
        <w:t xml:space="preserve"> development program </w:t>
      </w:r>
      <w:r>
        <w:t xml:space="preserve">has demonstrated </w:t>
      </w:r>
      <w:r w:rsidRPr="00ED7D4E">
        <w:t xml:space="preserve">that </w:t>
      </w:r>
      <w:r w:rsidR="0025502F">
        <w:t>Abrilada</w:t>
      </w:r>
      <w:r w:rsidRPr="00ED7D4E">
        <w:t xml:space="preserve"> is highly similar to the Australian reference product, H</w:t>
      </w:r>
      <w:r w:rsidR="0025502F">
        <w:t>umira.</w:t>
      </w:r>
      <w:r w:rsidRPr="00ED7D4E">
        <w:t xml:space="preserve"> Clinical studies demonstrating similar PK, efficacy, safety and immunogenicity support </w:t>
      </w:r>
      <w:r>
        <w:t>a conclusion of</w:t>
      </w:r>
      <w:r w:rsidRPr="00ED7D4E">
        <w:t xml:space="preserve"> </w:t>
      </w:r>
      <w:proofErr w:type="spellStart"/>
      <w:r w:rsidRPr="00ED7D4E">
        <w:t>biosimilarity</w:t>
      </w:r>
      <w:proofErr w:type="spellEnd"/>
      <w:r>
        <w:t xml:space="preserve"> of </w:t>
      </w:r>
      <w:r w:rsidR="0025502F">
        <w:t>Abrilada</w:t>
      </w:r>
      <w:r>
        <w:t xml:space="preserve"> to </w:t>
      </w:r>
      <w:r w:rsidR="0025502F">
        <w:t>Humira</w:t>
      </w:r>
      <w:r w:rsidRPr="00ED7D4E">
        <w:t>.</w:t>
      </w:r>
    </w:p>
    <w:p w14:paraId="26D89707" w14:textId="77777777" w:rsidR="0025502F" w:rsidRDefault="0025502F" w:rsidP="0025502F">
      <w:pPr>
        <w:pStyle w:val="Heading5"/>
      </w:pPr>
      <w:r>
        <w:t>Proposed indications</w:t>
      </w:r>
    </w:p>
    <w:p w14:paraId="5E26AA4D" w14:textId="6E64B432" w:rsidR="0025502F" w:rsidRDefault="0025502F" w:rsidP="0025502F">
      <w:r>
        <w:t>The proposed indications are the same as the approved Australian indications for Humira</w:t>
      </w:r>
      <w:r w:rsidR="00204A56">
        <w:t xml:space="preserve"> (</w:t>
      </w:r>
      <w:r w:rsidR="00F95147">
        <w:t>adalimumab</w:t>
      </w:r>
      <w:r w:rsidR="00204A56">
        <w:t>)</w:t>
      </w:r>
      <w:r>
        <w:t xml:space="preserve">. The demonstration of </w:t>
      </w:r>
      <w:proofErr w:type="spellStart"/>
      <w:r>
        <w:t>biosimilarity</w:t>
      </w:r>
      <w:proofErr w:type="spellEnd"/>
      <w:r>
        <w:t xml:space="preserve"> to the Australian reference product, Humira, supports the use of Abrilada</w:t>
      </w:r>
      <w:r w:rsidR="00204A56">
        <w:t xml:space="preserve"> (</w:t>
      </w:r>
      <w:r w:rsidR="00F95147">
        <w:t>adalimumab</w:t>
      </w:r>
      <w:r w:rsidR="00204A56">
        <w:t>)</w:t>
      </w:r>
      <w:r>
        <w:t xml:space="preserve"> in the proposed indications. The proposed indications are similar to the approved EU indications for Amsparity</w:t>
      </w:r>
      <w:r w:rsidR="00204A56">
        <w:t xml:space="preserve"> (</w:t>
      </w:r>
      <w:r w:rsidR="00F95147">
        <w:t>adalimumab</w:t>
      </w:r>
      <w:r w:rsidR="00204A56">
        <w:t>)</w:t>
      </w:r>
      <w:r>
        <w:t>. There are some differences in the wording of the EU and Australian indications, but these differences do not meaningfully affect the assessment of benefit-risk. There are several indications approved in the EU which are not approved</w:t>
      </w:r>
      <w:r w:rsidR="00204A56">
        <w:t xml:space="preserve"> for Humira in Australia (axial </w:t>
      </w:r>
      <w:r>
        <w:t>spondyloarthritis without radiographic evidence of ankylosing spondylitis; and paediatric uveitis) and these indications are not proposed in this application.</w:t>
      </w:r>
    </w:p>
    <w:p w14:paraId="0C60461C" w14:textId="5E553F1F" w:rsidR="0025502F" w:rsidRDefault="0025502F" w:rsidP="0025502F">
      <w:r>
        <w:t xml:space="preserve">In the EU, the 40 mg/0.8 mL prefilled syringe and prefilled pen are approved for all indications, whereas the 20 mg/0.4 mL prefilled syringe and the 40 mg/0.8 mL vial are approved only for paediatric indications. In Australia, all of the approved indications for Humira apply to each of the registered products, including the 20 mg/0.4 mL prefilled syringe and 20 mg/0.2 mL prefilled syringe, so it is acceptable for all of the indications to apply to each of the </w:t>
      </w:r>
      <w:r w:rsidR="006B70B8">
        <w:t>Abrilada</w:t>
      </w:r>
      <w:r>
        <w:t xml:space="preserve"> products.</w:t>
      </w:r>
    </w:p>
    <w:p w14:paraId="646E567E" w14:textId="77777777" w:rsidR="002B0C1B" w:rsidRDefault="002B0C1B" w:rsidP="002B0C1B">
      <w:pPr>
        <w:pStyle w:val="Heading5"/>
        <w:rPr>
          <w:lang w:eastAsia="ja-JP"/>
        </w:rPr>
      </w:pPr>
      <w:r>
        <w:rPr>
          <w:lang w:eastAsia="ja-JP"/>
        </w:rPr>
        <w:t>Limitations of the data</w:t>
      </w:r>
    </w:p>
    <w:p w14:paraId="77F9140F" w14:textId="4D428D3E" w:rsidR="002B0C1B" w:rsidRDefault="002B0C1B" w:rsidP="002B0C1B">
      <w:r>
        <w:t>This application does not include an 80 mg strength. The proposed presentations of Abrilada</w:t>
      </w:r>
      <w:r w:rsidR="00204A56">
        <w:t xml:space="preserve"> (</w:t>
      </w:r>
      <w:r w:rsidR="00F95147">
        <w:t>adalimumab</w:t>
      </w:r>
      <w:r w:rsidR="00204A56">
        <w:t>)</w:t>
      </w:r>
      <w:r>
        <w:t xml:space="preserve"> are 20 mg/0.4 mL solution for injection in a prefilled syringe, 40 mg/0.8 mL solution for injection in a prefilled syringe, 40 mg/0.8 mL solution for injection in a prefilled pen, and 40 mg/0.8 mL solution for injection in a vial. All of the proposed dosages are feasible with </w:t>
      </w:r>
      <w:r w:rsidR="006B70B8">
        <w:t>Abrilada</w:t>
      </w:r>
      <w:r>
        <w:t xml:space="preserve">, but patients requiring 80 mg or 160 mg dosages would require multiple injections. This is adequately addressed in the dosing guidance in </w:t>
      </w:r>
      <w:r w:rsidR="00204A56">
        <w:rPr>
          <w:i/>
        </w:rPr>
        <w:t>Section </w:t>
      </w:r>
      <w:r w:rsidRPr="002B0C1B">
        <w:rPr>
          <w:i/>
        </w:rPr>
        <w:t>4.2</w:t>
      </w:r>
      <w:r>
        <w:t xml:space="preserve"> of </w:t>
      </w:r>
      <w:r w:rsidR="006B70B8">
        <w:t>Abrilada</w:t>
      </w:r>
      <w:r>
        <w:t xml:space="preserve"> PI.</w:t>
      </w:r>
    </w:p>
    <w:p w14:paraId="2983800F" w14:textId="62F42AE4" w:rsidR="002B0C1B" w:rsidRPr="008562B2" w:rsidRDefault="002B0C1B" w:rsidP="0025502F">
      <w:pPr>
        <w:rPr>
          <w:lang w:eastAsia="ja-JP"/>
        </w:rPr>
      </w:pPr>
      <w:r>
        <w:rPr>
          <w:lang w:eastAsia="ja-JP"/>
        </w:rPr>
        <w:t>The usability of the prefilled pen was assessed in a sub-study of Study B5381002 (Study </w:t>
      </w:r>
      <w:r w:rsidR="00473C57">
        <w:rPr>
          <w:lang w:eastAsia="ja-JP"/>
        </w:rPr>
        <w:t>B</w:t>
      </w:r>
      <w:r>
        <w:rPr>
          <w:lang w:eastAsia="ja-JP"/>
        </w:rPr>
        <w:t>5381002b).</w:t>
      </w:r>
      <w:r w:rsidR="00490513">
        <w:rPr>
          <w:lang w:eastAsia="ja-JP"/>
        </w:rPr>
        <w:t xml:space="preserve"> </w:t>
      </w:r>
      <w:r>
        <w:rPr>
          <w:lang w:eastAsia="ja-JP"/>
        </w:rPr>
        <w:t xml:space="preserve">This sub-study showed a high level of success with the prefilled pen device, but few of the participants had severe hand disability. The usability of the prefilled pen device in patients with severe hand disability would need to be assessed by the prescriber on an individual patient basis. Similarly, patients with severe hand disability who are prescribed the prefilled syringe would need to be assessed by the clinician with regard to their ability to self-administer the medicine. This is adequately addressed in the </w:t>
      </w:r>
      <w:r>
        <w:t xml:space="preserve">dosing guidance in </w:t>
      </w:r>
      <w:r w:rsidRPr="002B0C1B">
        <w:rPr>
          <w:i/>
        </w:rPr>
        <w:t>Section 4.2</w:t>
      </w:r>
      <w:r>
        <w:t xml:space="preserve"> of the </w:t>
      </w:r>
      <w:r w:rsidR="006B70B8">
        <w:t>Abrilada</w:t>
      </w:r>
      <w:r>
        <w:t xml:space="preserve"> PI.</w:t>
      </w:r>
    </w:p>
    <w:p w14:paraId="34D475A0" w14:textId="77777777" w:rsidR="00D23139" w:rsidRDefault="00D23139" w:rsidP="00D23139">
      <w:pPr>
        <w:pStyle w:val="Heading4"/>
      </w:pPr>
      <w:r w:rsidRPr="00D23139">
        <w:t>Proposed action</w:t>
      </w:r>
    </w:p>
    <w:p w14:paraId="55B13B1D" w14:textId="77777777" w:rsidR="00806B1D" w:rsidRDefault="00806B1D" w:rsidP="00806B1D">
      <w:r>
        <w:t xml:space="preserve">The data presented in this submission demonstrate that Abrilada </w:t>
      </w:r>
      <w:r w:rsidR="00204A56">
        <w:t xml:space="preserve">(adalimumab) </w:t>
      </w:r>
      <w:r>
        <w:t>is highly similar to</w:t>
      </w:r>
      <w:r w:rsidRPr="00BA7611">
        <w:t xml:space="preserve"> </w:t>
      </w:r>
      <w:r>
        <w:t>the Australian reference product, Humira</w:t>
      </w:r>
      <w:r w:rsidR="00204A56">
        <w:t xml:space="preserve"> (adalimumab)</w:t>
      </w:r>
      <w:r>
        <w:t xml:space="preserve">, with comparable PK, efficacy, safety, and immunogenicity. </w:t>
      </w:r>
      <w:proofErr w:type="spellStart"/>
      <w:r>
        <w:t>Biosimilarity</w:t>
      </w:r>
      <w:proofErr w:type="spellEnd"/>
      <w:r>
        <w:t xml:space="preserve"> of Abrilada to Humira has been satisfactorily demonstrated, supporting the use of Abrilada in the proposed indications.</w:t>
      </w:r>
    </w:p>
    <w:p w14:paraId="0B35A606" w14:textId="77777777" w:rsidR="00806B1D" w:rsidRPr="00806B1D" w:rsidRDefault="00806B1D" w:rsidP="00806B1D">
      <w:r>
        <w:t>There are no outstanding clinical issues requiring independent expert advice from the Advisory Committee on Medicines</w:t>
      </w:r>
      <w:r w:rsidR="00204A56">
        <w:t xml:space="preserve"> (ACM)</w:t>
      </w:r>
      <w:r>
        <w:t>.</w:t>
      </w:r>
    </w:p>
    <w:p w14:paraId="242EE988" w14:textId="4DD14E81" w:rsidR="002B0C1B" w:rsidRPr="002B0C1B" w:rsidRDefault="00806B1D" w:rsidP="002B0C1B">
      <w:r>
        <w:t xml:space="preserve">The Delegate </w:t>
      </w:r>
      <w:r w:rsidRPr="00806B1D">
        <w:t>propose</w:t>
      </w:r>
      <w:r>
        <w:t>d, at the time,</w:t>
      </w:r>
      <w:r w:rsidRPr="00806B1D">
        <w:t xml:space="preserve"> to approve the registration of </w:t>
      </w:r>
      <w:r w:rsidR="006B70B8">
        <w:t>Abrilada</w:t>
      </w:r>
      <w:r w:rsidRPr="00806B1D">
        <w:t xml:space="preserve"> with the additional conditions of registration listed, subject to satisfactory resolut</w:t>
      </w:r>
      <w:r>
        <w:t xml:space="preserve">ion of the outstanding </w:t>
      </w:r>
      <w:r w:rsidR="00204A56">
        <w:t>issues: t</w:t>
      </w:r>
      <w:r w:rsidR="002B0C1B" w:rsidRPr="005F3628">
        <w:t>he</w:t>
      </w:r>
      <w:r w:rsidR="002B0C1B">
        <w:t xml:space="preserve"> updated labels submitted on 23 December 2020 will be re</w:t>
      </w:r>
      <w:r w:rsidR="00204A56">
        <w:t>viewed by the quality evaluator; and t</w:t>
      </w:r>
      <w:r w:rsidR="002B0C1B">
        <w:t>he quality evaluation identified an issue</w:t>
      </w:r>
      <w:r w:rsidR="002B0C1B" w:rsidRPr="005F3628">
        <w:t xml:space="preserve"> with GMP status which need</w:t>
      </w:r>
      <w:r w:rsidR="002B0C1B">
        <w:t>s</w:t>
      </w:r>
      <w:r w:rsidR="002B0C1B" w:rsidRPr="005F3628">
        <w:t xml:space="preserve"> to be addressed prior to finalisation of this submission.</w:t>
      </w:r>
      <w:r w:rsidR="00204A56">
        <w:rPr>
          <w:rStyle w:val="FootnoteReference"/>
        </w:rPr>
        <w:footnoteReference w:id="14"/>
      </w:r>
    </w:p>
    <w:p w14:paraId="36C1C679"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5"/>
      </w:r>
    </w:p>
    <w:p w14:paraId="42E7CF0C" w14:textId="77777777" w:rsidR="00744121" w:rsidRPr="007D53B6" w:rsidRDefault="00744121" w:rsidP="00744121">
      <w:bookmarkStart w:id="55" w:name="_Toc247691532"/>
      <w:bookmarkStart w:id="56" w:name="_Toc314842516"/>
      <w:bookmarkEnd w:id="29"/>
      <w:bookmarkEnd w:id="52"/>
      <w:bookmarkEnd w:id="53"/>
      <w:r w:rsidRPr="007D53B6">
        <w:t>The Delegate did not refer this application to the Advisory Committee on Medicines (ACM) for advice.</w:t>
      </w:r>
    </w:p>
    <w:p w14:paraId="51FED6F3" w14:textId="77777777" w:rsidR="008E7846" w:rsidRPr="002E238E" w:rsidRDefault="008E7846" w:rsidP="00204A56">
      <w:pPr>
        <w:pStyle w:val="Heading3"/>
      </w:pPr>
      <w:bookmarkStart w:id="57" w:name="_Toc71104758"/>
      <w:r>
        <w:t>Outcome</w:t>
      </w:r>
      <w:bookmarkEnd w:id="55"/>
      <w:bookmarkEnd w:id="56"/>
      <w:bookmarkEnd w:id="57"/>
    </w:p>
    <w:p w14:paraId="38890F14" w14:textId="77777777" w:rsidR="00176D57" w:rsidRDefault="00744121" w:rsidP="00204A56">
      <w:pPr>
        <w:keepNext/>
      </w:pPr>
      <w:bookmarkStart w:id="58" w:name="_Toc247691533"/>
      <w:bookmarkStart w:id="59" w:name="_Toc314842517"/>
      <w:r>
        <w:t>Based on a review of quality, safety and efficacy, the T</w:t>
      </w:r>
      <w:r w:rsidR="00176D57">
        <w:t>GA approved the registration of:</w:t>
      </w:r>
    </w:p>
    <w:p w14:paraId="7D145432" w14:textId="77777777" w:rsidR="00176D57" w:rsidRPr="00176D57" w:rsidRDefault="00176D57" w:rsidP="00204A56">
      <w:pPr>
        <w:pStyle w:val="ListBullet"/>
        <w:keepNext/>
      </w:pPr>
      <w:r w:rsidRPr="00176D57">
        <w:t xml:space="preserve">Abrilada </w:t>
      </w:r>
      <w:r>
        <w:t>(</w:t>
      </w:r>
      <w:r w:rsidRPr="00176D57">
        <w:t>adalimumab</w:t>
      </w:r>
      <w:r>
        <w:t>)</w:t>
      </w:r>
      <w:r w:rsidRPr="00176D57">
        <w:t xml:space="preserve"> 20 mg solution for injection pre-filled syringe</w:t>
      </w:r>
      <w:r>
        <w:t>;</w:t>
      </w:r>
    </w:p>
    <w:p w14:paraId="0FEEEB84" w14:textId="77777777" w:rsidR="00176D57" w:rsidRPr="00176D57" w:rsidRDefault="00176D57" w:rsidP="00176D57">
      <w:pPr>
        <w:pStyle w:val="ListBullet"/>
      </w:pPr>
      <w:r w:rsidRPr="00176D57">
        <w:t xml:space="preserve">Abrilada </w:t>
      </w:r>
      <w:r>
        <w:t>(</w:t>
      </w:r>
      <w:r w:rsidRPr="00176D57">
        <w:t>adalimumab</w:t>
      </w:r>
      <w:r>
        <w:t>)</w:t>
      </w:r>
      <w:r w:rsidRPr="00176D57">
        <w:t xml:space="preserve"> 40 mg solution for injection pre-filled pen</w:t>
      </w:r>
      <w:r>
        <w:t>;</w:t>
      </w:r>
    </w:p>
    <w:p w14:paraId="5BCDE96A" w14:textId="77777777" w:rsidR="00176D57" w:rsidRPr="00176D57" w:rsidRDefault="00176D57" w:rsidP="00176D57">
      <w:pPr>
        <w:pStyle w:val="ListBullet"/>
      </w:pPr>
      <w:r w:rsidRPr="00176D57">
        <w:t xml:space="preserve">Abrilada </w:t>
      </w:r>
      <w:r>
        <w:t>(</w:t>
      </w:r>
      <w:r w:rsidRPr="00176D57">
        <w:t>adalimumab</w:t>
      </w:r>
      <w:r>
        <w:t>)</w:t>
      </w:r>
      <w:r w:rsidRPr="00176D57">
        <w:t xml:space="preserve"> 40 mg solution for injection pre-filled syringe</w:t>
      </w:r>
      <w:r>
        <w:t>; and</w:t>
      </w:r>
    </w:p>
    <w:p w14:paraId="058065C6" w14:textId="77777777" w:rsidR="00176D57" w:rsidRPr="00176D57" w:rsidRDefault="00176D57" w:rsidP="00176D57">
      <w:pPr>
        <w:pStyle w:val="ListBullet"/>
      </w:pPr>
      <w:r w:rsidRPr="00176D57">
        <w:t xml:space="preserve">Abrilada </w:t>
      </w:r>
      <w:r>
        <w:t>(</w:t>
      </w:r>
      <w:r w:rsidRPr="00176D57">
        <w:t>adalimumab</w:t>
      </w:r>
      <w:r>
        <w:t>)</w:t>
      </w:r>
      <w:r w:rsidRPr="00176D57">
        <w:t xml:space="preserve"> 40 mg solution for injection vial</w:t>
      </w:r>
      <w:r>
        <w:t>.</w:t>
      </w:r>
    </w:p>
    <w:p w14:paraId="29CCFD60" w14:textId="77777777" w:rsidR="00D23139" w:rsidRDefault="00176D57" w:rsidP="007D53B6">
      <w:r>
        <w:t>The approved indications for these therapeutic goods are as follows:</w:t>
      </w:r>
    </w:p>
    <w:p w14:paraId="3821184D" w14:textId="77777777" w:rsidR="00204A56" w:rsidRPr="00804982" w:rsidRDefault="00204A56" w:rsidP="00204A56">
      <w:pPr>
        <w:ind w:left="720"/>
        <w:rPr>
          <w:b/>
          <w:i/>
        </w:rPr>
      </w:pPr>
      <w:r w:rsidRPr="00804982">
        <w:rPr>
          <w:b/>
          <w:i/>
        </w:rPr>
        <w:t>Rheumatoid Arthritis</w:t>
      </w:r>
    </w:p>
    <w:p w14:paraId="68AE264D" w14:textId="77777777" w:rsidR="00204A56" w:rsidRPr="0064395D" w:rsidRDefault="00204A56" w:rsidP="00204A56">
      <w:pPr>
        <w:ind w:left="720"/>
        <w:rPr>
          <w:i/>
        </w:rPr>
      </w:pPr>
      <w:r w:rsidRPr="0064395D">
        <w:rPr>
          <w:i/>
        </w:rPr>
        <w:t>Abrilada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7C003A20" w14:textId="77777777" w:rsidR="00204A56" w:rsidRPr="00804982" w:rsidRDefault="00204A56" w:rsidP="00204A56">
      <w:pPr>
        <w:ind w:left="720"/>
        <w:rPr>
          <w:i/>
        </w:rPr>
      </w:pPr>
      <w:r w:rsidRPr="00804982">
        <w:rPr>
          <w:i/>
        </w:rPr>
        <w:t>Abrilada can be used alone or in combination with methotrexate.</w:t>
      </w:r>
    </w:p>
    <w:p w14:paraId="2FC2DBE1" w14:textId="77777777" w:rsidR="00204A56" w:rsidRPr="00804982" w:rsidRDefault="00204A56" w:rsidP="00204A56">
      <w:pPr>
        <w:ind w:left="720"/>
        <w:rPr>
          <w:b/>
          <w:i/>
        </w:rPr>
      </w:pPr>
      <w:r w:rsidRPr="00804982">
        <w:rPr>
          <w:b/>
          <w:i/>
        </w:rPr>
        <w:t>Juvenile Idiopathic Arthritis</w:t>
      </w:r>
    </w:p>
    <w:p w14:paraId="617A2320" w14:textId="77777777" w:rsidR="00204A56" w:rsidRPr="00804982" w:rsidRDefault="00204A56" w:rsidP="00204A56">
      <w:pPr>
        <w:ind w:left="720"/>
        <w:rPr>
          <w:i/>
        </w:rPr>
      </w:pPr>
      <w:proofErr w:type="spellStart"/>
      <w:r w:rsidRPr="00804982">
        <w:rPr>
          <w:i/>
        </w:rPr>
        <w:t>Polyarticular</w:t>
      </w:r>
      <w:proofErr w:type="spellEnd"/>
      <w:r w:rsidRPr="00804982">
        <w:rPr>
          <w:i/>
        </w:rPr>
        <w:t xml:space="preserve"> Juvenile Idiopathic Arthritis</w:t>
      </w:r>
    </w:p>
    <w:p w14:paraId="25A25B0B" w14:textId="77777777" w:rsidR="00204A56" w:rsidRPr="00804982" w:rsidRDefault="00204A56" w:rsidP="00204A56">
      <w:pPr>
        <w:ind w:left="720"/>
        <w:rPr>
          <w:i/>
        </w:rPr>
      </w:pPr>
      <w:r w:rsidRPr="00804982">
        <w:rPr>
          <w:i/>
        </w:rPr>
        <w:t xml:space="preserve">Abrilada in combination with methotrexate is indicated for reducing the signs and symptoms of moderately to severely active </w:t>
      </w:r>
      <w:proofErr w:type="spellStart"/>
      <w:r w:rsidRPr="00804982">
        <w:rPr>
          <w:i/>
        </w:rPr>
        <w:t>polyarticular</w:t>
      </w:r>
      <w:proofErr w:type="spellEnd"/>
      <w:r w:rsidRPr="00804982">
        <w:rPr>
          <w:i/>
        </w:rPr>
        <w:t xml:space="preserve"> juvenile idiopathic arthritis in patients 2 years of age and older who have had an inadequate response to one or more disease modifying anti-rheumatic drugs (DMARDs). </w:t>
      </w:r>
      <w:r>
        <w:rPr>
          <w:i/>
        </w:rPr>
        <w:t>Abrilada</w:t>
      </w:r>
      <w:r w:rsidRPr="00804982">
        <w:rPr>
          <w:i/>
        </w:rPr>
        <w:t xml:space="preserve"> can be given as monotherapy in case of intolerance to methotrexate or when continued treatment with methotrexate is inappropriate.</w:t>
      </w:r>
    </w:p>
    <w:p w14:paraId="608B755C" w14:textId="77777777" w:rsidR="00204A56" w:rsidRPr="00B62A8A" w:rsidRDefault="00204A56" w:rsidP="00204A56">
      <w:pPr>
        <w:ind w:left="720"/>
        <w:rPr>
          <w:i/>
        </w:rPr>
      </w:pPr>
      <w:proofErr w:type="spellStart"/>
      <w:r w:rsidRPr="00B62A8A">
        <w:rPr>
          <w:i/>
        </w:rPr>
        <w:t>Enthesitis</w:t>
      </w:r>
      <w:proofErr w:type="spellEnd"/>
      <w:r w:rsidRPr="00B62A8A">
        <w:rPr>
          <w:i/>
        </w:rPr>
        <w:t>-Related Arthritis</w:t>
      </w:r>
    </w:p>
    <w:p w14:paraId="61222562" w14:textId="77777777" w:rsidR="00204A56" w:rsidRPr="00804982" w:rsidRDefault="00204A56" w:rsidP="00204A56">
      <w:pPr>
        <w:ind w:left="720"/>
        <w:rPr>
          <w:i/>
        </w:rPr>
      </w:pPr>
      <w:r w:rsidRPr="00804982">
        <w:rPr>
          <w:i/>
        </w:rPr>
        <w:t xml:space="preserve">Abrilada is indicated for the treatment of </w:t>
      </w:r>
      <w:proofErr w:type="spellStart"/>
      <w:r w:rsidRPr="00804982">
        <w:rPr>
          <w:i/>
        </w:rPr>
        <w:t>enthesitis</w:t>
      </w:r>
      <w:proofErr w:type="spellEnd"/>
      <w:r w:rsidRPr="00804982">
        <w:rPr>
          <w:i/>
        </w:rPr>
        <w:t>-related arthritis in children, who have had an inadequate response to, or who are intolerant to, conventional therapy.</w:t>
      </w:r>
    </w:p>
    <w:p w14:paraId="76010E12" w14:textId="77777777" w:rsidR="00204A56" w:rsidRPr="00804982" w:rsidRDefault="00204A56" w:rsidP="00A94E94">
      <w:pPr>
        <w:ind w:left="720"/>
        <w:rPr>
          <w:b/>
          <w:i/>
        </w:rPr>
      </w:pPr>
      <w:r w:rsidRPr="00804982">
        <w:rPr>
          <w:b/>
          <w:i/>
        </w:rPr>
        <w:t>Psoriatic Arthritis</w:t>
      </w:r>
    </w:p>
    <w:p w14:paraId="2185B0D7" w14:textId="77777777" w:rsidR="00204A56" w:rsidRPr="00804982" w:rsidRDefault="00204A56" w:rsidP="00204A56">
      <w:pPr>
        <w:ind w:left="720"/>
        <w:rPr>
          <w:i/>
        </w:rPr>
      </w:pPr>
      <w:r w:rsidRPr="00804982">
        <w:rPr>
          <w:i/>
        </w:rPr>
        <w:t>Abrilada is indicated for the treatment of signs and symptoms, as well as inhibiting the progression of structural damage, of moderate to severely active psoriatic arthritis in adult patients where response to previous DMARDs has been inadequate.</w:t>
      </w:r>
    </w:p>
    <w:p w14:paraId="20DDFBF4" w14:textId="77777777" w:rsidR="00204A56" w:rsidRPr="00804982" w:rsidRDefault="00204A56" w:rsidP="00204A56">
      <w:pPr>
        <w:ind w:left="720"/>
        <w:rPr>
          <w:b/>
          <w:i/>
        </w:rPr>
      </w:pPr>
      <w:r w:rsidRPr="00804982">
        <w:rPr>
          <w:b/>
          <w:i/>
        </w:rPr>
        <w:t>Ankylosing Spondylitis</w:t>
      </w:r>
    </w:p>
    <w:p w14:paraId="7F177CEE" w14:textId="77777777" w:rsidR="00204A56" w:rsidRPr="00804982" w:rsidRDefault="00204A56" w:rsidP="00204A56">
      <w:pPr>
        <w:ind w:left="720"/>
        <w:rPr>
          <w:i/>
        </w:rPr>
      </w:pPr>
      <w:r w:rsidRPr="00804982">
        <w:rPr>
          <w:i/>
        </w:rPr>
        <w:t>Abrilada is indicated for reducing signs and symptoms in patients with active ankylosing spondylitis.</w:t>
      </w:r>
    </w:p>
    <w:p w14:paraId="4320A6A1" w14:textId="77777777" w:rsidR="00204A56" w:rsidRPr="00804982" w:rsidRDefault="00204A56" w:rsidP="00204A56">
      <w:pPr>
        <w:ind w:left="720"/>
        <w:rPr>
          <w:b/>
          <w:i/>
        </w:rPr>
      </w:pPr>
      <w:r w:rsidRPr="00804982">
        <w:rPr>
          <w:b/>
          <w:i/>
        </w:rPr>
        <w:t>Crohn’s disease in adults and children (≥ 6 years)</w:t>
      </w:r>
    </w:p>
    <w:p w14:paraId="56A5452E" w14:textId="0843B15F" w:rsidR="00204A56" w:rsidRPr="00804982" w:rsidRDefault="00204A56" w:rsidP="00204A56">
      <w:pPr>
        <w:ind w:left="720"/>
        <w:rPr>
          <w:i/>
        </w:rPr>
      </w:pPr>
      <w:r w:rsidRPr="00804982">
        <w:rPr>
          <w:i/>
        </w:rPr>
        <w:t xml:space="preserve">Abrilada is indicated for the treatment of moderate to severe </w:t>
      </w:r>
      <w:r w:rsidR="00473C57">
        <w:rPr>
          <w:i/>
        </w:rPr>
        <w:t>C</w:t>
      </w:r>
      <w:r w:rsidRPr="00804982">
        <w:rPr>
          <w:i/>
        </w:rPr>
        <w:t>rohn’s disease, to reduce the signs and symptoms of the disease and to induce and maintain clinical remission in patients;</w:t>
      </w:r>
    </w:p>
    <w:p w14:paraId="1D5BD59F" w14:textId="77777777" w:rsidR="00204A56" w:rsidRPr="00804982" w:rsidRDefault="00204A56" w:rsidP="00204A56">
      <w:pPr>
        <w:ind w:left="1440"/>
        <w:rPr>
          <w:i/>
        </w:rPr>
      </w:pPr>
      <w:r w:rsidRPr="00804982">
        <w:rPr>
          <w:i/>
        </w:rPr>
        <w:t>who have had an inadequate response to conventional therapies or,</w:t>
      </w:r>
    </w:p>
    <w:p w14:paraId="671EFB6B" w14:textId="77777777" w:rsidR="00204A56" w:rsidRPr="00804982" w:rsidRDefault="00204A56" w:rsidP="00204A56">
      <w:pPr>
        <w:ind w:left="1440"/>
        <w:rPr>
          <w:i/>
        </w:rPr>
      </w:pPr>
      <w:r w:rsidRPr="00804982">
        <w:rPr>
          <w:i/>
        </w:rPr>
        <w:t>who have lost response to or are intolerant to infliximab.</w:t>
      </w:r>
    </w:p>
    <w:p w14:paraId="2AA01CBA" w14:textId="77777777" w:rsidR="00204A56" w:rsidRPr="00804982" w:rsidRDefault="00204A56" w:rsidP="00204A56">
      <w:pPr>
        <w:ind w:left="720"/>
        <w:rPr>
          <w:b/>
          <w:i/>
        </w:rPr>
      </w:pPr>
      <w:r w:rsidRPr="00804982">
        <w:rPr>
          <w:b/>
          <w:i/>
        </w:rPr>
        <w:t>Ulcerative colitis</w:t>
      </w:r>
    </w:p>
    <w:p w14:paraId="5B7AD1C7" w14:textId="77777777" w:rsidR="00204A56" w:rsidRPr="00804982" w:rsidRDefault="00204A56" w:rsidP="00204A56">
      <w:pPr>
        <w:ind w:left="720"/>
        <w:rPr>
          <w:i/>
        </w:rPr>
      </w:pPr>
      <w:r w:rsidRPr="00804982">
        <w:rPr>
          <w:i/>
        </w:rPr>
        <w:t>Abrilada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5.1 Pharmacodynamic Properties - Clinical Trials).</w:t>
      </w:r>
    </w:p>
    <w:p w14:paraId="11CEA0B4" w14:textId="77777777" w:rsidR="00204A56" w:rsidRPr="00804982" w:rsidRDefault="00204A56" w:rsidP="00204A56">
      <w:pPr>
        <w:ind w:left="720"/>
        <w:rPr>
          <w:b/>
          <w:i/>
        </w:rPr>
      </w:pPr>
      <w:r w:rsidRPr="00804982">
        <w:rPr>
          <w:b/>
          <w:i/>
        </w:rPr>
        <w:t>Psoriasis in Adults and Children</w:t>
      </w:r>
    </w:p>
    <w:p w14:paraId="3EF7D1F6" w14:textId="77777777" w:rsidR="00204A56" w:rsidRPr="00804982" w:rsidRDefault="00204A56" w:rsidP="00204A56">
      <w:pPr>
        <w:ind w:left="720"/>
        <w:rPr>
          <w:i/>
        </w:rPr>
      </w:pPr>
      <w:r w:rsidRPr="00804982">
        <w:rPr>
          <w:i/>
        </w:rPr>
        <w:t>Abrilada is indicated for the treatment of moderate to severe chronic plaque psoriasis in adult patients who are candidates for systemic therapy or phototherapy.</w:t>
      </w:r>
    </w:p>
    <w:p w14:paraId="443EA987" w14:textId="77777777" w:rsidR="00204A56" w:rsidRPr="00804982" w:rsidRDefault="00204A56" w:rsidP="00204A56">
      <w:pPr>
        <w:ind w:left="720"/>
        <w:rPr>
          <w:i/>
        </w:rPr>
      </w:pPr>
      <w:r w:rsidRPr="00804982">
        <w:rPr>
          <w:i/>
        </w:rPr>
        <w:t>Abrilada is indicated for the treatment of severe chronic plaque psoriasis in children and adolescent patients from 4 years of age who have had an inadequate response to or are inappropriate candidates for topical therapy and phototherapy.</w:t>
      </w:r>
    </w:p>
    <w:p w14:paraId="32FA6DBF" w14:textId="77777777" w:rsidR="00204A56" w:rsidRPr="00804982" w:rsidRDefault="00204A56" w:rsidP="00204A56">
      <w:pPr>
        <w:ind w:left="720"/>
        <w:rPr>
          <w:b/>
          <w:i/>
        </w:rPr>
      </w:pPr>
      <w:r w:rsidRPr="00804982">
        <w:rPr>
          <w:b/>
          <w:i/>
        </w:rPr>
        <w:t>Hidradenitis Suppurativa in Adults and Adolescents (from 12 years of age)</w:t>
      </w:r>
    </w:p>
    <w:p w14:paraId="4C50F9B9" w14:textId="77777777" w:rsidR="00204A56" w:rsidRPr="00804982" w:rsidRDefault="00204A56" w:rsidP="00204A56">
      <w:pPr>
        <w:ind w:left="720"/>
        <w:rPr>
          <w:i/>
        </w:rPr>
      </w:pPr>
      <w:r w:rsidRPr="00804982">
        <w:rPr>
          <w:i/>
        </w:rPr>
        <w:t xml:space="preserve">Abrilada is indicated for the treatment of active moderate to severe hidradenitis suppurativa (acne </w:t>
      </w:r>
      <w:proofErr w:type="spellStart"/>
      <w:r w:rsidRPr="00804982">
        <w:rPr>
          <w:i/>
        </w:rPr>
        <w:t>inversa</w:t>
      </w:r>
      <w:proofErr w:type="spellEnd"/>
      <w:r w:rsidRPr="00804982">
        <w:rPr>
          <w:i/>
        </w:rPr>
        <w:t>) in patients with an inadequate response to conventional systemic hidradenitis suppurativa therapy.</w:t>
      </w:r>
    </w:p>
    <w:p w14:paraId="59891708" w14:textId="77777777" w:rsidR="00204A56" w:rsidRPr="00804982" w:rsidRDefault="00204A56" w:rsidP="00204A56">
      <w:pPr>
        <w:ind w:left="720"/>
        <w:rPr>
          <w:b/>
          <w:i/>
        </w:rPr>
      </w:pPr>
      <w:r w:rsidRPr="00804982">
        <w:rPr>
          <w:b/>
          <w:i/>
        </w:rPr>
        <w:t>Uveitis</w:t>
      </w:r>
    </w:p>
    <w:p w14:paraId="7B456C2A" w14:textId="77777777" w:rsidR="00204A56" w:rsidRPr="00204A56" w:rsidRDefault="00204A56" w:rsidP="00204A56">
      <w:pPr>
        <w:ind w:left="720"/>
        <w:rPr>
          <w:i/>
        </w:rPr>
      </w:pPr>
      <w:r w:rsidRPr="00804982">
        <w:rPr>
          <w:i/>
        </w:rPr>
        <w:t>Abrilada is indicated for the treatment of non-infectious intermediate, posterior and pan-uveitis in adult patients who have had an inadequate response to corticosteroids, in patients in need of corticosteroid sparing, or in whom corticosteroid treatment is inappropriate.</w:t>
      </w:r>
    </w:p>
    <w:p w14:paraId="3153746E" w14:textId="77777777" w:rsidR="00D23139" w:rsidRDefault="00D23139" w:rsidP="00D23139">
      <w:pPr>
        <w:pStyle w:val="Heading4"/>
      </w:pPr>
      <w:r w:rsidRPr="00D23139">
        <w:t>Specific conditions of registration applying to these goods</w:t>
      </w:r>
    </w:p>
    <w:p w14:paraId="69A66C76" w14:textId="3078323C" w:rsidR="0054563A" w:rsidRPr="0054563A" w:rsidRDefault="0054563A" w:rsidP="0054563A">
      <w:pPr>
        <w:pStyle w:val="ListBullet"/>
      </w:pPr>
      <w:r w:rsidRPr="0054563A">
        <w:t>The Abrilada EU-Risk Management Plan (RMP) (version 1.0, dated 11 Oct</w:t>
      </w:r>
      <w:r>
        <w:t>ober</w:t>
      </w:r>
      <w:r w:rsidRPr="0054563A">
        <w:t xml:space="preserve"> 2019, data</w:t>
      </w:r>
      <w:r>
        <w:t xml:space="preserve"> lock point </w:t>
      </w:r>
      <w:r w:rsidRPr="0054563A">
        <w:t>5 Jan</w:t>
      </w:r>
      <w:r>
        <w:t>uary</w:t>
      </w:r>
      <w:r w:rsidRPr="0054563A">
        <w:t xml:space="preserve"> 2018), with Australian Specific Annex (version 2.0, dated 12</w:t>
      </w:r>
      <w:r w:rsidR="009F3053">
        <w:t> </w:t>
      </w:r>
      <w:r w:rsidRPr="0054563A">
        <w:t>Oct</w:t>
      </w:r>
      <w:r>
        <w:t xml:space="preserve">ober </w:t>
      </w:r>
      <w:r w:rsidRPr="0054563A">
        <w:t>2020), included with submission PM-2020-01818-1-3</w:t>
      </w:r>
      <w:r>
        <w:t xml:space="preserve">, and any subsequent revisions, </w:t>
      </w:r>
      <w:r w:rsidRPr="0054563A">
        <w:t>as agreed with the TGA will be implemented in Australia.</w:t>
      </w:r>
    </w:p>
    <w:p w14:paraId="309BD62A" w14:textId="77777777" w:rsidR="0054563A" w:rsidRPr="0054563A" w:rsidRDefault="0054563A" w:rsidP="00777A6F">
      <w:pPr>
        <w:ind w:left="360"/>
      </w:pPr>
      <w:r w:rsidRPr="0054563A">
        <w:t>An obligatory component of risk management plan</w:t>
      </w:r>
      <w:r>
        <w:t xml:space="preserve">s is routine pharmacovigilance. </w:t>
      </w:r>
      <w:r w:rsidRPr="0054563A">
        <w:t>Routine pharmacovigilance includes the submi</w:t>
      </w:r>
      <w:r>
        <w:t xml:space="preserve">ssion of periodic safety update </w:t>
      </w:r>
      <w:r w:rsidRPr="0054563A">
        <w:t>reports (PSURs).</w:t>
      </w:r>
    </w:p>
    <w:p w14:paraId="6573E74A" w14:textId="77777777" w:rsidR="0054563A" w:rsidRDefault="0054563A" w:rsidP="00777A6F">
      <w:pPr>
        <w:ind w:left="360"/>
      </w:pPr>
      <w:r w:rsidRPr="0054563A">
        <w:t>Reports are to be provided in line with the current</w:t>
      </w:r>
      <w:r>
        <w:t xml:space="preserve"> published list of EU reference </w:t>
      </w:r>
      <w:r w:rsidRPr="0054563A">
        <w:t>dates and frequency of submission of PSURs u</w:t>
      </w:r>
      <w:r>
        <w:t xml:space="preserve">ntil the period covered by such </w:t>
      </w:r>
      <w:r w:rsidRPr="0054563A">
        <w:t>reports is not less than three years from the date of this approval letter.</w:t>
      </w:r>
    </w:p>
    <w:p w14:paraId="2A7D0083" w14:textId="77777777" w:rsidR="0054563A" w:rsidRDefault="0054563A" w:rsidP="00777A6F">
      <w:pPr>
        <w:ind w:left="360"/>
      </w:pPr>
      <w:r>
        <w:t>T</w:t>
      </w:r>
      <w:r w:rsidRPr="0054563A">
        <w:t>he reports are to at least meet the requirements for PSURs as described in the</w:t>
      </w:r>
      <w:r>
        <w:t xml:space="preserve"> </w:t>
      </w:r>
      <w:r w:rsidRPr="0054563A">
        <w:t>European Medicines Agency’s Guideline on good ph</w:t>
      </w:r>
      <w:r>
        <w:t xml:space="preserve">armacovigilance practices (GVP) </w:t>
      </w:r>
      <w:r w:rsidRPr="0054563A">
        <w:t>Module VII-periodic safety update report (Re</w:t>
      </w:r>
      <w:r>
        <w:t xml:space="preserve">v 1), Part VII.B Structures and </w:t>
      </w:r>
      <w:r w:rsidRPr="0054563A">
        <w:t>processes. Note that submission of a PSUR does not co</w:t>
      </w:r>
      <w:r>
        <w:t xml:space="preserve">nstitute an application to vary </w:t>
      </w:r>
      <w:r w:rsidRPr="0054563A">
        <w:t>the registration.</w:t>
      </w:r>
    </w:p>
    <w:p w14:paraId="18897A62" w14:textId="77777777" w:rsidR="00777A6F" w:rsidRPr="00777A6F" w:rsidRDefault="00777A6F" w:rsidP="00777A6F">
      <w:pPr>
        <w:pStyle w:val="ListBullet"/>
        <w:rPr>
          <w:lang w:val="en-GB"/>
        </w:rPr>
      </w:pPr>
      <w:r>
        <w:rPr>
          <w:lang w:val="en-GB"/>
        </w:rPr>
        <w:t xml:space="preserve">The Product Information applying to these therapeutic goods must meet the TGA's </w:t>
      </w:r>
      <w:r w:rsidRPr="00777A6F">
        <w:rPr>
          <w:rFonts w:eastAsiaTheme="minorHAnsi" w:cs="Cambria"/>
          <w:lang w:val="en-GB"/>
        </w:rPr>
        <w:t>approval at all times. Any proposed changes to the approved text of the PI, including</w:t>
      </w:r>
      <w:r>
        <w:rPr>
          <w:rFonts w:eastAsiaTheme="minorHAnsi" w:cs="Cambria"/>
          <w:lang w:val="en-GB"/>
        </w:rPr>
        <w:t xml:space="preserve"> </w:t>
      </w:r>
      <w:r w:rsidRPr="00777A6F">
        <w:rPr>
          <w:rFonts w:eastAsiaTheme="minorHAnsi" w:cs="Cambria"/>
          <w:lang w:val="en-GB"/>
        </w:rPr>
        <w:t>safety related changes, must be submitted to, and be approved by, the TGA prior to</w:t>
      </w:r>
      <w:r>
        <w:rPr>
          <w:rFonts w:eastAsiaTheme="minorHAnsi" w:cs="Cambria"/>
          <w:lang w:val="en-GB"/>
        </w:rPr>
        <w:t xml:space="preserve"> </w:t>
      </w:r>
      <w:r w:rsidRPr="00777A6F">
        <w:rPr>
          <w:rFonts w:eastAsiaTheme="minorHAnsi" w:cs="Cambria"/>
          <w:lang w:val="en-GB"/>
        </w:rPr>
        <w:t>distribution.</w:t>
      </w:r>
    </w:p>
    <w:p w14:paraId="6D28BE71" w14:textId="77777777" w:rsidR="00777A6F" w:rsidRPr="00777A6F" w:rsidRDefault="00777A6F" w:rsidP="00777A6F">
      <w:pPr>
        <w:pStyle w:val="ListBullet2"/>
        <w:numPr>
          <w:ilvl w:val="0"/>
          <w:numId w:val="0"/>
        </w:numPr>
        <w:ind w:left="360"/>
        <w:rPr>
          <w:lang w:val="en-GB"/>
        </w:rPr>
      </w:pPr>
      <w:r w:rsidRPr="00777A6F">
        <w:rPr>
          <w:lang w:val="en-GB"/>
        </w:rPr>
        <w:t>For all injectable products the Product Information must be included with the product</w:t>
      </w:r>
      <w:r>
        <w:rPr>
          <w:lang w:val="en-GB"/>
        </w:rPr>
        <w:t xml:space="preserve"> </w:t>
      </w:r>
      <w:r w:rsidRPr="00777A6F">
        <w:rPr>
          <w:rFonts w:eastAsiaTheme="minorHAnsi" w:cs="Cambria"/>
          <w:lang w:val="en-GB"/>
        </w:rPr>
        <w:t>as a package insert.</w:t>
      </w:r>
    </w:p>
    <w:p w14:paraId="4F1EE1C5" w14:textId="77777777" w:rsidR="0054563A" w:rsidRDefault="00777A6F" w:rsidP="00777A6F">
      <w:pPr>
        <w:pStyle w:val="ListBullet"/>
        <w:rPr>
          <w:lang w:val="en-GB"/>
        </w:rPr>
      </w:pPr>
      <w:r>
        <w:rPr>
          <w:lang w:val="en-GB"/>
        </w:rPr>
        <w:t>Laboratory testing and</w:t>
      </w:r>
      <w:r w:rsidR="0054563A">
        <w:rPr>
          <w:lang w:val="en-GB"/>
        </w:rPr>
        <w:t xml:space="preserve"> compliance with Certified Product Details (CPD)</w:t>
      </w:r>
    </w:p>
    <w:p w14:paraId="6EC831FB" w14:textId="77777777" w:rsidR="0054563A" w:rsidRDefault="0054563A" w:rsidP="00777A6F">
      <w:pPr>
        <w:pStyle w:val="ListBullet2"/>
        <w:rPr>
          <w:lang w:val="en-GB"/>
        </w:rPr>
      </w:pPr>
      <w:r>
        <w:rPr>
          <w:lang w:val="en-GB"/>
        </w:rPr>
        <w:t>All batches of A</w:t>
      </w:r>
      <w:r w:rsidR="00777A6F">
        <w:rPr>
          <w:lang w:val="en-GB"/>
        </w:rPr>
        <w:t>brilada</w:t>
      </w:r>
      <w:r>
        <w:rPr>
          <w:lang w:val="en-GB"/>
        </w:rPr>
        <w:t xml:space="preserve"> supplied in Australia must </w:t>
      </w:r>
      <w:r w:rsidR="00777A6F">
        <w:rPr>
          <w:lang w:val="en-GB"/>
        </w:rPr>
        <w:t xml:space="preserve">comply with the product details </w:t>
      </w:r>
      <w:r>
        <w:rPr>
          <w:lang w:val="en-GB"/>
        </w:rPr>
        <w:t>and specifications approved during evaluation and de</w:t>
      </w:r>
      <w:r w:rsidR="00777A6F">
        <w:rPr>
          <w:lang w:val="en-GB"/>
        </w:rPr>
        <w:t xml:space="preserve">tailed in the Certified Product </w:t>
      </w:r>
      <w:r>
        <w:rPr>
          <w:lang w:val="en-GB"/>
        </w:rPr>
        <w:t>Details (CPD).</w:t>
      </w:r>
    </w:p>
    <w:p w14:paraId="11326E36" w14:textId="77777777" w:rsidR="0054563A" w:rsidRPr="00777A6F" w:rsidRDefault="00777A6F" w:rsidP="00777A6F">
      <w:pPr>
        <w:pStyle w:val="ListBullet2"/>
        <w:rPr>
          <w:lang w:val="en-GB"/>
        </w:rPr>
      </w:pPr>
      <w:r>
        <w:rPr>
          <w:lang w:val="en-GB"/>
        </w:rPr>
        <w:t>When requested by the TGA, the s</w:t>
      </w:r>
      <w:r w:rsidR="0054563A">
        <w:rPr>
          <w:lang w:val="en-GB"/>
        </w:rPr>
        <w:t>ponsor should be prepared to provide product</w:t>
      </w:r>
      <w:r>
        <w:rPr>
          <w:lang w:val="en-GB"/>
        </w:rPr>
        <w:t xml:space="preserve"> </w:t>
      </w:r>
      <w:r w:rsidR="0054563A" w:rsidRPr="00777A6F">
        <w:rPr>
          <w:rFonts w:eastAsiaTheme="minorHAnsi" w:cs="Cambria"/>
          <w:color w:val="000000"/>
          <w:lang w:val="en-GB"/>
        </w:rPr>
        <w:t>samples, specified reference materials and documentary evidence to enable the TGA to</w:t>
      </w:r>
      <w:r>
        <w:rPr>
          <w:rFonts w:eastAsiaTheme="minorHAnsi" w:cs="Cambria"/>
          <w:color w:val="000000"/>
          <w:lang w:val="en-GB"/>
        </w:rPr>
        <w:t xml:space="preserve"> </w:t>
      </w:r>
      <w:r w:rsidR="0054563A" w:rsidRPr="00777A6F">
        <w:rPr>
          <w:rFonts w:eastAsiaTheme="minorHAnsi" w:cs="Cambria"/>
          <w:color w:val="000000"/>
          <w:lang w:val="en-GB"/>
        </w:rPr>
        <w:t>conduct laboratory testing on the Product. Outcomes of laboratory testing are</w:t>
      </w:r>
      <w:r>
        <w:rPr>
          <w:rFonts w:eastAsiaTheme="minorHAnsi" w:cs="Cambria"/>
          <w:color w:val="000000"/>
          <w:lang w:val="en-GB"/>
        </w:rPr>
        <w:t xml:space="preserve"> </w:t>
      </w:r>
      <w:r w:rsidR="0054563A" w:rsidRPr="00777A6F">
        <w:rPr>
          <w:rFonts w:eastAsiaTheme="minorHAnsi" w:cs="Cambria"/>
          <w:color w:val="000000"/>
          <w:lang w:val="en-GB"/>
        </w:rPr>
        <w:t>published biannually in the TGA Database of Laboratory Testing Results</w:t>
      </w:r>
      <w:r>
        <w:rPr>
          <w:rFonts w:eastAsiaTheme="minorHAnsi" w:cs="Cambria"/>
          <w:color w:val="000000"/>
          <w:lang w:val="en-GB"/>
        </w:rPr>
        <w:t xml:space="preserve"> </w:t>
      </w:r>
      <w:r w:rsidR="0054563A" w:rsidRPr="00777A6F">
        <w:rPr>
          <w:rFonts w:eastAsiaTheme="minorHAnsi" w:cs="Cambria"/>
          <w:color w:val="000000"/>
          <w:lang w:val="en-GB"/>
        </w:rPr>
        <w:t>http://www.tga.gov.au/ws-labs-index and periodically in testing reports on the TGA</w:t>
      </w:r>
      <w:r>
        <w:rPr>
          <w:rFonts w:eastAsiaTheme="minorHAnsi" w:cs="Cambria"/>
          <w:color w:val="000000"/>
          <w:lang w:val="en-GB"/>
        </w:rPr>
        <w:t xml:space="preserve"> </w:t>
      </w:r>
      <w:r w:rsidR="0054563A" w:rsidRPr="00777A6F">
        <w:rPr>
          <w:rFonts w:eastAsiaTheme="minorHAnsi" w:cs="Cambria"/>
          <w:color w:val="000000"/>
          <w:lang w:val="en-GB"/>
        </w:rPr>
        <w:t>website.</w:t>
      </w:r>
    </w:p>
    <w:p w14:paraId="56BAC331" w14:textId="13F03705" w:rsidR="0054563A" w:rsidRPr="00777A6F" w:rsidRDefault="0054563A" w:rsidP="00777A6F">
      <w:pPr>
        <w:pStyle w:val="ListBullet2"/>
        <w:rPr>
          <w:lang w:val="en-GB"/>
        </w:rPr>
      </w:pPr>
      <w:r>
        <w:rPr>
          <w:lang w:val="en-GB"/>
        </w:rPr>
        <w:t>Certified Product Details</w:t>
      </w:r>
      <w:r w:rsidR="00777A6F">
        <w:rPr>
          <w:lang w:val="en-GB"/>
        </w:rPr>
        <w:t xml:space="preserve">: </w:t>
      </w:r>
      <w:r w:rsidRPr="00777A6F">
        <w:rPr>
          <w:lang w:val="en-GB"/>
        </w:rPr>
        <w:t>The Certified Product Details (CPD), as described in Guidance 7: Certified Product</w:t>
      </w:r>
      <w:r w:rsidR="00777A6F" w:rsidRPr="00777A6F">
        <w:rPr>
          <w:lang w:val="en-GB"/>
        </w:rPr>
        <w:t xml:space="preserve"> </w:t>
      </w:r>
      <w:r w:rsidRPr="00777A6F">
        <w:rPr>
          <w:lang w:val="en-GB"/>
        </w:rPr>
        <w:t>Details of the Australian Regulatory Guidelines for Prescription Medicines (ARGPM)</w:t>
      </w:r>
      <w:r w:rsidR="00777A6F" w:rsidRPr="00777A6F">
        <w:rPr>
          <w:lang w:val="en-GB"/>
        </w:rPr>
        <w:t xml:space="preserve"> </w:t>
      </w:r>
      <w:r w:rsidR="009F3053">
        <w:rPr>
          <w:lang w:val="en-GB"/>
        </w:rPr>
        <w:t>(</w:t>
      </w:r>
      <w:r w:rsidRPr="00777A6F">
        <w:rPr>
          <w:color w:val="0000FF"/>
          <w:lang w:val="en-GB"/>
        </w:rPr>
        <w:t>http://www.tga.gov.au/industry/pm-argpm-guidance-7.htm</w:t>
      </w:r>
      <w:r w:rsidR="009F3053">
        <w:rPr>
          <w:lang w:val="en-GB"/>
        </w:rPr>
        <w:t>)</w:t>
      </w:r>
      <w:r w:rsidRPr="00777A6F">
        <w:rPr>
          <w:lang w:val="en-GB"/>
        </w:rPr>
        <w:t>, in PDF format, for the</w:t>
      </w:r>
      <w:r w:rsidR="00777A6F" w:rsidRPr="00777A6F">
        <w:rPr>
          <w:lang w:val="en-GB"/>
        </w:rPr>
        <w:t xml:space="preserve"> </w:t>
      </w:r>
      <w:r w:rsidRPr="00777A6F">
        <w:rPr>
          <w:lang w:val="en-GB"/>
        </w:rPr>
        <w:t>above products should be provided upon registration of these therapeutic goods. In</w:t>
      </w:r>
      <w:r w:rsidR="00777A6F" w:rsidRPr="00777A6F">
        <w:rPr>
          <w:lang w:val="en-GB"/>
        </w:rPr>
        <w:t xml:space="preserve"> </w:t>
      </w:r>
      <w:r w:rsidRPr="00777A6F">
        <w:rPr>
          <w:lang w:val="en-GB"/>
        </w:rPr>
        <w:t>addition, an updated CPD should be provided when changes to finished product</w:t>
      </w:r>
      <w:r w:rsidR="00777A6F" w:rsidRPr="00777A6F">
        <w:rPr>
          <w:lang w:val="en-GB"/>
        </w:rPr>
        <w:t xml:space="preserve"> </w:t>
      </w:r>
      <w:r w:rsidRPr="00777A6F">
        <w:rPr>
          <w:lang w:val="en-GB"/>
        </w:rPr>
        <w:t>specifications and test methods are approved in a Category 3 application or notified</w:t>
      </w:r>
      <w:r w:rsidR="00777A6F" w:rsidRPr="00777A6F">
        <w:rPr>
          <w:lang w:val="en-GB"/>
        </w:rPr>
        <w:t xml:space="preserve"> </w:t>
      </w:r>
      <w:r w:rsidRPr="00777A6F">
        <w:rPr>
          <w:lang w:val="en-GB"/>
        </w:rPr>
        <w:t>through a self-assessable change.</w:t>
      </w:r>
    </w:p>
    <w:p w14:paraId="55DF03C5" w14:textId="77777777" w:rsidR="008E7846" w:rsidRDefault="00A80B5B" w:rsidP="00D23139">
      <w:pPr>
        <w:pStyle w:val="Heading2"/>
      </w:pPr>
      <w:bookmarkStart w:id="60" w:name="_Toc71104759"/>
      <w:r>
        <w:t xml:space="preserve">Attachment 1. </w:t>
      </w:r>
      <w:r w:rsidR="008E7846">
        <w:t xml:space="preserve">Product </w:t>
      </w:r>
      <w:r w:rsidR="00AA0ED0">
        <w:t>I</w:t>
      </w:r>
      <w:r w:rsidR="008E7846">
        <w:t>nformation</w:t>
      </w:r>
      <w:bookmarkEnd w:id="58"/>
      <w:bookmarkEnd w:id="59"/>
      <w:bookmarkEnd w:id="60"/>
    </w:p>
    <w:p w14:paraId="11CE86C0" w14:textId="4A2875B7" w:rsidR="00291957" w:rsidRDefault="006136D7" w:rsidP="00E70EA9">
      <w:pPr>
        <w:rPr>
          <w:lang w:eastAsia="ja-JP"/>
        </w:rPr>
      </w:pPr>
      <w:r w:rsidRPr="002B3624">
        <w:t xml:space="preserve">The </w:t>
      </w:r>
      <w:r>
        <w:t>PI</w:t>
      </w:r>
      <w:r w:rsidRPr="002B3624">
        <w:t xml:space="preserve"> for</w:t>
      </w:r>
      <w:r w:rsidR="00D15125">
        <w:t xml:space="preserve"> Abrilada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9" w:history="1">
        <w:r w:rsidR="007C6B9B" w:rsidRPr="007C6B9B">
          <w:rPr>
            <w:rStyle w:val="Hyperlink"/>
          </w:rPr>
          <w:t>https://www.tga.gov.au/product-information-pi</w:t>
        </w:r>
      </w:hyperlink>
      <w:r w:rsidR="00D15125">
        <w:t>&gt;.</w:t>
      </w:r>
      <w:r w:rsidR="008E7846" w:rsidRPr="00C80137">
        <w:rPr>
          <w:b/>
        </w:rPr>
        <w:br w:type="page"/>
      </w:r>
    </w:p>
    <w:p w14:paraId="0F8DA99B" w14:textId="77777777"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28F5639" w14:textId="77777777" w:rsidTr="00A05FA4">
        <w:trPr>
          <w:trHeight w:hRule="exact" w:val="704"/>
        </w:trPr>
        <w:tc>
          <w:tcPr>
            <w:tcW w:w="9175" w:type="dxa"/>
          </w:tcPr>
          <w:p w14:paraId="48B067EA" w14:textId="77777777" w:rsidR="001C32CD" w:rsidRPr="00487162" w:rsidRDefault="001C32CD" w:rsidP="00A05FA4">
            <w:pPr>
              <w:pStyle w:val="TGASignoff"/>
            </w:pPr>
            <w:r w:rsidRPr="00487162">
              <w:t>Therapeutic Goods Administration</w:t>
            </w:r>
          </w:p>
        </w:tc>
      </w:tr>
      <w:tr w:rsidR="001C32CD" w:rsidRPr="004C239D" w14:paraId="33A7E8B4" w14:textId="77777777" w:rsidTr="00A05FA4">
        <w:trPr>
          <w:trHeight w:val="1221"/>
        </w:trPr>
        <w:tc>
          <w:tcPr>
            <w:tcW w:w="9175" w:type="dxa"/>
            <w:tcMar>
              <w:top w:w="28" w:type="dxa"/>
            </w:tcMar>
          </w:tcPr>
          <w:p w14:paraId="3FEB96DC" w14:textId="77777777" w:rsidR="001C32CD" w:rsidRPr="00487162" w:rsidRDefault="001C32CD" w:rsidP="00A05FA4">
            <w:pPr>
              <w:pStyle w:val="Address"/>
            </w:pPr>
            <w:r w:rsidRPr="00487162">
              <w:t>PO Box 100 Woden ACT 2606 Australia</w:t>
            </w:r>
          </w:p>
          <w:p w14:paraId="4C073AB5" w14:textId="0D38DB1B" w:rsidR="001C32CD" w:rsidRPr="00487162" w:rsidRDefault="001C32CD" w:rsidP="00A05FA4">
            <w:pPr>
              <w:pStyle w:val="Address"/>
            </w:pPr>
            <w:r w:rsidRPr="00487162">
              <w:t xml:space="preserve">Email: </w:t>
            </w:r>
            <w:hyperlink r:id="rId44" w:history="1">
              <w:r w:rsidRPr="004C239D">
                <w:rPr>
                  <w:rStyle w:val="Hyperlink"/>
                </w:rPr>
                <w:t>info@tga.gov.au</w:t>
              </w:r>
            </w:hyperlink>
            <w:r w:rsidRPr="00487162">
              <w:t xml:space="preserve">  Phone: 1800 020 653  Fax: 02 6232 8605</w:t>
            </w:r>
          </w:p>
          <w:p w14:paraId="4C6401DA" w14:textId="593A4451" w:rsidR="001C32CD" w:rsidRPr="004C239D" w:rsidRDefault="00A94E94"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4B97196E"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05889D" w16cid:durableId="23FDE23C"/>
  <w16cid:commentId w16cid:paraId="3269B3CE" w16cid:durableId="23FDE261"/>
  <w16cid:commentId w16cid:paraId="401F5031" w16cid:durableId="23FDE297"/>
  <w16cid:commentId w16cid:paraId="0CC927AA" w16cid:durableId="23FDE2C7"/>
  <w16cid:commentId w16cid:paraId="79AAEB7E" w16cid:durableId="23FDE334"/>
  <w16cid:commentId w16cid:paraId="2F2C6462" w16cid:durableId="23FDE3B3"/>
  <w16cid:commentId w16cid:paraId="292A0078" w16cid:durableId="23FDE3A6"/>
  <w16cid:commentId w16cid:paraId="1D957F01" w16cid:durableId="23FDE395"/>
  <w16cid:commentId w16cid:paraId="37AEE073" w16cid:durableId="23FDE4F3"/>
  <w16cid:commentId w16cid:paraId="0EB961A7" w16cid:durableId="23FF3260"/>
  <w16cid:commentId w16cid:paraId="03884168" w16cid:durableId="23FDE51D"/>
  <w16cid:commentId w16cid:paraId="5428A4C0" w16cid:durableId="23FDE53D"/>
  <w16cid:commentId w16cid:paraId="12505444" w16cid:durableId="23FF32E2"/>
  <w16cid:commentId w16cid:paraId="1F98E882" w16cid:durableId="23FF3300"/>
  <w16cid:commentId w16cid:paraId="26283332" w16cid:durableId="23FF336E"/>
  <w16cid:commentId w16cid:paraId="263980BA" w16cid:durableId="23FF3379"/>
  <w16cid:commentId w16cid:paraId="5925AF4F" w16cid:durableId="23FDE560"/>
  <w16cid:commentId w16cid:paraId="02E59225" w16cid:durableId="23FDE3DD"/>
  <w16cid:commentId w16cid:paraId="1DBA15E3" w16cid:durableId="23FDE5E5"/>
  <w16cid:commentId w16cid:paraId="446D411D" w16cid:durableId="23FDE409"/>
  <w16cid:commentId w16cid:paraId="42B5EC81" w16cid:durableId="23FDE41A"/>
  <w16cid:commentId w16cid:paraId="7DAC39F2" w16cid:durableId="23FDE68B"/>
  <w16cid:commentId w16cid:paraId="4EDEF4CC" w16cid:durableId="23FDE6B2"/>
  <w16cid:commentId w16cid:paraId="47638267" w16cid:durableId="23FDE8BD"/>
  <w16cid:commentId w16cid:paraId="0562B847" w16cid:durableId="23FDE958"/>
  <w16cid:commentId w16cid:paraId="194B7362" w16cid:durableId="23FDE964"/>
  <w16cid:commentId w16cid:paraId="5FE1BC7F" w16cid:durableId="23FDED50"/>
  <w16cid:commentId w16cid:paraId="165F86D6" w16cid:durableId="23FDED88"/>
  <w16cid:commentId w16cid:paraId="11B1A8C6" w16cid:durableId="23FDED95"/>
  <w16cid:commentId w16cid:paraId="1BE5BF9C" w16cid:durableId="23FDE46D"/>
  <w16cid:commentId w16cid:paraId="605B1FF0" w16cid:durableId="23FDEDBF"/>
  <w16cid:commentId w16cid:paraId="336FE411" w16cid:durableId="23FDE47A"/>
  <w16cid:commentId w16cid:paraId="351E2A01" w16cid:durableId="23FDE480"/>
  <w16cid:commentId w16cid:paraId="0D498BF0" w16cid:durableId="23FDE9E6"/>
  <w16cid:commentId w16cid:paraId="112AB2AA" w16cid:durableId="23FDE486"/>
  <w16cid:commentId w16cid:paraId="604DD4B2" w16cid:durableId="23FDE48E"/>
  <w16cid:commentId w16cid:paraId="66E5232B" w16cid:durableId="23FDEA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CCC53" w14:textId="77777777" w:rsidR="00704FEB" w:rsidRDefault="00704FEB" w:rsidP="00C40A36">
      <w:pPr>
        <w:spacing w:after="0"/>
      </w:pPr>
      <w:r>
        <w:separator/>
      </w:r>
    </w:p>
  </w:endnote>
  <w:endnote w:type="continuationSeparator" w:id="0">
    <w:p w14:paraId="5DEA105B" w14:textId="77777777" w:rsidR="00704FEB" w:rsidRDefault="00704FE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MT">
    <w:altName w:val="MS Gothic"/>
    <w:panose1 w:val="00000000000000000000"/>
    <w:charset w:val="00"/>
    <w:family w:val="roman"/>
    <w:notTrueType/>
    <w:pitch w:val="default"/>
    <w:sig w:usb0="00000003" w:usb1="00000000" w:usb2="00000000" w:usb3="00000000" w:csb0="00000001" w:csb1="00000000"/>
  </w:font>
  <w:font w:name="Verdana,Bold">
    <w:altName w:val="MS Gothic"/>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34CF3" w14:textId="77777777" w:rsidR="0017780D" w:rsidRDefault="00177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04FEB" w:rsidRPr="00487162" w14:paraId="77942F71" w14:textId="77777777" w:rsidTr="00DB750B">
      <w:trPr>
        <w:trHeight w:val="269"/>
      </w:trPr>
      <w:tc>
        <w:tcPr>
          <w:tcW w:w="7371" w:type="dxa"/>
          <w:tcMar>
            <w:top w:w="142" w:type="dxa"/>
            <w:bottom w:w="0" w:type="dxa"/>
          </w:tcMar>
        </w:tcPr>
        <w:p w14:paraId="2B8D2349" w14:textId="7D29257D" w:rsidR="00704FEB" w:rsidRPr="00487162" w:rsidRDefault="00704FEB" w:rsidP="00585B2C">
          <w:pPr>
            <w:pStyle w:val="Footer"/>
          </w:pPr>
          <w:r w:rsidRPr="00487162">
            <w:t>AusPA</w:t>
          </w:r>
          <w:r>
            <w:t>R - Abrilada – adalimumab</w:t>
          </w:r>
          <w:r w:rsidRPr="00460036">
            <w:t xml:space="preserve"> </w:t>
          </w:r>
          <w:r>
            <w:t>– Pfizer Australia Pty Ltd PM-2020-01818-1-3</w:t>
          </w:r>
          <w:r>
            <w:br/>
          </w:r>
          <w:r w:rsidR="00CF56ED">
            <w:t>FINAL</w:t>
          </w:r>
          <w:r w:rsidRPr="00487162">
            <w:t xml:space="preserve"> </w:t>
          </w:r>
          <w:r w:rsidR="00CF56ED">
            <w:t>12 April</w:t>
          </w:r>
          <w:r>
            <w:t xml:space="preserve"> 2021</w:t>
          </w:r>
        </w:p>
      </w:tc>
      <w:tc>
        <w:tcPr>
          <w:tcW w:w="1490" w:type="dxa"/>
          <w:tcMar>
            <w:top w:w="142" w:type="dxa"/>
            <w:bottom w:w="0" w:type="dxa"/>
          </w:tcMar>
        </w:tcPr>
        <w:p w14:paraId="608F614A" w14:textId="58DDDDD3" w:rsidR="00704FEB" w:rsidRPr="00487162" w:rsidRDefault="00704FEB" w:rsidP="00DB750B">
          <w:pPr>
            <w:pStyle w:val="Footer"/>
            <w:jc w:val="right"/>
          </w:pPr>
          <w:r w:rsidRPr="00487162">
            <w:t xml:space="preserve">Page </w:t>
          </w:r>
          <w:r>
            <w:fldChar w:fldCharType="begin"/>
          </w:r>
          <w:r>
            <w:instrText xml:space="preserve"> PAGE  \* Arabic </w:instrText>
          </w:r>
          <w:r>
            <w:fldChar w:fldCharType="separate"/>
          </w:r>
          <w:r w:rsidR="00A94E94">
            <w:rPr>
              <w:noProof/>
            </w:rPr>
            <w:t>21</w:t>
          </w:r>
          <w:r>
            <w:fldChar w:fldCharType="end"/>
          </w:r>
          <w:r w:rsidRPr="00487162">
            <w:t xml:space="preserve"> of </w:t>
          </w:r>
          <w:fldSimple w:instr=" NUMPAGES  \* Arabic ">
            <w:r w:rsidR="00A94E94">
              <w:rPr>
                <w:noProof/>
              </w:rPr>
              <w:t>38</w:t>
            </w:r>
          </w:fldSimple>
        </w:p>
      </w:tc>
    </w:tr>
  </w:tbl>
  <w:p w14:paraId="0AED00E8" w14:textId="77777777" w:rsidR="00704FEB" w:rsidRDefault="00704FEB"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45A86" w14:textId="77777777" w:rsidR="0017780D" w:rsidRDefault="001778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04FEB" w:rsidRPr="00487162" w14:paraId="0D64C294" w14:textId="77777777" w:rsidTr="00E45619">
      <w:trPr>
        <w:trHeight w:val="269"/>
      </w:trPr>
      <w:tc>
        <w:tcPr>
          <w:tcW w:w="4519" w:type="dxa"/>
          <w:tcBorders>
            <w:top w:val="single" w:sz="4" w:space="0" w:color="auto"/>
          </w:tcBorders>
          <w:tcMar>
            <w:top w:w="142" w:type="dxa"/>
            <w:bottom w:w="0" w:type="dxa"/>
          </w:tcMar>
        </w:tcPr>
        <w:p w14:paraId="32991CD8" w14:textId="77777777" w:rsidR="00704FEB" w:rsidRPr="00487162" w:rsidRDefault="00704FEB" w:rsidP="00FE1DEE">
          <w:pPr>
            <w:pStyle w:val="Footer"/>
          </w:pPr>
          <w:r w:rsidRPr="00487162">
            <w:t>Document title, Part #, Section # - Section title</w:t>
          </w:r>
        </w:p>
        <w:p w14:paraId="36F4486F" w14:textId="77777777" w:rsidR="00704FEB" w:rsidRPr="00487162" w:rsidRDefault="00704FEB" w:rsidP="00FE1DEE">
          <w:pPr>
            <w:pStyle w:val="Footer"/>
          </w:pPr>
          <w:r w:rsidRPr="00487162">
            <w:t>V1.0 October 2010</w:t>
          </w:r>
        </w:p>
      </w:tc>
      <w:tc>
        <w:tcPr>
          <w:tcW w:w="4342" w:type="dxa"/>
          <w:tcBorders>
            <w:top w:val="single" w:sz="4" w:space="0" w:color="auto"/>
          </w:tcBorders>
          <w:tcMar>
            <w:top w:w="142" w:type="dxa"/>
            <w:bottom w:w="0" w:type="dxa"/>
          </w:tcMar>
        </w:tcPr>
        <w:p w14:paraId="548BAC7B" w14:textId="77777777" w:rsidR="00704FEB" w:rsidRPr="00487162" w:rsidRDefault="00704FE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6D895DB6" w14:textId="77777777" w:rsidR="00704FEB" w:rsidRDefault="00704F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2EDC5" w14:textId="77777777" w:rsidR="00704FEB" w:rsidRPr="001C32CD" w:rsidRDefault="00704FEB"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04FEB" w14:paraId="548FEA97" w14:textId="77777777" w:rsidTr="0010601F">
      <w:trPr>
        <w:trHeight w:val="108"/>
      </w:trPr>
      <w:tc>
        <w:tcPr>
          <w:tcW w:w="8875" w:type="dxa"/>
          <w:gridSpan w:val="2"/>
          <w:tcBorders>
            <w:bottom w:val="single" w:sz="4" w:space="0" w:color="auto"/>
          </w:tcBorders>
          <w:tcMar>
            <w:right w:w="284" w:type="dxa"/>
          </w:tcMar>
        </w:tcPr>
        <w:p w14:paraId="31EE4542" w14:textId="77777777" w:rsidR="00704FEB" w:rsidRDefault="00704FEB" w:rsidP="006E08B3">
          <w:pPr>
            <w:pStyle w:val="Heading3"/>
          </w:pPr>
          <w:r>
            <w:t>Copyright</w:t>
          </w:r>
        </w:p>
        <w:p w14:paraId="1CE3C5AD" w14:textId="77777777" w:rsidR="00704FEB" w:rsidRDefault="00704FEB" w:rsidP="006E08B3">
          <w:r>
            <w:rPr>
              <w:rFonts w:cs="Arial"/>
            </w:rPr>
            <w:t>©</w:t>
          </w:r>
          <w:r>
            <w:t xml:space="preserve"> Commonwealth of Australia [add year]</w:t>
          </w:r>
        </w:p>
        <w:p w14:paraId="69234960" w14:textId="77777777" w:rsidR="00704FEB" w:rsidRDefault="00704FEB" w:rsidP="006E08B3"/>
        <w:p w14:paraId="09C2C550" w14:textId="77777777" w:rsidR="00704FEB" w:rsidRDefault="00704FE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01854F3" w14:textId="77777777" w:rsidR="00704FEB" w:rsidRDefault="00704FEB" w:rsidP="006E08B3"/>
        <w:p w14:paraId="107F9B50" w14:textId="77777777" w:rsidR="00704FEB" w:rsidRDefault="00704FEB" w:rsidP="006E08B3">
          <w:pPr>
            <w:pStyle w:val="Heading3"/>
          </w:pPr>
          <w:r>
            <w:t>Confidentiality</w:t>
          </w:r>
        </w:p>
        <w:p w14:paraId="0A7605E9" w14:textId="77777777" w:rsidR="00704FEB" w:rsidRDefault="00704FE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CCD77CF" w14:textId="77777777" w:rsidR="00704FEB" w:rsidRDefault="00704FEB" w:rsidP="006E08B3"/>
        <w:p w14:paraId="217A3AEF" w14:textId="77777777" w:rsidR="00704FEB" w:rsidRDefault="00704FEB" w:rsidP="006E08B3">
          <w:r>
            <w:t>For submission made by individuals, all personal details, other than your name, will be removed from your submission before it is published on the TGA’s Internet site.</w:t>
          </w:r>
        </w:p>
        <w:p w14:paraId="6933AAAE" w14:textId="77777777" w:rsidR="00704FEB" w:rsidRDefault="00704FEB" w:rsidP="006E08B3"/>
        <w:p w14:paraId="7E27B677" w14:textId="77777777" w:rsidR="00704FEB" w:rsidRDefault="00704FE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04FEB" w14:paraId="1754C00F" w14:textId="77777777" w:rsidTr="0010601F">
      <w:trPr>
        <w:trHeight w:val="417"/>
      </w:trPr>
      <w:tc>
        <w:tcPr>
          <w:tcW w:w="4519" w:type="dxa"/>
          <w:tcBorders>
            <w:top w:val="single" w:sz="4" w:space="0" w:color="auto"/>
          </w:tcBorders>
          <w:tcMar>
            <w:top w:w="142" w:type="dxa"/>
            <w:bottom w:w="0" w:type="dxa"/>
          </w:tcMar>
        </w:tcPr>
        <w:p w14:paraId="30278A55" w14:textId="77777777" w:rsidR="00704FEB" w:rsidRDefault="00704FEB" w:rsidP="006E08B3">
          <w:r>
            <w:t>Document title, Part #, Section # - Section title</w:t>
          </w:r>
        </w:p>
        <w:p w14:paraId="77F2B2CC" w14:textId="77777777" w:rsidR="00704FEB" w:rsidRDefault="00704FEB" w:rsidP="006E08B3">
          <w:r>
            <w:t>V1.0 October 2010</w:t>
          </w:r>
        </w:p>
      </w:tc>
      <w:tc>
        <w:tcPr>
          <w:tcW w:w="4356" w:type="dxa"/>
          <w:tcBorders>
            <w:top w:val="single" w:sz="4" w:space="0" w:color="auto"/>
          </w:tcBorders>
          <w:tcMar>
            <w:top w:w="142" w:type="dxa"/>
            <w:bottom w:w="0" w:type="dxa"/>
          </w:tcMar>
        </w:tcPr>
        <w:p w14:paraId="34C226BC" w14:textId="77777777" w:rsidR="00704FEB" w:rsidRDefault="00704FE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2958B70C" w14:textId="77777777" w:rsidR="00704FEB" w:rsidRDefault="00704FE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77FA2" w14:textId="77777777" w:rsidR="00704FEB" w:rsidRDefault="00704FEB" w:rsidP="00C40A36">
      <w:pPr>
        <w:spacing w:after="0"/>
      </w:pPr>
      <w:r>
        <w:separator/>
      </w:r>
    </w:p>
  </w:footnote>
  <w:footnote w:type="continuationSeparator" w:id="0">
    <w:p w14:paraId="419FB52E" w14:textId="77777777" w:rsidR="00704FEB" w:rsidRDefault="00704FEB" w:rsidP="00C40A36">
      <w:pPr>
        <w:spacing w:after="0"/>
      </w:pPr>
      <w:r>
        <w:continuationSeparator/>
      </w:r>
    </w:p>
  </w:footnote>
  <w:footnote w:id="1">
    <w:p w14:paraId="294C249F" w14:textId="77777777" w:rsidR="00704FEB" w:rsidRDefault="00704FEB">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6925A25A" w14:textId="77777777" w:rsidR="00704FEB" w:rsidRPr="003C7216" w:rsidRDefault="00704FEB">
      <w:pPr>
        <w:pStyle w:val="FootnoteText"/>
        <w:rPr>
          <w:lang w:val="en-US"/>
        </w:rPr>
      </w:pPr>
      <w:r>
        <w:rPr>
          <w:rStyle w:val="FootnoteReference"/>
        </w:rPr>
        <w:footnoteRef/>
      </w:r>
      <w:r>
        <w:t xml:space="preserve"> </w:t>
      </w:r>
      <w:r w:rsidRPr="003B51AB">
        <w:t>CHMP/437/04 Rev. 1</w:t>
      </w:r>
      <w:r>
        <w:t xml:space="preserve"> </w:t>
      </w:r>
      <w:r w:rsidRPr="003B51AB">
        <w:t>Guideline on similar biological medicinal products;</w:t>
      </w:r>
      <w:r>
        <w:t xml:space="preserve"> European Medicines Agency. F</w:t>
      </w:r>
      <w:r w:rsidRPr="003B51AB">
        <w:t>irst published 29 October 2014</w:t>
      </w:r>
      <w:r>
        <w:t xml:space="preserve">. Available at: </w:t>
      </w:r>
      <w:r w:rsidRPr="003C7216">
        <w:t>https://www.ema.europa.eu/en/similar-biological-medicinal-products#document-history---revision-1-(current-version)-section</w:t>
      </w:r>
    </w:p>
  </w:footnote>
  <w:footnote w:id="3">
    <w:p w14:paraId="63D2588B" w14:textId="77777777" w:rsidR="00704FEB" w:rsidRPr="003C7216" w:rsidRDefault="00704FEB">
      <w:pPr>
        <w:pStyle w:val="FootnoteText"/>
        <w:rPr>
          <w:lang w:val="en-US"/>
        </w:rPr>
      </w:pPr>
      <w:r>
        <w:rPr>
          <w:rStyle w:val="FootnoteReference"/>
        </w:rPr>
        <w:footnoteRef/>
      </w:r>
      <w:r>
        <w:t xml:space="preserve"> </w:t>
      </w:r>
      <w:r w:rsidRPr="003B51AB">
        <w:t>EMA/CHMP/BWP/247713/2012</w:t>
      </w:r>
      <w:r>
        <w:t xml:space="preserve"> </w:t>
      </w:r>
      <w:r w:rsidRPr="003B51AB">
        <w:t>Guideline on similar biological medicinal products containing biotechnology-derived proteins as active substance: quality issues (revision 1)</w:t>
      </w:r>
      <w:r>
        <w:t xml:space="preserve">; European Medicines Agency. First published </w:t>
      </w:r>
      <w:r w:rsidRPr="003B51AB">
        <w:t>3 June 2014</w:t>
      </w:r>
      <w:r>
        <w:t xml:space="preserve">. Available at: </w:t>
      </w:r>
      <w:r w:rsidRPr="003C7216">
        <w:t>https://www.ema.europa.eu/en/similar-biological-medicinal-products-containing-biotechnology-derived-proteins-active-substance</w:t>
      </w:r>
    </w:p>
  </w:footnote>
  <w:footnote w:id="4">
    <w:p w14:paraId="179BC462" w14:textId="77777777" w:rsidR="00704FEB" w:rsidRPr="003C7216" w:rsidRDefault="00704FEB">
      <w:pPr>
        <w:pStyle w:val="FootnoteText"/>
        <w:rPr>
          <w:lang w:val="en-US"/>
        </w:rPr>
      </w:pPr>
      <w:r>
        <w:rPr>
          <w:rStyle w:val="FootnoteReference"/>
        </w:rPr>
        <w:footnoteRef/>
      </w:r>
      <w:r>
        <w:t xml:space="preserve"> </w:t>
      </w:r>
      <w:r w:rsidRPr="003B51AB">
        <w:t>EMA/CHMP/BMWP/403543/2010</w:t>
      </w:r>
      <w:r>
        <w:t xml:space="preserve"> </w:t>
      </w:r>
      <w:r w:rsidRPr="003B51AB">
        <w:t>Guideline on similar biological medicinal products containing monoclonal antibodies - non-clinical and clinical issues</w:t>
      </w:r>
      <w:r>
        <w:t>; European Medicines Agency. F</w:t>
      </w:r>
      <w:r w:rsidRPr="003B51AB">
        <w:t xml:space="preserve">irst published: 15 June 2012; </w:t>
      </w:r>
      <w:r>
        <w:t xml:space="preserve">available at: </w:t>
      </w:r>
      <w:r w:rsidRPr="003C7216">
        <w:t>https://www.ema.europa.eu/en/similar-biological-medicinal-products-containing-monoclonal-antibodies-non-clinical-clinical-issues</w:t>
      </w:r>
    </w:p>
  </w:footnote>
  <w:footnote w:id="5">
    <w:p w14:paraId="3FB3F9F3" w14:textId="44C655C2" w:rsidR="00704FEB" w:rsidRPr="009841C5" w:rsidRDefault="00704FEB">
      <w:pPr>
        <w:pStyle w:val="FootnoteText"/>
        <w:rPr>
          <w:lang w:val="en-US"/>
        </w:rPr>
      </w:pPr>
      <w:r>
        <w:rPr>
          <w:rStyle w:val="FootnoteReference"/>
        </w:rPr>
        <w:footnoteRef/>
      </w:r>
      <w:r>
        <w:t xml:space="preserve"> </w:t>
      </w:r>
      <w:r>
        <w:rPr>
          <w:lang w:val="en-US"/>
        </w:rPr>
        <w:t>Good Manufacturing Practice clearance status was resolved allowing ARTG registry.</w:t>
      </w:r>
    </w:p>
  </w:footnote>
  <w:footnote w:id="6">
    <w:p w14:paraId="4DC9AF0E" w14:textId="77777777" w:rsidR="00704FEB" w:rsidRPr="00BC652A" w:rsidRDefault="00704FEB">
      <w:pPr>
        <w:pStyle w:val="FootnoteText"/>
        <w:rPr>
          <w:lang w:val="en-US"/>
        </w:rPr>
      </w:pPr>
      <w:r>
        <w:rPr>
          <w:rStyle w:val="FootnoteReference"/>
        </w:rPr>
        <w:footnoteRef/>
      </w:r>
      <w:r>
        <w:t xml:space="preserve"> </w:t>
      </w:r>
      <w:r w:rsidRPr="00BC652A">
        <w:t xml:space="preserve">The </w:t>
      </w:r>
      <w:r w:rsidRPr="009841C5">
        <w:rPr>
          <w:b/>
        </w:rPr>
        <w:t>ACR</w:t>
      </w:r>
      <w:r w:rsidRPr="00BC652A">
        <w:t xml:space="preserve"> (</w:t>
      </w:r>
      <w:r w:rsidRPr="009841C5">
        <w:rPr>
          <w:b/>
        </w:rPr>
        <w:t>American College of Rheumatology</w:t>
      </w:r>
      <w:r w:rsidRPr="00BC652A">
        <w:t xml:space="preserve">) </w:t>
      </w:r>
      <w:r w:rsidRPr="009841C5">
        <w:rPr>
          <w:b/>
        </w:rPr>
        <w:t>criteria</w:t>
      </w:r>
      <w:r w:rsidRPr="00BC652A">
        <w:t xml:space="preserve"> are a standardised measure of disease improvement widely used in rheumatology trials, but less so clinically. The ACR20 is a composite measure defined as both improvement of 20% in the number of tender and number of swollen joints, and a 20% improvement in three of the following five criteria: patient global assessment, physician global assessment, a patient functional ability measure (most often the Health Assessment Questionnaire (HAQ), Visual Analog Scale (VAS) for Pain, and erythrocyte sedimentation rate (ESR) or C-reactive protein (CRP). ACR50 and ACR70 are the same instruments with an improvement of 50% and 70% respectively.</w:t>
      </w:r>
    </w:p>
  </w:footnote>
  <w:footnote w:id="7">
    <w:p w14:paraId="4D4D828D" w14:textId="77777777" w:rsidR="00704FEB" w:rsidRPr="00BC652A" w:rsidRDefault="00704FEB">
      <w:pPr>
        <w:pStyle w:val="FootnoteText"/>
        <w:rPr>
          <w:lang w:val="en-US"/>
        </w:rPr>
      </w:pPr>
      <w:r>
        <w:rPr>
          <w:rStyle w:val="FootnoteReference"/>
        </w:rPr>
        <w:footnoteRef/>
      </w:r>
      <w:r>
        <w:t xml:space="preserve"> </w:t>
      </w:r>
      <w:r w:rsidRPr="00BC652A">
        <w:t xml:space="preserve">The </w:t>
      </w:r>
      <w:r w:rsidRPr="00EF7EF5">
        <w:rPr>
          <w:b/>
        </w:rPr>
        <w:t>Disease Activity Score 28</w:t>
      </w:r>
      <w:r w:rsidRPr="00BC652A">
        <w:t xml:space="preserve"> (</w:t>
      </w:r>
      <w:r w:rsidRPr="00EF7EF5">
        <w:rPr>
          <w:b/>
        </w:rPr>
        <w:t>DAS28</w:t>
      </w:r>
      <w:r w:rsidRPr="00BC652A">
        <w:t>) is a system developed and validated by the European League Against Rheumatism (EULAR) to measure the progress and impro</w:t>
      </w:r>
      <w:r>
        <w:t>vement of rheumatoid arthritis.</w:t>
      </w:r>
      <w:r>
        <w:br/>
      </w:r>
      <w:r w:rsidRPr="00BC652A">
        <w:t>The Disease Activity</w:t>
      </w:r>
      <w:r>
        <w:t xml:space="preserve"> Score-28-C-reactive Protein 4 (</w:t>
      </w:r>
      <w:r w:rsidRPr="00EF7EF5">
        <w:rPr>
          <w:b/>
        </w:rPr>
        <w:t>DAS28-CRP(4</w:t>
      </w:r>
      <w:r>
        <w:t>))</w:t>
      </w:r>
      <w:r w:rsidRPr="00BC652A">
        <w:t xml:space="preserve"> composite measure for rheumatoid arthritis (RA) is based on 4 variables: tender and swollen joint counts</w:t>
      </w:r>
      <w:r>
        <w:t xml:space="preserve"> (amongst 28 joints)</w:t>
      </w:r>
      <w:r w:rsidRPr="00BC652A">
        <w:t>, C</w:t>
      </w:r>
      <w:r>
        <w:t>-reactive protein</w:t>
      </w:r>
      <w:r w:rsidRPr="00BC652A">
        <w:t>, and patient global assessment.</w:t>
      </w:r>
      <w:r>
        <w:t xml:space="preserve"> Scores range from a minimum of 2.0 to maximum of 10.0.</w:t>
      </w:r>
    </w:p>
  </w:footnote>
  <w:footnote w:id="8">
    <w:p w14:paraId="31964C97" w14:textId="77777777" w:rsidR="00704FEB" w:rsidRPr="00BC652A" w:rsidRDefault="00704FEB">
      <w:pPr>
        <w:pStyle w:val="FootnoteText"/>
        <w:rPr>
          <w:lang w:val="en-US"/>
        </w:rPr>
      </w:pPr>
      <w:r>
        <w:rPr>
          <w:rStyle w:val="FootnoteReference"/>
        </w:rPr>
        <w:footnoteRef/>
      </w:r>
      <w:r>
        <w:t xml:space="preserve"> </w:t>
      </w:r>
      <w:r w:rsidRPr="00BC652A">
        <w:t xml:space="preserve">The </w:t>
      </w:r>
      <w:r w:rsidRPr="00EF7EF5">
        <w:rPr>
          <w:b/>
        </w:rPr>
        <w:t>European League against Rheumatism</w:t>
      </w:r>
      <w:r w:rsidRPr="00BC652A">
        <w:t xml:space="preserve"> (</w:t>
      </w:r>
      <w:r w:rsidRPr="00EF7EF5">
        <w:rPr>
          <w:b/>
        </w:rPr>
        <w:t>EULAR</w:t>
      </w:r>
      <w:r w:rsidRPr="00BC652A">
        <w:t xml:space="preserve">) </w:t>
      </w:r>
      <w:r w:rsidRPr="00EF7EF5">
        <w:rPr>
          <w:b/>
        </w:rPr>
        <w:t>response criteria</w:t>
      </w:r>
      <w:r w:rsidRPr="00BC652A">
        <w:t xml:space="preserve"> are based on the assessment of disease activity using the Disease Activity Score (DAS), a statistically-derived index consisting of number of tender joints, number of swollen joints, erythrocyte sedimentation rate</w:t>
      </w:r>
      <w:r>
        <w:t xml:space="preserve"> or C-reactive protein</w:t>
      </w:r>
      <w:r w:rsidRPr="00BC652A">
        <w:t>, and global disease activity.</w:t>
      </w:r>
    </w:p>
  </w:footnote>
  <w:footnote w:id="9">
    <w:p w14:paraId="6E050FE0" w14:textId="77777777" w:rsidR="00704FEB" w:rsidRPr="001C406A" w:rsidRDefault="00704FEB">
      <w:pPr>
        <w:pStyle w:val="FootnoteText"/>
        <w:rPr>
          <w:lang w:val="en-US"/>
        </w:rPr>
      </w:pPr>
      <w:r>
        <w:rPr>
          <w:rStyle w:val="FootnoteReference"/>
        </w:rPr>
        <w:footnoteRef/>
      </w:r>
      <w:r>
        <w:t xml:space="preserve"> </w:t>
      </w:r>
      <w:r w:rsidRPr="001C406A">
        <w:rPr>
          <w:b/>
          <w:lang w:val="en-US"/>
        </w:rPr>
        <w:t>MedDRA</w:t>
      </w:r>
      <w:r>
        <w:rPr>
          <w:lang w:val="en-US"/>
        </w:rPr>
        <w:t xml:space="preserve"> = Medical Dictionary for Regulatory Affairs</w:t>
      </w:r>
    </w:p>
  </w:footnote>
  <w:footnote w:id="10">
    <w:p w14:paraId="533EE81B" w14:textId="77777777" w:rsidR="00704FEB" w:rsidRPr="001C406A" w:rsidRDefault="00704FEB">
      <w:pPr>
        <w:pStyle w:val="FootnoteText"/>
        <w:rPr>
          <w:lang w:val="en-US"/>
        </w:rPr>
      </w:pPr>
      <w:r>
        <w:rPr>
          <w:rStyle w:val="FootnoteReference"/>
        </w:rPr>
        <w:footnoteRef/>
      </w:r>
      <w:r>
        <w:t xml:space="preserve"> </w:t>
      </w:r>
      <w:proofErr w:type="spellStart"/>
      <w:r w:rsidRPr="001C406A">
        <w:t>QuantiFERON</w:t>
      </w:r>
      <w:proofErr w:type="spellEnd"/>
      <w:r w:rsidRPr="001C406A">
        <w:t xml:space="preserve"> TB testing uses a blood test (Interferon gamma release assay</w:t>
      </w:r>
      <w:r>
        <w:t>;</w:t>
      </w:r>
      <w:r w:rsidRPr="001C406A">
        <w:t xml:space="preserve"> IGRA) that aids in the detection of Mycobacterium tuberculosis, the bacteria which causes tuberculosis (TB).</w:t>
      </w:r>
    </w:p>
  </w:footnote>
  <w:footnote w:id="11">
    <w:p w14:paraId="2F5B24A8" w14:textId="77777777" w:rsidR="00704FEB" w:rsidRDefault="00704FEB"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569A1A7F" w14:textId="77777777" w:rsidR="00704FEB" w:rsidRDefault="00704FEB" w:rsidP="007D53B6">
      <w:pPr>
        <w:pStyle w:val="FootnoteText"/>
      </w:pPr>
      <w:r w:rsidRPr="007D53B6">
        <w:rPr>
          <w:i/>
        </w:rPr>
        <w:t>Routine pharmacovigilance</w:t>
      </w:r>
      <w:r>
        <w:t xml:space="preserve"> practices involve the following activities:</w:t>
      </w:r>
    </w:p>
    <w:p w14:paraId="70F74F54" w14:textId="77777777" w:rsidR="00704FEB" w:rsidRDefault="00704FEB" w:rsidP="007D53B6">
      <w:pPr>
        <w:pStyle w:val="FootnoteText"/>
        <w:numPr>
          <w:ilvl w:val="0"/>
          <w:numId w:val="32"/>
        </w:numPr>
        <w:ind w:left="284" w:hanging="284"/>
      </w:pPr>
      <w:r>
        <w:t>All suspected adverse reactions that are reported to the personnel of the company are collected and collated in an accessible manner;</w:t>
      </w:r>
    </w:p>
    <w:p w14:paraId="5AAB3782" w14:textId="77777777" w:rsidR="00704FEB" w:rsidRDefault="00704FEB" w:rsidP="007D53B6">
      <w:pPr>
        <w:pStyle w:val="FootnoteText"/>
        <w:numPr>
          <w:ilvl w:val="0"/>
          <w:numId w:val="32"/>
        </w:numPr>
        <w:ind w:left="284" w:hanging="284"/>
      </w:pPr>
      <w:r>
        <w:t>Reporting to regulatory authorities;</w:t>
      </w:r>
    </w:p>
    <w:p w14:paraId="757D68F0" w14:textId="77777777" w:rsidR="00704FEB" w:rsidRDefault="00704FEB" w:rsidP="007D53B6">
      <w:pPr>
        <w:pStyle w:val="FootnoteText"/>
        <w:numPr>
          <w:ilvl w:val="0"/>
          <w:numId w:val="32"/>
        </w:numPr>
        <w:ind w:left="284" w:hanging="284"/>
      </w:pPr>
      <w:r>
        <w:t>Continuous monitoring of the safety profiles of approved products including signal detection and updating of labelling;</w:t>
      </w:r>
    </w:p>
    <w:p w14:paraId="672FC2E9" w14:textId="77777777" w:rsidR="00704FEB" w:rsidRDefault="00704FEB" w:rsidP="007D53B6">
      <w:pPr>
        <w:pStyle w:val="FootnoteText"/>
        <w:numPr>
          <w:ilvl w:val="0"/>
          <w:numId w:val="32"/>
        </w:numPr>
        <w:ind w:left="284" w:hanging="284"/>
      </w:pPr>
      <w:r>
        <w:t>Submission of PSURs;</w:t>
      </w:r>
    </w:p>
    <w:p w14:paraId="2E554B13" w14:textId="77777777" w:rsidR="00704FEB" w:rsidRDefault="00704FEB" w:rsidP="007D53B6">
      <w:pPr>
        <w:pStyle w:val="FootnoteText"/>
        <w:numPr>
          <w:ilvl w:val="0"/>
          <w:numId w:val="32"/>
        </w:numPr>
        <w:ind w:left="284" w:hanging="284"/>
      </w:pPr>
      <w:r>
        <w:t>Meeting other local regulatory agency requirements.</w:t>
      </w:r>
    </w:p>
  </w:footnote>
  <w:footnote w:id="12">
    <w:p w14:paraId="192DD6FF" w14:textId="77777777" w:rsidR="00704FEB" w:rsidRPr="004E5FF6" w:rsidRDefault="00704FEB">
      <w:pPr>
        <w:pStyle w:val="FootnoteText"/>
        <w:rPr>
          <w:lang w:val="en-US"/>
        </w:rPr>
      </w:pPr>
      <w:r>
        <w:rPr>
          <w:rStyle w:val="FootnoteReference"/>
        </w:rPr>
        <w:footnoteRef/>
      </w:r>
      <w:r>
        <w:t xml:space="preserve"> Humira adalimumab </w:t>
      </w:r>
      <w:r w:rsidRPr="004E5FF6">
        <w:t>40 mg per 0.8 mL (50 mg/m</w:t>
      </w:r>
      <w:r>
        <w:t>L) solution for injection in prefilled syringe and prefilled pen; Humira 20 mg per 0.4 mL (50 mg/mL) solution for injection in prefilled syringe and prefilled pen.</w:t>
      </w:r>
    </w:p>
  </w:footnote>
  <w:footnote w:id="13">
    <w:p w14:paraId="0E9DA5DE" w14:textId="77777777" w:rsidR="00704FEB" w:rsidRPr="00A37F5B" w:rsidRDefault="00704FEB">
      <w:pPr>
        <w:pStyle w:val="FootnoteText"/>
        <w:rPr>
          <w:lang w:val="en-US"/>
        </w:rPr>
      </w:pPr>
      <w:r>
        <w:rPr>
          <w:rStyle w:val="FootnoteReference"/>
        </w:rPr>
        <w:footnoteRef/>
      </w:r>
      <w:r>
        <w:t xml:space="preserve"> </w:t>
      </w:r>
      <w:proofErr w:type="spellStart"/>
      <w:r>
        <w:t>SmPC</w:t>
      </w:r>
      <w:proofErr w:type="spellEnd"/>
      <w:r>
        <w:t xml:space="preserve"> </w:t>
      </w:r>
      <w:r>
        <w:rPr>
          <w:lang w:val="en-US"/>
        </w:rPr>
        <w:t>Humira adalimumab (</w:t>
      </w:r>
      <w:r w:rsidRPr="00A37F5B">
        <w:rPr>
          <w:lang w:val="en-US"/>
        </w:rPr>
        <w:t>EMEA/H/C/000481 - IA/0206</w:t>
      </w:r>
      <w:r>
        <w:rPr>
          <w:lang w:val="en-US"/>
        </w:rPr>
        <w:t xml:space="preserve">); European Medicines Agency. </w:t>
      </w:r>
      <w:r w:rsidRPr="00A37F5B">
        <w:rPr>
          <w:lang w:val="en-US"/>
        </w:rPr>
        <w:t>https://www.ema.europa.eu/en/documents/product-information/humira-epar-product-information_en.pdf</w:t>
      </w:r>
    </w:p>
  </w:footnote>
  <w:footnote w:id="14">
    <w:p w14:paraId="50F0F616" w14:textId="77777777" w:rsidR="00704FEB" w:rsidRPr="00204A56" w:rsidRDefault="00704FEB">
      <w:pPr>
        <w:pStyle w:val="FootnoteText"/>
        <w:rPr>
          <w:lang w:val="en-US"/>
        </w:rPr>
      </w:pPr>
      <w:r>
        <w:rPr>
          <w:rStyle w:val="FootnoteReference"/>
        </w:rPr>
        <w:footnoteRef/>
      </w:r>
      <w:r>
        <w:t xml:space="preserve"> </w:t>
      </w:r>
      <w:r>
        <w:rPr>
          <w:lang w:val="en-US"/>
        </w:rPr>
        <w:t>All outstanding issues were addressed by the sponsor, allowing for registration to proceed.</w:t>
      </w:r>
    </w:p>
  </w:footnote>
  <w:footnote w:id="15">
    <w:p w14:paraId="471D8BEC" w14:textId="77777777" w:rsidR="00704FEB" w:rsidRDefault="00704FEB"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38DC615" w14:textId="77777777" w:rsidR="00704FEB" w:rsidRPr="00456765" w:rsidRDefault="00704FEB"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D6702" w14:textId="77777777" w:rsidR="0017780D" w:rsidRDefault="001778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0ED9D" w14:textId="77777777" w:rsidR="00704FEB" w:rsidRDefault="00704FEB"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3BCC0" w14:textId="77777777" w:rsidR="00704FEB" w:rsidRDefault="00704FEB">
    <w:pPr>
      <w:rPr>
        <w:noProof/>
        <w:lang w:eastAsia="en-AU"/>
      </w:rPr>
    </w:pPr>
    <w:r w:rsidRPr="00347824">
      <w:rPr>
        <w:noProof/>
        <w:lang w:eastAsia="en-AU"/>
      </w:rPr>
      <w:drawing>
        <wp:anchor distT="0" distB="0" distL="114300" distR="114300" simplePos="0" relativeHeight="251659264" behindDoc="1" locked="0" layoutInCell="1" allowOverlap="1" wp14:anchorId="3B6E1D62" wp14:editId="0A6A027C">
          <wp:simplePos x="0" y="0"/>
          <wp:positionH relativeFrom="column">
            <wp:posOffset>-1089660</wp:posOffset>
          </wp:positionH>
          <wp:positionV relativeFrom="paragraph">
            <wp:posOffset>-585470</wp:posOffset>
          </wp:positionV>
          <wp:extent cx="7572375" cy="10706100"/>
          <wp:effectExtent l="19050" t="0" r="0" b="0"/>
          <wp:wrapNone/>
          <wp:docPr id="1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10CD51C" w14:textId="3BC391A0" w:rsidR="00704FEB" w:rsidRDefault="00704FEB"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CEA3D" w14:textId="77777777" w:rsidR="00704FEB" w:rsidRDefault="00704F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0E327" w14:textId="77777777" w:rsidR="00704FEB" w:rsidRDefault="00704FE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6A813" w14:textId="77777777" w:rsidR="00704FEB" w:rsidRDefault="00704FEB">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F9D05" w14:textId="77777777" w:rsidR="00704FEB" w:rsidRDefault="00704F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FEB61" w14:textId="77777777" w:rsidR="00704FEB" w:rsidRDefault="00704FEB"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5D5E7" w14:textId="77777777" w:rsidR="00704FEB" w:rsidRDefault="00704FEB" w:rsidP="006E08B3">
    <w:r>
      <w:t>Therapeutic Goods Administration</w:t>
    </w:r>
  </w:p>
  <w:p w14:paraId="4AEBBA90" w14:textId="77777777" w:rsidR="00704FEB" w:rsidRDefault="00704FEB"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ADE0F9D8"/>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E486775"/>
    <w:multiLevelType w:val="hybridMultilevel"/>
    <w:tmpl w:val="1430CB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6103A"/>
    <w:multiLevelType w:val="hybridMultilevel"/>
    <w:tmpl w:val="69DA64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E1248D"/>
    <w:multiLevelType w:val="hybridMultilevel"/>
    <w:tmpl w:val="DB20E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381F4D"/>
    <w:multiLevelType w:val="hybridMultilevel"/>
    <w:tmpl w:val="E6ACDC04"/>
    <w:lvl w:ilvl="0" w:tplc="1EFE756E">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6"/>
  </w:num>
  <w:num w:numId="30">
    <w:abstractNumId w:val="10"/>
  </w:num>
  <w:num w:numId="31">
    <w:abstractNumId w:val="4"/>
  </w:num>
  <w:num w:numId="32">
    <w:abstractNumId w:val="12"/>
  </w:num>
  <w:num w:numId="33">
    <w:abstractNumId w:val="13"/>
  </w:num>
  <w:num w:numId="34">
    <w:abstractNumId w:val="14"/>
  </w:num>
  <w:num w:numId="35">
    <w:abstractNumId w:val="9"/>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AU" w:vendorID="64" w:dllVersion="6" w:nlCheck="1" w:checkStyle="0"/>
  <w:activeWritingStyle w:appName="MSWord" w:lang="en-GB" w:vendorID="64" w:dllVersion="6" w:nlCheck="1" w:checkStyle="0"/>
  <w:activeWritingStyle w:appName="MSWord" w:lang="en-US"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4BF"/>
    <w:rsid w:val="00002031"/>
    <w:rsid w:val="00004734"/>
    <w:rsid w:val="00006B22"/>
    <w:rsid w:val="00006FAB"/>
    <w:rsid w:val="00007B13"/>
    <w:rsid w:val="0001276A"/>
    <w:rsid w:val="000246AE"/>
    <w:rsid w:val="00025C67"/>
    <w:rsid w:val="00040426"/>
    <w:rsid w:val="00044772"/>
    <w:rsid w:val="0004541C"/>
    <w:rsid w:val="0005559E"/>
    <w:rsid w:val="000604D6"/>
    <w:rsid w:val="00066F4D"/>
    <w:rsid w:val="00071BAD"/>
    <w:rsid w:val="000734D8"/>
    <w:rsid w:val="00077775"/>
    <w:rsid w:val="00090471"/>
    <w:rsid w:val="00093FBB"/>
    <w:rsid w:val="00096AA7"/>
    <w:rsid w:val="000A3AED"/>
    <w:rsid w:val="000B2DDD"/>
    <w:rsid w:val="000B3532"/>
    <w:rsid w:val="000B3A75"/>
    <w:rsid w:val="000C00C2"/>
    <w:rsid w:val="000C690F"/>
    <w:rsid w:val="000D1295"/>
    <w:rsid w:val="000D391B"/>
    <w:rsid w:val="000D3D6D"/>
    <w:rsid w:val="000D4FC7"/>
    <w:rsid w:val="000D5DC8"/>
    <w:rsid w:val="000E6196"/>
    <w:rsid w:val="000F2602"/>
    <w:rsid w:val="000F286B"/>
    <w:rsid w:val="000F4869"/>
    <w:rsid w:val="000F5425"/>
    <w:rsid w:val="000F5B42"/>
    <w:rsid w:val="000F6E6F"/>
    <w:rsid w:val="00105610"/>
    <w:rsid w:val="0010601F"/>
    <w:rsid w:val="0010788A"/>
    <w:rsid w:val="00107A31"/>
    <w:rsid w:val="00110EA5"/>
    <w:rsid w:val="00112F56"/>
    <w:rsid w:val="0012232D"/>
    <w:rsid w:val="00122C2E"/>
    <w:rsid w:val="00124424"/>
    <w:rsid w:val="00124ACD"/>
    <w:rsid w:val="00125318"/>
    <w:rsid w:val="001305A2"/>
    <w:rsid w:val="00133238"/>
    <w:rsid w:val="00133A1B"/>
    <w:rsid w:val="0014197B"/>
    <w:rsid w:val="001447CD"/>
    <w:rsid w:val="00145403"/>
    <w:rsid w:val="001516B1"/>
    <w:rsid w:val="00154EBB"/>
    <w:rsid w:val="00156316"/>
    <w:rsid w:val="00161181"/>
    <w:rsid w:val="00162D14"/>
    <w:rsid w:val="00163780"/>
    <w:rsid w:val="00165389"/>
    <w:rsid w:val="0017693F"/>
    <w:rsid w:val="00176D57"/>
    <w:rsid w:val="0017780D"/>
    <w:rsid w:val="0018110E"/>
    <w:rsid w:val="00181684"/>
    <w:rsid w:val="001843C6"/>
    <w:rsid w:val="001850E0"/>
    <w:rsid w:val="001A03AF"/>
    <w:rsid w:val="001A2158"/>
    <w:rsid w:val="001A525F"/>
    <w:rsid w:val="001B09F9"/>
    <w:rsid w:val="001B50D0"/>
    <w:rsid w:val="001B5C90"/>
    <w:rsid w:val="001B6448"/>
    <w:rsid w:val="001C32CD"/>
    <w:rsid w:val="001C406A"/>
    <w:rsid w:val="001D2984"/>
    <w:rsid w:val="001E07CF"/>
    <w:rsid w:val="001E59F1"/>
    <w:rsid w:val="001F2CEE"/>
    <w:rsid w:val="001F49EB"/>
    <w:rsid w:val="001F6CBA"/>
    <w:rsid w:val="00201D4E"/>
    <w:rsid w:val="00204A56"/>
    <w:rsid w:val="002076C9"/>
    <w:rsid w:val="00220B8A"/>
    <w:rsid w:val="002257F3"/>
    <w:rsid w:val="00233456"/>
    <w:rsid w:val="002339A5"/>
    <w:rsid w:val="00250271"/>
    <w:rsid w:val="0025502F"/>
    <w:rsid w:val="00257848"/>
    <w:rsid w:val="002578E8"/>
    <w:rsid w:val="0027084A"/>
    <w:rsid w:val="00280265"/>
    <w:rsid w:val="00286434"/>
    <w:rsid w:val="00286C59"/>
    <w:rsid w:val="00291957"/>
    <w:rsid w:val="002942D1"/>
    <w:rsid w:val="00294CF4"/>
    <w:rsid w:val="0029501A"/>
    <w:rsid w:val="002A3721"/>
    <w:rsid w:val="002A5BC7"/>
    <w:rsid w:val="002B0C1B"/>
    <w:rsid w:val="002B1638"/>
    <w:rsid w:val="002B3624"/>
    <w:rsid w:val="002C1071"/>
    <w:rsid w:val="002C4753"/>
    <w:rsid w:val="002D0952"/>
    <w:rsid w:val="002D5CBF"/>
    <w:rsid w:val="002E40B3"/>
    <w:rsid w:val="002E4C9A"/>
    <w:rsid w:val="002F11F8"/>
    <w:rsid w:val="002F3F56"/>
    <w:rsid w:val="002F44B5"/>
    <w:rsid w:val="002F5122"/>
    <w:rsid w:val="00311AC0"/>
    <w:rsid w:val="003176FC"/>
    <w:rsid w:val="00324E45"/>
    <w:rsid w:val="0032583B"/>
    <w:rsid w:val="00327776"/>
    <w:rsid w:val="00327883"/>
    <w:rsid w:val="00335504"/>
    <w:rsid w:val="00340C18"/>
    <w:rsid w:val="003442FD"/>
    <w:rsid w:val="00347824"/>
    <w:rsid w:val="00350567"/>
    <w:rsid w:val="003521E8"/>
    <w:rsid w:val="00352ED7"/>
    <w:rsid w:val="00370CE3"/>
    <w:rsid w:val="003727FC"/>
    <w:rsid w:val="003728F3"/>
    <w:rsid w:val="003735BC"/>
    <w:rsid w:val="0037496E"/>
    <w:rsid w:val="00383221"/>
    <w:rsid w:val="00386150"/>
    <w:rsid w:val="003874CE"/>
    <w:rsid w:val="00390900"/>
    <w:rsid w:val="003923E3"/>
    <w:rsid w:val="00395701"/>
    <w:rsid w:val="003A7F6C"/>
    <w:rsid w:val="003B4D60"/>
    <w:rsid w:val="003B51AB"/>
    <w:rsid w:val="003B7E39"/>
    <w:rsid w:val="003C58DC"/>
    <w:rsid w:val="003C7216"/>
    <w:rsid w:val="003D1E62"/>
    <w:rsid w:val="003E0B99"/>
    <w:rsid w:val="003E2486"/>
    <w:rsid w:val="003E3208"/>
    <w:rsid w:val="003F0B04"/>
    <w:rsid w:val="0040134E"/>
    <w:rsid w:val="004128D2"/>
    <w:rsid w:val="00424F0B"/>
    <w:rsid w:val="004329EB"/>
    <w:rsid w:val="004334C7"/>
    <w:rsid w:val="004403EB"/>
    <w:rsid w:val="00440A2D"/>
    <w:rsid w:val="00441C3F"/>
    <w:rsid w:val="004436C8"/>
    <w:rsid w:val="00444D1A"/>
    <w:rsid w:val="0045186A"/>
    <w:rsid w:val="004564A7"/>
    <w:rsid w:val="00456765"/>
    <w:rsid w:val="00460036"/>
    <w:rsid w:val="004607B3"/>
    <w:rsid w:val="004617BF"/>
    <w:rsid w:val="00463658"/>
    <w:rsid w:val="004637A0"/>
    <w:rsid w:val="004722CC"/>
    <w:rsid w:val="00473C57"/>
    <w:rsid w:val="0048492C"/>
    <w:rsid w:val="00485241"/>
    <w:rsid w:val="00487CE0"/>
    <w:rsid w:val="00490483"/>
    <w:rsid w:val="00490513"/>
    <w:rsid w:val="004936E4"/>
    <w:rsid w:val="00494E60"/>
    <w:rsid w:val="00497487"/>
    <w:rsid w:val="004A2771"/>
    <w:rsid w:val="004A6189"/>
    <w:rsid w:val="004A7331"/>
    <w:rsid w:val="004A7390"/>
    <w:rsid w:val="004B5A30"/>
    <w:rsid w:val="004B7B76"/>
    <w:rsid w:val="004C239D"/>
    <w:rsid w:val="004C25C1"/>
    <w:rsid w:val="004C2DCA"/>
    <w:rsid w:val="004C4FBE"/>
    <w:rsid w:val="004C61D2"/>
    <w:rsid w:val="004D44BF"/>
    <w:rsid w:val="004E5FF6"/>
    <w:rsid w:val="004F0C4A"/>
    <w:rsid w:val="004F0F38"/>
    <w:rsid w:val="004F47D6"/>
    <w:rsid w:val="00500337"/>
    <w:rsid w:val="00501921"/>
    <w:rsid w:val="00512989"/>
    <w:rsid w:val="00530354"/>
    <w:rsid w:val="0053625B"/>
    <w:rsid w:val="005434C6"/>
    <w:rsid w:val="00543B39"/>
    <w:rsid w:val="0054563A"/>
    <w:rsid w:val="00546154"/>
    <w:rsid w:val="00550096"/>
    <w:rsid w:val="005518FE"/>
    <w:rsid w:val="00555280"/>
    <w:rsid w:val="00557FF9"/>
    <w:rsid w:val="005607F0"/>
    <w:rsid w:val="00562327"/>
    <w:rsid w:val="00570B85"/>
    <w:rsid w:val="005711D5"/>
    <w:rsid w:val="00576378"/>
    <w:rsid w:val="00577130"/>
    <w:rsid w:val="00577945"/>
    <w:rsid w:val="00577E38"/>
    <w:rsid w:val="00585322"/>
    <w:rsid w:val="005857C6"/>
    <w:rsid w:val="00585B2C"/>
    <w:rsid w:val="00592F6E"/>
    <w:rsid w:val="00593AD1"/>
    <w:rsid w:val="00596CCF"/>
    <w:rsid w:val="005A68B6"/>
    <w:rsid w:val="005C2D66"/>
    <w:rsid w:val="005C5570"/>
    <w:rsid w:val="005C5B66"/>
    <w:rsid w:val="005C79A4"/>
    <w:rsid w:val="005D5442"/>
    <w:rsid w:val="005F5308"/>
    <w:rsid w:val="005F6CBE"/>
    <w:rsid w:val="00603F32"/>
    <w:rsid w:val="00605AD4"/>
    <w:rsid w:val="006136D7"/>
    <w:rsid w:val="006259EC"/>
    <w:rsid w:val="00625A6E"/>
    <w:rsid w:val="00630FC5"/>
    <w:rsid w:val="00632398"/>
    <w:rsid w:val="00640FC3"/>
    <w:rsid w:val="00642020"/>
    <w:rsid w:val="006430EE"/>
    <w:rsid w:val="0064395D"/>
    <w:rsid w:val="0065337B"/>
    <w:rsid w:val="0065419D"/>
    <w:rsid w:val="006603BC"/>
    <w:rsid w:val="006604D8"/>
    <w:rsid w:val="00664A5B"/>
    <w:rsid w:val="0066735C"/>
    <w:rsid w:val="006763D2"/>
    <w:rsid w:val="00680C08"/>
    <w:rsid w:val="006916A0"/>
    <w:rsid w:val="006931B1"/>
    <w:rsid w:val="006A15C0"/>
    <w:rsid w:val="006A58A8"/>
    <w:rsid w:val="006B70B8"/>
    <w:rsid w:val="006C3E2A"/>
    <w:rsid w:val="006C642F"/>
    <w:rsid w:val="006D03E5"/>
    <w:rsid w:val="006D3737"/>
    <w:rsid w:val="006D55D8"/>
    <w:rsid w:val="006D5D3E"/>
    <w:rsid w:val="006E08B3"/>
    <w:rsid w:val="006E46C4"/>
    <w:rsid w:val="006F17AC"/>
    <w:rsid w:val="006F25B8"/>
    <w:rsid w:val="006F572E"/>
    <w:rsid w:val="007046D6"/>
    <w:rsid w:val="00704FEB"/>
    <w:rsid w:val="00705DB0"/>
    <w:rsid w:val="00721F93"/>
    <w:rsid w:val="00722B57"/>
    <w:rsid w:val="00730F8A"/>
    <w:rsid w:val="00735A8C"/>
    <w:rsid w:val="0074253D"/>
    <w:rsid w:val="00744121"/>
    <w:rsid w:val="0074429B"/>
    <w:rsid w:val="00747122"/>
    <w:rsid w:val="00751040"/>
    <w:rsid w:val="007566A1"/>
    <w:rsid w:val="007615BC"/>
    <w:rsid w:val="00762F05"/>
    <w:rsid w:val="007652FF"/>
    <w:rsid w:val="00770CAC"/>
    <w:rsid w:val="00770EF1"/>
    <w:rsid w:val="00773EF7"/>
    <w:rsid w:val="00774E1D"/>
    <w:rsid w:val="00774EFE"/>
    <w:rsid w:val="007765D8"/>
    <w:rsid w:val="0077675A"/>
    <w:rsid w:val="00776B37"/>
    <w:rsid w:val="00777A6F"/>
    <w:rsid w:val="00780355"/>
    <w:rsid w:val="007819FD"/>
    <w:rsid w:val="00785717"/>
    <w:rsid w:val="00785721"/>
    <w:rsid w:val="00787503"/>
    <w:rsid w:val="00793A59"/>
    <w:rsid w:val="007A46F5"/>
    <w:rsid w:val="007A6505"/>
    <w:rsid w:val="007B2E9C"/>
    <w:rsid w:val="007B6132"/>
    <w:rsid w:val="007B6E9F"/>
    <w:rsid w:val="007C1216"/>
    <w:rsid w:val="007C1AF7"/>
    <w:rsid w:val="007C6B9B"/>
    <w:rsid w:val="007D53B6"/>
    <w:rsid w:val="00804982"/>
    <w:rsid w:val="00805D27"/>
    <w:rsid w:val="00806B1D"/>
    <w:rsid w:val="00806DCB"/>
    <w:rsid w:val="00815A54"/>
    <w:rsid w:val="00821776"/>
    <w:rsid w:val="008321F5"/>
    <w:rsid w:val="00832369"/>
    <w:rsid w:val="00834660"/>
    <w:rsid w:val="00836BC2"/>
    <w:rsid w:val="00843FFA"/>
    <w:rsid w:val="0084416A"/>
    <w:rsid w:val="00851420"/>
    <w:rsid w:val="0085156D"/>
    <w:rsid w:val="00852B28"/>
    <w:rsid w:val="008562B2"/>
    <w:rsid w:val="0085641B"/>
    <w:rsid w:val="00857136"/>
    <w:rsid w:val="0086580C"/>
    <w:rsid w:val="00872EF1"/>
    <w:rsid w:val="00875A6B"/>
    <w:rsid w:val="0087611A"/>
    <w:rsid w:val="00885B11"/>
    <w:rsid w:val="00886D15"/>
    <w:rsid w:val="00887DD8"/>
    <w:rsid w:val="00891BA9"/>
    <w:rsid w:val="00896018"/>
    <w:rsid w:val="008960DD"/>
    <w:rsid w:val="0089635C"/>
    <w:rsid w:val="008A19A2"/>
    <w:rsid w:val="008A2B9D"/>
    <w:rsid w:val="008A3D9F"/>
    <w:rsid w:val="008A5E0B"/>
    <w:rsid w:val="008A6D59"/>
    <w:rsid w:val="008B4B03"/>
    <w:rsid w:val="008B596F"/>
    <w:rsid w:val="008C159F"/>
    <w:rsid w:val="008C1623"/>
    <w:rsid w:val="008C1850"/>
    <w:rsid w:val="008C51A9"/>
    <w:rsid w:val="008E7846"/>
    <w:rsid w:val="008F02E5"/>
    <w:rsid w:val="008F0406"/>
    <w:rsid w:val="008F1CCC"/>
    <w:rsid w:val="008F2967"/>
    <w:rsid w:val="008F6943"/>
    <w:rsid w:val="00900BC1"/>
    <w:rsid w:val="00902A21"/>
    <w:rsid w:val="0091523F"/>
    <w:rsid w:val="009170D1"/>
    <w:rsid w:val="00920330"/>
    <w:rsid w:val="009219D7"/>
    <w:rsid w:val="00922D53"/>
    <w:rsid w:val="00923B70"/>
    <w:rsid w:val="00924482"/>
    <w:rsid w:val="00930237"/>
    <w:rsid w:val="009333B0"/>
    <w:rsid w:val="00937C17"/>
    <w:rsid w:val="00940A89"/>
    <w:rsid w:val="00941F77"/>
    <w:rsid w:val="00946EA5"/>
    <w:rsid w:val="0095702B"/>
    <w:rsid w:val="00960520"/>
    <w:rsid w:val="00963C08"/>
    <w:rsid w:val="009752A5"/>
    <w:rsid w:val="009825FD"/>
    <w:rsid w:val="009841C5"/>
    <w:rsid w:val="0098585A"/>
    <w:rsid w:val="009A4CED"/>
    <w:rsid w:val="009A690D"/>
    <w:rsid w:val="009B1D12"/>
    <w:rsid w:val="009B416B"/>
    <w:rsid w:val="009C4BD5"/>
    <w:rsid w:val="009D601A"/>
    <w:rsid w:val="009D7B77"/>
    <w:rsid w:val="009E0BB0"/>
    <w:rsid w:val="009E2189"/>
    <w:rsid w:val="009E3FBB"/>
    <w:rsid w:val="009F3053"/>
    <w:rsid w:val="009F7353"/>
    <w:rsid w:val="00A04F85"/>
    <w:rsid w:val="00A05FA4"/>
    <w:rsid w:val="00A102E4"/>
    <w:rsid w:val="00A1219C"/>
    <w:rsid w:val="00A12C42"/>
    <w:rsid w:val="00A14DF7"/>
    <w:rsid w:val="00A22D57"/>
    <w:rsid w:val="00A235D2"/>
    <w:rsid w:val="00A3246D"/>
    <w:rsid w:val="00A36FA7"/>
    <w:rsid w:val="00A37F5B"/>
    <w:rsid w:val="00A44DDB"/>
    <w:rsid w:val="00A475B7"/>
    <w:rsid w:val="00A47AF7"/>
    <w:rsid w:val="00A47C3E"/>
    <w:rsid w:val="00A50226"/>
    <w:rsid w:val="00A60BAD"/>
    <w:rsid w:val="00A67BE4"/>
    <w:rsid w:val="00A77F87"/>
    <w:rsid w:val="00A80B5B"/>
    <w:rsid w:val="00A84E36"/>
    <w:rsid w:val="00A92CEB"/>
    <w:rsid w:val="00A94E94"/>
    <w:rsid w:val="00A964D1"/>
    <w:rsid w:val="00AA0ED0"/>
    <w:rsid w:val="00AB0B17"/>
    <w:rsid w:val="00AB51B1"/>
    <w:rsid w:val="00AC2B40"/>
    <w:rsid w:val="00AC2BB2"/>
    <w:rsid w:val="00AC2C3C"/>
    <w:rsid w:val="00AC512D"/>
    <w:rsid w:val="00AD0083"/>
    <w:rsid w:val="00AD3935"/>
    <w:rsid w:val="00AD7E45"/>
    <w:rsid w:val="00AE65EB"/>
    <w:rsid w:val="00AE67A7"/>
    <w:rsid w:val="00AF1D94"/>
    <w:rsid w:val="00AF3BEE"/>
    <w:rsid w:val="00AF60C5"/>
    <w:rsid w:val="00B009C6"/>
    <w:rsid w:val="00B01548"/>
    <w:rsid w:val="00B130C5"/>
    <w:rsid w:val="00B13EBD"/>
    <w:rsid w:val="00B17B9A"/>
    <w:rsid w:val="00B21D29"/>
    <w:rsid w:val="00B25034"/>
    <w:rsid w:val="00B31D08"/>
    <w:rsid w:val="00B33588"/>
    <w:rsid w:val="00B33863"/>
    <w:rsid w:val="00B37D17"/>
    <w:rsid w:val="00B4175E"/>
    <w:rsid w:val="00B41C85"/>
    <w:rsid w:val="00B452CE"/>
    <w:rsid w:val="00B54C25"/>
    <w:rsid w:val="00B62A8A"/>
    <w:rsid w:val="00B6487E"/>
    <w:rsid w:val="00B70337"/>
    <w:rsid w:val="00B76B91"/>
    <w:rsid w:val="00B77EB1"/>
    <w:rsid w:val="00B811C6"/>
    <w:rsid w:val="00B855B0"/>
    <w:rsid w:val="00B92E08"/>
    <w:rsid w:val="00BB7C78"/>
    <w:rsid w:val="00BC5011"/>
    <w:rsid w:val="00BC622A"/>
    <w:rsid w:val="00BC639B"/>
    <w:rsid w:val="00BC652A"/>
    <w:rsid w:val="00BD4A4A"/>
    <w:rsid w:val="00BE0A78"/>
    <w:rsid w:val="00BE6F4C"/>
    <w:rsid w:val="00BE79F0"/>
    <w:rsid w:val="00BF046D"/>
    <w:rsid w:val="00BF1190"/>
    <w:rsid w:val="00BF3774"/>
    <w:rsid w:val="00BF5D04"/>
    <w:rsid w:val="00C009AA"/>
    <w:rsid w:val="00C1164D"/>
    <w:rsid w:val="00C16861"/>
    <w:rsid w:val="00C304DA"/>
    <w:rsid w:val="00C346AB"/>
    <w:rsid w:val="00C36EE4"/>
    <w:rsid w:val="00C404A6"/>
    <w:rsid w:val="00C40A36"/>
    <w:rsid w:val="00C43261"/>
    <w:rsid w:val="00C43BAA"/>
    <w:rsid w:val="00C44419"/>
    <w:rsid w:val="00C45E7B"/>
    <w:rsid w:val="00C471B1"/>
    <w:rsid w:val="00C525A2"/>
    <w:rsid w:val="00C52E24"/>
    <w:rsid w:val="00C6316B"/>
    <w:rsid w:val="00C634A9"/>
    <w:rsid w:val="00C64586"/>
    <w:rsid w:val="00C67438"/>
    <w:rsid w:val="00C70A36"/>
    <w:rsid w:val="00C70D53"/>
    <w:rsid w:val="00C72D54"/>
    <w:rsid w:val="00C73D0B"/>
    <w:rsid w:val="00C74F5C"/>
    <w:rsid w:val="00C772FF"/>
    <w:rsid w:val="00C80137"/>
    <w:rsid w:val="00C801AF"/>
    <w:rsid w:val="00C80256"/>
    <w:rsid w:val="00C94CD4"/>
    <w:rsid w:val="00C9747E"/>
    <w:rsid w:val="00CB0B2C"/>
    <w:rsid w:val="00CB6BC0"/>
    <w:rsid w:val="00CC1B7C"/>
    <w:rsid w:val="00CC2C0A"/>
    <w:rsid w:val="00CC727F"/>
    <w:rsid w:val="00CF15C3"/>
    <w:rsid w:val="00CF2864"/>
    <w:rsid w:val="00CF2B6F"/>
    <w:rsid w:val="00CF2F3E"/>
    <w:rsid w:val="00CF56ED"/>
    <w:rsid w:val="00CF58B6"/>
    <w:rsid w:val="00CF5DAD"/>
    <w:rsid w:val="00D0062D"/>
    <w:rsid w:val="00D017ED"/>
    <w:rsid w:val="00D040D3"/>
    <w:rsid w:val="00D04364"/>
    <w:rsid w:val="00D04C65"/>
    <w:rsid w:val="00D15125"/>
    <w:rsid w:val="00D153D8"/>
    <w:rsid w:val="00D201D2"/>
    <w:rsid w:val="00D224FE"/>
    <w:rsid w:val="00D23139"/>
    <w:rsid w:val="00D24743"/>
    <w:rsid w:val="00D425BB"/>
    <w:rsid w:val="00D453FA"/>
    <w:rsid w:val="00D46EE0"/>
    <w:rsid w:val="00D6493E"/>
    <w:rsid w:val="00D65F1B"/>
    <w:rsid w:val="00D7195D"/>
    <w:rsid w:val="00D7301E"/>
    <w:rsid w:val="00D83AE1"/>
    <w:rsid w:val="00D855D4"/>
    <w:rsid w:val="00D902C9"/>
    <w:rsid w:val="00D92963"/>
    <w:rsid w:val="00D93466"/>
    <w:rsid w:val="00DA1124"/>
    <w:rsid w:val="00DA64CB"/>
    <w:rsid w:val="00DB06B8"/>
    <w:rsid w:val="00DB6124"/>
    <w:rsid w:val="00DB750B"/>
    <w:rsid w:val="00DB75B7"/>
    <w:rsid w:val="00DC0A2F"/>
    <w:rsid w:val="00DC1948"/>
    <w:rsid w:val="00DC6E02"/>
    <w:rsid w:val="00DD28CD"/>
    <w:rsid w:val="00DD353A"/>
    <w:rsid w:val="00DE02AE"/>
    <w:rsid w:val="00DE39D1"/>
    <w:rsid w:val="00DF1D7F"/>
    <w:rsid w:val="00DF4BE4"/>
    <w:rsid w:val="00E02382"/>
    <w:rsid w:val="00E0266E"/>
    <w:rsid w:val="00E02FB4"/>
    <w:rsid w:val="00E03EA9"/>
    <w:rsid w:val="00E13FC7"/>
    <w:rsid w:val="00E20571"/>
    <w:rsid w:val="00E235F7"/>
    <w:rsid w:val="00E23659"/>
    <w:rsid w:val="00E239D4"/>
    <w:rsid w:val="00E26130"/>
    <w:rsid w:val="00E33D42"/>
    <w:rsid w:val="00E40B22"/>
    <w:rsid w:val="00E44ED1"/>
    <w:rsid w:val="00E45619"/>
    <w:rsid w:val="00E4588F"/>
    <w:rsid w:val="00E46DA3"/>
    <w:rsid w:val="00E51BB1"/>
    <w:rsid w:val="00E55CB0"/>
    <w:rsid w:val="00E624A5"/>
    <w:rsid w:val="00E64BA4"/>
    <w:rsid w:val="00E70EA9"/>
    <w:rsid w:val="00E7344E"/>
    <w:rsid w:val="00E82665"/>
    <w:rsid w:val="00E9369A"/>
    <w:rsid w:val="00EA3522"/>
    <w:rsid w:val="00EA5967"/>
    <w:rsid w:val="00EB0798"/>
    <w:rsid w:val="00EB2A14"/>
    <w:rsid w:val="00EB40AD"/>
    <w:rsid w:val="00EB586E"/>
    <w:rsid w:val="00EB5FC8"/>
    <w:rsid w:val="00EB632E"/>
    <w:rsid w:val="00EC463D"/>
    <w:rsid w:val="00EC7A85"/>
    <w:rsid w:val="00ED2922"/>
    <w:rsid w:val="00ED3CAD"/>
    <w:rsid w:val="00ED5A41"/>
    <w:rsid w:val="00EE01CC"/>
    <w:rsid w:val="00EE1DE8"/>
    <w:rsid w:val="00EE27C2"/>
    <w:rsid w:val="00EF4BAD"/>
    <w:rsid w:val="00EF59DC"/>
    <w:rsid w:val="00EF7EF5"/>
    <w:rsid w:val="00F033EC"/>
    <w:rsid w:val="00F04F68"/>
    <w:rsid w:val="00F12670"/>
    <w:rsid w:val="00F14B27"/>
    <w:rsid w:val="00F3148D"/>
    <w:rsid w:val="00F325C5"/>
    <w:rsid w:val="00F32FE0"/>
    <w:rsid w:val="00F35298"/>
    <w:rsid w:val="00F47333"/>
    <w:rsid w:val="00F47E37"/>
    <w:rsid w:val="00F511A0"/>
    <w:rsid w:val="00F53C07"/>
    <w:rsid w:val="00F54B65"/>
    <w:rsid w:val="00F63DBF"/>
    <w:rsid w:val="00F640B6"/>
    <w:rsid w:val="00F66DF2"/>
    <w:rsid w:val="00F80E40"/>
    <w:rsid w:val="00F848D9"/>
    <w:rsid w:val="00F95147"/>
    <w:rsid w:val="00FA5069"/>
    <w:rsid w:val="00FA5B82"/>
    <w:rsid w:val="00FA639E"/>
    <w:rsid w:val="00FC1FCA"/>
    <w:rsid w:val="00FC25E4"/>
    <w:rsid w:val="00FC4467"/>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AD66164"/>
  <w15:docId w15:val="{799DC697-F151-484D-AF7B-7F454611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94E94"/>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570B85"/>
    <w:pPr>
      <w:adjustRightInd w:val="0"/>
      <w:snapToGrid w:val="0"/>
      <w:spacing w:before="180" w:after="180"/>
      <w:ind w:left="720"/>
      <w:contextualSpacing/>
    </w:pPr>
    <w:rPr>
      <w:rFonts w:eastAsia="MS Mincho"/>
      <w:szCs w:val="20"/>
      <w:lang w:eastAsia="ja-JP"/>
    </w:rPr>
  </w:style>
  <w:style w:type="paragraph" w:styleId="NoSpacing">
    <w:name w:val="No Spacing"/>
    <w:uiPriority w:val="1"/>
    <w:rsid w:val="00570B85"/>
    <w:pPr>
      <w:adjustRightInd w:val="0"/>
      <w:snapToGrid w:val="0"/>
      <w:spacing w:after="0" w:line="240" w:lineRule="auto"/>
    </w:pPr>
    <w:rPr>
      <w:rFonts w:ascii="Cambria" w:eastAsia="MS Mincho" w:hAnsi="Cambria" w:cs="Times New Roman"/>
      <w:szCs w:val="20"/>
      <w:lang w:eastAsia="ja-JP"/>
    </w:rPr>
  </w:style>
  <w:style w:type="paragraph" w:styleId="ListNumber">
    <w:name w:val="List Number"/>
    <w:basedOn w:val="ListParagraph"/>
    <w:uiPriority w:val="99"/>
    <w:unhideWhenUsed/>
    <w:rsid w:val="00570B85"/>
    <w:pPr>
      <w:numPr>
        <w:numId w:val="34"/>
      </w:numPr>
      <w:adjustRightInd/>
      <w:snapToGrid/>
      <w:spacing w:before="0" w:after="120" w:line="240" w:lineRule="auto"/>
    </w:pPr>
    <w:rPr>
      <w:rFonts w:asciiTheme="minorHAnsi" w:eastAsia="Times New Roman" w:hAnsiTheme="minorHAnsi"/>
      <w:b/>
      <w:szCs w:val="22"/>
      <w:lang w:eastAsia="en-AU"/>
    </w:rPr>
  </w:style>
  <w:style w:type="character" w:customStyle="1" w:styleId="TabletextChar">
    <w:name w:val="Table text Char"/>
    <w:basedOn w:val="DefaultParagraphFont"/>
    <w:link w:val="Tabletext"/>
    <w:rsid w:val="00145403"/>
    <w:rPr>
      <w:rFonts w:ascii="Cambria" w:eastAsia="Cambria" w:hAnsi="Cambria" w:cs="Times New Roman"/>
      <w:sz w:val="19"/>
    </w:rPr>
  </w:style>
  <w:style w:type="paragraph" w:customStyle="1" w:styleId="Standard">
    <w:name w:val="Standard"/>
    <w:basedOn w:val="Normal"/>
    <w:link w:val="StandardChar"/>
    <w:qFormat/>
    <w:rsid w:val="0078750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87503"/>
    <w:rPr>
      <w:rFonts w:ascii="Cambria" w:eastAsia="Times New Roman" w:hAnsi="Cambria" w:cs="Times New Roman"/>
      <w:snapToGrid w:val="0"/>
      <w:kern w:val="16"/>
      <w:sz w:val="23"/>
      <w:szCs w:val="24"/>
    </w:rPr>
  </w:style>
  <w:style w:type="table" w:styleId="GridTable1Light">
    <w:name w:val="Grid Table 1 Light"/>
    <w:basedOn w:val="TableNormal"/>
    <w:uiPriority w:val="46"/>
    <w:rsid w:val="0078750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s://www.tga.gov.au/product-information-pi"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docubridge://open/Server=Production&amp;Id=F9dde42fbe6034c6598fc9bb8bff906bf&amp;NodeId=N6055a9c167a847258bfc3bc72fbd674e&amp;Page=0" TargetMode="External"/><Relationship Id="rId29" Type="http://schemas.microsoft.com/office/2007/relationships/hdphoto" Target="media/hdphoto1.wdp"/><Relationship Id="rId41" Type="http://schemas.openxmlformats.org/officeDocument/2006/relationships/header" Target="header5.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image" Target="media/image11.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4.xm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7660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6E3DDB075930478825D126D8142A6D" ma:contentTypeVersion="6" ma:contentTypeDescription="Create a new document." ma:contentTypeScope="" ma:versionID="3afd6232d51254f396563aac85c4b370">
  <xsd:schema xmlns:xsd="http://www.w3.org/2001/XMLSchema" xmlns:xs="http://www.w3.org/2001/XMLSchema" xmlns:p="http://schemas.microsoft.com/office/2006/metadata/properties" xmlns:ns2="3d1063a8-96cd-4c8d-9659-3f5f68e300e1" xmlns:ns3="faf6139e-78a9-45cd-ac22-325e78526016" targetNamespace="http://schemas.microsoft.com/office/2006/metadata/properties" ma:root="true" ma:fieldsID="5239db6b2922a3b6fc744534262b34fd" ns2:_="" ns3:_="">
    <xsd:import namespace="3d1063a8-96cd-4c8d-9659-3f5f68e300e1"/>
    <xsd:import namespace="faf6139e-78a9-45cd-ac22-325e785260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063a8-96cd-4c8d-9659-3f5f68e30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f6139e-78a9-45cd-ac22-325e785260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0CED9-A68B-4E37-829C-E5E17DC4EC14}">
  <ds:schemaRefs>
    <ds:schemaRef ds:uri="http://schemas.microsoft.com/sharepoint/v3/contenttype/forms"/>
  </ds:schemaRefs>
</ds:datastoreItem>
</file>

<file path=customXml/itemProps2.xml><?xml version="1.0" encoding="utf-8"?>
<ds:datastoreItem xmlns:ds="http://schemas.openxmlformats.org/officeDocument/2006/customXml" ds:itemID="{30C9C266-5332-4B61-BAE2-91A37E8C2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063a8-96cd-4c8d-9659-3f5f68e300e1"/>
    <ds:schemaRef ds:uri="faf6139e-78a9-45cd-ac22-325e78526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18B336-874A-4B3E-AD1D-665DAC0B72EE}">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faf6139e-78a9-45cd-ac22-325e78526016"/>
    <ds:schemaRef ds:uri="3d1063a8-96cd-4c8d-9659-3f5f68e300e1"/>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BCAD7DD-0CDD-4C98-848A-F022683CD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8</TotalTime>
  <Pages>38</Pages>
  <Words>11549</Words>
  <Characters>65600</Characters>
  <Application>Microsoft Office Word</Application>
  <DocSecurity>0</DocSecurity>
  <Lines>1640</Lines>
  <Paragraphs>886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76263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Abrilada</dc:title>
  <dc:subject>prescription medicines</dc:subject>
  <dc:creator>Therapeutic Goods Administration</dc:creator>
  <cp:keywords/>
  <cp:lastPrinted>2019-08-14T04:30:00Z</cp:lastPrinted>
  <dcterms:created xsi:type="dcterms:W3CDTF">2021-05-05T00:49:00Z</dcterms:created>
  <dcterms:modified xsi:type="dcterms:W3CDTF">2021-05-05T00:58:00Z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0x010100BB6E3DDB075930478825D126D8142A6D</vt:lpwstr>
  </property>
</Properties>
</file>