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63AAD30" w14:textId="77777777" w:rsidTr="00BF1190">
        <w:trPr>
          <w:trHeight w:val="1863"/>
        </w:trPr>
        <w:tc>
          <w:tcPr>
            <w:tcW w:w="3652" w:type="dxa"/>
            <w:tcBorders>
              <w:top w:val="nil"/>
              <w:left w:val="nil"/>
              <w:bottom w:val="nil"/>
              <w:right w:val="nil"/>
            </w:tcBorders>
          </w:tcPr>
          <w:p w14:paraId="7155DE36" w14:textId="126A3187" w:rsidR="008E7846" w:rsidRPr="00096AA7" w:rsidRDefault="00C9463E" w:rsidP="00C9463E">
            <w:pPr>
              <w:rPr>
                <w:rFonts w:ascii="Arial" w:hAnsi="Arial" w:cs="Arial"/>
                <w:b/>
                <w:color w:val="002C47"/>
                <w:sz w:val="36"/>
                <w:szCs w:val="36"/>
              </w:rPr>
            </w:pPr>
            <w:r>
              <w:rPr>
                <w:rFonts w:ascii="Arial" w:hAnsi="Arial" w:cs="Arial"/>
                <w:b/>
                <w:color w:val="002C47"/>
                <w:sz w:val="36"/>
                <w:szCs w:val="36"/>
              </w:rPr>
              <w:t>March</w:t>
            </w:r>
            <w:r w:rsidR="00A05E17">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0B8ACE7" w14:textId="77777777" w:rsidTr="0032583B">
        <w:trPr>
          <w:trHeight w:val="868"/>
        </w:trPr>
        <w:tc>
          <w:tcPr>
            <w:tcW w:w="9079" w:type="dxa"/>
          </w:tcPr>
          <w:p w14:paraId="1412CFC0" w14:textId="7C5EFC68" w:rsidR="0032583B" w:rsidRPr="00A964D1" w:rsidRDefault="0032583B" w:rsidP="000058A9">
            <w:pPr>
              <w:pStyle w:val="Title"/>
              <w:rPr>
                <w:color w:val="FFFFFF" w:themeColor="background1"/>
              </w:rPr>
            </w:pPr>
            <w:r w:rsidRPr="00A964D1">
              <w:rPr>
                <w:color w:val="FFFFFF" w:themeColor="background1"/>
              </w:rPr>
              <w:t>Australi</w:t>
            </w:r>
            <w:r w:rsidR="000058A9">
              <w:rPr>
                <w:color w:val="FFFFFF" w:themeColor="background1"/>
              </w:rPr>
              <w:t>an Public Assessment Report for Adalimumab</w:t>
            </w:r>
          </w:p>
        </w:tc>
      </w:tr>
      <w:tr w:rsidR="0032583B" w:rsidRPr="00B64760" w14:paraId="6FBA516D" w14:textId="77777777" w:rsidTr="0032583B">
        <w:tc>
          <w:tcPr>
            <w:tcW w:w="9079" w:type="dxa"/>
          </w:tcPr>
          <w:p w14:paraId="37CDDD94"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0058A9" w:rsidRPr="000058A9">
              <w:rPr>
                <w:color w:val="FFFFFF" w:themeColor="background1"/>
              </w:rPr>
              <w:t>Hadlima</w:t>
            </w:r>
          </w:p>
        </w:tc>
      </w:tr>
      <w:tr w:rsidR="0032583B" w:rsidRPr="00B64760" w14:paraId="044BD273" w14:textId="77777777" w:rsidTr="0032583B">
        <w:trPr>
          <w:trHeight w:val="486"/>
        </w:trPr>
        <w:tc>
          <w:tcPr>
            <w:tcW w:w="9079" w:type="dxa"/>
          </w:tcPr>
          <w:p w14:paraId="59D2BA8E"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0058A9" w:rsidRPr="000058A9">
              <w:rPr>
                <w:color w:val="FFFFFF" w:themeColor="background1"/>
              </w:rPr>
              <w:t>Samsung Bioepis AU Pty Ltd</w:t>
            </w:r>
          </w:p>
        </w:tc>
      </w:tr>
    </w:tbl>
    <w:p w14:paraId="6BD538BA" w14:textId="77777777" w:rsidR="008E7846" w:rsidRPr="0085156D" w:rsidRDefault="008E7846" w:rsidP="0085156D">
      <w:r w:rsidRPr="0085156D">
        <w:br w:type="page"/>
      </w:r>
    </w:p>
    <w:p w14:paraId="6DEE2530" w14:textId="77777777" w:rsidR="008E7846" w:rsidRPr="001F6CBA" w:rsidRDefault="008E7846" w:rsidP="008E7846">
      <w:pPr>
        <w:pStyle w:val="NonTOCHeading2"/>
      </w:pPr>
      <w:r w:rsidRPr="001F6CBA">
        <w:lastRenderedPageBreak/>
        <w:t>About the Therapeutic Goods Administration (TGA)</w:t>
      </w:r>
    </w:p>
    <w:p w14:paraId="641598BF" w14:textId="77777777" w:rsidR="008E7846" w:rsidRDefault="008E7846" w:rsidP="0006278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B91D066" w14:textId="77777777" w:rsidR="008E7846" w:rsidRDefault="00C80137" w:rsidP="0006278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3F499F2" w14:textId="77777777" w:rsidR="008E7846" w:rsidRDefault="008E7846" w:rsidP="0006278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9C297EE" w14:textId="77777777" w:rsidR="008E7846" w:rsidRDefault="008E7846" w:rsidP="0006278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94B5616" w14:textId="77777777" w:rsidR="00441C3F" w:rsidRDefault="008E7846" w:rsidP="00062787">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4A324E8D" w14:textId="77777777" w:rsidR="008E7846" w:rsidRDefault="008E7846" w:rsidP="00875A6B">
      <w:pPr>
        <w:pStyle w:val="NonTOCHeading2"/>
      </w:pPr>
      <w:r>
        <w:t>About AusPARs</w:t>
      </w:r>
    </w:p>
    <w:p w14:paraId="06FC58C8" w14:textId="77777777" w:rsidR="008E7846" w:rsidRDefault="008E7846" w:rsidP="00062787">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9E6B72B" w14:textId="77777777" w:rsidR="008E7846" w:rsidRDefault="008E7846" w:rsidP="00062787">
      <w:pPr>
        <w:pStyle w:val="ListBullet"/>
        <w:numPr>
          <w:ilvl w:val="0"/>
          <w:numId w:val="1"/>
        </w:numPr>
        <w:ind w:left="357" w:hanging="357"/>
      </w:pPr>
      <w:r>
        <w:t>AusPARs are prepared and published by the TGA.</w:t>
      </w:r>
    </w:p>
    <w:p w14:paraId="430D9D2D" w14:textId="77777777" w:rsidR="008E7846" w:rsidRDefault="008E7846" w:rsidP="00062787">
      <w:pPr>
        <w:pStyle w:val="ListBullet"/>
        <w:numPr>
          <w:ilvl w:val="0"/>
          <w:numId w:val="1"/>
        </w:numPr>
        <w:ind w:left="357" w:hanging="357"/>
      </w:pPr>
      <w:r>
        <w:t>An AusPAR is prepared for submissions that relate to new chemical entities, generic medicines, major variations and extensions of indications.</w:t>
      </w:r>
    </w:p>
    <w:p w14:paraId="7C5395CB" w14:textId="77777777" w:rsidR="008E7846" w:rsidRDefault="008E7846" w:rsidP="00062787">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DA693C5" w14:textId="77777777" w:rsidR="00B452CE" w:rsidRDefault="008E7846" w:rsidP="00062787">
      <w:pPr>
        <w:pStyle w:val="ListBullet"/>
        <w:numPr>
          <w:ilvl w:val="0"/>
          <w:numId w:val="1"/>
        </w:numPr>
        <w:ind w:left="357" w:hanging="357"/>
      </w:pPr>
      <w:r>
        <w:t>A new AusPAR will be developed to reflect changes to indications and/or major variations to a prescription medicine subject to evaluation by the TGA.</w:t>
      </w:r>
    </w:p>
    <w:p w14:paraId="6A7FAC54" w14:textId="77777777" w:rsidR="00924482" w:rsidRPr="00DF1D7F" w:rsidRDefault="00924482" w:rsidP="00F54B65">
      <w:pPr>
        <w:pStyle w:val="LegalSubheading"/>
        <w:spacing w:before="3120"/>
      </w:pPr>
      <w:r w:rsidRPr="00DF1D7F">
        <w:t>Copyright</w:t>
      </w:r>
    </w:p>
    <w:p w14:paraId="3F030275" w14:textId="0EFAB65A" w:rsidR="00924482" w:rsidRDefault="00924482" w:rsidP="00924482">
      <w:pPr>
        <w:pStyle w:val="LegalCopy"/>
      </w:pPr>
      <w:r w:rsidRPr="00191B3B">
        <w:rPr>
          <w:rFonts w:cs="Arial"/>
          <w:lang w:val="en-GB"/>
        </w:rPr>
        <w:t>© Comm</w:t>
      </w:r>
      <w:r>
        <w:rPr>
          <w:rFonts w:cs="Arial"/>
          <w:lang w:val="en-GB"/>
        </w:rPr>
        <w:t>onwealth of Australia 201</w:t>
      </w:r>
      <w:r w:rsidR="00D109BA">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71822A94"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9A85512" w14:textId="77777777" w:rsidR="0089635C" w:rsidRPr="0089635C" w:rsidRDefault="0089635C" w:rsidP="0010788A">
          <w:pPr>
            <w:pStyle w:val="Contents"/>
          </w:pPr>
          <w:r w:rsidRPr="0010788A">
            <w:t>Contents</w:t>
          </w:r>
        </w:p>
        <w:p w14:paraId="7C31E5B2" w14:textId="77777777" w:rsidR="006D550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8816469" w:history="1">
            <w:r w:rsidR="006D5505" w:rsidRPr="00A3140E">
              <w:rPr>
                <w:rStyle w:val="Hyperlink"/>
                <w:noProof/>
              </w:rPr>
              <w:t>Common abbreviations</w:t>
            </w:r>
            <w:r w:rsidR="006D5505">
              <w:rPr>
                <w:noProof/>
                <w:webHidden/>
              </w:rPr>
              <w:tab/>
            </w:r>
            <w:r w:rsidR="006D5505">
              <w:rPr>
                <w:noProof/>
                <w:webHidden/>
              </w:rPr>
              <w:fldChar w:fldCharType="begin"/>
            </w:r>
            <w:r w:rsidR="006D5505">
              <w:rPr>
                <w:noProof/>
                <w:webHidden/>
              </w:rPr>
              <w:instrText xml:space="preserve"> PAGEREF _Toc8816469 \h </w:instrText>
            </w:r>
            <w:r w:rsidR="006D5505">
              <w:rPr>
                <w:noProof/>
                <w:webHidden/>
              </w:rPr>
            </w:r>
            <w:r w:rsidR="006D5505">
              <w:rPr>
                <w:noProof/>
                <w:webHidden/>
              </w:rPr>
              <w:fldChar w:fldCharType="separate"/>
            </w:r>
            <w:r w:rsidR="006D5505">
              <w:rPr>
                <w:noProof/>
                <w:webHidden/>
              </w:rPr>
              <w:t>5</w:t>
            </w:r>
            <w:r w:rsidR="006D5505">
              <w:rPr>
                <w:noProof/>
                <w:webHidden/>
              </w:rPr>
              <w:fldChar w:fldCharType="end"/>
            </w:r>
          </w:hyperlink>
        </w:p>
        <w:p w14:paraId="2145D866" w14:textId="77777777" w:rsidR="006D5505" w:rsidRDefault="00DA49C5">
          <w:pPr>
            <w:pStyle w:val="TOC2"/>
            <w:rPr>
              <w:rFonts w:asciiTheme="minorHAnsi" w:eastAsiaTheme="minorEastAsia" w:hAnsiTheme="minorHAnsi" w:cstheme="minorBidi"/>
              <w:b w:val="0"/>
              <w:noProof/>
              <w:sz w:val="22"/>
              <w:lang w:eastAsia="en-AU"/>
            </w:rPr>
          </w:pPr>
          <w:hyperlink w:anchor="_Toc8816470" w:history="1">
            <w:r w:rsidR="006D5505" w:rsidRPr="00A3140E">
              <w:rPr>
                <w:rStyle w:val="Hyperlink"/>
                <w:noProof/>
              </w:rPr>
              <w:t>I. Introduction to product submission</w:t>
            </w:r>
            <w:r w:rsidR="006D5505">
              <w:rPr>
                <w:noProof/>
                <w:webHidden/>
              </w:rPr>
              <w:tab/>
            </w:r>
            <w:r w:rsidR="006D5505">
              <w:rPr>
                <w:noProof/>
                <w:webHidden/>
              </w:rPr>
              <w:fldChar w:fldCharType="begin"/>
            </w:r>
            <w:r w:rsidR="006D5505">
              <w:rPr>
                <w:noProof/>
                <w:webHidden/>
              </w:rPr>
              <w:instrText xml:space="preserve"> PAGEREF _Toc8816470 \h </w:instrText>
            </w:r>
            <w:r w:rsidR="006D5505">
              <w:rPr>
                <w:noProof/>
                <w:webHidden/>
              </w:rPr>
            </w:r>
            <w:r w:rsidR="006D5505">
              <w:rPr>
                <w:noProof/>
                <w:webHidden/>
              </w:rPr>
              <w:fldChar w:fldCharType="separate"/>
            </w:r>
            <w:r w:rsidR="006D5505">
              <w:rPr>
                <w:noProof/>
                <w:webHidden/>
              </w:rPr>
              <w:t>8</w:t>
            </w:r>
            <w:r w:rsidR="006D5505">
              <w:rPr>
                <w:noProof/>
                <w:webHidden/>
              </w:rPr>
              <w:fldChar w:fldCharType="end"/>
            </w:r>
          </w:hyperlink>
        </w:p>
        <w:p w14:paraId="0F8B88C4" w14:textId="77777777" w:rsidR="006D5505" w:rsidRDefault="00DA49C5">
          <w:pPr>
            <w:pStyle w:val="TOC3"/>
            <w:rPr>
              <w:rFonts w:asciiTheme="minorHAnsi" w:eastAsiaTheme="minorEastAsia" w:hAnsiTheme="minorHAnsi" w:cstheme="minorBidi"/>
              <w:noProof/>
              <w:lang w:eastAsia="en-AU"/>
            </w:rPr>
          </w:pPr>
          <w:hyperlink w:anchor="_Toc8816471" w:history="1">
            <w:r w:rsidR="006D5505" w:rsidRPr="00A3140E">
              <w:rPr>
                <w:rStyle w:val="Hyperlink"/>
                <w:noProof/>
                <w:lang w:eastAsia="en-AU"/>
              </w:rPr>
              <w:t xml:space="preserve">Submission </w:t>
            </w:r>
            <w:r w:rsidR="006D5505" w:rsidRPr="00A3140E">
              <w:rPr>
                <w:rStyle w:val="Hyperlink"/>
                <w:noProof/>
              </w:rPr>
              <w:t>details</w:t>
            </w:r>
            <w:r w:rsidR="006D5505">
              <w:rPr>
                <w:noProof/>
                <w:webHidden/>
              </w:rPr>
              <w:tab/>
            </w:r>
            <w:r w:rsidR="006D5505">
              <w:rPr>
                <w:noProof/>
                <w:webHidden/>
              </w:rPr>
              <w:fldChar w:fldCharType="begin"/>
            </w:r>
            <w:r w:rsidR="006D5505">
              <w:rPr>
                <w:noProof/>
                <w:webHidden/>
              </w:rPr>
              <w:instrText xml:space="preserve"> PAGEREF _Toc8816471 \h </w:instrText>
            </w:r>
            <w:r w:rsidR="006D5505">
              <w:rPr>
                <w:noProof/>
                <w:webHidden/>
              </w:rPr>
            </w:r>
            <w:r w:rsidR="006D5505">
              <w:rPr>
                <w:noProof/>
                <w:webHidden/>
              </w:rPr>
              <w:fldChar w:fldCharType="separate"/>
            </w:r>
            <w:r w:rsidR="006D5505">
              <w:rPr>
                <w:noProof/>
                <w:webHidden/>
              </w:rPr>
              <w:t>8</w:t>
            </w:r>
            <w:r w:rsidR="006D5505">
              <w:rPr>
                <w:noProof/>
                <w:webHidden/>
              </w:rPr>
              <w:fldChar w:fldCharType="end"/>
            </w:r>
          </w:hyperlink>
        </w:p>
        <w:p w14:paraId="770A7428" w14:textId="77777777" w:rsidR="006D5505" w:rsidRDefault="00DA49C5">
          <w:pPr>
            <w:pStyle w:val="TOC3"/>
            <w:rPr>
              <w:rFonts w:asciiTheme="minorHAnsi" w:eastAsiaTheme="minorEastAsia" w:hAnsiTheme="minorHAnsi" w:cstheme="minorBidi"/>
              <w:noProof/>
              <w:lang w:eastAsia="en-AU"/>
            </w:rPr>
          </w:pPr>
          <w:hyperlink w:anchor="_Toc8816472" w:history="1">
            <w:r w:rsidR="006D5505" w:rsidRPr="00A3140E">
              <w:rPr>
                <w:rStyle w:val="Hyperlink"/>
                <w:noProof/>
              </w:rPr>
              <w:t>Product background</w:t>
            </w:r>
            <w:r w:rsidR="006D5505">
              <w:rPr>
                <w:noProof/>
                <w:webHidden/>
              </w:rPr>
              <w:tab/>
            </w:r>
            <w:r w:rsidR="006D5505">
              <w:rPr>
                <w:noProof/>
                <w:webHidden/>
              </w:rPr>
              <w:fldChar w:fldCharType="begin"/>
            </w:r>
            <w:r w:rsidR="006D5505">
              <w:rPr>
                <w:noProof/>
                <w:webHidden/>
              </w:rPr>
              <w:instrText xml:space="preserve"> PAGEREF _Toc8816472 \h </w:instrText>
            </w:r>
            <w:r w:rsidR="006D5505">
              <w:rPr>
                <w:noProof/>
                <w:webHidden/>
              </w:rPr>
            </w:r>
            <w:r w:rsidR="006D5505">
              <w:rPr>
                <w:noProof/>
                <w:webHidden/>
              </w:rPr>
              <w:fldChar w:fldCharType="separate"/>
            </w:r>
            <w:r w:rsidR="006D5505">
              <w:rPr>
                <w:noProof/>
                <w:webHidden/>
              </w:rPr>
              <w:t>9</w:t>
            </w:r>
            <w:r w:rsidR="006D5505">
              <w:rPr>
                <w:noProof/>
                <w:webHidden/>
              </w:rPr>
              <w:fldChar w:fldCharType="end"/>
            </w:r>
          </w:hyperlink>
        </w:p>
        <w:p w14:paraId="67172222" w14:textId="77777777" w:rsidR="006D5505" w:rsidRDefault="00DA49C5">
          <w:pPr>
            <w:pStyle w:val="TOC3"/>
            <w:rPr>
              <w:rFonts w:asciiTheme="minorHAnsi" w:eastAsiaTheme="minorEastAsia" w:hAnsiTheme="minorHAnsi" w:cstheme="minorBidi"/>
              <w:noProof/>
              <w:lang w:eastAsia="en-AU"/>
            </w:rPr>
          </w:pPr>
          <w:hyperlink w:anchor="_Toc8816473" w:history="1">
            <w:r w:rsidR="006D5505" w:rsidRPr="00A3140E">
              <w:rPr>
                <w:rStyle w:val="Hyperlink"/>
                <w:noProof/>
              </w:rPr>
              <w:t>Regulatory status</w:t>
            </w:r>
            <w:r w:rsidR="006D5505">
              <w:rPr>
                <w:noProof/>
                <w:webHidden/>
              </w:rPr>
              <w:tab/>
            </w:r>
            <w:r w:rsidR="006D5505">
              <w:rPr>
                <w:noProof/>
                <w:webHidden/>
              </w:rPr>
              <w:fldChar w:fldCharType="begin"/>
            </w:r>
            <w:r w:rsidR="006D5505">
              <w:rPr>
                <w:noProof/>
                <w:webHidden/>
              </w:rPr>
              <w:instrText xml:space="preserve"> PAGEREF _Toc8816473 \h </w:instrText>
            </w:r>
            <w:r w:rsidR="006D5505">
              <w:rPr>
                <w:noProof/>
                <w:webHidden/>
              </w:rPr>
            </w:r>
            <w:r w:rsidR="006D5505">
              <w:rPr>
                <w:noProof/>
                <w:webHidden/>
              </w:rPr>
              <w:fldChar w:fldCharType="separate"/>
            </w:r>
            <w:r w:rsidR="006D5505">
              <w:rPr>
                <w:noProof/>
                <w:webHidden/>
              </w:rPr>
              <w:t>10</w:t>
            </w:r>
            <w:r w:rsidR="006D5505">
              <w:rPr>
                <w:noProof/>
                <w:webHidden/>
              </w:rPr>
              <w:fldChar w:fldCharType="end"/>
            </w:r>
          </w:hyperlink>
        </w:p>
        <w:p w14:paraId="7D855913" w14:textId="77777777" w:rsidR="006D5505" w:rsidRDefault="00DA49C5">
          <w:pPr>
            <w:pStyle w:val="TOC3"/>
            <w:rPr>
              <w:rFonts w:asciiTheme="minorHAnsi" w:eastAsiaTheme="minorEastAsia" w:hAnsiTheme="minorHAnsi" w:cstheme="minorBidi"/>
              <w:noProof/>
              <w:lang w:eastAsia="en-AU"/>
            </w:rPr>
          </w:pPr>
          <w:hyperlink w:anchor="_Toc8816474" w:history="1">
            <w:r w:rsidR="006D5505" w:rsidRPr="00A3140E">
              <w:rPr>
                <w:rStyle w:val="Hyperlink"/>
                <w:noProof/>
              </w:rPr>
              <w:t>Product Information</w:t>
            </w:r>
            <w:r w:rsidR="006D5505">
              <w:rPr>
                <w:noProof/>
                <w:webHidden/>
              </w:rPr>
              <w:tab/>
            </w:r>
            <w:r w:rsidR="006D5505">
              <w:rPr>
                <w:noProof/>
                <w:webHidden/>
              </w:rPr>
              <w:fldChar w:fldCharType="begin"/>
            </w:r>
            <w:r w:rsidR="006D5505">
              <w:rPr>
                <w:noProof/>
                <w:webHidden/>
              </w:rPr>
              <w:instrText xml:space="preserve"> PAGEREF _Toc8816474 \h </w:instrText>
            </w:r>
            <w:r w:rsidR="006D5505">
              <w:rPr>
                <w:noProof/>
                <w:webHidden/>
              </w:rPr>
            </w:r>
            <w:r w:rsidR="006D5505">
              <w:rPr>
                <w:noProof/>
                <w:webHidden/>
              </w:rPr>
              <w:fldChar w:fldCharType="separate"/>
            </w:r>
            <w:r w:rsidR="006D5505">
              <w:rPr>
                <w:noProof/>
                <w:webHidden/>
              </w:rPr>
              <w:t>11</w:t>
            </w:r>
            <w:r w:rsidR="006D5505">
              <w:rPr>
                <w:noProof/>
                <w:webHidden/>
              </w:rPr>
              <w:fldChar w:fldCharType="end"/>
            </w:r>
          </w:hyperlink>
        </w:p>
        <w:p w14:paraId="7FB72F3A" w14:textId="77777777" w:rsidR="006D5505" w:rsidRDefault="00DA49C5">
          <w:pPr>
            <w:pStyle w:val="TOC2"/>
            <w:rPr>
              <w:rFonts w:asciiTheme="minorHAnsi" w:eastAsiaTheme="minorEastAsia" w:hAnsiTheme="minorHAnsi" w:cstheme="minorBidi"/>
              <w:b w:val="0"/>
              <w:noProof/>
              <w:sz w:val="22"/>
              <w:lang w:eastAsia="en-AU"/>
            </w:rPr>
          </w:pPr>
          <w:hyperlink w:anchor="_Toc8816475" w:history="1">
            <w:r w:rsidR="006D5505" w:rsidRPr="00A3140E">
              <w:rPr>
                <w:rStyle w:val="Hyperlink"/>
                <w:noProof/>
              </w:rPr>
              <w:t>II. Registration time line</w:t>
            </w:r>
            <w:r w:rsidR="006D5505">
              <w:rPr>
                <w:noProof/>
                <w:webHidden/>
              </w:rPr>
              <w:tab/>
            </w:r>
            <w:r w:rsidR="006D5505">
              <w:rPr>
                <w:noProof/>
                <w:webHidden/>
              </w:rPr>
              <w:fldChar w:fldCharType="begin"/>
            </w:r>
            <w:r w:rsidR="006D5505">
              <w:rPr>
                <w:noProof/>
                <w:webHidden/>
              </w:rPr>
              <w:instrText xml:space="preserve"> PAGEREF _Toc8816475 \h </w:instrText>
            </w:r>
            <w:r w:rsidR="006D5505">
              <w:rPr>
                <w:noProof/>
                <w:webHidden/>
              </w:rPr>
            </w:r>
            <w:r w:rsidR="006D5505">
              <w:rPr>
                <w:noProof/>
                <w:webHidden/>
              </w:rPr>
              <w:fldChar w:fldCharType="separate"/>
            </w:r>
            <w:r w:rsidR="006D5505">
              <w:rPr>
                <w:noProof/>
                <w:webHidden/>
              </w:rPr>
              <w:t>11</w:t>
            </w:r>
            <w:r w:rsidR="006D5505">
              <w:rPr>
                <w:noProof/>
                <w:webHidden/>
              </w:rPr>
              <w:fldChar w:fldCharType="end"/>
            </w:r>
          </w:hyperlink>
        </w:p>
        <w:p w14:paraId="319BB18B" w14:textId="77777777" w:rsidR="006D5505" w:rsidRDefault="00DA49C5">
          <w:pPr>
            <w:pStyle w:val="TOC2"/>
            <w:rPr>
              <w:rFonts w:asciiTheme="minorHAnsi" w:eastAsiaTheme="minorEastAsia" w:hAnsiTheme="minorHAnsi" w:cstheme="minorBidi"/>
              <w:b w:val="0"/>
              <w:noProof/>
              <w:sz w:val="22"/>
              <w:lang w:eastAsia="en-AU"/>
            </w:rPr>
          </w:pPr>
          <w:hyperlink w:anchor="_Toc8816476" w:history="1">
            <w:r w:rsidR="006D5505" w:rsidRPr="00A3140E">
              <w:rPr>
                <w:rStyle w:val="Hyperlink"/>
                <w:noProof/>
              </w:rPr>
              <w:t>III. Quality findings</w:t>
            </w:r>
            <w:r w:rsidR="006D5505">
              <w:rPr>
                <w:noProof/>
                <w:webHidden/>
              </w:rPr>
              <w:tab/>
            </w:r>
            <w:r w:rsidR="006D5505">
              <w:rPr>
                <w:noProof/>
                <w:webHidden/>
              </w:rPr>
              <w:fldChar w:fldCharType="begin"/>
            </w:r>
            <w:r w:rsidR="006D5505">
              <w:rPr>
                <w:noProof/>
                <w:webHidden/>
              </w:rPr>
              <w:instrText xml:space="preserve"> PAGEREF _Toc8816476 \h </w:instrText>
            </w:r>
            <w:r w:rsidR="006D5505">
              <w:rPr>
                <w:noProof/>
                <w:webHidden/>
              </w:rPr>
            </w:r>
            <w:r w:rsidR="006D5505">
              <w:rPr>
                <w:noProof/>
                <w:webHidden/>
              </w:rPr>
              <w:fldChar w:fldCharType="separate"/>
            </w:r>
            <w:r w:rsidR="006D5505">
              <w:rPr>
                <w:noProof/>
                <w:webHidden/>
              </w:rPr>
              <w:t>11</w:t>
            </w:r>
            <w:r w:rsidR="006D5505">
              <w:rPr>
                <w:noProof/>
                <w:webHidden/>
              </w:rPr>
              <w:fldChar w:fldCharType="end"/>
            </w:r>
          </w:hyperlink>
        </w:p>
        <w:p w14:paraId="3CF6E382" w14:textId="77777777" w:rsidR="006D5505" w:rsidRDefault="00DA49C5">
          <w:pPr>
            <w:pStyle w:val="TOC3"/>
            <w:rPr>
              <w:rFonts w:asciiTheme="minorHAnsi" w:eastAsiaTheme="minorEastAsia" w:hAnsiTheme="minorHAnsi" w:cstheme="minorBidi"/>
              <w:noProof/>
              <w:lang w:eastAsia="en-AU"/>
            </w:rPr>
          </w:pPr>
          <w:hyperlink w:anchor="_Toc8816477" w:history="1">
            <w:r w:rsidR="006D5505" w:rsidRPr="00A3140E">
              <w:rPr>
                <w:rStyle w:val="Hyperlink"/>
                <w:noProof/>
              </w:rPr>
              <w:t>Introduction</w:t>
            </w:r>
            <w:r w:rsidR="006D5505">
              <w:rPr>
                <w:noProof/>
                <w:webHidden/>
              </w:rPr>
              <w:tab/>
            </w:r>
            <w:r w:rsidR="006D5505">
              <w:rPr>
                <w:noProof/>
                <w:webHidden/>
              </w:rPr>
              <w:fldChar w:fldCharType="begin"/>
            </w:r>
            <w:r w:rsidR="006D5505">
              <w:rPr>
                <w:noProof/>
                <w:webHidden/>
              </w:rPr>
              <w:instrText xml:space="preserve"> PAGEREF _Toc8816477 \h </w:instrText>
            </w:r>
            <w:r w:rsidR="006D5505">
              <w:rPr>
                <w:noProof/>
                <w:webHidden/>
              </w:rPr>
            </w:r>
            <w:r w:rsidR="006D5505">
              <w:rPr>
                <w:noProof/>
                <w:webHidden/>
              </w:rPr>
              <w:fldChar w:fldCharType="separate"/>
            </w:r>
            <w:r w:rsidR="006D5505">
              <w:rPr>
                <w:noProof/>
                <w:webHidden/>
              </w:rPr>
              <w:t>11</w:t>
            </w:r>
            <w:r w:rsidR="006D5505">
              <w:rPr>
                <w:noProof/>
                <w:webHidden/>
              </w:rPr>
              <w:fldChar w:fldCharType="end"/>
            </w:r>
          </w:hyperlink>
        </w:p>
        <w:p w14:paraId="6682CD0A" w14:textId="77777777" w:rsidR="006D5505" w:rsidRDefault="00DA49C5">
          <w:pPr>
            <w:pStyle w:val="TOC3"/>
            <w:rPr>
              <w:rFonts w:asciiTheme="minorHAnsi" w:eastAsiaTheme="minorEastAsia" w:hAnsiTheme="minorHAnsi" w:cstheme="minorBidi"/>
              <w:noProof/>
              <w:lang w:eastAsia="en-AU"/>
            </w:rPr>
          </w:pPr>
          <w:hyperlink w:anchor="_Toc8816478" w:history="1">
            <w:r w:rsidR="006D5505" w:rsidRPr="00A3140E">
              <w:rPr>
                <w:rStyle w:val="Hyperlink"/>
                <w:noProof/>
              </w:rPr>
              <w:t>Drug substance (active ingredient)</w:t>
            </w:r>
            <w:r w:rsidR="006D5505">
              <w:rPr>
                <w:noProof/>
                <w:webHidden/>
              </w:rPr>
              <w:tab/>
            </w:r>
            <w:r w:rsidR="006D5505">
              <w:rPr>
                <w:noProof/>
                <w:webHidden/>
              </w:rPr>
              <w:fldChar w:fldCharType="begin"/>
            </w:r>
            <w:r w:rsidR="006D5505">
              <w:rPr>
                <w:noProof/>
                <w:webHidden/>
              </w:rPr>
              <w:instrText xml:space="preserve"> PAGEREF _Toc8816478 \h </w:instrText>
            </w:r>
            <w:r w:rsidR="006D5505">
              <w:rPr>
                <w:noProof/>
                <w:webHidden/>
              </w:rPr>
            </w:r>
            <w:r w:rsidR="006D5505">
              <w:rPr>
                <w:noProof/>
                <w:webHidden/>
              </w:rPr>
              <w:fldChar w:fldCharType="separate"/>
            </w:r>
            <w:r w:rsidR="006D5505">
              <w:rPr>
                <w:noProof/>
                <w:webHidden/>
              </w:rPr>
              <w:t>12</w:t>
            </w:r>
            <w:r w:rsidR="006D5505">
              <w:rPr>
                <w:noProof/>
                <w:webHidden/>
              </w:rPr>
              <w:fldChar w:fldCharType="end"/>
            </w:r>
          </w:hyperlink>
        </w:p>
        <w:p w14:paraId="4300D82B" w14:textId="77777777" w:rsidR="006D5505" w:rsidRDefault="00DA49C5">
          <w:pPr>
            <w:pStyle w:val="TOC3"/>
            <w:rPr>
              <w:rFonts w:asciiTheme="minorHAnsi" w:eastAsiaTheme="minorEastAsia" w:hAnsiTheme="minorHAnsi" w:cstheme="minorBidi"/>
              <w:noProof/>
              <w:lang w:eastAsia="en-AU"/>
            </w:rPr>
          </w:pPr>
          <w:hyperlink w:anchor="_Toc8816479" w:history="1">
            <w:r w:rsidR="006D5505" w:rsidRPr="00A3140E">
              <w:rPr>
                <w:rStyle w:val="Hyperlink"/>
                <w:noProof/>
              </w:rPr>
              <w:t>Drug product</w:t>
            </w:r>
            <w:r w:rsidR="006D5505">
              <w:rPr>
                <w:noProof/>
                <w:webHidden/>
              </w:rPr>
              <w:tab/>
            </w:r>
            <w:r w:rsidR="006D5505">
              <w:rPr>
                <w:noProof/>
                <w:webHidden/>
              </w:rPr>
              <w:fldChar w:fldCharType="begin"/>
            </w:r>
            <w:r w:rsidR="006D5505">
              <w:rPr>
                <w:noProof/>
                <w:webHidden/>
              </w:rPr>
              <w:instrText xml:space="preserve"> PAGEREF _Toc8816479 \h </w:instrText>
            </w:r>
            <w:r w:rsidR="006D5505">
              <w:rPr>
                <w:noProof/>
                <w:webHidden/>
              </w:rPr>
            </w:r>
            <w:r w:rsidR="006D5505">
              <w:rPr>
                <w:noProof/>
                <w:webHidden/>
              </w:rPr>
              <w:fldChar w:fldCharType="separate"/>
            </w:r>
            <w:r w:rsidR="006D5505">
              <w:rPr>
                <w:noProof/>
                <w:webHidden/>
              </w:rPr>
              <w:t>13</w:t>
            </w:r>
            <w:r w:rsidR="006D5505">
              <w:rPr>
                <w:noProof/>
                <w:webHidden/>
              </w:rPr>
              <w:fldChar w:fldCharType="end"/>
            </w:r>
          </w:hyperlink>
        </w:p>
        <w:p w14:paraId="1271B3CE" w14:textId="77777777" w:rsidR="006D5505" w:rsidRDefault="00DA49C5">
          <w:pPr>
            <w:pStyle w:val="TOC3"/>
            <w:rPr>
              <w:rFonts w:asciiTheme="minorHAnsi" w:eastAsiaTheme="minorEastAsia" w:hAnsiTheme="minorHAnsi" w:cstheme="minorBidi"/>
              <w:noProof/>
              <w:lang w:eastAsia="en-AU"/>
            </w:rPr>
          </w:pPr>
          <w:hyperlink w:anchor="_Toc8816480" w:history="1">
            <w:r w:rsidR="006D5505" w:rsidRPr="00A3140E">
              <w:rPr>
                <w:rStyle w:val="Hyperlink"/>
                <w:noProof/>
              </w:rPr>
              <w:t>Biopharmaceutics</w:t>
            </w:r>
            <w:r w:rsidR="006D5505">
              <w:rPr>
                <w:noProof/>
                <w:webHidden/>
              </w:rPr>
              <w:tab/>
            </w:r>
            <w:r w:rsidR="006D5505">
              <w:rPr>
                <w:noProof/>
                <w:webHidden/>
              </w:rPr>
              <w:fldChar w:fldCharType="begin"/>
            </w:r>
            <w:r w:rsidR="006D5505">
              <w:rPr>
                <w:noProof/>
                <w:webHidden/>
              </w:rPr>
              <w:instrText xml:space="preserve"> PAGEREF _Toc8816480 \h </w:instrText>
            </w:r>
            <w:r w:rsidR="006D5505">
              <w:rPr>
                <w:noProof/>
                <w:webHidden/>
              </w:rPr>
            </w:r>
            <w:r w:rsidR="006D5505">
              <w:rPr>
                <w:noProof/>
                <w:webHidden/>
              </w:rPr>
              <w:fldChar w:fldCharType="separate"/>
            </w:r>
            <w:r w:rsidR="006D5505">
              <w:rPr>
                <w:noProof/>
                <w:webHidden/>
              </w:rPr>
              <w:t>13</w:t>
            </w:r>
            <w:r w:rsidR="006D5505">
              <w:rPr>
                <w:noProof/>
                <w:webHidden/>
              </w:rPr>
              <w:fldChar w:fldCharType="end"/>
            </w:r>
          </w:hyperlink>
        </w:p>
        <w:p w14:paraId="2F0B9292" w14:textId="77777777" w:rsidR="006D5505" w:rsidRDefault="00DA49C5">
          <w:pPr>
            <w:pStyle w:val="TOC3"/>
            <w:rPr>
              <w:rFonts w:asciiTheme="minorHAnsi" w:eastAsiaTheme="minorEastAsia" w:hAnsiTheme="minorHAnsi" w:cstheme="minorBidi"/>
              <w:noProof/>
              <w:lang w:eastAsia="en-AU"/>
            </w:rPr>
          </w:pPr>
          <w:hyperlink w:anchor="_Toc8816481" w:history="1">
            <w:r w:rsidR="006D5505" w:rsidRPr="00A3140E">
              <w:rPr>
                <w:rStyle w:val="Hyperlink"/>
                <w:rFonts w:eastAsia="Calibri"/>
                <w:noProof/>
              </w:rPr>
              <w:t>Biosimilarity</w:t>
            </w:r>
            <w:r w:rsidR="006D5505">
              <w:rPr>
                <w:noProof/>
                <w:webHidden/>
              </w:rPr>
              <w:tab/>
            </w:r>
            <w:r w:rsidR="006D5505">
              <w:rPr>
                <w:noProof/>
                <w:webHidden/>
              </w:rPr>
              <w:fldChar w:fldCharType="begin"/>
            </w:r>
            <w:r w:rsidR="006D5505">
              <w:rPr>
                <w:noProof/>
                <w:webHidden/>
              </w:rPr>
              <w:instrText xml:space="preserve"> PAGEREF _Toc8816481 \h </w:instrText>
            </w:r>
            <w:r w:rsidR="006D5505">
              <w:rPr>
                <w:noProof/>
                <w:webHidden/>
              </w:rPr>
            </w:r>
            <w:r w:rsidR="006D5505">
              <w:rPr>
                <w:noProof/>
                <w:webHidden/>
              </w:rPr>
              <w:fldChar w:fldCharType="separate"/>
            </w:r>
            <w:r w:rsidR="006D5505">
              <w:rPr>
                <w:noProof/>
                <w:webHidden/>
              </w:rPr>
              <w:t>13</w:t>
            </w:r>
            <w:r w:rsidR="006D5505">
              <w:rPr>
                <w:noProof/>
                <w:webHidden/>
              </w:rPr>
              <w:fldChar w:fldCharType="end"/>
            </w:r>
          </w:hyperlink>
        </w:p>
        <w:p w14:paraId="6A02AF5F" w14:textId="77777777" w:rsidR="006D5505" w:rsidRDefault="00DA49C5">
          <w:pPr>
            <w:pStyle w:val="TOC3"/>
            <w:rPr>
              <w:rFonts w:asciiTheme="minorHAnsi" w:eastAsiaTheme="minorEastAsia" w:hAnsiTheme="minorHAnsi" w:cstheme="minorBidi"/>
              <w:noProof/>
              <w:lang w:eastAsia="en-AU"/>
            </w:rPr>
          </w:pPr>
          <w:hyperlink w:anchor="_Toc8816482" w:history="1">
            <w:r w:rsidR="006D5505" w:rsidRPr="00A3140E">
              <w:rPr>
                <w:rStyle w:val="Hyperlink"/>
                <w:noProof/>
              </w:rPr>
              <w:t>Quality summary and conclusions</w:t>
            </w:r>
            <w:r w:rsidR="006D5505">
              <w:rPr>
                <w:noProof/>
                <w:webHidden/>
              </w:rPr>
              <w:tab/>
            </w:r>
            <w:r w:rsidR="006D5505">
              <w:rPr>
                <w:noProof/>
                <w:webHidden/>
              </w:rPr>
              <w:fldChar w:fldCharType="begin"/>
            </w:r>
            <w:r w:rsidR="006D5505">
              <w:rPr>
                <w:noProof/>
                <w:webHidden/>
              </w:rPr>
              <w:instrText xml:space="preserve"> PAGEREF _Toc8816482 \h </w:instrText>
            </w:r>
            <w:r w:rsidR="006D5505">
              <w:rPr>
                <w:noProof/>
                <w:webHidden/>
              </w:rPr>
            </w:r>
            <w:r w:rsidR="006D5505">
              <w:rPr>
                <w:noProof/>
                <w:webHidden/>
              </w:rPr>
              <w:fldChar w:fldCharType="separate"/>
            </w:r>
            <w:r w:rsidR="006D5505">
              <w:rPr>
                <w:noProof/>
                <w:webHidden/>
              </w:rPr>
              <w:t>15</w:t>
            </w:r>
            <w:r w:rsidR="006D5505">
              <w:rPr>
                <w:noProof/>
                <w:webHidden/>
              </w:rPr>
              <w:fldChar w:fldCharType="end"/>
            </w:r>
          </w:hyperlink>
        </w:p>
        <w:p w14:paraId="040EC288" w14:textId="77777777" w:rsidR="006D5505" w:rsidRDefault="00DA49C5">
          <w:pPr>
            <w:pStyle w:val="TOC2"/>
            <w:rPr>
              <w:rFonts w:asciiTheme="minorHAnsi" w:eastAsiaTheme="minorEastAsia" w:hAnsiTheme="minorHAnsi" w:cstheme="minorBidi"/>
              <w:b w:val="0"/>
              <w:noProof/>
              <w:sz w:val="22"/>
              <w:lang w:eastAsia="en-AU"/>
            </w:rPr>
          </w:pPr>
          <w:hyperlink w:anchor="_Toc8816483" w:history="1">
            <w:r w:rsidR="006D5505" w:rsidRPr="00A3140E">
              <w:rPr>
                <w:rStyle w:val="Hyperlink"/>
                <w:noProof/>
              </w:rPr>
              <w:t>IV. Nonclinical findings</w:t>
            </w:r>
            <w:r w:rsidR="006D5505">
              <w:rPr>
                <w:noProof/>
                <w:webHidden/>
              </w:rPr>
              <w:tab/>
            </w:r>
            <w:r w:rsidR="006D5505">
              <w:rPr>
                <w:noProof/>
                <w:webHidden/>
              </w:rPr>
              <w:fldChar w:fldCharType="begin"/>
            </w:r>
            <w:r w:rsidR="006D5505">
              <w:rPr>
                <w:noProof/>
                <w:webHidden/>
              </w:rPr>
              <w:instrText xml:space="preserve"> PAGEREF _Toc8816483 \h </w:instrText>
            </w:r>
            <w:r w:rsidR="006D5505">
              <w:rPr>
                <w:noProof/>
                <w:webHidden/>
              </w:rPr>
            </w:r>
            <w:r w:rsidR="006D5505">
              <w:rPr>
                <w:noProof/>
                <w:webHidden/>
              </w:rPr>
              <w:fldChar w:fldCharType="separate"/>
            </w:r>
            <w:r w:rsidR="006D5505">
              <w:rPr>
                <w:noProof/>
                <w:webHidden/>
              </w:rPr>
              <w:t>15</w:t>
            </w:r>
            <w:r w:rsidR="006D5505">
              <w:rPr>
                <w:noProof/>
                <w:webHidden/>
              </w:rPr>
              <w:fldChar w:fldCharType="end"/>
            </w:r>
          </w:hyperlink>
        </w:p>
        <w:p w14:paraId="454987EA" w14:textId="77777777" w:rsidR="006D5505" w:rsidRDefault="00DA49C5">
          <w:pPr>
            <w:pStyle w:val="TOC3"/>
            <w:rPr>
              <w:rFonts w:asciiTheme="minorHAnsi" w:eastAsiaTheme="minorEastAsia" w:hAnsiTheme="minorHAnsi" w:cstheme="minorBidi"/>
              <w:noProof/>
              <w:lang w:eastAsia="en-AU"/>
            </w:rPr>
          </w:pPr>
          <w:hyperlink w:anchor="_Toc8816484" w:history="1">
            <w:r w:rsidR="006D5505" w:rsidRPr="00A3140E">
              <w:rPr>
                <w:rStyle w:val="Hyperlink"/>
                <w:noProof/>
              </w:rPr>
              <w:t>Introduction</w:t>
            </w:r>
            <w:r w:rsidR="006D5505">
              <w:rPr>
                <w:noProof/>
                <w:webHidden/>
              </w:rPr>
              <w:tab/>
            </w:r>
            <w:r w:rsidR="006D5505">
              <w:rPr>
                <w:noProof/>
                <w:webHidden/>
              </w:rPr>
              <w:fldChar w:fldCharType="begin"/>
            </w:r>
            <w:r w:rsidR="006D5505">
              <w:rPr>
                <w:noProof/>
                <w:webHidden/>
              </w:rPr>
              <w:instrText xml:space="preserve"> PAGEREF _Toc8816484 \h </w:instrText>
            </w:r>
            <w:r w:rsidR="006D5505">
              <w:rPr>
                <w:noProof/>
                <w:webHidden/>
              </w:rPr>
            </w:r>
            <w:r w:rsidR="006D5505">
              <w:rPr>
                <w:noProof/>
                <w:webHidden/>
              </w:rPr>
              <w:fldChar w:fldCharType="separate"/>
            </w:r>
            <w:r w:rsidR="006D5505">
              <w:rPr>
                <w:noProof/>
                <w:webHidden/>
              </w:rPr>
              <w:t>15</w:t>
            </w:r>
            <w:r w:rsidR="006D5505">
              <w:rPr>
                <w:noProof/>
                <w:webHidden/>
              </w:rPr>
              <w:fldChar w:fldCharType="end"/>
            </w:r>
          </w:hyperlink>
        </w:p>
        <w:p w14:paraId="30EFF1CD" w14:textId="77777777" w:rsidR="006D5505" w:rsidRDefault="00DA49C5">
          <w:pPr>
            <w:pStyle w:val="TOC3"/>
            <w:rPr>
              <w:rFonts w:asciiTheme="minorHAnsi" w:eastAsiaTheme="minorEastAsia" w:hAnsiTheme="minorHAnsi" w:cstheme="minorBidi"/>
              <w:noProof/>
              <w:lang w:eastAsia="en-AU"/>
            </w:rPr>
          </w:pPr>
          <w:hyperlink w:anchor="_Toc8816485" w:history="1">
            <w:r w:rsidR="006D5505" w:rsidRPr="00A3140E">
              <w:rPr>
                <w:rStyle w:val="Hyperlink"/>
                <w:noProof/>
              </w:rPr>
              <w:t>Pharmacology</w:t>
            </w:r>
            <w:r w:rsidR="006D5505">
              <w:rPr>
                <w:noProof/>
                <w:webHidden/>
              </w:rPr>
              <w:tab/>
            </w:r>
            <w:r w:rsidR="006D5505">
              <w:rPr>
                <w:noProof/>
                <w:webHidden/>
              </w:rPr>
              <w:fldChar w:fldCharType="begin"/>
            </w:r>
            <w:r w:rsidR="006D5505">
              <w:rPr>
                <w:noProof/>
                <w:webHidden/>
              </w:rPr>
              <w:instrText xml:space="preserve"> PAGEREF _Toc8816485 \h </w:instrText>
            </w:r>
            <w:r w:rsidR="006D5505">
              <w:rPr>
                <w:noProof/>
                <w:webHidden/>
              </w:rPr>
            </w:r>
            <w:r w:rsidR="006D5505">
              <w:rPr>
                <w:noProof/>
                <w:webHidden/>
              </w:rPr>
              <w:fldChar w:fldCharType="separate"/>
            </w:r>
            <w:r w:rsidR="006D5505">
              <w:rPr>
                <w:noProof/>
                <w:webHidden/>
              </w:rPr>
              <w:t>16</w:t>
            </w:r>
            <w:r w:rsidR="006D5505">
              <w:rPr>
                <w:noProof/>
                <w:webHidden/>
              </w:rPr>
              <w:fldChar w:fldCharType="end"/>
            </w:r>
          </w:hyperlink>
        </w:p>
        <w:p w14:paraId="001C1E7E" w14:textId="77777777" w:rsidR="006D5505" w:rsidRDefault="00DA49C5">
          <w:pPr>
            <w:pStyle w:val="TOC3"/>
            <w:rPr>
              <w:rFonts w:asciiTheme="minorHAnsi" w:eastAsiaTheme="minorEastAsia" w:hAnsiTheme="minorHAnsi" w:cstheme="minorBidi"/>
              <w:noProof/>
              <w:lang w:eastAsia="en-AU"/>
            </w:rPr>
          </w:pPr>
          <w:hyperlink w:anchor="_Toc8816486" w:history="1">
            <w:r w:rsidR="006D5505" w:rsidRPr="00A3140E">
              <w:rPr>
                <w:rStyle w:val="Hyperlink"/>
                <w:noProof/>
              </w:rPr>
              <w:t>Pharmacokinetics</w:t>
            </w:r>
            <w:r w:rsidR="006D5505">
              <w:rPr>
                <w:noProof/>
                <w:webHidden/>
              </w:rPr>
              <w:tab/>
            </w:r>
            <w:r w:rsidR="006D5505">
              <w:rPr>
                <w:noProof/>
                <w:webHidden/>
              </w:rPr>
              <w:fldChar w:fldCharType="begin"/>
            </w:r>
            <w:r w:rsidR="006D5505">
              <w:rPr>
                <w:noProof/>
                <w:webHidden/>
              </w:rPr>
              <w:instrText xml:space="preserve"> PAGEREF _Toc8816486 \h </w:instrText>
            </w:r>
            <w:r w:rsidR="006D5505">
              <w:rPr>
                <w:noProof/>
                <w:webHidden/>
              </w:rPr>
            </w:r>
            <w:r w:rsidR="006D5505">
              <w:rPr>
                <w:noProof/>
                <w:webHidden/>
              </w:rPr>
              <w:fldChar w:fldCharType="separate"/>
            </w:r>
            <w:r w:rsidR="006D5505">
              <w:rPr>
                <w:noProof/>
                <w:webHidden/>
              </w:rPr>
              <w:t>16</w:t>
            </w:r>
            <w:r w:rsidR="006D5505">
              <w:rPr>
                <w:noProof/>
                <w:webHidden/>
              </w:rPr>
              <w:fldChar w:fldCharType="end"/>
            </w:r>
          </w:hyperlink>
        </w:p>
        <w:p w14:paraId="51CA7328" w14:textId="77777777" w:rsidR="006D5505" w:rsidRDefault="00DA49C5">
          <w:pPr>
            <w:pStyle w:val="TOC3"/>
            <w:rPr>
              <w:rFonts w:asciiTheme="minorHAnsi" w:eastAsiaTheme="minorEastAsia" w:hAnsiTheme="minorHAnsi" w:cstheme="minorBidi"/>
              <w:noProof/>
              <w:lang w:eastAsia="en-AU"/>
            </w:rPr>
          </w:pPr>
          <w:hyperlink w:anchor="_Toc8816487" w:history="1">
            <w:r w:rsidR="006D5505" w:rsidRPr="00A3140E">
              <w:rPr>
                <w:rStyle w:val="Hyperlink"/>
                <w:noProof/>
              </w:rPr>
              <w:t>Toxicology</w:t>
            </w:r>
            <w:r w:rsidR="006D5505">
              <w:rPr>
                <w:noProof/>
                <w:webHidden/>
              </w:rPr>
              <w:tab/>
            </w:r>
            <w:r w:rsidR="006D5505">
              <w:rPr>
                <w:noProof/>
                <w:webHidden/>
              </w:rPr>
              <w:fldChar w:fldCharType="begin"/>
            </w:r>
            <w:r w:rsidR="006D5505">
              <w:rPr>
                <w:noProof/>
                <w:webHidden/>
              </w:rPr>
              <w:instrText xml:space="preserve"> PAGEREF _Toc8816487 \h </w:instrText>
            </w:r>
            <w:r w:rsidR="006D5505">
              <w:rPr>
                <w:noProof/>
                <w:webHidden/>
              </w:rPr>
            </w:r>
            <w:r w:rsidR="006D5505">
              <w:rPr>
                <w:noProof/>
                <w:webHidden/>
              </w:rPr>
              <w:fldChar w:fldCharType="separate"/>
            </w:r>
            <w:r w:rsidR="006D5505">
              <w:rPr>
                <w:noProof/>
                <w:webHidden/>
              </w:rPr>
              <w:t>17</w:t>
            </w:r>
            <w:r w:rsidR="006D5505">
              <w:rPr>
                <w:noProof/>
                <w:webHidden/>
              </w:rPr>
              <w:fldChar w:fldCharType="end"/>
            </w:r>
          </w:hyperlink>
        </w:p>
        <w:p w14:paraId="5EB0A5E4" w14:textId="77777777" w:rsidR="006D5505" w:rsidRDefault="00DA49C5">
          <w:pPr>
            <w:pStyle w:val="TOC3"/>
            <w:rPr>
              <w:rFonts w:asciiTheme="minorHAnsi" w:eastAsiaTheme="minorEastAsia" w:hAnsiTheme="minorHAnsi" w:cstheme="minorBidi"/>
              <w:noProof/>
              <w:lang w:eastAsia="en-AU"/>
            </w:rPr>
          </w:pPr>
          <w:hyperlink w:anchor="_Toc8816488" w:history="1">
            <w:r w:rsidR="006D5505" w:rsidRPr="00A3140E">
              <w:rPr>
                <w:rStyle w:val="Hyperlink"/>
                <w:noProof/>
              </w:rPr>
              <w:t>Comments on the nonclinical safety specification of the risk management plan</w:t>
            </w:r>
            <w:r w:rsidR="006D5505">
              <w:rPr>
                <w:noProof/>
                <w:webHidden/>
              </w:rPr>
              <w:tab/>
            </w:r>
            <w:r w:rsidR="006D5505">
              <w:rPr>
                <w:noProof/>
                <w:webHidden/>
              </w:rPr>
              <w:fldChar w:fldCharType="begin"/>
            </w:r>
            <w:r w:rsidR="006D5505">
              <w:rPr>
                <w:noProof/>
                <w:webHidden/>
              </w:rPr>
              <w:instrText xml:space="preserve"> PAGEREF _Toc8816488 \h </w:instrText>
            </w:r>
            <w:r w:rsidR="006D5505">
              <w:rPr>
                <w:noProof/>
                <w:webHidden/>
              </w:rPr>
            </w:r>
            <w:r w:rsidR="006D5505">
              <w:rPr>
                <w:noProof/>
                <w:webHidden/>
              </w:rPr>
              <w:fldChar w:fldCharType="separate"/>
            </w:r>
            <w:r w:rsidR="006D5505">
              <w:rPr>
                <w:noProof/>
                <w:webHidden/>
              </w:rPr>
              <w:t>18</w:t>
            </w:r>
            <w:r w:rsidR="006D5505">
              <w:rPr>
                <w:noProof/>
                <w:webHidden/>
              </w:rPr>
              <w:fldChar w:fldCharType="end"/>
            </w:r>
          </w:hyperlink>
        </w:p>
        <w:p w14:paraId="39D8F452" w14:textId="77777777" w:rsidR="006D5505" w:rsidRDefault="00DA49C5">
          <w:pPr>
            <w:pStyle w:val="TOC3"/>
            <w:rPr>
              <w:rFonts w:asciiTheme="minorHAnsi" w:eastAsiaTheme="minorEastAsia" w:hAnsiTheme="minorHAnsi" w:cstheme="minorBidi"/>
              <w:noProof/>
              <w:lang w:eastAsia="en-AU"/>
            </w:rPr>
          </w:pPr>
          <w:hyperlink w:anchor="_Toc8816489" w:history="1">
            <w:r w:rsidR="006D5505" w:rsidRPr="00A3140E">
              <w:rPr>
                <w:rStyle w:val="Hyperlink"/>
                <w:noProof/>
              </w:rPr>
              <w:t>Nonclinical summary and conclusions</w:t>
            </w:r>
            <w:r w:rsidR="006D5505">
              <w:rPr>
                <w:noProof/>
                <w:webHidden/>
              </w:rPr>
              <w:tab/>
            </w:r>
            <w:r w:rsidR="006D5505">
              <w:rPr>
                <w:noProof/>
                <w:webHidden/>
              </w:rPr>
              <w:fldChar w:fldCharType="begin"/>
            </w:r>
            <w:r w:rsidR="006D5505">
              <w:rPr>
                <w:noProof/>
                <w:webHidden/>
              </w:rPr>
              <w:instrText xml:space="preserve"> PAGEREF _Toc8816489 \h </w:instrText>
            </w:r>
            <w:r w:rsidR="006D5505">
              <w:rPr>
                <w:noProof/>
                <w:webHidden/>
              </w:rPr>
            </w:r>
            <w:r w:rsidR="006D5505">
              <w:rPr>
                <w:noProof/>
                <w:webHidden/>
              </w:rPr>
              <w:fldChar w:fldCharType="separate"/>
            </w:r>
            <w:r w:rsidR="006D5505">
              <w:rPr>
                <w:noProof/>
                <w:webHidden/>
              </w:rPr>
              <w:t>18</w:t>
            </w:r>
            <w:r w:rsidR="006D5505">
              <w:rPr>
                <w:noProof/>
                <w:webHidden/>
              </w:rPr>
              <w:fldChar w:fldCharType="end"/>
            </w:r>
          </w:hyperlink>
        </w:p>
        <w:p w14:paraId="5321B51F" w14:textId="77777777" w:rsidR="006D5505" w:rsidRDefault="00DA49C5">
          <w:pPr>
            <w:pStyle w:val="TOC2"/>
            <w:rPr>
              <w:rFonts w:asciiTheme="minorHAnsi" w:eastAsiaTheme="minorEastAsia" w:hAnsiTheme="minorHAnsi" w:cstheme="minorBidi"/>
              <w:b w:val="0"/>
              <w:noProof/>
              <w:sz w:val="22"/>
              <w:lang w:eastAsia="en-AU"/>
            </w:rPr>
          </w:pPr>
          <w:hyperlink w:anchor="_Toc8816490" w:history="1">
            <w:r w:rsidR="006D5505" w:rsidRPr="00A3140E">
              <w:rPr>
                <w:rStyle w:val="Hyperlink"/>
                <w:noProof/>
              </w:rPr>
              <w:t>V. Clinical findings</w:t>
            </w:r>
            <w:r w:rsidR="006D5505">
              <w:rPr>
                <w:noProof/>
                <w:webHidden/>
              </w:rPr>
              <w:tab/>
            </w:r>
            <w:r w:rsidR="006D5505">
              <w:rPr>
                <w:noProof/>
                <w:webHidden/>
              </w:rPr>
              <w:fldChar w:fldCharType="begin"/>
            </w:r>
            <w:r w:rsidR="006D5505">
              <w:rPr>
                <w:noProof/>
                <w:webHidden/>
              </w:rPr>
              <w:instrText xml:space="preserve"> PAGEREF _Toc8816490 \h </w:instrText>
            </w:r>
            <w:r w:rsidR="006D5505">
              <w:rPr>
                <w:noProof/>
                <w:webHidden/>
              </w:rPr>
            </w:r>
            <w:r w:rsidR="006D5505">
              <w:rPr>
                <w:noProof/>
                <w:webHidden/>
              </w:rPr>
              <w:fldChar w:fldCharType="separate"/>
            </w:r>
            <w:r w:rsidR="006D5505">
              <w:rPr>
                <w:noProof/>
                <w:webHidden/>
              </w:rPr>
              <w:t>18</w:t>
            </w:r>
            <w:r w:rsidR="006D5505">
              <w:rPr>
                <w:noProof/>
                <w:webHidden/>
              </w:rPr>
              <w:fldChar w:fldCharType="end"/>
            </w:r>
          </w:hyperlink>
        </w:p>
        <w:p w14:paraId="4F2E3D1A" w14:textId="77777777" w:rsidR="006D5505" w:rsidRDefault="00DA49C5">
          <w:pPr>
            <w:pStyle w:val="TOC3"/>
            <w:rPr>
              <w:rFonts w:asciiTheme="minorHAnsi" w:eastAsiaTheme="minorEastAsia" w:hAnsiTheme="minorHAnsi" w:cstheme="minorBidi"/>
              <w:noProof/>
              <w:lang w:eastAsia="en-AU"/>
            </w:rPr>
          </w:pPr>
          <w:hyperlink w:anchor="_Toc8816491" w:history="1">
            <w:r w:rsidR="006D5505" w:rsidRPr="00A3140E">
              <w:rPr>
                <w:rStyle w:val="Hyperlink"/>
                <w:noProof/>
              </w:rPr>
              <w:t>Introduction</w:t>
            </w:r>
            <w:r w:rsidR="006D5505">
              <w:rPr>
                <w:noProof/>
                <w:webHidden/>
              </w:rPr>
              <w:tab/>
            </w:r>
            <w:r w:rsidR="006D5505">
              <w:rPr>
                <w:noProof/>
                <w:webHidden/>
              </w:rPr>
              <w:fldChar w:fldCharType="begin"/>
            </w:r>
            <w:r w:rsidR="006D5505">
              <w:rPr>
                <w:noProof/>
                <w:webHidden/>
              </w:rPr>
              <w:instrText xml:space="preserve"> PAGEREF _Toc8816491 \h </w:instrText>
            </w:r>
            <w:r w:rsidR="006D5505">
              <w:rPr>
                <w:noProof/>
                <w:webHidden/>
              </w:rPr>
            </w:r>
            <w:r w:rsidR="006D5505">
              <w:rPr>
                <w:noProof/>
                <w:webHidden/>
              </w:rPr>
              <w:fldChar w:fldCharType="separate"/>
            </w:r>
            <w:r w:rsidR="006D5505">
              <w:rPr>
                <w:noProof/>
                <w:webHidden/>
              </w:rPr>
              <w:t>18</w:t>
            </w:r>
            <w:r w:rsidR="006D5505">
              <w:rPr>
                <w:noProof/>
                <w:webHidden/>
              </w:rPr>
              <w:fldChar w:fldCharType="end"/>
            </w:r>
          </w:hyperlink>
        </w:p>
        <w:p w14:paraId="3BEAFC4A" w14:textId="77777777" w:rsidR="006D5505" w:rsidRDefault="00DA49C5">
          <w:pPr>
            <w:pStyle w:val="TOC3"/>
            <w:rPr>
              <w:rFonts w:asciiTheme="minorHAnsi" w:eastAsiaTheme="minorEastAsia" w:hAnsiTheme="minorHAnsi" w:cstheme="minorBidi"/>
              <w:noProof/>
              <w:lang w:eastAsia="en-AU"/>
            </w:rPr>
          </w:pPr>
          <w:hyperlink w:anchor="_Toc8816492" w:history="1">
            <w:r w:rsidR="006D5505" w:rsidRPr="00A3140E">
              <w:rPr>
                <w:rStyle w:val="Hyperlink"/>
                <w:noProof/>
              </w:rPr>
              <w:t>Pharmacokinetics</w:t>
            </w:r>
            <w:r w:rsidR="006D5505">
              <w:rPr>
                <w:noProof/>
                <w:webHidden/>
              </w:rPr>
              <w:tab/>
            </w:r>
            <w:r w:rsidR="006D5505">
              <w:rPr>
                <w:noProof/>
                <w:webHidden/>
              </w:rPr>
              <w:fldChar w:fldCharType="begin"/>
            </w:r>
            <w:r w:rsidR="006D5505">
              <w:rPr>
                <w:noProof/>
                <w:webHidden/>
              </w:rPr>
              <w:instrText xml:space="preserve"> PAGEREF _Toc8816492 \h </w:instrText>
            </w:r>
            <w:r w:rsidR="006D5505">
              <w:rPr>
                <w:noProof/>
                <w:webHidden/>
              </w:rPr>
            </w:r>
            <w:r w:rsidR="006D5505">
              <w:rPr>
                <w:noProof/>
                <w:webHidden/>
              </w:rPr>
              <w:fldChar w:fldCharType="separate"/>
            </w:r>
            <w:r w:rsidR="006D5505">
              <w:rPr>
                <w:noProof/>
                <w:webHidden/>
              </w:rPr>
              <w:t>23</w:t>
            </w:r>
            <w:r w:rsidR="006D5505">
              <w:rPr>
                <w:noProof/>
                <w:webHidden/>
              </w:rPr>
              <w:fldChar w:fldCharType="end"/>
            </w:r>
          </w:hyperlink>
        </w:p>
        <w:p w14:paraId="40DD87A9" w14:textId="77777777" w:rsidR="006D5505" w:rsidRDefault="00DA49C5">
          <w:pPr>
            <w:pStyle w:val="TOC3"/>
            <w:rPr>
              <w:rFonts w:asciiTheme="minorHAnsi" w:eastAsiaTheme="minorEastAsia" w:hAnsiTheme="minorHAnsi" w:cstheme="minorBidi"/>
              <w:noProof/>
              <w:lang w:eastAsia="en-AU"/>
            </w:rPr>
          </w:pPr>
          <w:hyperlink w:anchor="_Toc8816493" w:history="1">
            <w:r w:rsidR="006D5505" w:rsidRPr="00A3140E">
              <w:rPr>
                <w:rStyle w:val="Hyperlink"/>
                <w:noProof/>
              </w:rPr>
              <w:t>Pharmacodynamics</w:t>
            </w:r>
            <w:r w:rsidR="006D5505">
              <w:rPr>
                <w:noProof/>
                <w:webHidden/>
              </w:rPr>
              <w:tab/>
            </w:r>
            <w:r w:rsidR="006D5505">
              <w:rPr>
                <w:noProof/>
                <w:webHidden/>
              </w:rPr>
              <w:fldChar w:fldCharType="begin"/>
            </w:r>
            <w:r w:rsidR="006D5505">
              <w:rPr>
                <w:noProof/>
                <w:webHidden/>
              </w:rPr>
              <w:instrText xml:space="preserve"> PAGEREF _Toc8816493 \h </w:instrText>
            </w:r>
            <w:r w:rsidR="006D5505">
              <w:rPr>
                <w:noProof/>
                <w:webHidden/>
              </w:rPr>
            </w:r>
            <w:r w:rsidR="006D5505">
              <w:rPr>
                <w:noProof/>
                <w:webHidden/>
              </w:rPr>
              <w:fldChar w:fldCharType="separate"/>
            </w:r>
            <w:r w:rsidR="006D5505">
              <w:rPr>
                <w:noProof/>
                <w:webHidden/>
              </w:rPr>
              <w:t>25</w:t>
            </w:r>
            <w:r w:rsidR="006D5505">
              <w:rPr>
                <w:noProof/>
                <w:webHidden/>
              </w:rPr>
              <w:fldChar w:fldCharType="end"/>
            </w:r>
          </w:hyperlink>
        </w:p>
        <w:p w14:paraId="0DAA4400" w14:textId="77777777" w:rsidR="006D5505" w:rsidRDefault="00DA49C5">
          <w:pPr>
            <w:pStyle w:val="TOC3"/>
            <w:rPr>
              <w:rFonts w:asciiTheme="minorHAnsi" w:eastAsiaTheme="minorEastAsia" w:hAnsiTheme="minorHAnsi" w:cstheme="minorBidi"/>
              <w:noProof/>
              <w:lang w:eastAsia="en-AU"/>
            </w:rPr>
          </w:pPr>
          <w:hyperlink w:anchor="_Toc8816494" w:history="1">
            <w:r w:rsidR="006D5505" w:rsidRPr="00A3140E">
              <w:rPr>
                <w:rStyle w:val="Hyperlink"/>
                <w:noProof/>
              </w:rPr>
              <w:t>Dosage selection for the pivotal studies</w:t>
            </w:r>
            <w:r w:rsidR="006D5505">
              <w:rPr>
                <w:noProof/>
                <w:webHidden/>
              </w:rPr>
              <w:tab/>
            </w:r>
            <w:r w:rsidR="006D5505">
              <w:rPr>
                <w:noProof/>
                <w:webHidden/>
              </w:rPr>
              <w:fldChar w:fldCharType="begin"/>
            </w:r>
            <w:r w:rsidR="006D5505">
              <w:rPr>
                <w:noProof/>
                <w:webHidden/>
              </w:rPr>
              <w:instrText xml:space="preserve"> PAGEREF _Toc8816494 \h </w:instrText>
            </w:r>
            <w:r w:rsidR="006D5505">
              <w:rPr>
                <w:noProof/>
                <w:webHidden/>
              </w:rPr>
            </w:r>
            <w:r w:rsidR="006D5505">
              <w:rPr>
                <w:noProof/>
                <w:webHidden/>
              </w:rPr>
              <w:fldChar w:fldCharType="separate"/>
            </w:r>
            <w:r w:rsidR="006D5505">
              <w:rPr>
                <w:noProof/>
                <w:webHidden/>
              </w:rPr>
              <w:t>26</w:t>
            </w:r>
            <w:r w:rsidR="006D5505">
              <w:rPr>
                <w:noProof/>
                <w:webHidden/>
              </w:rPr>
              <w:fldChar w:fldCharType="end"/>
            </w:r>
          </w:hyperlink>
        </w:p>
        <w:p w14:paraId="57FF732A" w14:textId="77777777" w:rsidR="006D5505" w:rsidRDefault="00DA49C5">
          <w:pPr>
            <w:pStyle w:val="TOC3"/>
            <w:rPr>
              <w:rFonts w:asciiTheme="minorHAnsi" w:eastAsiaTheme="minorEastAsia" w:hAnsiTheme="minorHAnsi" w:cstheme="minorBidi"/>
              <w:noProof/>
              <w:lang w:eastAsia="en-AU"/>
            </w:rPr>
          </w:pPr>
          <w:hyperlink w:anchor="_Toc8816495" w:history="1">
            <w:r w:rsidR="006D5505" w:rsidRPr="00A3140E">
              <w:rPr>
                <w:rStyle w:val="Hyperlink"/>
                <w:noProof/>
              </w:rPr>
              <w:t>Efficacy</w:t>
            </w:r>
            <w:r w:rsidR="006D5505">
              <w:rPr>
                <w:noProof/>
                <w:webHidden/>
              </w:rPr>
              <w:tab/>
            </w:r>
            <w:r w:rsidR="006D5505">
              <w:rPr>
                <w:noProof/>
                <w:webHidden/>
              </w:rPr>
              <w:fldChar w:fldCharType="begin"/>
            </w:r>
            <w:r w:rsidR="006D5505">
              <w:rPr>
                <w:noProof/>
                <w:webHidden/>
              </w:rPr>
              <w:instrText xml:space="preserve"> PAGEREF _Toc8816495 \h </w:instrText>
            </w:r>
            <w:r w:rsidR="006D5505">
              <w:rPr>
                <w:noProof/>
                <w:webHidden/>
              </w:rPr>
            </w:r>
            <w:r w:rsidR="006D5505">
              <w:rPr>
                <w:noProof/>
                <w:webHidden/>
              </w:rPr>
              <w:fldChar w:fldCharType="separate"/>
            </w:r>
            <w:r w:rsidR="006D5505">
              <w:rPr>
                <w:noProof/>
                <w:webHidden/>
              </w:rPr>
              <w:t>26</w:t>
            </w:r>
            <w:r w:rsidR="006D5505">
              <w:rPr>
                <w:noProof/>
                <w:webHidden/>
              </w:rPr>
              <w:fldChar w:fldCharType="end"/>
            </w:r>
          </w:hyperlink>
        </w:p>
        <w:p w14:paraId="7DF1F0D0" w14:textId="77777777" w:rsidR="006D5505" w:rsidRDefault="00DA49C5">
          <w:pPr>
            <w:pStyle w:val="TOC3"/>
            <w:rPr>
              <w:rFonts w:asciiTheme="minorHAnsi" w:eastAsiaTheme="minorEastAsia" w:hAnsiTheme="minorHAnsi" w:cstheme="minorBidi"/>
              <w:noProof/>
              <w:lang w:eastAsia="en-AU"/>
            </w:rPr>
          </w:pPr>
          <w:hyperlink w:anchor="_Toc8816496" w:history="1">
            <w:r w:rsidR="006D5505" w:rsidRPr="00A3140E">
              <w:rPr>
                <w:rStyle w:val="Hyperlink"/>
                <w:noProof/>
              </w:rPr>
              <w:t>Safety</w:t>
            </w:r>
            <w:r w:rsidR="006D5505">
              <w:rPr>
                <w:noProof/>
                <w:webHidden/>
              </w:rPr>
              <w:tab/>
            </w:r>
            <w:r w:rsidR="006D5505">
              <w:rPr>
                <w:noProof/>
                <w:webHidden/>
              </w:rPr>
              <w:fldChar w:fldCharType="begin"/>
            </w:r>
            <w:r w:rsidR="006D5505">
              <w:rPr>
                <w:noProof/>
                <w:webHidden/>
              </w:rPr>
              <w:instrText xml:space="preserve"> PAGEREF _Toc8816496 \h </w:instrText>
            </w:r>
            <w:r w:rsidR="006D5505">
              <w:rPr>
                <w:noProof/>
                <w:webHidden/>
              </w:rPr>
            </w:r>
            <w:r w:rsidR="006D5505">
              <w:rPr>
                <w:noProof/>
                <w:webHidden/>
              </w:rPr>
              <w:fldChar w:fldCharType="separate"/>
            </w:r>
            <w:r w:rsidR="006D5505">
              <w:rPr>
                <w:noProof/>
                <w:webHidden/>
              </w:rPr>
              <w:t>27</w:t>
            </w:r>
            <w:r w:rsidR="006D5505">
              <w:rPr>
                <w:noProof/>
                <w:webHidden/>
              </w:rPr>
              <w:fldChar w:fldCharType="end"/>
            </w:r>
          </w:hyperlink>
        </w:p>
        <w:p w14:paraId="45B0649B" w14:textId="77777777" w:rsidR="006D5505" w:rsidRDefault="00DA49C5">
          <w:pPr>
            <w:pStyle w:val="TOC3"/>
            <w:rPr>
              <w:rFonts w:asciiTheme="minorHAnsi" w:eastAsiaTheme="minorEastAsia" w:hAnsiTheme="minorHAnsi" w:cstheme="minorBidi"/>
              <w:noProof/>
              <w:lang w:eastAsia="en-AU"/>
            </w:rPr>
          </w:pPr>
          <w:hyperlink w:anchor="_Toc8816497" w:history="1">
            <w:r w:rsidR="006D5505" w:rsidRPr="00A3140E">
              <w:rPr>
                <w:rStyle w:val="Hyperlink"/>
                <w:noProof/>
              </w:rPr>
              <w:t>First round benefit-risk assessment</w:t>
            </w:r>
            <w:r w:rsidR="006D5505">
              <w:rPr>
                <w:noProof/>
                <w:webHidden/>
              </w:rPr>
              <w:tab/>
            </w:r>
            <w:r w:rsidR="006D5505">
              <w:rPr>
                <w:noProof/>
                <w:webHidden/>
              </w:rPr>
              <w:fldChar w:fldCharType="begin"/>
            </w:r>
            <w:r w:rsidR="006D5505">
              <w:rPr>
                <w:noProof/>
                <w:webHidden/>
              </w:rPr>
              <w:instrText xml:space="preserve"> PAGEREF _Toc8816497 \h </w:instrText>
            </w:r>
            <w:r w:rsidR="006D5505">
              <w:rPr>
                <w:noProof/>
                <w:webHidden/>
              </w:rPr>
            </w:r>
            <w:r w:rsidR="006D5505">
              <w:rPr>
                <w:noProof/>
                <w:webHidden/>
              </w:rPr>
              <w:fldChar w:fldCharType="separate"/>
            </w:r>
            <w:r w:rsidR="006D5505">
              <w:rPr>
                <w:noProof/>
                <w:webHidden/>
              </w:rPr>
              <w:t>39</w:t>
            </w:r>
            <w:r w:rsidR="006D5505">
              <w:rPr>
                <w:noProof/>
                <w:webHidden/>
              </w:rPr>
              <w:fldChar w:fldCharType="end"/>
            </w:r>
          </w:hyperlink>
        </w:p>
        <w:p w14:paraId="1B1070B1" w14:textId="77777777" w:rsidR="006D5505" w:rsidRDefault="00DA49C5">
          <w:pPr>
            <w:pStyle w:val="TOC3"/>
            <w:rPr>
              <w:rFonts w:asciiTheme="minorHAnsi" w:eastAsiaTheme="minorEastAsia" w:hAnsiTheme="minorHAnsi" w:cstheme="minorBidi"/>
              <w:noProof/>
              <w:lang w:eastAsia="en-AU"/>
            </w:rPr>
          </w:pPr>
          <w:hyperlink w:anchor="_Toc8816498" w:history="1">
            <w:r w:rsidR="006D5505" w:rsidRPr="00A3140E">
              <w:rPr>
                <w:rStyle w:val="Hyperlink"/>
                <w:noProof/>
              </w:rPr>
              <w:t>First round recommendation regarding authorisation</w:t>
            </w:r>
            <w:r w:rsidR="006D5505">
              <w:rPr>
                <w:noProof/>
                <w:webHidden/>
              </w:rPr>
              <w:tab/>
            </w:r>
            <w:r w:rsidR="006D5505">
              <w:rPr>
                <w:noProof/>
                <w:webHidden/>
              </w:rPr>
              <w:fldChar w:fldCharType="begin"/>
            </w:r>
            <w:r w:rsidR="006D5505">
              <w:rPr>
                <w:noProof/>
                <w:webHidden/>
              </w:rPr>
              <w:instrText xml:space="preserve"> PAGEREF _Toc8816498 \h </w:instrText>
            </w:r>
            <w:r w:rsidR="006D5505">
              <w:rPr>
                <w:noProof/>
                <w:webHidden/>
              </w:rPr>
            </w:r>
            <w:r w:rsidR="006D5505">
              <w:rPr>
                <w:noProof/>
                <w:webHidden/>
              </w:rPr>
              <w:fldChar w:fldCharType="separate"/>
            </w:r>
            <w:r w:rsidR="006D5505">
              <w:rPr>
                <w:noProof/>
                <w:webHidden/>
              </w:rPr>
              <w:t>42</w:t>
            </w:r>
            <w:r w:rsidR="006D5505">
              <w:rPr>
                <w:noProof/>
                <w:webHidden/>
              </w:rPr>
              <w:fldChar w:fldCharType="end"/>
            </w:r>
          </w:hyperlink>
        </w:p>
        <w:p w14:paraId="60BFFCBB" w14:textId="77777777" w:rsidR="006D5505" w:rsidRDefault="00DA49C5">
          <w:pPr>
            <w:pStyle w:val="TOC3"/>
            <w:rPr>
              <w:rFonts w:asciiTheme="minorHAnsi" w:eastAsiaTheme="minorEastAsia" w:hAnsiTheme="minorHAnsi" w:cstheme="minorBidi"/>
              <w:noProof/>
              <w:lang w:eastAsia="en-AU"/>
            </w:rPr>
          </w:pPr>
          <w:hyperlink w:anchor="_Toc8816499" w:history="1">
            <w:r w:rsidR="006D5505" w:rsidRPr="00A3140E">
              <w:rPr>
                <w:rStyle w:val="Hyperlink"/>
                <w:noProof/>
              </w:rPr>
              <w:t>Second round benefit-risk assessment</w:t>
            </w:r>
            <w:r w:rsidR="006D5505">
              <w:rPr>
                <w:noProof/>
                <w:webHidden/>
              </w:rPr>
              <w:tab/>
            </w:r>
            <w:r w:rsidR="006D5505">
              <w:rPr>
                <w:noProof/>
                <w:webHidden/>
              </w:rPr>
              <w:fldChar w:fldCharType="begin"/>
            </w:r>
            <w:r w:rsidR="006D5505">
              <w:rPr>
                <w:noProof/>
                <w:webHidden/>
              </w:rPr>
              <w:instrText xml:space="preserve"> PAGEREF _Toc8816499 \h </w:instrText>
            </w:r>
            <w:r w:rsidR="006D5505">
              <w:rPr>
                <w:noProof/>
                <w:webHidden/>
              </w:rPr>
            </w:r>
            <w:r w:rsidR="006D5505">
              <w:rPr>
                <w:noProof/>
                <w:webHidden/>
              </w:rPr>
              <w:fldChar w:fldCharType="separate"/>
            </w:r>
            <w:r w:rsidR="006D5505">
              <w:rPr>
                <w:noProof/>
                <w:webHidden/>
              </w:rPr>
              <w:t>42</w:t>
            </w:r>
            <w:r w:rsidR="006D5505">
              <w:rPr>
                <w:noProof/>
                <w:webHidden/>
              </w:rPr>
              <w:fldChar w:fldCharType="end"/>
            </w:r>
          </w:hyperlink>
        </w:p>
        <w:p w14:paraId="404F883F" w14:textId="77777777" w:rsidR="006D5505" w:rsidRDefault="00DA49C5">
          <w:pPr>
            <w:pStyle w:val="TOC3"/>
            <w:rPr>
              <w:rFonts w:asciiTheme="minorHAnsi" w:eastAsiaTheme="minorEastAsia" w:hAnsiTheme="minorHAnsi" w:cstheme="minorBidi"/>
              <w:noProof/>
              <w:lang w:eastAsia="en-AU"/>
            </w:rPr>
          </w:pPr>
          <w:hyperlink w:anchor="_Toc8816500" w:history="1">
            <w:r w:rsidR="006D5505" w:rsidRPr="00A3140E">
              <w:rPr>
                <w:rStyle w:val="Hyperlink"/>
                <w:noProof/>
              </w:rPr>
              <w:t>Second round recommendation regarding authorisation</w:t>
            </w:r>
            <w:r w:rsidR="006D5505">
              <w:rPr>
                <w:noProof/>
                <w:webHidden/>
              </w:rPr>
              <w:tab/>
            </w:r>
            <w:r w:rsidR="006D5505">
              <w:rPr>
                <w:noProof/>
                <w:webHidden/>
              </w:rPr>
              <w:fldChar w:fldCharType="begin"/>
            </w:r>
            <w:r w:rsidR="006D5505">
              <w:rPr>
                <w:noProof/>
                <w:webHidden/>
              </w:rPr>
              <w:instrText xml:space="preserve"> PAGEREF _Toc8816500 \h </w:instrText>
            </w:r>
            <w:r w:rsidR="006D5505">
              <w:rPr>
                <w:noProof/>
                <w:webHidden/>
              </w:rPr>
            </w:r>
            <w:r w:rsidR="006D5505">
              <w:rPr>
                <w:noProof/>
                <w:webHidden/>
              </w:rPr>
              <w:fldChar w:fldCharType="separate"/>
            </w:r>
            <w:r w:rsidR="006D5505">
              <w:rPr>
                <w:noProof/>
                <w:webHidden/>
              </w:rPr>
              <w:t>43</w:t>
            </w:r>
            <w:r w:rsidR="006D5505">
              <w:rPr>
                <w:noProof/>
                <w:webHidden/>
              </w:rPr>
              <w:fldChar w:fldCharType="end"/>
            </w:r>
          </w:hyperlink>
        </w:p>
        <w:p w14:paraId="462AAB75" w14:textId="77777777" w:rsidR="006D5505" w:rsidRDefault="00DA49C5">
          <w:pPr>
            <w:pStyle w:val="TOC2"/>
            <w:rPr>
              <w:rFonts w:asciiTheme="minorHAnsi" w:eastAsiaTheme="minorEastAsia" w:hAnsiTheme="minorHAnsi" w:cstheme="minorBidi"/>
              <w:b w:val="0"/>
              <w:noProof/>
              <w:sz w:val="22"/>
              <w:lang w:eastAsia="en-AU"/>
            </w:rPr>
          </w:pPr>
          <w:hyperlink w:anchor="_Toc8816501" w:history="1">
            <w:r w:rsidR="006D5505" w:rsidRPr="00A3140E">
              <w:rPr>
                <w:rStyle w:val="Hyperlink"/>
                <w:noProof/>
              </w:rPr>
              <w:t>VI. Pharmacovigilance findings</w:t>
            </w:r>
            <w:r w:rsidR="006D5505">
              <w:rPr>
                <w:noProof/>
                <w:webHidden/>
              </w:rPr>
              <w:tab/>
            </w:r>
            <w:r w:rsidR="006D5505">
              <w:rPr>
                <w:noProof/>
                <w:webHidden/>
              </w:rPr>
              <w:fldChar w:fldCharType="begin"/>
            </w:r>
            <w:r w:rsidR="006D5505">
              <w:rPr>
                <w:noProof/>
                <w:webHidden/>
              </w:rPr>
              <w:instrText xml:space="preserve"> PAGEREF _Toc8816501 \h </w:instrText>
            </w:r>
            <w:r w:rsidR="006D5505">
              <w:rPr>
                <w:noProof/>
                <w:webHidden/>
              </w:rPr>
            </w:r>
            <w:r w:rsidR="006D5505">
              <w:rPr>
                <w:noProof/>
                <w:webHidden/>
              </w:rPr>
              <w:fldChar w:fldCharType="separate"/>
            </w:r>
            <w:r w:rsidR="006D5505">
              <w:rPr>
                <w:noProof/>
                <w:webHidden/>
              </w:rPr>
              <w:t>44</w:t>
            </w:r>
            <w:r w:rsidR="006D5505">
              <w:rPr>
                <w:noProof/>
                <w:webHidden/>
              </w:rPr>
              <w:fldChar w:fldCharType="end"/>
            </w:r>
          </w:hyperlink>
        </w:p>
        <w:p w14:paraId="6E0087C9" w14:textId="77777777" w:rsidR="006D5505" w:rsidRDefault="00DA49C5">
          <w:pPr>
            <w:pStyle w:val="TOC2"/>
            <w:rPr>
              <w:rFonts w:asciiTheme="minorHAnsi" w:eastAsiaTheme="minorEastAsia" w:hAnsiTheme="minorHAnsi" w:cstheme="minorBidi"/>
              <w:b w:val="0"/>
              <w:noProof/>
              <w:sz w:val="22"/>
              <w:lang w:eastAsia="en-AU"/>
            </w:rPr>
          </w:pPr>
          <w:hyperlink w:anchor="_Toc8816502" w:history="1">
            <w:r w:rsidR="006D5505" w:rsidRPr="00A3140E">
              <w:rPr>
                <w:rStyle w:val="Hyperlink"/>
                <w:noProof/>
              </w:rPr>
              <w:t>VII. Overall conclusion and risk/benefit assessment</w:t>
            </w:r>
            <w:r w:rsidR="006D5505">
              <w:rPr>
                <w:noProof/>
                <w:webHidden/>
              </w:rPr>
              <w:tab/>
            </w:r>
            <w:r w:rsidR="006D5505">
              <w:rPr>
                <w:noProof/>
                <w:webHidden/>
              </w:rPr>
              <w:fldChar w:fldCharType="begin"/>
            </w:r>
            <w:r w:rsidR="006D5505">
              <w:rPr>
                <w:noProof/>
                <w:webHidden/>
              </w:rPr>
              <w:instrText xml:space="preserve"> PAGEREF _Toc8816502 \h </w:instrText>
            </w:r>
            <w:r w:rsidR="006D5505">
              <w:rPr>
                <w:noProof/>
                <w:webHidden/>
              </w:rPr>
            </w:r>
            <w:r w:rsidR="006D5505">
              <w:rPr>
                <w:noProof/>
                <w:webHidden/>
              </w:rPr>
              <w:fldChar w:fldCharType="separate"/>
            </w:r>
            <w:r w:rsidR="006D5505">
              <w:rPr>
                <w:noProof/>
                <w:webHidden/>
              </w:rPr>
              <w:t>47</w:t>
            </w:r>
            <w:r w:rsidR="006D5505">
              <w:rPr>
                <w:noProof/>
                <w:webHidden/>
              </w:rPr>
              <w:fldChar w:fldCharType="end"/>
            </w:r>
          </w:hyperlink>
        </w:p>
        <w:p w14:paraId="25661385" w14:textId="77777777" w:rsidR="006D5505" w:rsidRDefault="00DA49C5">
          <w:pPr>
            <w:pStyle w:val="TOC3"/>
            <w:rPr>
              <w:rFonts w:asciiTheme="minorHAnsi" w:eastAsiaTheme="minorEastAsia" w:hAnsiTheme="minorHAnsi" w:cstheme="minorBidi"/>
              <w:noProof/>
              <w:lang w:eastAsia="en-AU"/>
            </w:rPr>
          </w:pPr>
          <w:hyperlink w:anchor="_Toc8816503" w:history="1">
            <w:r w:rsidR="006D5505" w:rsidRPr="00A3140E">
              <w:rPr>
                <w:rStyle w:val="Hyperlink"/>
                <w:noProof/>
              </w:rPr>
              <w:t>Background</w:t>
            </w:r>
            <w:r w:rsidR="006D5505">
              <w:rPr>
                <w:noProof/>
                <w:webHidden/>
              </w:rPr>
              <w:tab/>
            </w:r>
            <w:r w:rsidR="006D5505">
              <w:rPr>
                <w:noProof/>
                <w:webHidden/>
              </w:rPr>
              <w:fldChar w:fldCharType="begin"/>
            </w:r>
            <w:r w:rsidR="006D5505">
              <w:rPr>
                <w:noProof/>
                <w:webHidden/>
              </w:rPr>
              <w:instrText xml:space="preserve"> PAGEREF _Toc8816503 \h </w:instrText>
            </w:r>
            <w:r w:rsidR="006D5505">
              <w:rPr>
                <w:noProof/>
                <w:webHidden/>
              </w:rPr>
            </w:r>
            <w:r w:rsidR="006D5505">
              <w:rPr>
                <w:noProof/>
                <w:webHidden/>
              </w:rPr>
              <w:fldChar w:fldCharType="separate"/>
            </w:r>
            <w:r w:rsidR="006D5505">
              <w:rPr>
                <w:noProof/>
                <w:webHidden/>
              </w:rPr>
              <w:t>47</w:t>
            </w:r>
            <w:r w:rsidR="006D5505">
              <w:rPr>
                <w:noProof/>
                <w:webHidden/>
              </w:rPr>
              <w:fldChar w:fldCharType="end"/>
            </w:r>
          </w:hyperlink>
        </w:p>
        <w:p w14:paraId="5807A590" w14:textId="77777777" w:rsidR="006D5505" w:rsidRDefault="00DA49C5">
          <w:pPr>
            <w:pStyle w:val="TOC3"/>
            <w:rPr>
              <w:rFonts w:asciiTheme="minorHAnsi" w:eastAsiaTheme="minorEastAsia" w:hAnsiTheme="minorHAnsi" w:cstheme="minorBidi"/>
              <w:noProof/>
              <w:lang w:eastAsia="en-AU"/>
            </w:rPr>
          </w:pPr>
          <w:hyperlink w:anchor="_Toc8816504" w:history="1">
            <w:r w:rsidR="006D5505" w:rsidRPr="00A3140E">
              <w:rPr>
                <w:rStyle w:val="Hyperlink"/>
                <w:noProof/>
              </w:rPr>
              <w:t>Quality</w:t>
            </w:r>
            <w:r w:rsidR="006D5505">
              <w:rPr>
                <w:noProof/>
                <w:webHidden/>
              </w:rPr>
              <w:tab/>
            </w:r>
            <w:r w:rsidR="006D5505">
              <w:rPr>
                <w:noProof/>
                <w:webHidden/>
              </w:rPr>
              <w:fldChar w:fldCharType="begin"/>
            </w:r>
            <w:r w:rsidR="006D5505">
              <w:rPr>
                <w:noProof/>
                <w:webHidden/>
              </w:rPr>
              <w:instrText xml:space="preserve"> PAGEREF _Toc8816504 \h </w:instrText>
            </w:r>
            <w:r w:rsidR="006D5505">
              <w:rPr>
                <w:noProof/>
                <w:webHidden/>
              </w:rPr>
            </w:r>
            <w:r w:rsidR="006D5505">
              <w:rPr>
                <w:noProof/>
                <w:webHidden/>
              </w:rPr>
              <w:fldChar w:fldCharType="separate"/>
            </w:r>
            <w:r w:rsidR="006D5505">
              <w:rPr>
                <w:noProof/>
                <w:webHidden/>
              </w:rPr>
              <w:t>50</w:t>
            </w:r>
            <w:r w:rsidR="006D5505">
              <w:rPr>
                <w:noProof/>
                <w:webHidden/>
              </w:rPr>
              <w:fldChar w:fldCharType="end"/>
            </w:r>
          </w:hyperlink>
        </w:p>
        <w:p w14:paraId="386773C2" w14:textId="77777777" w:rsidR="006D5505" w:rsidRDefault="00DA49C5">
          <w:pPr>
            <w:pStyle w:val="TOC3"/>
            <w:rPr>
              <w:rFonts w:asciiTheme="minorHAnsi" w:eastAsiaTheme="minorEastAsia" w:hAnsiTheme="minorHAnsi" w:cstheme="minorBidi"/>
              <w:noProof/>
              <w:lang w:eastAsia="en-AU"/>
            </w:rPr>
          </w:pPr>
          <w:hyperlink w:anchor="_Toc8816505" w:history="1">
            <w:r w:rsidR="006D5505" w:rsidRPr="00A3140E">
              <w:rPr>
                <w:rStyle w:val="Hyperlink"/>
                <w:noProof/>
              </w:rPr>
              <w:t>Nonclinical</w:t>
            </w:r>
            <w:r w:rsidR="006D5505">
              <w:rPr>
                <w:noProof/>
                <w:webHidden/>
              </w:rPr>
              <w:tab/>
            </w:r>
            <w:r w:rsidR="006D5505">
              <w:rPr>
                <w:noProof/>
                <w:webHidden/>
              </w:rPr>
              <w:fldChar w:fldCharType="begin"/>
            </w:r>
            <w:r w:rsidR="006D5505">
              <w:rPr>
                <w:noProof/>
                <w:webHidden/>
              </w:rPr>
              <w:instrText xml:space="preserve"> PAGEREF _Toc8816505 \h </w:instrText>
            </w:r>
            <w:r w:rsidR="006D5505">
              <w:rPr>
                <w:noProof/>
                <w:webHidden/>
              </w:rPr>
            </w:r>
            <w:r w:rsidR="006D5505">
              <w:rPr>
                <w:noProof/>
                <w:webHidden/>
              </w:rPr>
              <w:fldChar w:fldCharType="separate"/>
            </w:r>
            <w:r w:rsidR="006D5505">
              <w:rPr>
                <w:noProof/>
                <w:webHidden/>
              </w:rPr>
              <w:t>51</w:t>
            </w:r>
            <w:r w:rsidR="006D5505">
              <w:rPr>
                <w:noProof/>
                <w:webHidden/>
              </w:rPr>
              <w:fldChar w:fldCharType="end"/>
            </w:r>
          </w:hyperlink>
        </w:p>
        <w:p w14:paraId="73D0A946" w14:textId="77777777" w:rsidR="006D5505" w:rsidRDefault="00DA49C5">
          <w:pPr>
            <w:pStyle w:val="TOC3"/>
            <w:rPr>
              <w:rFonts w:asciiTheme="minorHAnsi" w:eastAsiaTheme="minorEastAsia" w:hAnsiTheme="minorHAnsi" w:cstheme="minorBidi"/>
              <w:noProof/>
              <w:lang w:eastAsia="en-AU"/>
            </w:rPr>
          </w:pPr>
          <w:hyperlink w:anchor="_Toc8816506" w:history="1">
            <w:r w:rsidR="006D5505" w:rsidRPr="00A3140E">
              <w:rPr>
                <w:rStyle w:val="Hyperlink"/>
                <w:noProof/>
              </w:rPr>
              <w:t>Clinical</w:t>
            </w:r>
            <w:r w:rsidR="006D5505">
              <w:rPr>
                <w:noProof/>
                <w:webHidden/>
              </w:rPr>
              <w:tab/>
            </w:r>
            <w:r w:rsidR="006D5505">
              <w:rPr>
                <w:noProof/>
                <w:webHidden/>
              </w:rPr>
              <w:fldChar w:fldCharType="begin"/>
            </w:r>
            <w:r w:rsidR="006D5505">
              <w:rPr>
                <w:noProof/>
                <w:webHidden/>
              </w:rPr>
              <w:instrText xml:space="preserve"> PAGEREF _Toc8816506 \h </w:instrText>
            </w:r>
            <w:r w:rsidR="006D5505">
              <w:rPr>
                <w:noProof/>
                <w:webHidden/>
              </w:rPr>
            </w:r>
            <w:r w:rsidR="006D5505">
              <w:rPr>
                <w:noProof/>
                <w:webHidden/>
              </w:rPr>
              <w:fldChar w:fldCharType="separate"/>
            </w:r>
            <w:r w:rsidR="006D5505">
              <w:rPr>
                <w:noProof/>
                <w:webHidden/>
              </w:rPr>
              <w:t>51</w:t>
            </w:r>
            <w:r w:rsidR="006D5505">
              <w:rPr>
                <w:noProof/>
                <w:webHidden/>
              </w:rPr>
              <w:fldChar w:fldCharType="end"/>
            </w:r>
          </w:hyperlink>
        </w:p>
        <w:p w14:paraId="26FACD6E" w14:textId="77777777" w:rsidR="006D5505" w:rsidRDefault="00DA49C5">
          <w:pPr>
            <w:pStyle w:val="TOC3"/>
            <w:rPr>
              <w:rFonts w:asciiTheme="minorHAnsi" w:eastAsiaTheme="minorEastAsia" w:hAnsiTheme="minorHAnsi" w:cstheme="minorBidi"/>
              <w:noProof/>
              <w:lang w:eastAsia="en-AU"/>
            </w:rPr>
          </w:pPr>
          <w:hyperlink w:anchor="_Toc8816507" w:history="1">
            <w:r w:rsidR="006D5505" w:rsidRPr="00A3140E">
              <w:rPr>
                <w:rStyle w:val="Hyperlink"/>
                <w:noProof/>
                <w:lang w:eastAsia="en-AU"/>
              </w:rPr>
              <w:t xml:space="preserve">Risk </w:t>
            </w:r>
            <w:r w:rsidR="006D5505" w:rsidRPr="00A3140E">
              <w:rPr>
                <w:rStyle w:val="Hyperlink"/>
                <w:noProof/>
              </w:rPr>
              <w:t>management</w:t>
            </w:r>
            <w:r w:rsidR="006D5505" w:rsidRPr="00A3140E">
              <w:rPr>
                <w:rStyle w:val="Hyperlink"/>
                <w:noProof/>
                <w:lang w:eastAsia="en-AU"/>
              </w:rPr>
              <w:t xml:space="preserve"> plan</w:t>
            </w:r>
            <w:r w:rsidR="006D5505">
              <w:rPr>
                <w:noProof/>
                <w:webHidden/>
              </w:rPr>
              <w:tab/>
            </w:r>
            <w:r w:rsidR="006D5505">
              <w:rPr>
                <w:noProof/>
                <w:webHidden/>
              </w:rPr>
              <w:fldChar w:fldCharType="begin"/>
            </w:r>
            <w:r w:rsidR="006D5505">
              <w:rPr>
                <w:noProof/>
                <w:webHidden/>
              </w:rPr>
              <w:instrText xml:space="preserve"> PAGEREF _Toc8816507 \h </w:instrText>
            </w:r>
            <w:r w:rsidR="006D5505">
              <w:rPr>
                <w:noProof/>
                <w:webHidden/>
              </w:rPr>
            </w:r>
            <w:r w:rsidR="006D5505">
              <w:rPr>
                <w:noProof/>
                <w:webHidden/>
              </w:rPr>
              <w:fldChar w:fldCharType="separate"/>
            </w:r>
            <w:r w:rsidR="006D5505">
              <w:rPr>
                <w:noProof/>
                <w:webHidden/>
              </w:rPr>
              <w:t>56</w:t>
            </w:r>
            <w:r w:rsidR="006D5505">
              <w:rPr>
                <w:noProof/>
                <w:webHidden/>
              </w:rPr>
              <w:fldChar w:fldCharType="end"/>
            </w:r>
          </w:hyperlink>
        </w:p>
        <w:p w14:paraId="7EA7B71E" w14:textId="77777777" w:rsidR="006D5505" w:rsidRDefault="00DA49C5">
          <w:pPr>
            <w:pStyle w:val="TOC3"/>
            <w:rPr>
              <w:rFonts w:asciiTheme="minorHAnsi" w:eastAsiaTheme="minorEastAsia" w:hAnsiTheme="minorHAnsi" w:cstheme="minorBidi"/>
              <w:noProof/>
              <w:lang w:eastAsia="en-AU"/>
            </w:rPr>
          </w:pPr>
          <w:hyperlink w:anchor="_Toc8816508" w:history="1">
            <w:r w:rsidR="006D5505" w:rsidRPr="00A3140E">
              <w:rPr>
                <w:rStyle w:val="Hyperlink"/>
                <w:noProof/>
              </w:rPr>
              <w:t>Risk-benefit analysis</w:t>
            </w:r>
            <w:r w:rsidR="006D5505">
              <w:rPr>
                <w:noProof/>
                <w:webHidden/>
              </w:rPr>
              <w:tab/>
            </w:r>
            <w:r w:rsidR="006D5505">
              <w:rPr>
                <w:noProof/>
                <w:webHidden/>
              </w:rPr>
              <w:fldChar w:fldCharType="begin"/>
            </w:r>
            <w:r w:rsidR="006D5505">
              <w:rPr>
                <w:noProof/>
                <w:webHidden/>
              </w:rPr>
              <w:instrText xml:space="preserve"> PAGEREF _Toc8816508 \h </w:instrText>
            </w:r>
            <w:r w:rsidR="006D5505">
              <w:rPr>
                <w:noProof/>
                <w:webHidden/>
              </w:rPr>
            </w:r>
            <w:r w:rsidR="006D5505">
              <w:rPr>
                <w:noProof/>
                <w:webHidden/>
              </w:rPr>
              <w:fldChar w:fldCharType="separate"/>
            </w:r>
            <w:r w:rsidR="006D5505">
              <w:rPr>
                <w:noProof/>
                <w:webHidden/>
              </w:rPr>
              <w:t>57</w:t>
            </w:r>
            <w:r w:rsidR="006D5505">
              <w:rPr>
                <w:noProof/>
                <w:webHidden/>
              </w:rPr>
              <w:fldChar w:fldCharType="end"/>
            </w:r>
          </w:hyperlink>
        </w:p>
        <w:p w14:paraId="03290904" w14:textId="77777777" w:rsidR="006D5505" w:rsidRDefault="00DA49C5">
          <w:pPr>
            <w:pStyle w:val="TOC3"/>
            <w:rPr>
              <w:rFonts w:asciiTheme="minorHAnsi" w:eastAsiaTheme="minorEastAsia" w:hAnsiTheme="minorHAnsi" w:cstheme="minorBidi"/>
              <w:noProof/>
              <w:lang w:eastAsia="en-AU"/>
            </w:rPr>
          </w:pPr>
          <w:hyperlink w:anchor="_Toc8816509" w:history="1">
            <w:r w:rsidR="006D5505" w:rsidRPr="00A3140E">
              <w:rPr>
                <w:rStyle w:val="Hyperlink"/>
                <w:noProof/>
              </w:rPr>
              <w:t>Outcome</w:t>
            </w:r>
            <w:r w:rsidR="006D5505">
              <w:rPr>
                <w:noProof/>
                <w:webHidden/>
              </w:rPr>
              <w:tab/>
            </w:r>
            <w:r w:rsidR="006D5505">
              <w:rPr>
                <w:noProof/>
                <w:webHidden/>
              </w:rPr>
              <w:fldChar w:fldCharType="begin"/>
            </w:r>
            <w:r w:rsidR="006D5505">
              <w:rPr>
                <w:noProof/>
                <w:webHidden/>
              </w:rPr>
              <w:instrText xml:space="preserve"> PAGEREF _Toc8816509 \h </w:instrText>
            </w:r>
            <w:r w:rsidR="006D5505">
              <w:rPr>
                <w:noProof/>
                <w:webHidden/>
              </w:rPr>
            </w:r>
            <w:r w:rsidR="006D5505">
              <w:rPr>
                <w:noProof/>
                <w:webHidden/>
              </w:rPr>
              <w:fldChar w:fldCharType="separate"/>
            </w:r>
            <w:r w:rsidR="006D5505">
              <w:rPr>
                <w:noProof/>
                <w:webHidden/>
              </w:rPr>
              <w:t>67</w:t>
            </w:r>
            <w:r w:rsidR="006D5505">
              <w:rPr>
                <w:noProof/>
                <w:webHidden/>
              </w:rPr>
              <w:fldChar w:fldCharType="end"/>
            </w:r>
          </w:hyperlink>
        </w:p>
        <w:p w14:paraId="584B8F61" w14:textId="77777777" w:rsidR="006D5505" w:rsidRDefault="00DA49C5">
          <w:pPr>
            <w:pStyle w:val="TOC2"/>
            <w:rPr>
              <w:rFonts w:asciiTheme="minorHAnsi" w:eastAsiaTheme="minorEastAsia" w:hAnsiTheme="minorHAnsi" w:cstheme="minorBidi"/>
              <w:b w:val="0"/>
              <w:noProof/>
              <w:sz w:val="22"/>
              <w:lang w:eastAsia="en-AU"/>
            </w:rPr>
          </w:pPr>
          <w:hyperlink w:anchor="_Toc8816510" w:history="1">
            <w:r w:rsidR="006D5505" w:rsidRPr="00A3140E">
              <w:rPr>
                <w:rStyle w:val="Hyperlink"/>
                <w:noProof/>
              </w:rPr>
              <w:t>Attachment 1. Product Information</w:t>
            </w:r>
            <w:r w:rsidR="006D5505">
              <w:rPr>
                <w:noProof/>
                <w:webHidden/>
              </w:rPr>
              <w:tab/>
            </w:r>
            <w:r w:rsidR="006D5505">
              <w:rPr>
                <w:noProof/>
                <w:webHidden/>
              </w:rPr>
              <w:fldChar w:fldCharType="begin"/>
            </w:r>
            <w:r w:rsidR="006D5505">
              <w:rPr>
                <w:noProof/>
                <w:webHidden/>
              </w:rPr>
              <w:instrText xml:space="preserve"> PAGEREF _Toc8816510 \h </w:instrText>
            </w:r>
            <w:r w:rsidR="006D5505">
              <w:rPr>
                <w:noProof/>
                <w:webHidden/>
              </w:rPr>
            </w:r>
            <w:r w:rsidR="006D5505">
              <w:rPr>
                <w:noProof/>
                <w:webHidden/>
              </w:rPr>
              <w:fldChar w:fldCharType="separate"/>
            </w:r>
            <w:r w:rsidR="006D5505">
              <w:rPr>
                <w:noProof/>
                <w:webHidden/>
              </w:rPr>
              <w:t>68</w:t>
            </w:r>
            <w:r w:rsidR="006D5505">
              <w:rPr>
                <w:noProof/>
                <w:webHidden/>
              </w:rPr>
              <w:fldChar w:fldCharType="end"/>
            </w:r>
          </w:hyperlink>
        </w:p>
        <w:p w14:paraId="2BF1E36F" w14:textId="77777777" w:rsidR="003A7F6C" w:rsidRPr="00B811C6" w:rsidRDefault="00DB6124" w:rsidP="00B811C6">
          <w:pPr>
            <w:pStyle w:val="TOC2"/>
          </w:pPr>
          <w:r>
            <w:fldChar w:fldCharType="end"/>
          </w:r>
        </w:p>
      </w:sdtContent>
    </w:sdt>
    <w:bookmarkStart w:id="2" w:name="_Toc314842482" w:displacedByCustomXml="prev"/>
    <w:p w14:paraId="79AEDEC8" w14:textId="77777777" w:rsidR="00FD119B" w:rsidRDefault="00FD119B" w:rsidP="00630678">
      <w:r>
        <w:br w:type="page"/>
      </w:r>
    </w:p>
    <w:p w14:paraId="44A5871B" w14:textId="77777777" w:rsidR="00FD119B" w:rsidRPr="00FD119B" w:rsidRDefault="00441C3F" w:rsidP="00630678">
      <w:pPr>
        <w:pStyle w:val="Heading2"/>
      </w:pPr>
      <w:bookmarkStart w:id="3" w:name="_Toc351716269"/>
      <w:bookmarkStart w:id="4" w:name="_Toc351718881"/>
      <w:bookmarkStart w:id="5" w:name="_Toc355338616"/>
      <w:bookmarkStart w:id="6" w:name="_Toc356306144"/>
      <w:bookmarkStart w:id="7" w:name="_Toc8816469"/>
      <w:r>
        <w:lastRenderedPageBreak/>
        <w:t>Common</w:t>
      </w:r>
      <w:r w:rsidR="00FD119B" w:rsidRPr="00FD119B">
        <w:t xml:space="preserve"> </w:t>
      </w:r>
      <w:r w:rsidR="00FD119B" w:rsidRPr="00630678">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FD119B" w14:paraId="17E6B967"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D3CF8BE" w14:textId="77777777" w:rsidR="00FD119B" w:rsidRPr="00FD119B" w:rsidRDefault="00FD119B" w:rsidP="009E353B">
            <w:pPr>
              <w:rPr>
                <w:lang w:eastAsia="en-US"/>
              </w:rPr>
            </w:pPr>
            <w:r w:rsidRPr="00FD119B">
              <w:rPr>
                <w:lang w:eastAsia="en-US"/>
              </w:rPr>
              <w:t>Abbreviation</w:t>
            </w:r>
          </w:p>
        </w:tc>
        <w:tc>
          <w:tcPr>
            <w:tcW w:w="6911" w:type="dxa"/>
          </w:tcPr>
          <w:p w14:paraId="471F5402" w14:textId="77777777" w:rsidR="00FD119B" w:rsidRPr="00FD119B" w:rsidRDefault="00FD119B" w:rsidP="009E353B">
            <w:pPr>
              <w:rPr>
                <w:lang w:eastAsia="en-US"/>
              </w:rPr>
            </w:pPr>
            <w:r w:rsidRPr="00FD119B">
              <w:rPr>
                <w:lang w:eastAsia="en-US"/>
              </w:rPr>
              <w:t>Meaning</w:t>
            </w:r>
          </w:p>
        </w:tc>
      </w:tr>
      <w:tr w:rsidR="006C6CAA" w:rsidRPr="00FD119B" w14:paraId="7178E094" w14:textId="77777777" w:rsidTr="006C6CAA">
        <w:tc>
          <w:tcPr>
            <w:tcW w:w="1809" w:type="dxa"/>
            <w:vAlign w:val="bottom"/>
          </w:tcPr>
          <w:p w14:paraId="096374BF" w14:textId="77777777" w:rsidR="006C6CAA" w:rsidRPr="002F2961" w:rsidRDefault="006C6CAA" w:rsidP="009E353B">
            <w:r>
              <w:t>A</w:t>
            </w:r>
            <w:r w:rsidRPr="002F2961">
              <w:t>C</w:t>
            </w:r>
            <w:r>
              <w:t>R</w:t>
            </w:r>
          </w:p>
        </w:tc>
        <w:tc>
          <w:tcPr>
            <w:tcW w:w="6911" w:type="dxa"/>
            <w:vAlign w:val="bottom"/>
          </w:tcPr>
          <w:p w14:paraId="47826C13" w14:textId="77777777" w:rsidR="006C6CAA" w:rsidRPr="002F2961" w:rsidRDefault="006C6CAA" w:rsidP="009E353B">
            <w:r>
              <w:t>American College of Rheumatology</w:t>
            </w:r>
          </w:p>
        </w:tc>
      </w:tr>
      <w:tr w:rsidR="006C6CAA" w:rsidRPr="00FD119B" w14:paraId="4753FEDC" w14:textId="77777777" w:rsidTr="006C6CAA">
        <w:tc>
          <w:tcPr>
            <w:tcW w:w="1809" w:type="dxa"/>
            <w:vAlign w:val="bottom"/>
          </w:tcPr>
          <w:p w14:paraId="454C7923" w14:textId="77777777" w:rsidR="006C6CAA" w:rsidRPr="002F2961" w:rsidRDefault="006C6CAA" w:rsidP="009E353B">
            <w:r>
              <w:t>ADA</w:t>
            </w:r>
          </w:p>
        </w:tc>
        <w:tc>
          <w:tcPr>
            <w:tcW w:w="6911" w:type="dxa"/>
            <w:vAlign w:val="bottom"/>
          </w:tcPr>
          <w:p w14:paraId="21D018CC" w14:textId="7AF6C602" w:rsidR="006C6CAA" w:rsidRPr="002F2961" w:rsidRDefault="006C6CAA" w:rsidP="009E353B">
            <w:r>
              <w:t>Anti-</w:t>
            </w:r>
            <w:r w:rsidR="005B092C">
              <w:t>drug a</w:t>
            </w:r>
            <w:r>
              <w:t>ntibody</w:t>
            </w:r>
          </w:p>
        </w:tc>
      </w:tr>
      <w:tr w:rsidR="00EB0AAA" w:rsidRPr="00FD119B" w14:paraId="1BA1B321" w14:textId="77777777" w:rsidTr="006C6CAA">
        <w:tc>
          <w:tcPr>
            <w:tcW w:w="1809" w:type="dxa"/>
            <w:vAlign w:val="bottom"/>
          </w:tcPr>
          <w:p w14:paraId="7C6512F6" w14:textId="77777777" w:rsidR="00EB0AAA" w:rsidRDefault="00EB0AAA" w:rsidP="009E353B">
            <w:r w:rsidRPr="00DD6242">
              <w:t>ADCC</w:t>
            </w:r>
          </w:p>
        </w:tc>
        <w:tc>
          <w:tcPr>
            <w:tcW w:w="6911" w:type="dxa"/>
            <w:vAlign w:val="bottom"/>
          </w:tcPr>
          <w:p w14:paraId="4C956DCA" w14:textId="77777777" w:rsidR="00EB0AAA" w:rsidRDefault="00670D09" w:rsidP="009E353B">
            <w:r>
              <w:t>A</w:t>
            </w:r>
            <w:r w:rsidR="00EB0AAA">
              <w:t>ntibody dependent</w:t>
            </w:r>
            <w:r w:rsidR="00EB0AAA" w:rsidRPr="00DD6242">
              <w:t xml:space="preserve"> </w:t>
            </w:r>
            <w:r w:rsidR="00EB0AAA">
              <w:t>cell mediated cytotoxicity</w:t>
            </w:r>
          </w:p>
        </w:tc>
      </w:tr>
      <w:tr w:rsidR="006C6CAA" w:rsidRPr="00FD119B" w14:paraId="5AF80EED" w14:textId="77777777" w:rsidTr="006C6CAA">
        <w:tc>
          <w:tcPr>
            <w:tcW w:w="1809" w:type="dxa"/>
            <w:vAlign w:val="bottom"/>
          </w:tcPr>
          <w:p w14:paraId="2561BD2D" w14:textId="77777777" w:rsidR="006C6CAA" w:rsidRPr="002F2961" w:rsidRDefault="006C6CAA" w:rsidP="009E353B">
            <w:r>
              <w:t>AE</w:t>
            </w:r>
          </w:p>
        </w:tc>
        <w:tc>
          <w:tcPr>
            <w:tcW w:w="6911" w:type="dxa"/>
            <w:vAlign w:val="bottom"/>
          </w:tcPr>
          <w:p w14:paraId="31A32610" w14:textId="70356C5B" w:rsidR="006C6CAA" w:rsidRPr="002F2961" w:rsidRDefault="006C6CAA" w:rsidP="009E353B">
            <w:r>
              <w:t xml:space="preserve">Adverse </w:t>
            </w:r>
            <w:r w:rsidR="005B092C">
              <w:t>event</w:t>
            </w:r>
          </w:p>
        </w:tc>
      </w:tr>
      <w:tr w:rsidR="006C6CAA" w:rsidRPr="00FD119B" w14:paraId="34664B76" w14:textId="77777777" w:rsidTr="006C6CAA">
        <w:tc>
          <w:tcPr>
            <w:tcW w:w="1809" w:type="dxa"/>
            <w:vAlign w:val="bottom"/>
          </w:tcPr>
          <w:p w14:paraId="79616F23" w14:textId="77777777" w:rsidR="006C6CAA" w:rsidRPr="002F2961" w:rsidRDefault="006C6CAA" w:rsidP="009E353B">
            <w:r>
              <w:t>AID</w:t>
            </w:r>
          </w:p>
        </w:tc>
        <w:tc>
          <w:tcPr>
            <w:tcW w:w="6911" w:type="dxa"/>
            <w:vAlign w:val="bottom"/>
          </w:tcPr>
          <w:p w14:paraId="29F19823" w14:textId="59E0E5B7" w:rsidR="006C6CAA" w:rsidRPr="002F2961" w:rsidRDefault="006C6CAA" w:rsidP="009E353B">
            <w:r>
              <w:t>Auto</w:t>
            </w:r>
            <w:r w:rsidR="00EB0AAA">
              <w:t xml:space="preserve"> </w:t>
            </w:r>
            <w:r w:rsidR="005B092C">
              <w:t>injector d</w:t>
            </w:r>
            <w:r>
              <w:t>evice</w:t>
            </w:r>
          </w:p>
        </w:tc>
      </w:tr>
      <w:tr w:rsidR="006C6CAA" w:rsidRPr="00FD119B" w14:paraId="77E07095" w14:textId="77777777" w:rsidTr="006C6CAA">
        <w:tc>
          <w:tcPr>
            <w:tcW w:w="1809" w:type="dxa"/>
            <w:vAlign w:val="bottom"/>
          </w:tcPr>
          <w:p w14:paraId="5369B20D" w14:textId="77777777" w:rsidR="006C6CAA" w:rsidRPr="002F2961" w:rsidRDefault="006C6CAA" w:rsidP="009E353B">
            <w:r>
              <w:t>AS</w:t>
            </w:r>
          </w:p>
        </w:tc>
        <w:tc>
          <w:tcPr>
            <w:tcW w:w="6911" w:type="dxa"/>
            <w:vAlign w:val="bottom"/>
          </w:tcPr>
          <w:p w14:paraId="18E081CE" w14:textId="4C8AC26A" w:rsidR="006C6CAA" w:rsidRPr="002F2961" w:rsidRDefault="006C6CAA" w:rsidP="009E353B">
            <w:r>
              <w:t xml:space="preserve">Ankylosing </w:t>
            </w:r>
            <w:r w:rsidR="005B092C">
              <w:t>spondylitis</w:t>
            </w:r>
          </w:p>
        </w:tc>
      </w:tr>
      <w:tr w:rsidR="006C6CAA" w:rsidRPr="00FD119B" w14:paraId="3B8A1B8E" w14:textId="77777777" w:rsidTr="006C6CAA">
        <w:tc>
          <w:tcPr>
            <w:tcW w:w="1809" w:type="dxa"/>
            <w:vAlign w:val="bottom"/>
          </w:tcPr>
          <w:p w14:paraId="784BFF88" w14:textId="77777777" w:rsidR="006C6CAA" w:rsidRPr="002B51AA" w:rsidRDefault="006C6CAA" w:rsidP="009E353B">
            <w:r>
              <w:rPr>
                <w:rFonts w:eastAsia="MS Minngs"/>
              </w:rPr>
              <w:t>AUC</w:t>
            </w:r>
            <w:r>
              <w:rPr>
                <w:vertAlign w:val="subscript"/>
              </w:rPr>
              <w:t>inf</w:t>
            </w:r>
          </w:p>
        </w:tc>
        <w:tc>
          <w:tcPr>
            <w:tcW w:w="6911" w:type="dxa"/>
            <w:vAlign w:val="bottom"/>
          </w:tcPr>
          <w:p w14:paraId="16970AE8" w14:textId="5473168F" w:rsidR="006C6CAA" w:rsidRDefault="006C6CAA" w:rsidP="009E353B">
            <w:r>
              <w:rPr>
                <w:rFonts w:eastAsia="MS Minngs"/>
              </w:rPr>
              <w:t xml:space="preserve">Area </w:t>
            </w:r>
            <w:r w:rsidR="005B092C">
              <w:rPr>
                <w:rFonts w:eastAsia="MS Minngs"/>
              </w:rPr>
              <w:t>under</w:t>
            </w:r>
            <w:r w:rsidR="005B092C">
              <w:rPr>
                <w:rFonts w:cs="Arial"/>
                <w:color w:val="343434"/>
                <w:lang w:val="en-US"/>
              </w:rPr>
              <w:t xml:space="preserve"> concentration-time curve f</w:t>
            </w:r>
            <w:r w:rsidR="005B092C" w:rsidRPr="00D206F5">
              <w:rPr>
                <w:rFonts w:cs="Arial"/>
                <w:color w:val="343434"/>
                <w:lang w:val="en-US"/>
              </w:rPr>
              <w:t>r</w:t>
            </w:r>
            <w:r w:rsidR="005B092C">
              <w:rPr>
                <w:rFonts w:cs="Arial"/>
                <w:color w:val="343434"/>
                <w:lang w:val="en-US"/>
              </w:rPr>
              <w:t xml:space="preserve">om </w:t>
            </w:r>
            <w:r>
              <w:rPr>
                <w:rFonts w:cs="Arial"/>
                <w:color w:val="343434"/>
                <w:lang w:val="en-US"/>
              </w:rPr>
              <w:t>tim</w:t>
            </w:r>
            <w:r w:rsidRPr="00D206F5">
              <w:rPr>
                <w:rFonts w:cs="Arial"/>
                <w:color w:val="343434"/>
                <w:lang w:val="en-US"/>
              </w:rPr>
              <w:t xml:space="preserve">e </w:t>
            </w:r>
            <w:r>
              <w:rPr>
                <w:rFonts w:cs="Arial"/>
                <w:color w:val="343434"/>
                <w:lang w:val="en-US"/>
              </w:rPr>
              <w:t>zero to inf</w:t>
            </w:r>
            <w:r w:rsidRPr="00D206F5">
              <w:rPr>
                <w:rFonts w:cs="Arial"/>
                <w:color w:val="343434"/>
                <w:lang w:val="en-US"/>
              </w:rPr>
              <w:t>in</w:t>
            </w:r>
            <w:r>
              <w:rPr>
                <w:rFonts w:cs="Arial"/>
                <w:color w:val="343434"/>
                <w:lang w:val="en-US"/>
              </w:rPr>
              <w:t>ity</w:t>
            </w:r>
          </w:p>
        </w:tc>
      </w:tr>
      <w:tr w:rsidR="006C6CAA" w:rsidRPr="00FD119B" w14:paraId="060CD142" w14:textId="77777777" w:rsidTr="006C6CAA">
        <w:tc>
          <w:tcPr>
            <w:tcW w:w="1809" w:type="dxa"/>
            <w:vAlign w:val="bottom"/>
          </w:tcPr>
          <w:p w14:paraId="3C4FF60C" w14:textId="77777777" w:rsidR="006C6CAA" w:rsidRPr="00563614" w:rsidRDefault="006C6CAA" w:rsidP="009E353B">
            <w:pPr>
              <w:rPr>
                <w:vertAlign w:val="subscript"/>
              </w:rPr>
            </w:pPr>
            <w:r>
              <w:t>AUC</w:t>
            </w:r>
            <w:r>
              <w:rPr>
                <w:vertAlign w:val="subscript"/>
              </w:rPr>
              <w:t>last</w:t>
            </w:r>
          </w:p>
        </w:tc>
        <w:tc>
          <w:tcPr>
            <w:tcW w:w="6911" w:type="dxa"/>
            <w:vAlign w:val="bottom"/>
          </w:tcPr>
          <w:p w14:paraId="629EED91" w14:textId="025147BC" w:rsidR="006C6CAA" w:rsidRDefault="006C6CAA" w:rsidP="009E353B">
            <w:r>
              <w:t>AUC-</w:t>
            </w:r>
            <w:r w:rsidR="005B092C">
              <w:t xml:space="preserve">time </w:t>
            </w:r>
            <w:r>
              <w:t>curve from time zero to las</w:t>
            </w:r>
            <w:r w:rsidR="00EB0AAA">
              <w:t>t detectable drug concentration</w:t>
            </w:r>
          </w:p>
        </w:tc>
      </w:tr>
      <w:tr w:rsidR="006C6CAA" w:rsidRPr="00FD119B" w14:paraId="34F92FE6" w14:textId="77777777" w:rsidTr="006C6CAA">
        <w:tc>
          <w:tcPr>
            <w:tcW w:w="1809" w:type="dxa"/>
            <w:vAlign w:val="bottom"/>
          </w:tcPr>
          <w:p w14:paraId="34C494F0" w14:textId="77777777" w:rsidR="006C6CAA" w:rsidRDefault="006C6CAA" w:rsidP="009E353B">
            <w:r>
              <w:t>BMI</w:t>
            </w:r>
          </w:p>
        </w:tc>
        <w:tc>
          <w:tcPr>
            <w:tcW w:w="6911" w:type="dxa"/>
            <w:vAlign w:val="bottom"/>
          </w:tcPr>
          <w:p w14:paraId="74928B5C" w14:textId="73A20F49" w:rsidR="006C6CAA" w:rsidRDefault="006C6CAA" w:rsidP="009E353B">
            <w:r>
              <w:t xml:space="preserve">Body </w:t>
            </w:r>
            <w:r w:rsidR="005B092C">
              <w:t>mass index</w:t>
            </w:r>
          </w:p>
        </w:tc>
      </w:tr>
      <w:tr w:rsidR="004D676B" w:rsidRPr="00FD119B" w14:paraId="298FADB4" w14:textId="77777777" w:rsidTr="006C6CAA">
        <w:tc>
          <w:tcPr>
            <w:tcW w:w="1809" w:type="dxa"/>
            <w:vAlign w:val="bottom"/>
          </w:tcPr>
          <w:p w14:paraId="56AF5E8C" w14:textId="77777777" w:rsidR="004D676B" w:rsidRDefault="004D676B" w:rsidP="009E353B">
            <w:r>
              <w:t>CDC</w:t>
            </w:r>
          </w:p>
        </w:tc>
        <w:tc>
          <w:tcPr>
            <w:tcW w:w="6911" w:type="dxa"/>
            <w:vAlign w:val="bottom"/>
          </w:tcPr>
          <w:p w14:paraId="20CB1274" w14:textId="77777777" w:rsidR="004D676B" w:rsidRDefault="004D676B" w:rsidP="009E353B">
            <w:r>
              <w:t>Complement dependent cytotoxicity</w:t>
            </w:r>
          </w:p>
        </w:tc>
      </w:tr>
      <w:tr w:rsidR="006C6CAA" w:rsidRPr="00FD119B" w14:paraId="24DD1BB7" w14:textId="77777777" w:rsidTr="006C6CAA">
        <w:tc>
          <w:tcPr>
            <w:tcW w:w="1809" w:type="dxa"/>
            <w:vAlign w:val="bottom"/>
          </w:tcPr>
          <w:p w14:paraId="48AC5A10" w14:textId="77777777" w:rsidR="006C6CAA" w:rsidRDefault="006C6CAA" w:rsidP="009E353B">
            <w:r>
              <w:t>CL/F</w:t>
            </w:r>
          </w:p>
        </w:tc>
        <w:tc>
          <w:tcPr>
            <w:tcW w:w="6911" w:type="dxa"/>
            <w:vAlign w:val="bottom"/>
          </w:tcPr>
          <w:p w14:paraId="1707E4B1" w14:textId="2086850F" w:rsidR="006C6CAA" w:rsidRDefault="006C6CAA" w:rsidP="009E353B">
            <w:r>
              <w:t xml:space="preserve">Apparent </w:t>
            </w:r>
            <w:r w:rsidR="005B092C">
              <w:t>drug clearance</w:t>
            </w:r>
          </w:p>
        </w:tc>
      </w:tr>
      <w:tr w:rsidR="006C6CAA" w:rsidRPr="00FD119B" w14:paraId="55B93E33" w14:textId="77777777" w:rsidTr="006C6CAA">
        <w:tc>
          <w:tcPr>
            <w:tcW w:w="1809" w:type="dxa"/>
            <w:vAlign w:val="bottom"/>
          </w:tcPr>
          <w:p w14:paraId="517D04E9" w14:textId="77777777" w:rsidR="006C6CAA" w:rsidRPr="002F2961" w:rsidRDefault="00670D09" w:rsidP="009E353B">
            <w:r>
              <w:t>CI</w:t>
            </w:r>
          </w:p>
        </w:tc>
        <w:tc>
          <w:tcPr>
            <w:tcW w:w="6911" w:type="dxa"/>
            <w:vAlign w:val="bottom"/>
          </w:tcPr>
          <w:p w14:paraId="443238C9" w14:textId="77777777" w:rsidR="006C6CAA" w:rsidRPr="002F2961" w:rsidRDefault="006C6CAA" w:rsidP="009E353B">
            <w:r w:rsidRPr="002F2961">
              <w:t>Confidence interval</w:t>
            </w:r>
          </w:p>
        </w:tc>
      </w:tr>
      <w:tr w:rsidR="006C6CAA" w:rsidRPr="00FD119B" w14:paraId="0A11AD69" w14:textId="77777777" w:rsidTr="006C6CAA">
        <w:tc>
          <w:tcPr>
            <w:tcW w:w="1809" w:type="dxa"/>
            <w:vAlign w:val="bottom"/>
          </w:tcPr>
          <w:p w14:paraId="3E9419CC" w14:textId="77777777" w:rsidR="006C6CAA" w:rsidRPr="002F2961" w:rsidRDefault="00C05C12" w:rsidP="009E353B">
            <w:r w:rsidRPr="00245F5E">
              <w:t>C</w:t>
            </w:r>
            <w:r w:rsidRPr="00C05C12">
              <w:rPr>
                <w:vertAlign w:val="subscript"/>
              </w:rPr>
              <w:t>max</w:t>
            </w:r>
          </w:p>
        </w:tc>
        <w:tc>
          <w:tcPr>
            <w:tcW w:w="6911" w:type="dxa"/>
            <w:vAlign w:val="bottom"/>
          </w:tcPr>
          <w:p w14:paraId="52AE76D5" w14:textId="77777777" w:rsidR="006C6CAA" w:rsidRPr="002F2961" w:rsidRDefault="00EB0AAA" w:rsidP="009E353B">
            <w:r>
              <w:rPr>
                <w:rFonts w:eastAsia="MS Minngs"/>
              </w:rPr>
              <w:t>Maximum serum concentration</w:t>
            </w:r>
          </w:p>
        </w:tc>
      </w:tr>
      <w:tr w:rsidR="006C6CAA" w:rsidRPr="00FD119B" w14:paraId="37BBC745" w14:textId="77777777" w:rsidTr="006C6CAA">
        <w:tc>
          <w:tcPr>
            <w:tcW w:w="1809" w:type="dxa"/>
            <w:vAlign w:val="bottom"/>
          </w:tcPr>
          <w:p w14:paraId="63365B6D" w14:textId="77777777" w:rsidR="006C6CAA" w:rsidRPr="002F2961" w:rsidRDefault="006C6CAA" w:rsidP="009E353B">
            <w:r>
              <w:t>CRP</w:t>
            </w:r>
          </w:p>
        </w:tc>
        <w:tc>
          <w:tcPr>
            <w:tcW w:w="6911" w:type="dxa"/>
            <w:vAlign w:val="bottom"/>
          </w:tcPr>
          <w:p w14:paraId="375E4CF9" w14:textId="55EEE463" w:rsidR="006C6CAA" w:rsidRPr="002F2961" w:rsidRDefault="006C6CAA" w:rsidP="009E353B">
            <w:r w:rsidRPr="002F2961">
              <w:t>C-</w:t>
            </w:r>
            <w:r w:rsidR="005B092C">
              <w:t>r</w:t>
            </w:r>
            <w:r w:rsidR="005B092C" w:rsidRPr="002F2961">
              <w:t xml:space="preserve">eactive </w:t>
            </w:r>
            <w:r w:rsidR="005B092C">
              <w:t>p</w:t>
            </w:r>
            <w:r w:rsidR="005B092C" w:rsidRPr="002F2961">
              <w:t>rotein</w:t>
            </w:r>
          </w:p>
        </w:tc>
      </w:tr>
      <w:tr w:rsidR="006C6CAA" w:rsidRPr="00FD119B" w14:paraId="4B478DB8" w14:textId="77777777" w:rsidTr="006C6CAA">
        <w:tc>
          <w:tcPr>
            <w:tcW w:w="1809" w:type="dxa"/>
            <w:vAlign w:val="bottom"/>
          </w:tcPr>
          <w:p w14:paraId="39D8819A" w14:textId="77777777" w:rsidR="006C6CAA" w:rsidRDefault="006C6CAA" w:rsidP="009E353B">
            <w:r>
              <w:t>CV</w:t>
            </w:r>
          </w:p>
        </w:tc>
        <w:tc>
          <w:tcPr>
            <w:tcW w:w="6911" w:type="dxa"/>
            <w:vAlign w:val="bottom"/>
          </w:tcPr>
          <w:p w14:paraId="41F0BB20" w14:textId="48BC9961" w:rsidR="006C6CAA" w:rsidRDefault="006C6CAA" w:rsidP="009E353B">
            <w:r>
              <w:t xml:space="preserve">Coefficient of </w:t>
            </w:r>
            <w:r w:rsidR="005B092C">
              <w:t>variation</w:t>
            </w:r>
          </w:p>
        </w:tc>
      </w:tr>
      <w:tr w:rsidR="006C6CAA" w:rsidRPr="00FD119B" w14:paraId="03D0E7AE" w14:textId="77777777" w:rsidTr="006C6CAA">
        <w:tc>
          <w:tcPr>
            <w:tcW w:w="1809" w:type="dxa"/>
            <w:vAlign w:val="bottom"/>
          </w:tcPr>
          <w:p w14:paraId="1314B68B" w14:textId="77777777" w:rsidR="006C6CAA" w:rsidRDefault="006C6CAA" w:rsidP="009E353B">
            <w:r>
              <w:t>DAS</w:t>
            </w:r>
          </w:p>
        </w:tc>
        <w:tc>
          <w:tcPr>
            <w:tcW w:w="6911" w:type="dxa"/>
            <w:vAlign w:val="bottom"/>
          </w:tcPr>
          <w:p w14:paraId="1CABBF26" w14:textId="245D8929" w:rsidR="006C6CAA" w:rsidRDefault="006C6CAA" w:rsidP="009E353B">
            <w:r>
              <w:t xml:space="preserve">Disease </w:t>
            </w:r>
            <w:r w:rsidR="005B092C">
              <w:t>activity s</w:t>
            </w:r>
            <w:r>
              <w:t>core</w:t>
            </w:r>
          </w:p>
        </w:tc>
      </w:tr>
      <w:tr w:rsidR="006C6CAA" w:rsidRPr="00FD119B" w14:paraId="5EF8A9F7" w14:textId="77777777" w:rsidTr="006C6CAA">
        <w:tc>
          <w:tcPr>
            <w:tcW w:w="1809" w:type="dxa"/>
            <w:vAlign w:val="bottom"/>
          </w:tcPr>
          <w:p w14:paraId="0054ADA5" w14:textId="77777777" w:rsidR="006C6CAA" w:rsidRDefault="006C6CAA" w:rsidP="009E353B">
            <w:r>
              <w:t>DMARD</w:t>
            </w:r>
          </w:p>
        </w:tc>
        <w:tc>
          <w:tcPr>
            <w:tcW w:w="6911" w:type="dxa"/>
            <w:vAlign w:val="bottom"/>
          </w:tcPr>
          <w:p w14:paraId="4B964598" w14:textId="113CC44E" w:rsidR="006C6CAA" w:rsidRDefault="006C6CAA" w:rsidP="009E353B">
            <w:r>
              <w:t xml:space="preserve">Disease </w:t>
            </w:r>
            <w:r w:rsidR="005B092C">
              <w:t>modifying anti-rheumatic drug</w:t>
            </w:r>
          </w:p>
        </w:tc>
      </w:tr>
      <w:tr w:rsidR="000B7CBE" w:rsidRPr="00FD119B" w14:paraId="431F0300" w14:textId="77777777" w:rsidTr="006C6CAA">
        <w:tc>
          <w:tcPr>
            <w:tcW w:w="1809" w:type="dxa"/>
            <w:vAlign w:val="bottom"/>
          </w:tcPr>
          <w:p w14:paraId="049D577A" w14:textId="77777777" w:rsidR="000B7CBE" w:rsidRDefault="000B7CBE" w:rsidP="009E353B">
            <w:r>
              <w:t>ECG</w:t>
            </w:r>
          </w:p>
        </w:tc>
        <w:tc>
          <w:tcPr>
            <w:tcW w:w="6911" w:type="dxa"/>
            <w:vAlign w:val="bottom"/>
          </w:tcPr>
          <w:p w14:paraId="2331A8A2" w14:textId="77777777" w:rsidR="000B7CBE" w:rsidRDefault="000B7CBE" w:rsidP="009E353B">
            <w:r>
              <w:t>Electrocardiograph</w:t>
            </w:r>
          </w:p>
        </w:tc>
      </w:tr>
      <w:tr w:rsidR="006C6CAA" w:rsidRPr="00FD119B" w14:paraId="5884B911" w14:textId="77777777" w:rsidTr="006C6CAA">
        <w:tc>
          <w:tcPr>
            <w:tcW w:w="1809" w:type="dxa"/>
            <w:vAlign w:val="bottom"/>
          </w:tcPr>
          <w:p w14:paraId="17C30107" w14:textId="77777777" w:rsidR="006C6CAA" w:rsidRPr="002F2961" w:rsidRDefault="006C6CAA" w:rsidP="009E353B">
            <w:r>
              <w:t>ESR</w:t>
            </w:r>
          </w:p>
        </w:tc>
        <w:tc>
          <w:tcPr>
            <w:tcW w:w="6911" w:type="dxa"/>
            <w:vAlign w:val="bottom"/>
          </w:tcPr>
          <w:p w14:paraId="2F0B1DD8" w14:textId="780A924B" w:rsidR="006C6CAA" w:rsidRPr="002F2961" w:rsidRDefault="006C6CAA" w:rsidP="009E353B">
            <w:r>
              <w:t xml:space="preserve">Erythrocyte </w:t>
            </w:r>
            <w:r w:rsidR="005B092C">
              <w:t>sedimentation ratio</w:t>
            </w:r>
          </w:p>
        </w:tc>
      </w:tr>
      <w:tr w:rsidR="006C6CAA" w:rsidRPr="00FD119B" w14:paraId="651D43E9" w14:textId="77777777" w:rsidTr="006C6CAA">
        <w:tc>
          <w:tcPr>
            <w:tcW w:w="1809" w:type="dxa"/>
            <w:vAlign w:val="bottom"/>
          </w:tcPr>
          <w:p w14:paraId="76BC9398" w14:textId="77777777" w:rsidR="006C6CAA" w:rsidRPr="002F2961" w:rsidRDefault="006C6CAA" w:rsidP="009E353B">
            <w:r>
              <w:t>EU</w:t>
            </w:r>
          </w:p>
        </w:tc>
        <w:tc>
          <w:tcPr>
            <w:tcW w:w="6911" w:type="dxa"/>
            <w:vAlign w:val="bottom"/>
          </w:tcPr>
          <w:p w14:paraId="3B7726EE" w14:textId="77777777" w:rsidR="006C6CAA" w:rsidRPr="002F2961" w:rsidRDefault="006C6CAA" w:rsidP="009E353B">
            <w:r>
              <w:t>European Union</w:t>
            </w:r>
          </w:p>
        </w:tc>
      </w:tr>
      <w:tr w:rsidR="006C6CAA" w:rsidRPr="00FD119B" w14:paraId="3046D82D" w14:textId="77777777" w:rsidTr="006C6CAA">
        <w:tc>
          <w:tcPr>
            <w:tcW w:w="1809" w:type="dxa"/>
            <w:vAlign w:val="bottom"/>
          </w:tcPr>
          <w:p w14:paraId="2EC33E7A" w14:textId="77777777" w:rsidR="006C6CAA" w:rsidRPr="002F2961" w:rsidRDefault="006C6CAA" w:rsidP="009E353B">
            <w:r>
              <w:t>EULAR</w:t>
            </w:r>
          </w:p>
        </w:tc>
        <w:tc>
          <w:tcPr>
            <w:tcW w:w="6911" w:type="dxa"/>
            <w:vAlign w:val="bottom"/>
          </w:tcPr>
          <w:p w14:paraId="13409954" w14:textId="77777777" w:rsidR="006C6CAA" w:rsidRPr="002F2961" w:rsidRDefault="006C6CAA" w:rsidP="009E353B">
            <w:r>
              <w:t>European League Against Rheumatism</w:t>
            </w:r>
          </w:p>
        </w:tc>
      </w:tr>
      <w:tr w:rsidR="006C6CAA" w:rsidRPr="00FD119B" w14:paraId="2CFF841C" w14:textId="77777777" w:rsidTr="006C6CAA">
        <w:tc>
          <w:tcPr>
            <w:tcW w:w="1809" w:type="dxa"/>
            <w:vAlign w:val="bottom"/>
          </w:tcPr>
          <w:p w14:paraId="28DFF3B7" w14:textId="77777777" w:rsidR="006C6CAA" w:rsidRPr="002F2961" w:rsidRDefault="006C6CAA" w:rsidP="009E353B">
            <w:r>
              <w:t>FAS</w:t>
            </w:r>
          </w:p>
        </w:tc>
        <w:tc>
          <w:tcPr>
            <w:tcW w:w="6911" w:type="dxa"/>
            <w:vAlign w:val="bottom"/>
          </w:tcPr>
          <w:p w14:paraId="32958441" w14:textId="041D060D" w:rsidR="006C6CAA" w:rsidRPr="002F2961" w:rsidRDefault="006C6CAA" w:rsidP="009E353B">
            <w:r>
              <w:t xml:space="preserve">Full </w:t>
            </w:r>
            <w:r w:rsidR="005B092C">
              <w:t>analysis s</w:t>
            </w:r>
            <w:r>
              <w:t>et</w:t>
            </w:r>
          </w:p>
        </w:tc>
      </w:tr>
      <w:tr w:rsidR="00670D09" w:rsidRPr="00FD119B" w14:paraId="7982E0FE" w14:textId="77777777" w:rsidTr="006C6CAA">
        <w:tc>
          <w:tcPr>
            <w:tcW w:w="1809" w:type="dxa"/>
            <w:vAlign w:val="bottom"/>
          </w:tcPr>
          <w:p w14:paraId="617BFF7C" w14:textId="77777777" w:rsidR="00670D09" w:rsidRDefault="00670D09" w:rsidP="009E353B">
            <w:r>
              <w:t>GCP</w:t>
            </w:r>
          </w:p>
        </w:tc>
        <w:tc>
          <w:tcPr>
            <w:tcW w:w="6911" w:type="dxa"/>
            <w:vAlign w:val="bottom"/>
          </w:tcPr>
          <w:p w14:paraId="6D0525AA" w14:textId="3E289B5D" w:rsidR="00670D09" w:rsidRDefault="00670D09" w:rsidP="009E353B">
            <w:r>
              <w:t xml:space="preserve">Good </w:t>
            </w:r>
            <w:r w:rsidR="005B092C">
              <w:t>clinical practice</w:t>
            </w:r>
          </w:p>
        </w:tc>
      </w:tr>
      <w:tr w:rsidR="000B7CBE" w:rsidRPr="00FD119B" w14:paraId="53F80B17" w14:textId="77777777" w:rsidTr="006C6CAA">
        <w:tc>
          <w:tcPr>
            <w:tcW w:w="1809" w:type="dxa"/>
            <w:vAlign w:val="bottom"/>
          </w:tcPr>
          <w:p w14:paraId="2CFE6264" w14:textId="77777777" w:rsidR="000B7CBE" w:rsidRDefault="000B7CBE" w:rsidP="009E353B">
            <w:r>
              <w:t>GLP</w:t>
            </w:r>
          </w:p>
        </w:tc>
        <w:tc>
          <w:tcPr>
            <w:tcW w:w="6911" w:type="dxa"/>
            <w:vAlign w:val="bottom"/>
          </w:tcPr>
          <w:p w14:paraId="36116262" w14:textId="5AC466C5" w:rsidR="000B7CBE" w:rsidRDefault="000B7CBE" w:rsidP="009E353B">
            <w:r>
              <w:t xml:space="preserve">Good </w:t>
            </w:r>
            <w:r w:rsidR="005B092C">
              <w:t>laboratory practice</w:t>
            </w:r>
          </w:p>
        </w:tc>
      </w:tr>
      <w:tr w:rsidR="001333DA" w:rsidRPr="00FD119B" w14:paraId="27F762E9" w14:textId="77777777" w:rsidTr="006C6CAA">
        <w:tc>
          <w:tcPr>
            <w:tcW w:w="1809" w:type="dxa"/>
            <w:vAlign w:val="bottom"/>
          </w:tcPr>
          <w:p w14:paraId="6DCE41C0" w14:textId="77777777" w:rsidR="001333DA" w:rsidRPr="001333DA" w:rsidRDefault="001333DA" w:rsidP="009E353B">
            <w:r w:rsidRPr="001333DA">
              <w:lastRenderedPageBreak/>
              <w:t>GOF</w:t>
            </w:r>
          </w:p>
        </w:tc>
        <w:tc>
          <w:tcPr>
            <w:tcW w:w="6911" w:type="dxa"/>
            <w:vAlign w:val="bottom"/>
          </w:tcPr>
          <w:p w14:paraId="1CBD5F22" w14:textId="77777777" w:rsidR="001333DA" w:rsidRPr="001333DA" w:rsidRDefault="001333DA" w:rsidP="009E353B">
            <w:r w:rsidRPr="001333DA">
              <w:t xml:space="preserve">N-linked glycosylation lacking terminal galactose residues (G0), but is </w:t>
            </w:r>
            <w:proofErr w:type="spellStart"/>
            <w:r w:rsidRPr="001333DA">
              <w:t>fucosylated</w:t>
            </w:r>
            <w:proofErr w:type="spellEnd"/>
            <w:r w:rsidRPr="001333DA">
              <w:t xml:space="preserve"> (F)</w:t>
            </w:r>
          </w:p>
        </w:tc>
      </w:tr>
      <w:tr w:rsidR="006C6CAA" w:rsidRPr="00FD119B" w14:paraId="30375C15" w14:textId="77777777" w:rsidTr="006C6CAA">
        <w:tc>
          <w:tcPr>
            <w:tcW w:w="1809" w:type="dxa"/>
            <w:vAlign w:val="bottom"/>
          </w:tcPr>
          <w:p w14:paraId="589A4A07" w14:textId="77777777" w:rsidR="006C6CAA" w:rsidRPr="002F2961" w:rsidRDefault="006C6CAA" w:rsidP="009E353B">
            <w:r>
              <w:t>HS</w:t>
            </w:r>
          </w:p>
        </w:tc>
        <w:tc>
          <w:tcPr>
            <w:tcW w:w="6911" w:type="dxa"/>
            <w:vAlign w:val="bottom"/>
          </w:tcPr>
          <w:p w14:paraId="3216D007" w14:textId="0654F443" w:rsidR="006C6CAA" w:rsidRPr="002F2961" w:rsidRDefault="006C6CAA" w:rsidP="009E353B">
            <w:r>
              <w:t xml:space="preserve">Hidradenitis </w:t>
            </w:r>
            <w:r w:rsidR="005B092C">
              <w:t>suppurativa</w:t>
            </w:r>
          </w:p>
        </w:tc>
      </w:tr>
      <w:tr w:rsidR="004D676B" w:rsidRPr="00FD119B" w14:paraId="40E32458" w14:textId="77777777" w:rsidTr="006C6CAA">
        <w:tc>
          <w:tcPr>
            <w:tcW w:w="1809" w:type="dxa"/>
            <w:vAlign w:val="bottom"/>
          </w:tcPr>
          <w:p w14:paraId="56D46CAA" w14:textId="77777777" w:rsidR="004D676B" w:rsidRDefault="004D676B" w:rsidP="009E353B">
            <w:r w:rsidRPr="004D676B">
              <w:t>IL-8</w:t>
            </w:r>
          </w:p>
        </w:tc>
        <w:tc>
          <w:tcPr>
            <w:tcW w:w="6911" w:type="dxa"/>
            <w:vAlign w:val="bottom"/>
          </w:tcPr>
          <w:p w14:paraId="2E59AA33" w14:textId="77777777" w:rsidR="004D676B" w:rsidRDefault="004D676B" w:rsidP="009E353B">
            <w:r>
              <w:t>Interleukin 8</w:t>
            </w:r>
          </w:p>
        </w:tc>
      </w:tr>
      <w:tr w:rsidR="006C6CAA" w:rsidRPr="00FD119B" w14:paraId="48E3C19A" w14:textId="77777777" w:rsidTr="006C6CAA">
        <w:tc>
          <w:tcPr>
            <w:tcW w:w="1809" w:type="dxa"/>
            <w:vAlign w:val="bottom"/>
          </w:tcPr>
          <w:p w14:paraId="64F61830" w14:textId="77777777" w:rsidR="006C6CAA" w:rsidRPr="002F2961" w:rsidRDefault="006C6CAA" w:rsidP="009E353B">
            <w:r>
              <w:t>ISR</w:t>
            </w:r>
          </w:p>
        </w:tc>
        <w:tc>
          <w:tcPr>
            <w:tcW w:w="6911" w:type="dxa"/>
            <w:vAlign w:val="bottom"/>
          </w:tcPr>
          <w:p w14:paraId="500AC992" w14:textId="0B0B96F1" w:rsidR="006C6CAA" w:rsidRPr="002F2961" w:rsidRDefault="006C6CAA" w:rsidP="009E353B">
            <w:r>
              <w:t xml:space="preserve">Injection </w:t>
            </w:r>
            <w:r w:rsidR="005B092C">
              <w:t>site reaction</w:t>
            </w:r>
          </w:p>
        </w:tc>
      </w:tr>
      <w:tr w:rsidR="000B7CBE" w:rsidRPr="00FD119B" w14:paraId="2ED5F7A9" w14:textId="77777777" w:rsidTr="006C6CAA">
        <w:tc>
          <w:tcPr>
            <w:tcW w:w="1809" w:type="dxa"/>
            <w:vAlign w:val="bottom"/>
          </w:tcPr>
          <w:p w14:paraId="6487096F" w14:textId="77777777" w:rsidR="000B7CBE" w:rsidRPr="000B7CBE" w:rsidRDefault="000B7CBE" w:rsidP="009E353B">
            <w:r w:rsidRPr="000B7CBE">
              <w:t>IV</w:t>
            </w:r>
          </w:p>
        </w:tc>
        <w:tc>
          <w:tcPr>
            <w:tcW w:w="6911" w:type="dxa"/>
            <w:vAlign w:val="bottom"/>
          </w:tcPr>
          <w:p w14:paraId="2B81D505" w14:textId="77777777" w:rsidR="000B7CBE" w:rsidRDefault="000B7CBE" w:rsidP="009E353B">
            <w:r>
              <w:t>Intravenous</w:t>
            </w:r>
          </w:p>
        </w:tc>
      </w:tr>
      <w:tr w:rsidR="006C6CAA" w:rsidRPr="00FD119B" w14:paraId="60B9D8C5" w14:textId="77777777" w:rsidTr="006C6CAA">
        <w:tc>
          <w:tcPr>
            <w:tcW w:w="1809" w:type="dxa"/>
            <w:vAlign w:val="bottom"/>
          </w:tcPr>
          <w:p w14:paraId="618AD5E0" w14:textId="77777777" w:rsidR="006C6CAA" w:rsidRDefault="006C6CAA" w:rsidP="009E353B">
            <w:r>
              <w:t>JIA</w:t>
            </w:r>
          </w:p>
        </w:tc>
        <w:tc>
          <w:tcPr>
            <w:tcW w:w="6911" w:type="dxa"/>
            <w:vAlign w:val="bottom"/>
          </w:tcPr>
          <w:p w14:paraId="263BD728" w14:textId="5C8A2987" w:rsidR="006C6CAA" w:rsidRDefault="006C6CAA" w:rsidP="009E353B">
            <w:r>
              <w:t xml:space="preserve">Juvenile </w:t>
            </w:r>
            <w:r w:rsidR="005B092C">
              <w:t>idiopathic arthritis</w:t>
            </w:r>
          </w:p>
        </w:tc>
      </w:tr>
      <w:tr w:rsidR="0069652B" w:rsidRPr="00FD119B" w14:paraId="786AFC78" w14:textId="77777777" w:rsidTr="006C6CAA">
        <w:tc>
          <w:tcPr>
            <w:tcW w:w="1809" w:type="dxa"/>
            <w:vAlign w:val="bottom"/>
          </w:tcPr>
          <w:p w14:paraId="54BDE318" w14:textId="77777777" w:rsidR="0069652B" w:rsidRDefault="0069652B" w:rsidP="009E353B">
            <w:r w:rsidRPr="00AD61B2">
              <w:t>LS</w:t>
            </w:r>
          </w:p>
        </w:tc>
        <w:tc>
          <w:tcPr>
            <w:tcW w:w="6911" w:type="dxa"/>
            <w:vAlign w:val="bottom"/>
          </w:tcPr>
          <w:p w14:paraId="13BDEE48" w14:textId="77777777" w:rsidR="0069652B" w:rsidRDefault="0069652B" w:rsidP="009E353B">
            <w:r>
              <w:t>Least squares</w:t>
            </w:r>
          </w:p>
        </w:tc>
      </w:tr>
      <w:tr w:rsidR="00017790" w:rsidRPr="00FD119B" w14:paraId="3A603AAB" w14:textId="77777777" w:rsidTr="006C6CAA">
        <w:tc>
          <w:tcPr>
            <w:tcW w:w="1809" w:type="dxa"/>
            <w:vAlign w:val="bottom"/>
          </w:tcPr>
          <w:p w14:paraId="4A76926D" w14:textId="18B78452" w:rsidR="00017790" w:rsidRDefault="00017790" w:rsidP="009E353B">
            <w:r>
              <w:t>MHRD</w:t>
            </w:r>
          </w:p>
        </w:tc>
        <w:tc>
          <w:tcPr>
            <w:tcW w:w="6911" w:type="dxa"/>
            <w:vAlign w:val="bottom"/>
          </w:tcPr>
          <w:p w14:paraId="41DC456D" w14:textId="535BFB3B" w:rsidR="00017790" w:rsidRDefault="00017790" w:rsidP="009E353B">
            <w:r>
              <w:t>Maximum human recommended dose</w:t>
            </w:r>
          </w:p>
        </w:tc>
      </w:tr>
      <w:tr w:rsidR="006C6CAA" w:rsidRPr="00FD119B" w14:paraId="2A4D85B1" w14:textId="77777777" w:rsidTr="006C6CAA">
        <w:tc>
          <w:tcPr>
            <w:tcW w:w="1809" w:type="dxa"/>
            <w:vAlign w:val="bottom"/>
          </w:tcPr>
          <w:p w14:paraId="3B649043" w14:textId="77777777" w:rsidR="006C6CAA" w:rsidRDefault="006C6CAA" w:rsidP="009E353B">
            <w:proofErr w:type="spellStart"/>
            <w:r>
              <w:t>mTSS</w:t>
            </w:r>
            <w:proofErr w:type="spellEnd"/>
          </w:p>
        </w:tc>
        <w:tc>
          <w:tcPr>
            <w:tcW w:w="6911" w:type="dxa"/>
            <w:vAlign w:val="bottom"/>
          </w:tcPr>
          <w:p w14:paraId="1BFF402B" w14:textId="042B4F89" w:rsidR="006C6CAA" w:rsidRDefault="005B092C" w:rsidP="009E353B">
            <w:r>
              <w:t>M</w:t>
            </w:r>
            <w:r w:rsidR="006C6CAA">
              <w:t xml:space="preserve">odified </w:t>
            </w:r>
            <w:r>
              <w:t>total sharp score</w:t>
            </w:r>
          </w:p>
        </w:tc>
      </w:tr>
      <w:tr w:rsidR="006C6CAA" w:rsidRPr="00FD119B" w14:paraId="3AF3054B" w14:textId="77777777" w:rsidTr="006C6CAA">
        <w:tc>
          <w:tcPr>
            <w:tcW w:w="1809" w:type="dxa"/>
            <w:vAlign w:val="bottom"/>
          </w:tcPr>
          <w:p w14:paraId="7B0EA97E" w14:textId="77777777" w:rsidR="006C6CAA" w:rsidRPr="002F2961" w:rsidRDefault="006C6CAA" w:rsidP="009E353B">
            <w:r>
              <w:t>MTX</w:t>
            </w:r>
          </w:p>
        </w:tc>
        <w:tc>
          <w:tcPr>
            <w:tcW w:w="6911" w:type="dxa"/>
            <w:vAlign w:val="bottom"/>
          </w:tcPr>
          <w:p w14:paraId="7C8950F0" w14:textId="77777777" w:rsidR="006C6CAA" w:rsidRPr="002F2961" w:rsidRDefault="006C6CAA" w:rsidP="009E353B">
            <w:r>
              <w:t>Methotrexate</w:t>
            </w:r>
          </w:p>
        </w:tc>
      </w:tr>
      <w:tr w:rsidR="006C6CAA" w:rsidRPr="00FD119B" w14:paraId="340C24C4" w14:textId="77777777" w:rsidTr="006C6CAA">
        <w:tc>
          <w:tcPr>
            <w:tcW w:w="1809" w:type="dxa"/>
            <w:vAlign w:val="bottom"/>
          </w:tcPr>
          <w:p w14:paraId="181EDCB3" w14:textId="77777777" w:rsidR="006C6CAA" w:rsidRPr="002F2961" w:rsidRDefault="006C6CAA" w:rsidP="009E353B">
            <w:proofErr w:type="spellStart"/>
            <w:r>
              <w:t>NAb</w:t>
            </w:r>
            <w:proofErr w:type="spellEnd"/>
          </w:p>
        </w:tc>
        <w:tc>
          <w:tcPr>
            <w:tcW w:w="6911" w:type="dxa"/>
            <w:vAlign w:val="bottom"/>
          </w:tcPr>
          <w:p w14:paraId="73057952" w14:textId="0C970028" w:rsidR="006C6CAA" w:rsidRPr="002F2961" w:rsidRDefault="006C6CAA" w:rsidP="009E353B">
            <w:r>
              <w:t xml:space="preserve">Neutralising </w:t>
            </w:r>
            <w:r w:rsidR="005B092C">
              <w:t>antibodies</w:t>
            </w:r>
          </w:p>
        </w:tc>
      </w:tr>
      <w:tr w:rsidR="006C6CAA" w:rsidRPr="00FD119B" w14:paraId="2AEBA97C" w14:textId="77777777" w:rsidTr="006C6CAA">
        <w:tc>
          <w:tcPr>
            <w:tcW w:w="1809" w:type="dxa"/>
            <w:vAlign w:val="bottom"/>
          </w:tcPr>
          <w:p w14:paraId="50EB5549" w14:textId="77777777" w:rsidR="006C6CAA" w:rsidRPr="002F2961" w:rsidRDefault="006C6CAA" w:rsidP="009E353B">
            <w:r>
              <w:t>NSAID</w:t>
            </w:r>
          </w:p>
        </w:tc>
        <w:tc>
          <w:tcPr>
            <w:tcW w:w="6911" w:type="dxa"/>
            <w:vAlign w:val="bottom"/>
          </w:tcPr>
          <w:p w14:paraId="6F33A271" w14:textId="6BF60A32" w:rsidR="006C6CAA" w:rsidRPr="00854E06" w:rsidRDefault="006C6CAA" w:rsidP="009E353B">
            <w:pPr>
              <w:rPr>
                <w:lang w:val="it-IT"/>
              </w:rPr>
            </w:pPr>
            <w:r w:rsidRPr="00854E06">
              <w:rPr>
                <w:lang w:val="it-IT"/>
              </w:rPr>
              <w:t>Non-</w:t>
            </w:r>
            <w:r w:rsidR="005B092C" w:rsidRPr="00854E06">
              <w:rPr>
                <w:lang w:val="it-IT"/>
              </w:rPr>
              <w:t>steroidal anti-inflammatory drug</w:t>
            </w:r>
          </w:p>
        </w:tc>
      </w:tr>
      <w:tr w:rsidR="006C6CAA" w:rsidRPr="00FD119B" w14:paraId="467785CA" w14:textId="77777777" w:rsidTr="006C6CAA">
        <w:tc>
          <w:tcPr>
            <w:tcW w:w="1809" w:type="dxa"/>
            <w:vAlign w:val="bottom"/>
          </w:tcPr>
          <w:p w14:paraId="2DD1CB32" w14:textId="77777777" w:rsidR="006C6CAA" w:rsidRPr="002F2961" w:rsidRDefault="005A0780" w:rsidP="009E353B">
            <w:r>
              <w:t>PD</w:t>
            </w:r>
          </w:p>
        </w:tc>
        <w:tc>
          <w:tcPr>
            <w:tcW w:w="6911" w:type="dxa"/>
            <w:vAlign w:val="bottom"/>
          </w:tcPr>
          <w:p w14:paraId="646D0C23" w14:textId="0330FE7E" w:rsidR="006C6CAA" w:rsidRPr="002F2961" w:rsidRDefault="006C6CAA" w:rsidP="009E353B">
            <w:r w:rsidRPr="002F2961">
              <w:t>Pharmacodynamic</w:t>
            </w:r>
            <w:r w:rsidR="00701252">
              <w:t>(s)</w:t>
            </w:r>
          </w:p>
        </w:tc>
      </w:tr>
      <w:tr w:rsidR="006C6CAA" w:rsidRPr="00FD119B" w14:paraId="392B8116" w14:textId="77777777" w:rsidTr="006C6CAA">
        <w:tc>
          <w:tcPr>
            <w:tcW w:w="1809" w:type="dxa"/>
            <w:vAlign w:val="bottom"/>
          </w:tcPr>
          <w:p w14:paraId="72545F83" w14:textId="77777777" w:rsidR="006C6CAA" w:rsidRPr="002F2961" w:rsidRDefault="006C6CAA" w:rsidP="009E353B">
            <w:r>
              <w:t>PFS</w:t>
            </w:r>
          </w:p>
        </w:tc>
        <w:tc>
          <w:tcPr>
            <w:tcW w:w="6911" w:type="dxa"/>
            <w:vAlign w:val="bottom"/>
          </w:tcPr>
          <w:p w14:paraId="29E10938" w14:textId="60AB0C7E" w:rsidR="006C6CAA" w:rsidRPr="002F2961" w:rsidRDefault="006C6CAA" w:rsidP="009E353B">
            <w:r>
              <w:t>Pre-</w:t>
            </w:r>
            <w:r w:rsidR="005B092C">
              <w:t>filled syringe</w:t>
            </w:r>
          </w:p>
        </w:tc>
      </w:tr>
      <w:tr w:rsidR="006C6CAA" w:rsidRPr="00FD119B" w14:paraId="69E7BDD7" w14:textId="77777777" w:rsidTr="006C6CAA">
        <w:tc>
          <w:tcPr>
            <w:tcW w:w="1809" w:type="dxa"/>
            <w:vAlign w:val="bottom"/>
          </w:tcPr>
          <w:p w14:paraId="5503F75E" w14:textId="77777777" w:rsidR="006C6CAA" w:rsidRPr="002F2961" w:rsidRDefault="006C6CAA" w:rsidP="009E353B">
            <w:r>
              <w:t>PK</w:t>
            </w:r>
          </w:p>
        </w:tc>
        <w:tc>
          <w:tcPr>
            <w:tcW w:w="6911" w:type="dxa"/>
            <w:vAlign w:val="bottom"/>
          </w:tcPr>
          <w:p w14:paraId="1435AAD7" w14:textId="5834F893" w:rsidR="006C6CAA" w:rsidRPr="002F2961" w:rsidRDefault="006C6CAA" w:rsidP="009E353B">
            <w:r>
              <w:t>Pharmacokinetic</w:t>
            </w:r>
            <w:r w:rsidR="00701252">
              <w:t>(s)</w:t>
            </w:r>
          </w:p>
        </w:tc>
      </w:tr>
      <w:tr w:rsidR="006C6CAA" w:rsidRPr="00FD119B" w14:paraId="40CF03A9" w14:textId="77777777" w:rsidTr="006C6CAA">
        <w:tc>
          <w:tcPr>
            <w:tcW w:w="1809" w:type="dxa"/>
            <w:vAlign w:val="bottom"/>
          </w:tcPr>
          <w:p w14:paraId="7A6AC2BC" w14:textId="77777777" w:rsidR="006C6CAA" w:rsidRPr="002F2961" w:rsidRDefault="006C6CAA" w:rsidP="009E353B">
            <w:r>
              <w:t>PPS</w:t>
            </w:r>
          </w:p>
        </w:tc>
        <w:tc>
          <w:tcPr>
            <w:tcW w:w="6911" w:type="dxa"/>
            <w:vAlign w:val="bottom"/>
          </w:tcPr>
          <w:p w14:paraId="6CBD9A22" w14:textId="5186A650" w:rsidR="006C6CAA" w:rsidRPr="002F2961" w:rsidRDefault="006C6CAA" w:rsidP="009E353B">
            <w:r>
              <w:t xml:space="preserve">Per </w:t>
            </w:r>
            <w:r w:rsidR="005B092C">
              <w:t>protocol s</w:t>
            </w:r>
            <w:r>
              <w:t>et</w:t>
            </w:r>
          </w:p>
        </w:tc>
      </w:tr>
      <w:tr w:rsidR="006C6CAA" w:rsidRPr="00FD119B" w14:paraId="745AF79B" w14:textId="77777777" w:rsidTr="006C6CAA">
        <w:tc>
          <w:tcPr>
            <w:tcW w:w="1809" w:type="dxa"/>
            <w:vAlign w:val="bottom"/>
          </w:tcPr>
          <w:p w14:paraId="60CC473B" w14:textId="77777777" w:rsidR="006C6CAA" w:rsidRPr="002F2961" w:rsidRDefault="006C6CAA" w:rsidP="009E353B">
            <w:proofErr w:type="spellStart"/>
            <w:r>
              <w:t>PsA</w:t>
            </w:r>
            <w:proofErr w:type="spellEnd"/>
          </w:p>
        </w:tc>
        <w:tc>
          <w:tcPr>
            <w:tcW w:w="6911" w:type="dxa"/>
            <w:vAlign w:val="bottom"/>
          </w:tcPr>
          <w:p w14:paraId="17D57E4C" w14:textId="17EDB9A7" w:rsidR="006C6CAA" w:rsidRPr="002F2961" w:rsidRDefault="006C6CAA" w:rsidP="009E353B">
            <w:r>
              <w:t xml:space="preserve">Psoriatic </w:t>
            </w:r>
            <w:r w:rsidR="005B092C">
              <w:t>arthritis</w:t>
            </w:r>
          </w:p>
        </w:tc>
      </w:tr>
      <w:tr w:rsidR="006C6CAA" w:rsidRPr="00FD119B" w14:paraId="6955A4CF" w14:textId="77777777" w:rsidTr="006C6CAA">
        <w:tc>
          <w:tcPr>
            <w:tcW w:w="1809" w:type="dxa"/>
            <w:vAlign w:val="bottom"/>
          </w:tcPr>
          <w:p w14:paraId="60D9F8E2" w14:textId="77777777" w:rsidR="006C6CAA" w:rsidRPr="002F2961" w:rsidRDefault="006C6CAA" w:rsidP="009E353B">
            <w:r>
              <w:t>PSOR</w:t>
            </w:r>
          </w:p>
        </w:tc>
        <w:tc>
          <w:tcPr>
            <w:tcW w:w="6911" w:type="dxa"/>
            <w:vAlign w:val="bottom"/>
          </w:tcPr>
          <w:p w14:paraId="252DCE72" w14:textId="15F7FB36" w:rsidR="006C6CAA" w:rsidRPr="002F2961" w:rsidRDefault="006C6CAA" w:rsidP="009E353B">
            <w:r>
              <w:t xml:space="preserve">Plaque </w:t>
            </w:r>
            <w:r w:rsidR="005B092C">
              <w:t>psoriasis</w:t>
            </w:r>
          </w:p>
        </w:tc>
      </w:tr>
      <w:tr w:rsidR="006C6CAA" w:rsidRPr="00FD119B" w14:paraId="73743612" w14:textId="77777777" w:rsidTr="006C6CAA">
        <w:tc>
          <w:tcPr>
            <w:tcW w:w="1809" w:type="dxa"/>
            <w:vAlign w:val="bottom"/>
          </w:tcPr>
          <w:p w14:paraId="15A07849" w14:textId="77777777" w:rsidR="006C6CAA" w:rsidRPr="002F2961" w:rsidRDefault="006C6CAA" w:rsidP="009E353B">
            <w:r>
              <w:t>PT</w:t>
            </w:r>
          </w:p>
        </w:tc>
        <w:tc>
          <w:tcPr>
            <w:tcW w:w="6911" w:type="dxa"/>
            <w:vAlign w:val="bottom"/>
          </w:tcPr>
          <w:p w14:paraId="48334F40" w14:textId="656CFB4A" w:rsidR="006C6CAA" w:rsidRPr="002F2961" w:rsidRDefault="006C6CAA" w:rsidP="009E353B">
            <w:r>
              <w:t xml:space="preserve">Preferred </w:t>
            </w:r>
            <w:r w:rsidR="005B092C">
              <w:t>term</w:t>
            </w:r>
          </w:p>
        </w:tc>
      </w:tr>
      <w:tr w:rsidR="006C6CAA" w:rsidRPr="00FD119B" w14:paraId="3E29D875" w14:textId="77777777" w:rsidTr="006C6CAA">
        <w:tc>
          <w:tcPr>
            <w:tcW w:w="1809" w:type="dxa"/>
            <w:vAlign w:val="bottom"/>
          </w:tcPr>
          <w:p w14:paraId="4C4B38FD" w14:textId="77777777" w:rsidR="006C6CAA" w:rsidRPr="002F2961" w:rsidRDefault="006C6CAA" w:rsidP="009E353B">
            <w:r>
              <w:t>RA</w:t>
            </w:r>
          </w:p>
        </w:tc>
        <w:tc>
          <w:tcPr>
            <w:tcW w:w="6911" w:type="dxa"/>
            <w:vAlign w:val="bottom"/>
          </w:tcPr>
          <w:p w14:paraId="7CD623D7" w14:textId="20F13A53" w:rsidR="006C6CAA" w:rsidRPr="002F2961" w:rsidRDefault="006C6CAA" w:rsidP="009E353B">
            <w:r>
              <w:t xml:space="preserve">Rheumatoid </w:t>
            </w:r>
            <w:r w:rsidR="005B092C">
              <w:t>arthritis</w:t>
            </w:r>
          </w:p>
        </w:tc>
      </w:tr>
      <w:tr w:rsidR="006C6CAA" w:rsidRPr="00FD119B" w14:paraId="30B2E615" w14:textId="77777777" w:rsidTr="006C6CAA">
        <w:tc>
          <w:tcPr>
            <w:tcW w:w="1809" w:type="dxa"/>
            <w:vAlign w:val="bottom"/>
          </w:tcPr>
          <w:p w14:paraId="6661C2F7" w14:textId="77777777" w:rsidR="006C6CAA" w:rsidRPr="002F2961" w:rsidRDefault="006C6CAA" w:rsidP="009E353B">
            <w:r>
              <w:t>RF</w:t>
            </w:r>
          </w:p>
        </w:tc>
        <w:tc>
          <w:tcPr>
            <w:tcW w:w="6911" w:type="dxa"/>
            <w:vAlign w:val="bottom"/>
          </w:tcPr>
          <w:p w14:paraId="4F815BFD" w14:textId="61573FF7" w:rsidR="006C6CAA" w:rsidRPr="002F2961" w:rsidRDefault="006C6CAA" w:rsidP="009E353B">
            <w:r>
              <w:t xml:space="preserve">Rheumatoid </w:t>
            </w:r>
            <w:r w:rsidR="005B092C">
              <w:t>factor</w:t>
            </w:r>
          </w:p>
        </w:tc>
      </w:tr>
      <w:tr w:rsidR="006C6CAA" w:rsidRPr="00FD119B" w14:paraId="057A2DAB" w14:textId="77777777" w:rsidTr="006C6CAA">
        <w:tc>
          <w:tcPr>
            <w:tcW w:w="1809" w:type="dxa"/>
            <w:vAlign w:val="bottom"/>
          </w:tcPr>
          <w:p w14:paraId="5A31800E" w14:textId="77777777" w:rsidR="006C6CAA" w:rsidRPr="002F2961" w:rsidRDefault="006C6CAA" w:rsidP="009E353B">
            <w:r w:rsidRPr="002F2961">
              <w:t>SAE</w:t>
            </w:r>
          </w:p>
        </w:tc>
        <w:tc>
          <w:tcPr>
            <w:tcW w:w="6911" w:type="dxa"/>
            <w:vAlign w:val="bottom"/>
          </w:tcPr>
          <w:p w14:paraId="380A7D6A" w14:textId="6F89BCE7" w:rsidR="006C6CAA" w:rsidRPr="002F2961" w:rsidRDefault="006C6CAA" w:rsidP="009E353B">
            <w:r w:rsidRPr="002F2961">
              <w:t xml:space="preserve">Serious </w:t>
            </w:r>
            <w:r w:rsidR="005B092C">
              <w:t>a</w:t>
            </w:r>
            <w:r w:rsidR="005B092C" w:rsidRPr="002F2961">
              <w:t xml:space="preserve">dverse </w:t>
            </w:r>
            <w:r w:rsidR="005B092C">
              <w:t>e</w:t>
            </w:r>
            <w:r w:rsidRPr="002F2961">
              <w:t>vent</w:t>
            </w:r>
          </w:p>
        </w:tc>
      </w:tr>
      <w:tr w:rsidR="00017790" w:rsidRPr="00FD119B" w14:paraId="7E1FD5C9" w14:textId="77777777" w:rsidTr="006C6CAA">
        <w:tc>
          <w:tcPr>
            <w:tcW w:w="1809" w:type="dxa"/>
            <w:vAlign w:val="bottom"/>
          </w:tcPr>
          <w:p w14:paraId="062CAAC9" w14:textId="26598CD0" w:rsidR="00017790" w:rsidRPr="002F2961" w:rsidRDefault="00017790" w:rsidP="009E353B">
            <w:r>
              <w:t>SB5</w:t>
            </w:r>
          </w:p>
        </w:tc>
        <w:tc>
          <w:tcPr>
            <w:tcW w:w="6911" w:type="dxa"/>
            <w:vAlign w:val="bottom"/>
          </w:tcPr>
          <w:p w14:paraId="7AA09923" w14:textId="547BC6BA" w:rsidR="00017790" w:rsidRPr="002F2961" w:rsidRDefault="00017790" w:rsidP="009E353B">
            <w:r>
              <w:t>Hadlima adalimumab drug development code</w:t>
            </w:r>
          </w:p>
        </w:tc>
      </w:tr>
      <w:tr w:rsidR="000B7CBE" w:rsidRPr="00FD119B" w14:paraId="412F44D9" w14:textId="77777777" w:rsidTr="006C6CAA">
        <w:tc>
          <w:tcPr>
            <w:tcW w:w="1809" w:type="dxa"/>
            <w:vAlign w:val="bottom"/>
          </w:tcPr>
          <w:p w14:paraId="3B36AAA6" w14:textId="77777777" w:rsidR="000B7CBE" w:rsidRPr="002F2961" w:rsidRDefault="000B7CBE" w:rsidP="009E353B">
            <w:r>
              <w:t>SC</w:t>
            </w:r>
          </w:p>
        </w:tc>
        <w:tc>
          <w:tcPr>
            <w:tcW w:w="6911" w:type="dxa"/>
            <w:vAlign w:val="bottom"/>
          </w:tcPr>
          <w:p w14:paraId="3B3D7E9E" w14:textId="77777777" w:rsidR="000B7CBE" w:rsidRPr="002F2961" w:rsidRDefault="000B7CBE" w:rsidP="009E353B">
            <w:r>
              <w:t>Subcutaneous</w:t>
            </w:r>
          </w:p>
        </w:tc>
      </w:tr>
      <w:tr w:rsidR="006C6CAA" w:rsidRPr="00FD119B" w14:paraId="24554F15" w14:textId="77777777" w:rsidTr="006C6CAA">
        <w:tc>
          <w:tcPr>
            <w:tcW w:w="1809" w:type="dxa"/>
            <w:vAlign w:val="bottom"/>
          </w:tcPr>
          <w:p w14:paraId="4D70FD51" w14:textId="77777777" w:rsidR="006C6CAA" w:rsidRPr="002F2961" w:rsidRDefault="006C6CAA" w:rsidP="009E353B">
            <w:r w:rsidRPr="002F2961">
              <w:t>SOC</w:t>
            </w:r>
          </w:p>
        </w:tc>
        <w:tc>
          <w:tcPr>
            <w:tcW w:w="6911" w:type="dxa"/>
            <w:vAlign w:val="bottom"/>
          </w:tcPr>
          <w:p w14:paraId="02B2E705" w14:textId="659D4BCD" w:rsidR="006C6CAA" w:rsidRPr="002F2961" w:rsidRDefault="006C6CAA" w:rsidP="009E353B">
            <w:r w:rsidRPr="002F2961">
              <w:t xml:space="preserve">System </w:t>
            </w:r>
            <w:r w:rsidR="00701252">
              <w:t>O</w:t>
            </w:r>
            <w:r w:rsidR="00701252" w:rsidRPr="002F2961">
              <w:t xml:space="preserve">rgan </w:t>
            </w:r>
            <w:r w:rsidR="00701252">
              <w:t>C</w:t>
            </w:r>
            <w:r w:rsidR="00701252" w:rsidRPr="002F2961">
              <w:t>lass</w:t>
            </w:r>
          </w:p>
        </w:tc>
      </w:tr>
      <w:tr w:rsidR="006C6CAA" w:rsidRPr="00FD119B" w14:paraId="5F428A46" w14:textId="77777777" w:rsidTr="006C6CAA">
        <w:tc>
          <w:tcPr>
            <w:tcW w:w="1809" w:type="dxa"/>
            <w:vAlign w:val="bottom"/>
          </w:tcPr>
          <w:p w14:paraId="77C7AF2C" w14:textId="77777777" w:rsidR="006C6CAA" w:rsidRPr="002F2961" w:rsidRDefault="006C6CAA" w:rsidP="009E353B">
            <w:r>
              <w:lastRenderedPageBreak/>
              <w:t>TB</w:t>
            </w:r>
          </w:p>
        </w:tc>
        <w:tc>
          <w:tcPr>
            <w:tcW w:w="6911" w:type="dxa"/>
            <w:vAlign w:val="bottom"/>
          </w:tcPr>
          <w:p w14:paraId="429813F6" w14:textId="77777777" w:rsidR="006C6CAA" w:rsidRPr="002F2961" w:rsidRDefault="006C6CAA" w:rsidP="009E353B">
            <w:r>
              <w:t>Tuberculosis</w:t>
            </w:r>
          </w:p>
        </w:tc>
      </w:tr>
      <w:tr w:rsidR="006C6CAA" w:rsidRPr="00FD119B" w14:paraId="327764B3" w14:textId="77777777" w:rsidTr="006C6CAA">
        <w:tc>
          <w:tcPr>
            <w:tcW w:w="1809" w:type="dxa"/>
            <w:vAlign w:val="bottom"/>
          </w:tcPr>
          <w:p w14:paraId="16BF8B54" w14:textId="77777777" w:rsidR="006C6CAA" w:rsidRPr="00563614" w:rsidRDefault="00C05C12" w:rsidP="009E353B">
            <w:pPr>
              <w:rPr>
                <w:vertAlign w:val="subscript"/>
              </w:rPr>
            </w:pPr>
            <w:r>
              <w:t>T</w:t>
            </w:r>
            <w:r w:rsidRPr="00C05C12">
              <w:rPr>
                <w:vertAlign w:val="subscript"/>
              </w:rPr>
              <w:t>max</w:t>
            </w:r>
          </w:p>
        </w:tc>
        <w:tc>
          <w:tcPr>
            <w:tcW w:w="6911" w:type="dxa"/>
            <w:vAlign w:val="bottom"/>
          </w:tcPr>
          <w:p w14:paraId="4D50DE92" w14:textId="504F5209" w:rsidR="006C6CAA" w:rsidRPr="002F2961" w:rsidRDefault="006C6CAA" w:rsidP="009E353B">
            <w:r>
              <w:t xml:space="preserve">Time to </w:t>
            </w:r>
            <w:r w:rsidR="00017790">
              <w:t>maximum drug concentration</w:t>
            </w:r>
          </w:p>
        </w:tc>
      </w:tr>
      <w:tr w:rsidR="006C6CAA" w:rsidRPr="00FD119B" w14:paraId="23D8E256" w14:textId="77777777" w:rsidTr="006C6CAA">
        <w:tc>
          <w:tcPr>
            <w:tcW w:w="1809" w:type="dxa"/>
            <w:vAlign w:val="bottom"/>
          </w:tcPr>
          <w:p w14:paraId="295F02D1" w14:textId="77777777" w:rsidR="006C6CAA" w:rsidRPr="002F2961" w:rsidRDefault="006C6CAA" w:rsidP="009E353B">
            <w:r w:rsidRPr="002F2961">
              <w:t>TNF</w:t>
            </w:r>
          </w:p>
        </w:tc>
        <w:tc>
          <w:tcPr>
            <w:tcW w:w="6911" w:type="dxa"/>
            <w:vAlign w:val="bottom"/>
          </w:tcPr>
          <w:p w14:paraId="3CFBD2F5" w14:textId="6AB813AB" w:rsidR="006C6CAA" w:rsidRPr="002F2961" w:rsidRDefault="006C6CAA" w:rsidP="009E353B">
            <w:r>
              <w:t>Tumour</w:t>
            </w:r>
            <w:r w:rsidRPr="002F2961">
              <w:t xml:space="preserve"> </w:t>
            </w:r>
            <w:r w:rsidR="005B092C" w:rsidRPr="002F2961">
              <w:t>necrosis factor</w:t>
            </w:r>
          </w:p>
        </w:tc>
      </w:tr>
      <w:tr w:rsidR="00701252" w:rsidRPr="00FD119B" w14:paraId="1B378D29" w14:textId="77777777" w:rsidTr="006C6CAA">
        <w:tc>
          <w:tcPr>
            <w:tcW w:w="1809" w:type="dxa"/>
            <w:vAlign w:val="bottom"/>
          </w:tcPr>
          <w:p w14:paraId="4DC086A0" w14:textId="6FFC687E" w:rsidR="00701252" w:rsidRPr="00A833B6" w:rsidRDefault="00701252" w:rsidP="009E353B">
            <w:pPr>
              <w:rPr>
                <w:lang w:val="en-GB"/>
              </w:rPr>
            </w:pPr>
            <w:r>
              <w:t>TNF</w:t>
            </w:r>
            <w:r w:rsidR="00FA7BAA">
              <w:t xml:space="preserve"> </w:t>
            </w:r>
            <w:r w:rsidR="000A0030" w:rsidRPr="00A833B6">
              <w:rPr>
                <w:bCs/>
                <w:lang w:val="en-GB"/>
              </w:rPr>
              <w:t>α</w:t>
            </w:r>
          </w:p>
        </w:tc>
        <w:tc>
          <w:tcPr>
            <w:tcW w:w="6911" w:type="dxa"/>
            <w:vAlign w:val="bottom"/>
          </w:tcPr>
          <w:p w14:paraId="6DF9978A" w14:textId="422CC49A" w:rsidR="00701252" w:rsidRDefault="000A0030" w:rsidP="009E353B">
            <w:r>
              <w:t>Tumour necrosis factor alpha</w:t>
            </w:r>
          </w:p>
        </w:tc>
      </w:tr>
      <w:tr w:rsidR="000A0030" w:rsidRPr="00FD119B" w14:paraId="7921DA7B" w14:textId="77777777" w:rsidTr="006C6CAA">
        <w:tc>
          <w:tcPr>
            <w:tcW w:w="1809" w:type="dxa"/>
            <w:vAlign w:val="bottom"/>
          </w:tcPr>
          <w:p w14:paraId="12DF420C" w14:textId="3C6FA0A0" w:rsidR="000A0030" w:rsidRDefault="000A0030" w:rsidP="009E353B">
            <w:r>
              <w:t>TNF</w:t>
            </w:r>
            <w:r w:rsidR="00FA7BAA">
              <w:t xml:space="preserve"> </w:t>
            </w:r>
            <w:r w:rsidR="00FA7BAA" w:rsidRPr="00FA7BAA">
              <w:t>β</w:t>
            </w:r>
          </w:p>
        </w:tc>
        <w:tc>
          <w:tcPr>
            <w:tcW w:w="6911" w:type="dxa"/>
            <w:vAlign w:val="bottom"/>
          </w:tcPr>
          <w:p w14:paraId="19F578A4" w14:textId="57C65579" w:rsidR="000A0030" w:rsidRDefault="000A0030" w:rsidP="009E353B">
            <w:r>
              <w:t>Tumour necrosis factor beta</w:t>
            </w:r>
            <w:r w:rsidR="00FA7BAA">
              <w:t xml:space="preserve">; </w:t>
            </w:r>
            <w:proofErr w:type="spellStart"/>
            <w:r w:rsidR="00FA7BAA">
              <w:t>lymphotoxin</w:t>
            </w:r>
            <w:proofErr w:type="spellEnd"/>
          </w:p>
        </w:tc>
      </w:tr>
      <w:tr w:rsidR="009324C3" w:rsidRPr="00FD119B" w14:paraId="67A6B3E9" w14:textId="77777777" w:rsidTr="006C6CAA">
        <w:tc>
          <w:tcPr>
            <w:tcW w:w="1809" w:type="dxa"/>
            <w:vAlign w:val="bottom"/>
          </w:tcPr>
          <w:p w14:paraId="34B92B81" w14:textId="17D3F518" w:rsidR="009324C3" w:rsidRDefault="009324C3" w:rsidP="009E353B">
            <w:r>
              <w:t>Tg197</w:t>
            </w:r>
          </w:p>
        </w:tc>
        <w:tc>
          <w:tcPr>
            <w:tcW w:w="6911" w:type="dxa"/>
            <w:vAlign w:val="bottom"/>
          </w:tcPr>
          <w:p w14:paraId="3EC6B1FB" w14:textId="7EE8E6D9" w:rsidR="009324C3" w:rsidRDefault="009324C3" w:rsidP="009E353B">
            <w:r>
              <w:t>Transgenic mouse model of polyarthritis</w:t>
            </w:r>
          </w:p>
        </w:tc>
      </w:tr>
      <w:tr w:rsidR="006C6CAA" w:rsidRPr="00FD119B" w14:paraId="3E399619" w14:textId="77777777" w:rsidTr="006C6CAA">
        <w:tc>
          <w:tcPr>
            <w:tcW w:w="1809" w:type="dxa"/>
            <w:vAlign w:val="bottom"/>
          </w:tcPr>
          <w:p w14:paraId="526FD535" w14:textId="77777777" w:rsidR="006C6CAA" w:rsidRPr="002F2961" w:rsidRDefault="006C6CAA" w:rsidP="009E353B">
            <w:r>
              <w:t>UC</w:t>
            </w:r>
          </w:p>
        </w:tc>
        <w:tc>
          <w:tcPr>
            <w:tcW w:w="6911" w:type="dxa"/>
            <w:vAlign w:val="bottom"/>
          </w:tcPr>
          <w:p w14:paraId="27533589" w14:textId="0E0AFA7D" w:rsidR="006C6CAA" w:rsidRDefault="006C6CAA" w:rsidP="009E353B">
            <w:r>
              <w:t xml:space="preserve">Ulcerative </w:t>
            </w:r>
            <w:r w:rsidR="005B092C">
              <w:t>colitis</w:t>
            </w:r>
          </w:p>
        </w:tc>
      </w:tr>
      <w:tr w:rsidR="006C6CAA" w:rsidRPr="00FD119B" w14:paraId="4422F6C9" w14:textId="77777777" w:rsidTr="006C6CAA">
        <w:tc>
          <w:tcPr>
            <w:tcW w:w="1809" w:type="dxa"/>
            <w:vAlign w:val="bottom"/>
          </w:tcPr>
          <w:p w14:paraId="424001F1" w14:textId="77777777" w:rsidR="006C6CAA" w:rsidRPr="002F2961" w:rsidRDefault="006C6CAA" w:rsidP="009E353B">
            <w:r>
              <w:t>ULN</w:t>
            </w:r>
          </w:p>
        </w:tc>
        <w:tc>
          <w:tcPr>
            <w:tcW w:w="6911" w:type="dxa"/>
            <w:vAlign w:val="bottom"/>
          </w:tcPr>
          <w:p w14:paraId="2C97519E" w14:textId="53923BDF" w:rsidR="006C6CAA" w:rsidRPr="002F2961" w:rsidRDefault="006C6CAA" w:rsidP="009E353B">
            <w:r>
              <w:t xml:space="preserve">Upper </w:t>
            </w:r>
            <w:r w:rsidR="005B092C">
              <w:t>limit of normal</w:t>
            </w:r>
          </w:p>
        </w:tc>
      </w:tr>
      <w:tr w:rsidR="004D676B" w:rsidRPr="00FD119B" w14:paraId="14154FB0" w14:textId="77777777" w:rsidTr="006C6CAA">
        <w:tc>
          <w:tcPr>
            <w:tcW w:w="1809" w:type="dxa"/>
            <w:vAlign w:val="bottom"/>
          </w:tcPr>
          <w:p w14:paraId="0C625570" w14:textId="77777777" w:rsidR="004D676B" w:rsidRDefault="004D676B" w:rsidP="009E353B">
            <w:r w:rsidRPr="004D676B">
              <w:t>VCAM-1</w:t>
            </w:r>
          </w:p>
        </w:tc>
        <w:tc>
          <w:tcPr>
            <w:tcW w:w="6911" w:type="dxa"/>
            <w:vAlign w:val="bottom"/>
          </w:tcPr>
          <w:p w14:paraId="33746A0D" w14:textId="77777777" w:rsidR="004D676B" w:rsidRPr="004D676B" w:rsidRDefault="004D676B" w:rsidP="009E353B">
            <w:r>
              <w:t>V</w:t>
            </w:r>
            <w:r w:rsidRPr="004D676B">
              <w:t>ascular cell adhesion molecule 1</w:t>
            </w:r>
          </w:p>
        </w:tc>
      </w:tr>
    </w:tbl>
    <w:p w14:paraId="391FC04C" w14:textId="77777777" w:rsidR="00FD119B" w:rsidRPr="00FD119B" w:rsidRDefault="00FD119B" w:rsidP="00630678">
      <w:r w:rsidRPr="00FD119B">
        <w:br w:type="page"/>
      </w:r>
    </w:p>
    <w:p w14:paraId="1220F775" w14:textId="77777777" w:rsidR="008E7846" w:rsidRDefault="00F53C07" w:rsidP="00630678">
      <w:pPr>
        <w:pStyle w:val="Heading2"/>
      </w:pPr>
      <w:bookmarkStart w:id="8" w:name="_Toc8816470"/>
      <w:r>
        <w:lastRenderedPageBreak/>
        <w:t>I.</w:t>
      </w:r>
      <w:r w:rsidR="008E7846">
        <w:t xml:space="preserve"> Introduction to product </w:t>
      </w:r>
      <w:r w:rsidR="008E7846" w:rsidRPr="00630678">
        <w:t>submission</w:t>
      </w:r>
      <w:bookmarkEnd w:id="8"/>
      <w:bookmarkEnd w:id="2"/>
      <w:bookmarkEnd w:id="0"/>
    </w:p>
    <w:p w14:paraId="15C200CC" w14:textId="77777777" w:rsidR="008E7846" w:rsidRDefault="008E7846" w:rsidP="00630678">
      <w:pPr>
        <w:pStyle w:val="Heading3"/>
        <w:rPr>
          <w:lang w:eastAsia="en-AU"/>
        </w:rPr>
      </w:pPr>
      <w:bookmarkStart w:id="9" w:name="_Toc247691502"/>
      <w:bookmarkStart w:id="10" w:name="_Toc314842483"/>
      <w:bookmarkStart w:id="11" w:name="_Toc8816471"/>
      <w:r>
        <w:rPr>
          <w:lang w:eastAsia="en-AU"/>
        </w:rPr>
        <w:t xml:space="preserve">Submission </w:t>
      </w:r>
      <w:r w:rsidRPr="00630678">
        <w:t>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50D93110" w14:textId="77777777" w:rsidTr="00500337">
        <w:trPr>
          <w:trHeight w:hRule="exact" w:val="454"/>
        </w:trPr>
        <w:tc>
          <w:tcPr>
            <w:tcW w:w="2907" w:type="dxa"/>
          </w:tcPr>
          <w:p w14:paraId="4EA55BEA"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8C3F6A0" w14:textId="77777777" w:rsidR="008E7846" w:rsidRPr="003D1E62" w:rsidRDefault="008E7846" w:rsidP="006C6CAA">
            <w:r w:rsidRPr="003D1E62">
              <w:t xml:space="preserve">New </w:t>
            </w:r>
            <w:r w:rsidR="006C6CAA">
              <w:t>biosimilar medicine</w:t>
            </w:r>
          </w:p>
        </w:tc>
      </w:tr>
      <w:tr w:rsidR="008E7846" w:rsidRPr="003D1E62" w14:paraId="34756AFE" w14:textId="77777777" w:rsidTr="00500337">
        <w:trPr>
          <w:trHeight w:hRule="exact" w:val="454"/>
        </w:trPr>
        <w:tc>
          <w:tcPr>
            <w:tcW w:w="2907" w:type="dxa"/>
          </w:tcPr>
          <w:p w14:paraId="373C23F5" w14:textId="77777777" w:rsidR="008E7846" w:rsidRPr="003D1E62" w:rsidRDefault="008E7846" w:rsidP="003D1E62">
            <w:r w:rsidRPr="003D1E62">
              <w:rPr>
                <w:i/>
              </w:rPr>
              <w:t>Decision</w:t>
            </w:r>
            <w:r w:rsidRPr="003D1E62">
              <w:t>:</w:t>
            </w:r>
          </w:p>
        </w:tc>
        <w:tc>
          <w:tcPr>
            <w:tcW w:w="6307" w:type="dxa"/>
          </w:tcPr>
          <w:p w14:paraId="193C2C1F" w14:textId="77777777" w:rsidR="008E7846" w:rsidRPr="003D1E62" w:rsidRDefault="006C6CAA" w:rsidP="001B5C90">
            <w:r>
              <w:t>Approved</w:t>
            </w:r>
          </w:p>
        </w:tc>
      </w:tr>
      <w:tr w:rsidR="008E7846" w:rsidRPr="003D1E62" w14:paraId="0DFB9784" w14:textId="77777777" w:rsidTr="00500337">
        <w:trPr>
          <w:trHeight w:hRule="exact" w:val="454"/>
        </w:trPr>
        <w:tc>
          <w:tcPr>
            <w:tcW w:w="2907" w:type="dxa"/>
          </w:tcPr>
          <w:p w14:paraId="179661E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F3777CB" w14:textId="77777777" w:rsidR="008E7846" w:rsidRPr="003D1E62" w:rsidRDefault="006C6CAA" w:rsidP="001B5C90">
            <w:r>
              <w:t>18 January 2018</w:t>
            </w:r>
          </w:p>
        </w:tc>
      </w:tr>
      <w:tr w:rsidR="00ED2922" w:rsidRPr="003D1E62" w14:paraId="7BAC3677" w14:textId="77777777" w:rsidTr="00500337">
        <w:trPr>
          <w:trHeight w:hRule="exact" w:val="454"/>
        </w:trPr>
        <w:tc>
          <w:tcPr>
            <w:tcW w:w="2907" w:type="dxa"/>
          </w:tcPr>
          <w:p w14:paraId="07F064AB" w14:textId="77777777" w:rsidR="00ED2922" w:rsidRPr="00441C3F" w:rsidRDefault="00ED2922" w:rsidP="001B5C90">
            <w:pPr>
              <w:rPr>
                <w:i/>
              </w:rPr>
            </w:pPr>
            <w:r w:rsidRPr="00441C3F">
              <w:rPr>
                <w:i/>
              </w:rPr>
              <w:t>Date of entry onto ARTG</w:t>
            </w:r>
            <w:r w:rsidR="00500337">
              <w:rPr>
                <w:i/>
              </w:rPr>
              <w:t>:</w:t>
            </w:r>
          </w:p>
        </w:tc>
        <w:tc>
          <w:tcPr>
            <w:tcW w:w="6307" w:type="dxa"/>
          </w:tcPr>
          <w:p w14:paraId="2C52B310" w14:textId="77777777" w:rsidR="00ED2922" w:rsidRPr="00441C3F" w:rsidRDefault="006C6CAA" w:rsidP="00EC463D">
            <w:pPr>
              <w:rPr>
                <w:i/>
              </w:rPr>
            </w:pPr>
            <w:r>
              <w:t>24 January 2018</w:t>
            </w:r>
          </w:p>
        </w:tc>
      </w:tr>
      <w:tr w:rsidR="00500337" w:rsidRPr="003D1E62" w14:paraId="1F0428CF" w14:textId="77777777" w:rsidTr="00500337">
        <w:trPr>
          <w:trHeight w:hRule="exact" w:val="454"/>
        </w:trPr>
        <w:tc>
          <w:tcPr>
            <w:tcW w:w="2907" w:type="dxa"/>
          </w:tcPr>
          <w:p w14:paraId="18B26247" w14:textId="77777777" w:rsidR="00500337" w:rsidRPr="00441C3F" w:rsidRDefault="006C6CAA" w:rsidP="001B5C90">
            <w:pPr>
              <w:rPr>
                <w:i/>
              </w:rPr>
            </w:pPr>
            <w:r>
              <w:rPr>
                <w:i/>
              </w:rPr>
              <w:t>ARTG numbers</w:t>
            </w:r>
            <w:r w:rsidR="00500337">
              <w:rPr>
                <w:i/>
              </w:rPr>
              <w:t>:</w:t>
            </w:r>
          </w:p>
        </w:tc>
        <w:tc>
          <w:tcPr>
            <w:tcW w:w="6307" w:type="dxa"/>
          </w:tcPr>
          <w:p w14:paraId="0E70F8C4" w14:textId="77777777" w:rsidR="00500337" w:rsidRPr="00441C3F" w:rsidRDefault="006C6CAA" w:rsidP="00EC463D">
            <w:r>
              <w:t>284248, 284249</w:t>
            </w:r>
          </w:p>
        </w:tc>
      </w:tr>
    </w:tbl>
    <w:p w14:paraId="7D9E4A1D"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76F22086" w14:textId="77777777" w:rsidTr="00BF1190">
        <w:tc>
          <w:tcPr>
            <w:tcW w:w="2907" w:type="dxa"/>
          </w:tcPr>
          <w:p w14:paraId="3C8E2E3A" w14:textId="77777777" w:rsidR="008E7846" w:rsidRPr="00487162" w:rsidRDefault="001B5C90" w:rsidP="00E45619">
            <w:pPr>
              <w:rPr>
                <w:i/>
              </w:rPr>
            </w:pPr>
            <w:r>
              <w:rPr>
                <w:i/>
              </w:rPr>
              <w:t xml:space="preserve">Active </w:t>
            </w:r>
            <w:r w:rsidR="006C6CAA">
              <w:rPr>
                <w:i/>
              </w:rPr>
              <w:t>ingredient</w:t>
            </w:r>
            <w:r>
              <w:rPr>
                <w:i/>
              </w:rPr>
              <w:t>:</w:t>
            </w:r>
          </w:p>
        </w:tc>
        <w:tc>
          <w:tcPr>
            <w:tcW w:w="6307" w:type="dxa"/>
          </w:tcPr>
          <w:p w14:paraId="35902BEE" w14:textId="77777777" w:rsidR="008E7846" w:rsidRPr="00487162" w:rsidRDefault="006C6CAA" w:rsidP="00E45619">
            <w:r>
              <w:t>Adalimumab</w:t>
            </w:r>
          </w:p>
        </w:tc>
      </w:tr>
      <w:tr w:rsidR="008E7846" w:rsidRPr="00487162" w14:paraId="0EEE5C7A" w14:textId="77777777" w:rsidTr="00BF1190">
        <w:tc>
          <w:tcPr>
            <w:tcW w:w="2907" w:type="dxa"/>
          </w:tcPr>
          <w:p w14:paraId="41D6B76E" w14:textId="77777777" w:rsidR="008E7846" w:rsidRPr="00487162" w:rsidRDefault="008E7846" w:rsidP="001B5C90">
            <w:pPr>
              <w:rPr>
                <w:i/>
              </w:rPr>
            </w:pPr>
            <w:r w:rsidRPr="00487162">
              <w:rPr>
                <w:i/>
              </w:rPr>
              <w:t>Product</w:t>
            </w:r>
            <w:r w:rsidR="006C6CAA">
              <w:rPr>
                <w:i/>
              </w:rPr>
              <w:t xml:space="preserve"> name</w:t>
            </w:r>
            <w:r w:rsidR="001B5C90">
              <w:rPr>
                <w:i/>
              </w:rPr>
              <w:t>:</w:t>
            </w:r>
          </w:p>
        </w:tc>
        <w:tc>
          <w:tcPr>
            <w:tcW w:w="6307" w:type="dxa"/>
          </w:tcPr>
          <w:p w14:paraId="6547CF73" w14:textId="77777777" w:rsidR="008E7846" w:rsidRPr="00487162" w:rsidRDefault="006C6CAA" w:rsidP="00E45619">
            <w:r>
              <w:t>Hadlima</w:t>
            </w:r>
          </w:p>
        </w:tc>
      </w:tr>
      <w:tr w:rsidR="008E7846" w:rsidRPr="00487162" w14:paraId="1888797D" w14:textId="77777777" w:rsidTr="00BF1190">
        <w:tc>
          <w:tcPr>
            <w:tcW w:w="2907" w:type="dxa"/>
          </w:tcPr>
          <w:p w14:paraId="695E64C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54DD3F4" w14:textId="77777777" w:rsidR="008E7846" w:rsidRDefault="006C6CAA" w:rsidP="00E45619">
            <w:r>
              <w:t xml:space="preserve">Samsung Bioepis </w:t>
            </w:r>
            <w:r w:rsidR="00B35696">
              <w:t xml:space="preserve">AU </w:t>
            </w:r>
            <w:r>
              <w:t>Pty Ltd</w:t>
            </w:r>
          </w:p>
          <w:p w14:paraId="75C91C6B" w14:textId="77777777" w:rsidR="006C6CAA" w:rsidRDefault="006C6CAA" w:rsidP="00E45619">
            <w:r>
              <w:t>Level 16/ 201 Elizabeth St</w:t>
            </w:r>
          </w:p>
          <w:p w14:paraId="3F541A79" w14:textId="77777777" w:rsidR="006C6CAA" w:rsidRPr="00487162" w:rsidRDefault="006C6CAA" w:rsidP="00E45619">
            <w:r>
              <w:t>Sydney NSW 2000</w:t>
            </w:r>
          </w:p>
        </w:tc>
      </w:tr>
      <w:tr w:rsidR="008E7846" w:rsidRPr="00487162" w14:paraId="7843A037" w14:textId="77777777" w:rsidTr="00BF1190">
        <w:tc>
          <w:tcPr>
            <w:tcW w:w="2907" w:type="dxa"/>
          </w:tcPr>
          <w:p w14:paraId="46A9689B" w14:textId="77777777" w:rsidR="008E7846" w:rsidRPr="00487162" w:rsidRDefault="006C6CAA" w:rsidP="00E45619">
            <w:pPr>
              <w:rPr>
                <w:i/>
              </w:rPr>
            </w:pPr>
            <w:r>
              <w:rPr>
                <w:i/>
              </w:rPr>
              <w:t>Dose form</w:t>
            </w:r>
            <w:r w:rsidR="001B5C90">
              <w:rPr>
                <w:i/>
              </w:rPr>
              <w:t>:</w:t>
            </w:r>
          </w:p>
        </w:tc>
        <w:tc>
          <w:tcPr>
            <w:tcW w:w="6307" w:type="dxa"/>
          </w:tcPr>
          <w:p w14:paraId="6C1EE4FD" w14:textId="77777777" w:rsidR="008E7846" w:rsidRPr="00487162" w:rsidRDefault="006C6CAA" w:rsidP="00E45619">
            <w:r>
              <w:t>Solution for injection</w:t>
            </w:r>
          </w:p>
        </w:tc>
      </w:tr>
      <w:tr w:rsidR="008E7846" w:rsidRPr="00487162" w14:paraId="05FF7923" w14:textId="77777777" w:rsidTr="00BF1190">
        <w:tc>
          <w:tcPr>
            <w:tcW w:w="2907" w:type="dxa"/>
          </w:tcPr>
          <w:p w14:paraId="556643CF" w14:textId="77777777" w:rsidR="008E7846" w:rsidRPr="00487162" w:rsidRDefault="006C6CAA" w:rsidP="00E45619">
            <w:pPr>
              <w:rPr>
                <w:i/>
              </w:rPr>
            </w:pPr>
            <w:r>
              <w:rPr>
                <w:i/>
              </w:rPr>
              <w:t>Strength</w:t>
            </w:r>
            <w:r w:rsidR="00920B2E">
              <w:rPr>
                <w:i/>
              </w:rPr>
              <w:t>:</w:t>
            </w:r>
          </w:p>
        </w:tc>
        <w:tc>
          <w:tcPr>
            <w:tcW w:w="6307" w:type="dxa"/>
          </w:tcPr>
          <w:p w14:paraId="4F443058" w14:textId="77777777" w:rsidR="008E7846" w:rsidRPr="00487162" w:rsidRDefault="006C6CAA" w:rsidP="00E45619">
            <w:r>
              <w:t>40 mg</w:t>
            </w:r>
          </w:p>
        </w:tc>
      </w:tr>
      <w:tr w:rsidR="008E7846" w:rsidRPr="00487162" w14:paraId="074282D2" w14:textId="77777777" w:rsidTr="00BF1190">
        <w:tc>
          <w:tcPr>
            <w:tcW w:w="2907" w:type="dxa"/>
          </w:tcPr>
          <w:p w14:paraId="34D6ED09" w14:textId="77777777" w:rsidR="008E7846" w:rsidRPr="00487162" w:rsidRDefault="006C6CAA" w:rsidP="00E45619">
            <w:pPr>
              <w:rPr>
                <w:i/>
              </w:rPr>
            </w:pPr>
            <w:r>
              <w:rPr>
                <w:i/>
              </w:rPr>
              <w:t>Containers</w:t>
            </w:r>
            <w:r w:rsidR="008E7846" w:rsidRPr="00487162">
              <w:rPr>
                <w:i/>
              </w:rPr>
              <w:t>:</w:t>
            </w:r>
          </w:p>
        </w:tc>
        <w:tc>
          <w:tcPr>
            <w:tcW w:w="6307" w:type="dxa"/>
          </w:tcPr>
          <w:p w14:paraId="34504A63" w14:textId="2CC7160D" w:rsidR="008E7846" w:rsidRPr="00487162" w:rsidRDefault="006C6CAA" w:rsidP="00E45619">
            <w:r>
              <w:t>Pre</w:t>
            </w:r>
            <w:r w:rsidR="00701252">
              <w:t>-</w:t>
            </w:r>
            <w:r>
              <w:t>filled syringe</w:t>
            </w:r>
            <w:r w:rsidR="00701252">
              <w:t>;</w:t>
            </w:r>
            <w:r>
              <w:t xml:space="preserve"> pre</w:t>
            </w:r>
            <w:r w:rsidR="00701252">
              <w:t>-</w:t>
            </w:r>
            <w:r>
              <w:t xml:space="preserve">filled syringe with </w:t>
            </w:r>
            <w:proofErr w:type="spellStart"/>
            <w:r>
              <w:t>autoinjector</w:t>
            </w:r>
            <w:proofErr w:type="spellEnd"/>
          </w:p>
        </w:tc>
      </w:tr>
      <w:tr w:rsidR="008E7846" w:rsidRPr="00487162" w14:paraId="3D8E5C12" w14:textId="77777777" w:rsidTr="00BF1190">
        <w:tc>
          <w:tcPr>
            <w:tcW w:w="2907" w:type="dxa"/>
          </w:tcPr>
          <w:p w14:paraId="1DA17760" w14:textId="77777777" w:rsidR="008E7846" w:rsidRPr="00487162" w:rsidRDefault="006C6CAA" w:rsidP="00E45619">
            <w:pPr>
              <w:rPr>
                <w:i/>
              </w:rPr>
            </w:pPr>
            <w:r>
              <w:rPr>
                <w:i/>
              </w:rPr>
              <w:t>Pack size</w:t>
            </w:r>
            <w:r w:rsidR="008E7846" w:rsidRPr="00487162">
              <w:rPr>
                <w:i/>
              </w:rPr>
              <w:t>:</w:t>
            </w:r>
          </w:p>
        </w:tc>
        <w:tc>
          <w:tcPr>
            <w:tcW w:w="6307" w:type="dxa"/>
          </w:tcPr>
          <w:p w14:paraId="566D637B" w14:textId="77777777" w:rsidR="008E7846" w:rsidRPr="00487162" w:rsidRDefault="006C6CAA" w:rsidP="00E45619">
            <w:r>
              <w:t>2</w:t>
            </w:r>
          </w:p>
        </w:tc>
      </w:tr>
      <w:tr w:rsidR="008E7846" w:rsidRPr="00487162" w14:paraId="43F8BF6A" w14:textId="77777777" w:rsidTr="00BF1190">
        <w:tc>
          <w:tcPr>
            <w:tcW w:w="2907" w:type="dxa"/>
          </w:tcPr>
          <w:p w14:paraId="196EF81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12FF36D" w14:textId="77777777" w:rsidR="00533141" w:rsidRPr="00533141" w:rsidRDefault="00533141" w:rsidP="00533141">
            <w:pPr>
              <w:rPr>
                <w:i/>
              </w:rPr>
            </w:pPr>
            <w:r w:rsidRPr="00533141">
              <w:rPr>
                <w:i/>
              </w:rPr>
              <w:t>Rheumatoid Arthritis</w:t>
            </w:r>
          </w:p>
          <w:p w14:paraId="379A8679" w14:textId="77777777" w:rsidR="00533141" w:rsidRPr="00533141" w:rsidRDefault="00533141" w:rsidP="00533141">
            <w:pPr>
              <w:rPr>
                <w:i/>
              </w:rPr>
            </w:pPr>
            <w:r w:rsidRPr="00533141">
              <w:rPr>
                <w:i/>
              </w:rPr>
              <w:t>Hadlima is indicated for reducing signs and symptoms, as well as inhibiting the progression of structural damage in adult patients wi</w:t>
            </w:r>
            <w:r>
              <w:rPr>
                <w:i/>
              </w:rPr>
              <w:t>th moderate to seve</w:t>
            </w:r>
            <w:r w:rsidRPr="00533141">
              <w:rPr>
                <w:i/>
              </w:rPr>
              <w:t>rely active rheumatoid arthritis. This includes the treatment of p</w:t>
            </w:r>
            <w:r>
              <w:rPr>
                <w:i/>
              </w:rPr>
              <w:t xml:space="preserve">atients with recently diagnosed </w:t>
            </w:r>
            <w:r w:rsidRPr="00533141">
              <w:rPr>
                <w:i/>
              </w:rPr>
              <w:t>moderate to severely active disease who have not received methotrexate.</w:t>
            </w:r>
          </w:p>
          <w:p w14:paraId="3E259CAF" w14:textId="77777777" w:rsidR="008E7846" w:rsidRPr="00533141" w:rsidRDefault="00533141" w:rsidP="00533141">
            <w:pPr>
              <w:rPr>
                <w:i/>
              </w:rPr>
            </w:pPr>
            <w:r w:rsidRPr="00533141">
              <w:rPr>
                <w:i/>
              </w:rPr>
              <w:t>Hadlima can be used alone or in combination with methotrexate.</w:t>
            </w:r>
          </w:p>
        </w:tc>
      </w:tr>
      <w:tr w:rsidR="008E7846" w:rsidRPr="00487162" w14:paraId="3BF1C8AC" w14:textId="77777777" w:rsidTr="00BF1190">
        <w:tc>
          <w:tcPr>
            <w:tcW w:w="2907" w:type="dxa"/>
          </w:tcPr>
          <w:p w14:paraId="38D4172E" w14:textId="77777777" w:rsidR="008E7846" w:rsidRPr="00487162" w:rsidRDefault="006C6CAA" w:rsidP="00E45619">
            <w:pPr>
              <w:rPr>
                <w:i/>
              </w:rPr>
            </w:pPr>
            <w:r>
              <w:rPr>
                <w:i/>
              </w:rPr>
              <w:t>Route</w:t>
            </w:r>
            <w:r w:rsidR="008E7846" w:rsidRPr="00487162">
              <w:rPr>
                <w:i/>
              </w:rPr>
              <w:t xml:space="preserve"> of administration:</w:t>
            </w:r>
          </w:p>
        </w:tc>
        <w:tc>
          <w:tcPr>
            <w:tcW w:w="6307" w:type="dxa"/>
          </w:tcPr>
          <w:p w14:paraId="3B8A191A" w14:textId="77777777" w:rsidR="008E7846" w:rsidRPr="00487162" w:rsidRDefault="006C6CAA" w:rsidP="00E45619">
            <w:r>
              <w:t>Subcutaneous</w:t>
            </w:r>
          </w:p>
        </w:tc>
      </w:tr>
      <w:tr w:rsidR="008E7846" w:rsidRPr="00487162" w14:paraId="5F69972D" w14:textId="77777777" w:rsidTr="00BF1190">
        <w:tc>
          <w:tcPr>
            <w:tcW w:w="2907" w:type="dxa"/>
          </w:tcPr>
          <w:p w14:paraId="45AC3A3D" w14:textId="77777777" w:rsidR="008E7846" w:rsidRPr="00487162" w:rsidRDefault="008E7846" w:rsidP="00E45619">
            <w:pPr>
              <w:rPr>
                <w:i/>
              </w:rPr>
            </w:pPr>
            <w:r w:rsidRPr="00487162">
              <w:rPr>
                <w:i/>
              </w:rPr>
              <w:t>Dosage:</w:t>
            </w:r>
          </w:p>
        </w:tc>
        <w:tc>
          <w:tcPr>
            <w:tcW w:w="6307" w:type="dxa"/>
          </w:tcPr>
          <w:p w14:paraId="7B430222" w14:textId="77777777" w:rsidR="00533141" w:rsidRPr="00533141" w:rsidRDefault="00533141" w:rsidP="00533141">
            <w:r w:rsidRPr="00533141">
              <w:t>The recommended dose of Hadlima for adult patients with rheumatoid arthritis is 40</w:t>
            </w:r>
            <w:r>
              <w:t xml:space="preserve"> </w:t>
            </w:r>
            <w:r w:rsidRPr="00533141">
              <w:t>mg administered fortnightly as a single dose. Methotrexate</w:t>
            </w:r>
            <w:r>
              <w:t xml:space="preserve">, glucocorticoids, salicylates, </w:t>
            </w:r>
            <w:r w:rsidRPr="00533141">
              <w:t>nonsteroidal anti-inflammatory drugs or ana</w:t>
            </w:r>
            <w:r>
              <w:t xml:space="preserve">lgesics may be continued during </w:t>
            </w:r>
            <w:r w:rsidRPr="00533141">
              <w:t>treatment with Hadlima.</w:t>
            </w:r>
          </w:p>
          <w:p w14:paraId="54B5D999" w14:textId="77777777" w:rsidR="008E7846" w:rsidRPr="00487162" w:rsidRDefault="00533141" w:rsidP="00533141">
            <w:r w:rsidRPr="00533141">
              <w:t>Some patients not taking concomitant methotrexate may</w:t>
            </w:r>
            <w:r w:rsidR="00F2391D">
              <w:t xml:space="preserve"> derive additional benefit from </w:t>
            </w:r>
            <w:r w:rsidRPr="00533141">
              <w:t>increasing the dosing frequency of Hadlima to 40 mg every week.</w:t>
            </w:r>
          </w:p>
        </w:tc>
      </w:tr>
    </w:tbl>
    <w:p w14:paraId="70D975F5" w14:textId="77777777" w:rsidR="008E7846" w:rsidRDefault="008E7846" w:rsidP="00630678">
      <w:pPr>
        <w:pStyle w:val="Heading3"/>
      </w:pPr>
      <w:bookmarkStart w:id="12" w:name="_Toc247691503"/>
      <w:bookmarkStart w:id="13" w:name="_Toc314842484"/>
      <w:bookmarkStart w:id="14" w:name="_Toc8816472"/>
      <w:r>
        <w:lastRenderedPageBreak/>
        <w:t xml:space="preserve">Product </w:t>
      </w:r>
      <w:r w:rsidRPr="00630678">
        <w:t>background</w:t>
      </w:r>
      <w:bookmarkEnd w:id="12"/>
      <w:bookmarkEnd w:id="13"/>
      <w:bookmarkEnd w:id="14"/>
    </w:p>
    <w:p w14:paraId="618F2553" w14:textId="6CA5C4A4" w:rsidR="008E7846" w:rsidRDefault="00940A89" w:rsidP="00630678">
      <w:r w:rsidRPr="00940A89">
        <w:t xml:space="preserve">This AusPAR describes the application by </w:t>
      </w:r>
      <w:r w:rsidR="00ED2F76">
        <w:t>Samsung Bioepis Pty Ltd</w:t>
      </w:r>
      <w:r w:rsidR="00ED2F76" w:rsidRPr="00940A89">
        <w:t xml:space="preserve"> </w:t>
      </w:r>
      <w:r w:rsidR="00ED2F76">
        <w:t>(</w:t>
      </w:r>
      <w:r w:rsidRPr="00940A89">
        <w:t>the sponsor</w:t>
      </w:r>
      <w:r w:rsidR="00ED2F76">
        <w:t>)</w:t>
      </w:r>
      <w:r w:rsidRPr="00940A89">
        <w:t xml:space="preserve"> to register </w:t>
      </w:r>
      <w:r w:rsidR="00316E5D">
        <w:t xml:space="preserve">the biosimilar medicine </w:t>
      </w:r>
      <w:r w:rsidR="00ED2F76">
        <w:t xml:space="preserve">Hadlima adalimumab 40 mg solution for injection in either a </w:t>
      </w:r>
      <w:proofErr w:type="spellStart"/>
      <w:r w:rsidR="00ED2F76">
        <w:t>PushTouch</w:t>
      </w:r>
      <w:proofErr w:type="spellEnd"/>
      <w:r w:rsidR="00ED2F76">
        <w:t xml:space="preserve"> auto injector or a pre filled syringe</w:t>
      </w:r>
      <w:r w:rsidRPr="00940A89">
        <w:t xml:space="preserve"> f</w:t>
      </w:r>
      <w:r w:rsidR="00ED2F76">
        <w:t>or the following indications</w:t>
      </w:r>
      <w:r w:rsidR="005B092C">
        <w:t>:</w:t>
      </w:r>
      <w:r w:rsidR="00CF05D4">
        <w:rPr>
          <w:rStyle w:val="FootnoteReference"/>
        </w:rPr>
        <w:footnoteReference w:id="1"/>
      </w:r>
    </w:p>
    <w:p w14:paraId="4B97BB97" w14:textId="77777777" w:rsidR="00ED2F76" w:rsidRPr="00CF05D4" w:rsidRDefault="00CF05D4" w:rsidP="00CF05D4">
      <w:pPr>
        <w:rPr>
          <w:i/>
        </w:rPr>
      </w:pPr>
      <w:r w:rsidRPr="00CF05D4">
        <w:rPr>
          <w:i/>
        </w:rPr>
        <w:t>Rheumatoid Arthritis</w:t>
      </w:r>
    </w:p>
    <w:p w14:paraId="170472EA" w14:textId="77777777" w:rsidR="00ED2F76" w:rsidRPr="00CF05D4" w:rsidRDefault="00ED2F76" w:rsidP="00CF05D4">
      <w:pPr>
        <w:ind w:left="720"/>
        <w:rPr>
          <w:i/>
        </w:rPr>
      </w:pPr>
      <w:r w:rsidRPr="00CF05D4">
        <w:rPr>
          <w:i/>
        </w:rPr>
        <w:t>Hadlima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20B9336E" w14:textId="77777777" w:rsidR="00ED2F76" w:rsidRPr="00CF05D4" w:rsidRDefault="00ED2F76" w:rsidP="00CF05D4">
      <w:pPr>
        <w:ind w:left="720"/>
        <w:rPr>
          <w:i/>
        </w:rPr>
      </w:pPr>
      <w:r w:rsidRPr="00CF05D4">
        <w:rPr>
          <w:i/>
        </w:rPr>
        <w:t>Hadlima can be used alone or in combination with methotrexate.</w:t>
      </w:r>
    </w:p>
    <w:p w14:paraId="7BF6D42E" w14:textId="77777777" w:rsidR="00ED2F76" w:rsidRPr="00CF05D4" w:rsidRDefault="00ED2F76" w:rsidP="00ED2F76">
      <w:pPr>
        <w:rPr>
          <w:i/>
        </w:rPr>
      </w:pPr>
      <w:r w:rsidRPr="00CF05D4">
        <w:rPr>
          <w:i/>
        </w:rPr>
        <w:t>Juvenile Idiopathic Arthritis</w:t>
      </w:r>
    </w:p>
    <w:p w14:paraId="4736E504" w14:textId="77777777" w:rsidR="00ED2F76" w:rsidRPr="00CF05D4" w:rsidRDefault="00ED2F76" w:rsidP="00CF05D4">
      <w:pPr>
        <w:ind w:left="720"/>
        <w:rPr>
          <w:i/>
        </w:rPr>
      </w:pPr>
      <w:r w:rsidRPr="00CF05D4">
        <w:rPr>
          <w:i/>
        </w:rPr>
        <w:t>Polyarticular Juvenile Idiopathic Arthritis</w:t>
      </w:r>
    </w:p>
    <w:p w14:paraId="1FFCB17B" w14:textId="645F3207" w:rsidR="00ED2F76" w:rsidRPr="00CF05D4" w:rsidRDefault="00ED2F76" w:rsidP="00CF05D4">
      <w:pPr>
        <w:ind w:left="720"/>
        <w:rPr>
          <w:i/>
        </w:rPr>
      </w:pPr>
      <w:r w:rsidRPr="00CF05D4">
        <w:rPr>
          <w:i/>
        </w:rPr>
        <w:t xml:space="preserve">Hadlima in combination with methotrexate is indicated for reducing the signs and symptoms of moderately to severely active polyarticular juvenile idiopathic arthritis in patients 2 years of age and older </w:t>
      </w:r>
      <w:r w:rsidRPr="00CF05D4">
        <w:rPr>
          <w:b/>
          <w:i/>
        </w:rPr>
        <w:t xml:space="preserve">and </w:t>
      </w:r>
      <w:r w:rsidR="00630678">
        <w:rPr>
          <w:b/>
          <w:i/>
        </w:rPr>
        <w:t>≥</w:t>
      </w:r>
      <w:r w:rsidR="00C05C12">
        <w:rPr>
          <w:b/>
          <w:i/>
        </w:rPr>
        <w:t xml:space="preserve"> </w:t>
      </w:r>
      <w:r w:rsidRPr="00CF05D4">
        <w:rPr>
          <w:b/>
          <w:i/>
        </w:rPr>
        <w:t>30 kg body weight</w:t>
      </w:r>
      <w:r w:rsidRPr="00CF05D4">
        <w:rPr>
          <w:i/>
        </w:rPr>
        <w:t xml:space="preserve"> who have had an inadequate response to one or more disease modifying anti-rheumatic drugs (DMARDs). Hadlima can be given as monotherapy in case of intolerance to methotrexate or when continued treatment with methotrexate is inappropriate.</w:t>
      </w:r>
    </w:p>
    <w:p w14:paraId="3C318C28" w14:textId="77777777" w:rsidR="00ED2F76" w:rsidRPr="00DE2BBD" w:rsidRDefault="00ED2F76" w:rsidP="00CF05D4">
      <w:pPr>
        <w:ind w:left="720"/>
        <w:rPr>
          <w:i/>
        </w:rPr>
      </w:pPr>
      <w:proofErr w:type="spellStart"/>
      <w:r w:rsidRPr="00DE2BBD">
        <w:rPr>
          <w:i/>
        </w:rPr>
        <w:t>Enthesitis</w:t>
      </w:r>
      <w:proofErr w:type="spellEnd"/>
      <w:r w:rsidRPr="00DE2BBD">
        <w:rPr>
          <w:i/>
        </w:rPr>
        <w:t>-Related Arthritis</w:t>
      </w:r>
    </w:p>
    <w:p w14:paraId="53DAB784" w14:textId="77777777" w:rsidR="00ED2F76" w:rsidRPr="00CF05D4" w:rsidRDefault="00ED2F76" w:rsidP="00CF05D4">
      <w:pPr>
        <w:ind w:left="720"/>
        <w:rPr>
          <w:i/>
        </w:rPr>
      </w:pPr>
      <w:r w:rsidRPr="00CF05D4">
        <w:rPr>
          <w:i/>
        </w:rPr>
        <w:t xml:space="preserve">Hadlima is indicated for the treatment of </w:t>
      </w:r>
      <w:proofErr w:type="spellStart"/>
      <w:r w:rsidRPr="00CF05D4">
        <w:rPr>
          <w:i/>
        </w:rPr>
        <w:t>enthesitis</w:t>
      </w:r>
      <w:proofErr w:type="spellEnd"/>
      <w:r w:rsidRPr="00CF05D4">
        <w:rPr>
          <w:i/>
        </w:rPr>
        <w:t>-related arthritis in children who have had an inadequate response to, or who are intolerant to, conventional therapy.</w:t>
      </w:r>
    </w:p>
    <w:p w14:paraId="08BF2CC1" w14:textId="77777777" w:rsidR="00ED2F76" w:rsidRPr="00CF05D4" w:rsidRDefault="00CF05D4" w:rsidP="00ED2F76">
      <w:pPr>
        <w:rPr>
          <w:i/>
        </w:rPr>
      </w:pPr>
      <w:r>
        <w:rPr>
          <w:i/>
        </w:rPr>
        <w:t>Psoriatic arthritis</w:t>
      </w:r>
    </w:p>
    <w:p w14:paraId="2924ADE0" w14:textId="77777777" w:rsidR="00ED2F76" w:rsidRPr="00CF05D4" w:rsidRDefault="00ED2F76" w:rsidP="00CF05D4">
      <w:pPr>
        <w:ind w:left="720"/>
        <w:rPr>
          <w:i/>
        </w:rPr>
      </w:pPr>
      <w:r w:rsidRPr="00CF05D4">
        <w:rPr>
          <w:i/>
        </w:rPr>
        <w:t>Hadlima is indicated for the treatment of signs and symptoms, as well as inhibiting the progression of structural damage, of moderate to severely active psoriatic arthritis in adult patients where response to previous DMARDs has been inadequate.</w:t>
      </w:r>
    </w:p>
    <w:p w14:paraId="7F2F21F8" w14:textId="77777777" w:rsidR="00ED2F76" w:rsidRPr="00CF05D4" w:rsidRDefault="00CF05D4" w:rsidP="00ED2F76">
      <w:pPr>
        <w:rPr>
          <w:i/>
        </w:rPr>
      </w:pPr>
      <w:r>
        <w:rPr>
          <w:i/>
        </w:rPr>
        <w:t>Ankylosing Spondylitis</w:t>
      </w:r>
    </w:p>
    <w:p w14:paraId="4E371EC1" w14:textId="77777777" w:rsidR="00ED2F76" w:rsidRPr="00CF05D4" w:rsidRDefault="00ED2F76" w:rsidP="00CF05D4">
      <w:pPr>
        <w:ind w:left="720"/>
        <w:rPr>
          <w:i/>
        </w:rPr>
      </w:pPr>
      <w:r w:rsidRPr="00CF05D4">
        <w:rPr>
          <w:i/>
        </w:rPr>
        <w:t>Hadlima is indicated for reducing signs and symptoms in patients with active ankylosing spondylitis.</w:t>
      </w:r>
    </w:p>
    <w:p w14:paraId="33A3AF1A" w14:textId="77777777" w:rsidR="00ED2F76" w:rsidRPr="00CF05D4" w:rsidRDefault="00ED2F76" w:rsidP="00ED2F76">
      <w:pPr>
        <w:rPr>
          <w:i/>
        </w:rPr>
      </w:pPr>
      <w:r w:rsidRPr="00CF05D4">
        <w:rPr>
          <w:i/>
        </w:rPr>
        <w:t xml:space="preserve">Crohn’s Disease in Adults and Children </w:t>
      </w:r>
      <w:r w:rsidRPr="00CF05D4">
        <w:rPr>
          <w:b/>
          <w:i/>
        </w:rPr>
        <w:t>in severe CD</w:t>
      </w:r>
      <w:r w:rsidRPr="00CF05D4">
        <w:rPr>
          <w:i/>
        </w:rPr>
        <w:t xml:space="preserve"> </w:t>
      </w:r>
      <w:r w:rsidR="00C05C12">
        <w:rPr>
          <w:i/>
        </w:rPr>
        <w:t xml:space="preserve">≥ </w:t>
      </w:r>
      <w:r w:rsidRPr="00CF05D4">
        <w:rPr>
          <w:i/>
        </w:rPr>
        <w:t xml:space="preserve">6 years </w:t>
      </w:r>
      <w:r w:rsidRPr="00CF05D4">
        <w:rPr>
          <w:b/>
          <w:i/>
        </w:rPr>
        <w:t xml:space="preserve">and </w:t>
      </w:r>
      <w:r w:rsidR="00C05C12">
        <w:rPr>
          <w:b/>
          <w:i/>
        </w:rPr>
        <w:t xml:space="preserve">≥ </w:t>
      </w:r>
      <w:r w:rsidRPr="00CF05D4">
        <w:rPr>
          <w:b/>
          <w:i/>
        </w:rPr>
        <w:t xml:space="preserve">40 kg body </w:t>
      </w:r>
      <w:proofErr w:type="gramStart"/>
      <w:r w:rsidRPr="00CF05D4">
        <w:rPr>
          <w:b/>
          <w:i/>
        </w:rPr>
        <w:t>weight</w:t>
      </w:r>
      <w:proofErr w:type="gramEnd"/>
    </w:p>
    <w:p w14:paraId="29813BE2" w14:textId="77777777" w:rsidR="00ED2F76" w:rsidRPr="00CF05D4" w:rsidRDefault="00ED2F76" w:rsidP="00CF05D4">
      <w:pPr>
        <w:ind w:left="720"/>
        <w:rPr>
          <w:i/>
        </w:rPr>
      </w:pPr>
      <w:r w:rsidRPr="00CF05D4">
        <w:rPr>
          <w:i/>
        </w:rPr>
        <w:t xml:space="preserve">Hadlima is indicated for the treatment of moderate to severe Crohn’s disease </w:t>
      </w:r>
      <w:r w:rsidRPr="00CF05D4">
        <w:rPr>
          <w:b/>
          <w:i/>
        </w:rPr>
        <w:t xml:space="preserve">in adult and severe Crohn’s disease in children, </w:t>
      </w:r>
      <w:r w:rsidR="00C05C12">
        <w:rPr>
          <w:b/>
          <w:i/>
        </w:rPr>
        <w:t xml:space="preserve">≥ </w:t>
      </w:r>
      <w:r w:rsidRPr="00CF05D4">
        <w:rPr>
          <w:b/>
          <w:i/>
        </w:rPr>
        <w:t xml:space="preserve">6 years of age and </w:t>
      </w:r>
      <w:r w:rsidR="00C05C12">
        <w:rPr>
          <w:b/>
          <w:i/>
        </w:rPr>
        <w:t xml:space="preserve">≥ </w:t>
      </w:r>
      <w:r w:rsidRPr="00CF05D4">
        <w:rPr>
          <w:b/>
          <w:i/>
        </w:rPr>
        <w:t>40 kg body weight,</w:t>
      </w:r>
      <w:r w:rsidRPr="00CF05D4">
        <w:rPr>
          <w:i/>
        </w:rPr>
        <w:t xml:space="preserve"> to reduce the signs and symptoms of the disease and to induce and maintain clinical remission in patients;</w:t>
      </w:r>
    </w:p>
    <w:p w14:paraId="5DE312DC" w14:textId="77777777" w:rsidR="00ED2F76" w:rsidRPr="00CF05D4" w:rsidRDefault="00ED2F76" w:rsidP="00CF05D4">
      <w:pPr>
        <w:pStyle w:val="ListBullet3"/>
        <w:rPr>
          <w:i/>
        </w:rPr>
      </w:pPr>
      <w:r w:rsidRPr="00CF05D4">
        <w:rPr>
          <w:i/>
        </w:rPr>
        <w:t>who have had an inadequate response to conventional therapies or,</w:t>
      </w:r>
    </w:p>
    <w:p w14:paraId="6B575FE1" w14:textId="77777777" w:rsidR="00ED2F76" w:rsidRPr="00CF05D4" w:rsidRDefault="00ED2F76" w:rsidP="00CF05D4">
      <w:pPr>
        <w:pStyle w:val="ListBullet3"/>
        <w:rPr>
          <w:i/>
        </w:rPr>
      </w:pPr>
      <w:proofErr w:type="gramStart"/>
      <w:r w:rsidRPr="00CF05D4">
        <w:rPr>
          <w:i/>
        </w:rPr>
        <w:t>who</w:t>
      </w:r>
      <w:proofErr w:type="gramEnd"/>
      <w:r w:rsidRPr="00CF05D4">
        <w:rPr>
          <w:i/>
        </w:rPr>
        <w:t xml:space="preserve"> have lost response to or are intolerant to infliximab.</w:t>
      </w:r>
    </w:p>
    <w:p w14:paraId="12063267" w14:textId="77777777" w:rsidR="00ED2F76" w:rsidRPr="00CF05D4" w:rsidRDefault="00ED2F76" w:rsidP="00ED2F76">
      <w:pPr>
        <w:rPr>
          <w:i/>
        </w:rPr>
      </w:pPr>
      <w:r w:rsidRPr="00CF05D4">
        <w:rPr>
          <w:i/>
        </w:rPr>
        <w:t>Ulcerative Colitis</w:t>
      </w:r>
    </w:p>
    <w:p w14:paraId="12C8500B" w14:textId="77777777" w:rsidR="00ED2F76" w:rsidRPr="00CF05D4" w:rsidRDefault="00ED2F76" w:rsidP="00CF05D4">
      <w:pPr>
        <w:ind w:left="720"/>
        <w:rPr>
          <w:i/>
        </w:rPr>
      </w:pPr>
      <w:r w:rsidRPr="00CF05D4">
        <w:rPr>
          <w:i/>
        </w:rPr>
        <w:t>Hadlima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(see Clinical Trials)</w:t>
      </w:r>
      <w:r w:rsidR="00CF05D4">
        <w:rPr>
          <w:i/>
        </w:rPr>
        <w:t>.</w:t>
      </w:r>
    </w:p>
    <w:p w14:paraId="29B3796F" w14:textId="77777777" w:rsidR="00ED2F76" w:rsidRPr="00CF05D4" w:rsidRDefault="00ED2F76" w:rsidP="00DD1209">
      <w:pPr>
        <w:keepNext/>
        <w:rPr>
          <w:i/>
        </w:rPr>
      </w:pPr>
      <w:r w:rsidRPr="00CF05D4">
        <w:rPr>
          <w:i/>
        </w:rPr>
        <w:lastRenderedPageBreak/>
        <w:t>Psoriasis in Adults and Children</w:t>
      </w:r>
    </w:p>
    <w:p w14:paraId="65465D15" w14:textId="77777777" w:rsidR="00ED2F76" w:rsidRPr="00CF05D4" w:rsidRDefault="00ED2F76" w:rsidP="00CF05D4">
      <w:pPr>
        <w:ind w:left="720"/>
        <w:rPr>
          <w:i/>
        </w:rPr>
      </w:pPr>
      <w:r w:rsidRPr="00CF05D4">
        <w:rPr>
          <w:i/>
        </w:rPr>
        <w:t>Hadlima is indicated for the treatment of moderate to severe chronic plaque psoriasis in adult patients who are candidates for systemic therapy or phototherapy.</w:t>
      </w:r>
    </w:p>
    <w:p w14:paraId="576DCC96" w14:textId="77777777" w:rsidR="00ED2F76" w:rsidRPr="00CF05D4" w:rsidRDefault="00ED2F76" w:rsidP="00CF05D4">
      <w:pPr>
        <w:ind w:left="720"/>
        <w:rPr>
          <w:i/>
        </w:rPr>
      </w:pPr>
      <w:r w:rsidRPr="00CF05D4">
        <w:rPr>
          <w:i/>
        </w:rPr>
        <w:t xml:space="preserve">Hadlima is indicated for the treatment of severe chronic plaque psoriasis in children and adolescent patients from 4 years of age </w:t>
      </w:r>
      <w:r w:rsidRPr="00CF05D4">
        <w:rPr>
          <w:b/>
          <w:i/>
        </w:rPr>
        <w:t xml:space="preserve">and </w:t>
      </w:r>
      <w:r w:rsidR="00C05C12">
        <w:rPr>
          <w:b/>
          <w:i/>
        </w:rPr>
        <w:t xml:space="preserve">≥ </w:t>
      </w:r>
      <w:r w:rsidRPr="00CF05D4">
        <w:rPr>
          <w:b/>
          <w:i/>
        </w:rPr>
        <w:t>40 kg body weight</w:t>
      </w:r>
      <w:r w:rsidRPr="00CF05D4">
        <w:rPr>
          <w:i/>
        </w:rPr>
        <w:t xml:space="preserve"> who have had an inadequate response to or are inappropriate candidates for topical therapy and phototherapy.</w:t>
      </w:r>
    </w:p>
    <w:p w14:paraId="2A4E8E28" w14:textId="77777777" w:rsidR="00ED2F76" w:rsidRPr="00CF05D4" w:rsidRDefault="00ED2F76" w:rsidP="00ED2F76">
      <w:pPr>
        <w:rPr>
          <w:i/>
        </w:rPr>
      </w:pPr>
      <w:r w:rsidRPr="00CF05D4">
        <w:rPr>
          <w:i/>
        </w:rPr>
        <w:t>Hidradenitis Suppurativa</w:t>
      </w:r>
    </w:p>
    <w:p w14:paraId="22B04B15" w14:textId="77777777" w:rsidR="00ED2F76" w:rsidRPr="00CF05D4" w:rsidRDefault="00ED2F76" w:rsidP="00CF05D4">
      <w:pPr>
        <w:ind w:left="720"/>
        <w:rPr>
          <w:i/>
        </w:rPr>
      </w:pPr>
      <w:r w:rsidRPr="00CF05D4">
        <w:rPr>
          <w:i/>
        </w:rPr>
        <w:t xml:space="preserve">Hadlima is indicated for the treatment of active moderate to severe hidradenitis </w:t>
      </w:r>
      <w:proofErr w:type="spellStart"/>
      <w:r w:rsidRPr="00CF05D4">
        <w:rPr>
          <w:i/>
        </w:rPr>
        <w:t>suppurativa</w:t>
      </w:r>
      <w:proofErr w:type="spellEnd"/>
      <w:r w:rsidRPr="00CF05D4">
        <w:rPr>
          <w:i/>
        </w:rPr>
        <w:t xml:space="preserve"> (acne </w:t>
      </w:r>
      <w:proofErr w:type="spellStart"/>
      <w:r w:rsidRPr="00CF05D4">
        <w:rPr>
          <w:i/>
        </w:rPr>
        <w:t>inversa</w:t>
      </w:r>
      <w:proofErr w:type="spellEnd"/>
      <w:r w:rsidRPr="00CF05D4">
        <w:rPr>
          <w:i/>
        </w:rPr>
        <w:t>) in adult patients with an inadequate response to conventional systemic hidradenitis suppurativa therapy.</w:t>
      </w:r>
    </w:p>
    <w:p w14:paraId="603D2118" w14:textId="77777777" w:rsidR="00ED2F76" w:rsidRPr="00CF05D4" w:rsidRDefault="00ED2F76" w:rsidP="00ED2F76">
      <w:pPr>
        <w:rPr>
          <w:i/>
        </w:rPr>
      </w:pPr>
      <w:r w:rsidRPr="00CF05D4">
        <w:rPr>
          <w:i/>
        </w:rPr>
        <w:t>Uveitis</w:t>
      </w:r>
    </w:p>
    <w:p w14:paraId="242B85F7" w14:textId="77777777" w:rsidR="00ED2F76" w:rsidRPr="00CF05D4" w:rsidRDefault="00ED2F76" w:rsidP="00CF05D4">
      <w:pPr>
        <w:ind w:left="720"/>
        <w:rPr>
          <w:i/>
        </w:rPr>
      </w:pPr>
      <w:r w:rsidRPr="00CF05D4">
        <w:rPr>
          <w:i/>
        </w:rPr>
        <w:t>Hadlima is indicated for the treatment of non-infectious intermediate, posterior and pan-uveitis in adult patients who have had an inadequate response to corticosteroids, in patients in need of corticosteroid sparing, or in whom corticosteroid treatment is inappropriate.</w:t>
      </w:r>
    </w:p>
    <w:p w14:paraId="34BF0BF4" w14:textId="77777777" w:rsidR="00316E5D" w:rsidRDefault="00316E5D" w:rsidP="00316E5D">
      <w:r>
        <w:t>The proposed treatment indications for Hadlima are similar, but not identical, to the registered treatment indication</w:t>
      </w:r>
      <w:r w:rsidR="00DD1209">
        <w:t>s for the reference product, Humira</w:t>
      </w:r>
      <w:r>
        <w:t>. The text highlighted in bold shows the additional proposed elements for Hadlima that do not appear in the Humira treatment indication wording.</w:t>
      </w:r>
    </w:p>
    <w:p w14:paraId="203A6476" w14:textId="2BD0D044" w:rsidR="00316E5D" w:rsidRDefault="00316E5D" w:rsidP="00316E5D">
      <w:r>
        <w:t xml:space="preserve">Adalimumab is a recombinant human immunoglobulin (IgG1) monoclonal antibody containing only human peptide sequences that bind with high affinity and specificity to soluble human tumour necrosis </w:t>
      </w:r>
      <w:r w:rsidR="00DD1209">
        <w:t xml:space="preserve">factor </w:t>
      </w:r>
      <w:r w:rsidR="00FA7BAA">
        <w:t xml:space="preserve">(TNF) alpha </w:t>
      </w:r>
      <w:r>
        <w:t>(TNF</w:t>
      </w:r>
      <w:r w:rsidR="00FA7BAA">
        <w:t xml:space="preserve"> </w:t>
      </w:r>
      <w:r w:rsidR="00FA7BAA" w:rsidRPr="00E46444">
        <w:rPr>
          <w:bCs/>
          <w:color w:val="000000" w:themeColor="text1"/>
          <w:szCs w:val="21"/>
          <w:lang w:val="en-GB" w:eastAsia="en-AU"/>
        </w:rPr>
        <w:t>α</w:t>
      </w:r>
      <w:r>
        <w:t xml:space="preserve">), but not </w:t>
      </w:r>
      <w:proofErr w:type="spellStart"/>
      <w:r>
        <w:t>lymphotoxin</w:t>
      </w:r>
      <w:proofErr w:type="spellEnd"/>
      <w:r>
        <w:t xml:space="preserve"> (</w:t>
      </w:r>
      <w:r w:rsidR="00FA7BAA">
        <w:t>tumour necrosis factor </w:t>
      </w:r>
      <w:r>
        <w:t>beta</w:t>
      </w:r>
      <w:r w:rsidR="00FA7BAA">
        <w:t xml:space="preserve"> (TNF </w:t>
      </w:r>
      <w:r w:rsidR="00FA7BAA" w:rsidRPr="00FA7BAA">
        <w:t>β</w:t>
      </w:r>
      <w:r>
        <w:t>)</w:t>
      </w:r>
      <w:r w:rsidR="00FA7BAA">
        <w:t>)</w:t>
      </w:r>
      <w:r>
        <w:t>, thereby preventing the interaction between TNF, and the p55 and p75 cell surface TNF receptors. As a consequence, TNF is rendered biologically inactive.</w:t>
      </w:r>
    </w:p>
    <w:p w14:paraId="7B2CCE04" w14:textId="77777777" w:rsidR="00316E5D" w:rsidRDefault="00316E5D" w:rsidP="00316E5D">
      <w:r w:rsidRPr="000559C0">
        <w:t xml:space="preserve">The submission proposes registration of the following strengths </w:t>
      </w:r>
      <w:r>
        <w:t xml:space="preserve">and dosage forms </w:t>
      </w:r>
      <w:r w:rsidRPr="000559C0">
        <w:t xml:space="preserve">of </w:t>
      </w:r>
      <w:r>
        <w:t>Hadlima</w:t>
      </w:r>
      <w:r w:rsidRPr="000559C0">
        <w:t>: 40 mg of adalimumab dissolved in 0.8 mL sterile solution, presented in single use, pre-filled syringes (PFS) and as an auto-injector device (AID)</w:t>
      </w:r>
      <w:r>
        <w:t>.</w:t>
      </w:r>
    </w:p>
    <w:p w14:paraId="00E876C7" w14:textId="77777777" w:rsidR="00940A89" w:rsidRDefault="00DD1209" w:rsidP="00940A89">
      <w:r>
        <w:t>The reference product, Humira</w:t>
      </w:r>
      <w:r w:rsidR="00316E5D" w:rsidRPr="000559C0">
        <w:t xml:space="preserve"> has 3 dose presentations currently registered in Australia</w:t>
      </w:r>
      <w:r w:rsidR="00316E5D">
        <w:t>: 10 </w:t>
      </w:r>
      <w:r w:rsidR="00316E5D" w:rsidRPr="000559C0">
        <w:t xml:space="preserve">mg/0.2 mL and 20 mg/0.4 mL (both for paediatric use only; only available as </w:t>
      </w:r>
      <w:r w:rsidR="00683EFD">
        <w:t>pre filled syringe (PFS)</w:t>
      </w:r>
      <w:r w:rsidR="00316E5D" w:rsidRPr="000559C0">
        <w:t xml:space="preserve">) as well as the 40 mg/0.8 mL presentation (for adult and paediatric use; presented as PFS and </w:t>
      </w:r>
      <w:r w:rsidR="00683EFD">
        <w:t>auto injector device (</w:t>
      </w:r>
      <w:r w:rsidR="00316E5D" w:rsidRPr="000559C0">
        <w:t>AID</w:t>
      </w:r>
      <w:r w:rsidR="00683EFD">
        <w:t>)</w:t>
      </w:r>
      <w:r w:rsidR="00316E5D" w:rsidRPr="000559C0">
        <w:t>)</w:t>
      </w:r>
      <w:r w:rsidR="00316E5D">
        <w:t>. The 10 </w:t>
      </w:r>
      <w:r w:rsidR="00316E5D" w:rsidRPr="000559C0">
        <w:t>mg vial presentation of Humira is not currently marketed in Australia</w:t>
      </w:r>
      <w:r w:rsidR="00316E5D">
        <w:t>.</w:t>
      </w:r>
    </w:p>
    <w:p w14:paraId="71216590" w14:textId="77777777" w:rsidR="008E7846" w:rsidRPr="003F31A2" w:rsidRDefault="00386150" w:rsidP="00630678">
      <w:pPr>
        <w:pStyle w:val="Heading3"/>
      </w:pPr>
      <w:bookmarkStart w:id="15" w:name="_Toc314842485"/>
      <w:bookmarkStart w:id="16" w:name="_Toc247691504"/>
      <w:bookmarkStart w:id="17" w:name="_Toc8816473"/>
      <w:r>
        <w:t xml:space="preserve">Regulatory </w:t>
      </w:r>
      <w:r w:rsidRPr="00630678">
        <w:t>s</w:t>
      </w:r>
      <w:r w:rsidR="008E7846" w:rsidRPr="00630678">
        <w:t>tatus</w:t>
      </w:r>
      <w:bookmarkEnd w:id="15"/>
      <w:bookmarkEnd w:id="16"/>
      <w:bookmarkEnd w:id="17"/>
    </w:p>
    <w:p w14:paraId="29424B23" w14:textId="77777777" w:rsidR="00940A89" w:rsidRDefault="00940A89" w:rsidP="00940A89">
      <w:bookmarkStart w:id="18" w:name="_Toc247691505"/>
      <w:bookmarkStart w:id="19" w:name="_Toc314842486"/>
      <w:r w:rsidRPr="00940A89">
        <w:t>The product received initial registration on the Australian Register</w:t>
      </w:r>
      <w:r w:rsidR="00F2391D">
        <w:t xml:space="preserve"> of Therapeutic Goods (ARTG) 24 January 2018.</w:t>
      </w:r>
    </w:p>
    <w:p w14:paraId="6F494C76" w14:textId="2E824542" w:rsidR="00B35696" w:rsidRPr="00940A89" w:rsidRDefault="00B35696" w:rsidP="00630678">
      <w:r>
        <w:t xml:space="preserve">At the time </w:t>
      </w:r>
      <w:r w:rsidR="00393154">
        <w:t xml:space="preserve">the TGA considered this </w:t>
      </w:r>
      <w:r>
        <w:t>submission, Hadlima was approved in the European Union (EU) via the centralised procedure (Aug</w:t>
      </w:r>
      <w:r w:rsidR="005B092C">
        <w:t>ust</w:t>
      </w:r>
      <w:r>
        <w:t xml:space="preserve"> 2017), and </w:t>
      </w:r>
      <w:r w:rsidRPr="007F5B2E">
        <w:t xml:space="preserve">in </w:t>
      </w:r>
      <w:r>
        <w:t xml:space="preserve">the </w:t>
      </w:r>
      <w:r w:rsidRPr="007F5B2E">
        <w:rPr>
          <w:rFonts w:hint="eastAsia"/>
        </w:rPr>
        <w:t>Repu</w:t>
      </w:r>
      <w:r>
        <w:rPr>
          <w:rFonts w:hint="eastAsia"/>
        </w:rPr>
        <w:t>b</w:t>
      </w:r>
      <w:r w:rsidRPr="007F5B2E">
        <w:rPr>
          <w:rFonts w:hint="eastAsia"/>
        </w:rPr>
        <w:t>lic of Korea</w:t>
      </w:r>
      <w:r w:rsidRPr="007F5B2E">
        <w:t xml:space="preserve"> </w:t>
      </w:r>
      <w:r w:rsidRPr="007F5B2E">
        <w:rPr>
          <w:rFonts w:hint="eastAsia"/>
        </w:rPr>
        <w:t>(</w:t>
      </w:r>
      <w:r>
        <w:rPr>
          <w:rFonts w:hint="eastAsia"/>
        </w:rPr>
        <w:t>Sep</w:t>
      </w:r>
      <w:r w:rsidR="005B092C">
        <w:t>tember</w:t>
      </w:r>
      <w:r w:rsidRPr="007F5B2E">
        <w:t xml:space="preserve"> 201</w:t>
      </w:r>
      <w:r w:rsidRPr="007F5B2E">
        <w:rPr>
          <w:rFonts w:hint="eastAsia"/>
        </w:rPr>
        <w:t>7)</w:t>
      </w:r>
      <w:r>
        <w:t xml:space="preserve">. A submission </w:t>
      </w:r>
      <w:r w:rsidR="00393154">
        <w:t>was also under consideration in</w:t>
      </w:r>
      <w:r w:rsidRPr="004C5D29">
        <w:t xml:space="preserve"> Canada</w:t>
      </w:r>
      <w:r w:rsidR="005B092C">
        <w:t>.</w:t>
      </w:r>
      <w:r w:rsidR="00393154">
        <w:rPr>
          <w:rStyle w:val="FootnoteReference"/>
        </w:rPr>
        <w:footnoteReference w:id="2"/>
      </w:r>
    </w:p>
    <w:p w14:paraId="42900BC7" w14:textId="658F2551" w:rsidR="008E7846" w:rsidRDefault="008E7846" w:rsidP="00630678">
      <w:pPr>
        <w:pStyle w:val="Heading3"/>
      </w:pPr>
      <w:bookmarkStart w:id="20" w:name="_Toc8816474"/>
      <w:r>
        <w:lastRenderedPageBreak/>
        <w:t xml:space="preserve">Product </w:t>
      </w:r>
      <w:r w:rsidRPr="00630678">
        <w:t>Information</w:t>
      </w:r>
      <w:bookmarkEnd w:id="18"/>
      <w:bookmarkEnd w:id="19"/>
      <w:bookmarkEnd w:id="20"/>
    </w:p>
    <w:p w14:paraId="2B20B2ED" w14:textId="77777777" w:rsidR="00940A89" w:rsidRDefault="006136D7" w:rsidP="00940A89">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207CFB93" w14:textId="77777777" w:rsidR="00500337" w:rsidRDefault="00500337" w:rsidP="00630678">
      <w:pPr>
        <w:pStyle w:val="Heading2"/>
      </w:pPr>
      <w:bookmarkStart w:id="23" w:name="_Toc504480011"/>
      <w:bookmarkStart w:id="24" w:name="_Toc8816475"/>
      <w:r>
        <w:t xml:space="preserve">II. </w:t>
      </w:r>
      <w:r w:rsidRPr="00630678">
        <w:t>Registration</w:t>
      </w:r>
      <w:r>
        <w:t xml:space="preserve"> time line</w:t>
      </w:r>
      <w:bookmarkEnd w:id="23"/>
      <w:bookmarkEnd w:id="24"/>
    </w:p>
    <w:p w14:paraId="75CC0932" w14:textId="206148A9" w:rsidR="00500337" w:rsidRDefault="00683EFD" w:rsidP="00630678">
      <w:r>
        <w:t>T</w:t>
      </w:r>
      <w:r w:rsidR="00500337">
        <w:t xml:space="preserve">able </w:t>
      </w:r>
      <w:r>
        <w:t xml:space="preserve">2 </w:t>
      </w:r>
      <w:r w:rsidR="00500337">
        <w:t>captures the key steps and dates for this application and which are detailed and discussed in this AusPAR.</w:t>
      </w:r>
    </w:p>
    <w:p w14:paraId="2F89B85A" w14:textId="77777777" w:rsidR="00500337" w:rsidRPr="00377BD4" w:rsidRDefault="00683EFD" w:rsidP="00A20571">
      <w:r>
        <w:t>Table 2</w:t>
      </w:r>
      <w:r w:rsidR="00CB1249">
        <w:t>: Time line for submission PM-2016-03547-1-3</w:t>
      </w:r>
    </w:p>
    <w:tbl>
      <w:tblPr>
        <w:tblStyle w:val="TableTGAblue"/>
        <w:tblW w:w="0" w:type="auto"/>
        <w:tblLook w:val="04A0" w:firstRow="1" w:lastRow="0" w:firstColumn="1" w:lastColumn="0" w:noHBand="0" w:noVBand="1"/>
      </w:tblPr>
      <w:tblGrid>
        <w:gridCol w:w="4360"/>
        <w:gridCol w:w="4360"/>
      </w:tblGrid>
      <w:tr w:rsidR="00500337" w14:paraId="6E276EA0"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17231D5" w14:textId="77777777" w:rsidR="00500337" w:rsidRDefault="00500337" w:rsidP="00500337">
            <w:pPr>
              <w:ind w:left="0" w:right="0"/>
            </w:pPr>
            <w:r>
              <w:t>Description</w:t>
            </w:r>
          </w:p>
        </w:tc>
        <w:tc>
          <w:tcPr>
            <w:tcW w:w="4360" w:type="dxa"/>
          </w:tcPr>
          <w:p w14:paraId="24EE89C1" w14:textId="77777777" w:rsidR="00500337" w:rsidRDefault="00500337" w:rsidP="00500337">
            <w:pPr>
              <w:ind w:left="0" w:right="0"/>
            </w:pPr>
            <w:r>
              <w:t>Date</w:t>
            </w:r>
          </w:p>
        </w:tc>
      </w:tr>
      <w:tr w:rsidR="00500337" w14:paraId="79EF25CB" w14:textId="77777777" w:rsidTr="00500337">
        <w:tc>
          <w:tcPr>
            <w:tcW w:w="4360" w:type="dxa"/>
          </w:tcPr>
          <w:p w14:paraId="79CBF532" w14:textId="77777777" w:rsidR="00500337" w:rsidRDefault="00500337" w:rsidP="00500337">
            <w:pPr>
              <w:ind w:left="0" w:right="0"/>
            </w:pPr>
            <w:r>
              <w:t>Submission dossier accepted and first round evaluation commenced</w:t>
            </w:r>
          </w:p>
        </w:tc>
        <w:tc>
          <w:tcPr>
            <w:tcW w:w="4360" w:type="dxa"/>
          </w:tcPr>
          <w:p w14:paraId="208A6FC9" w14:textId="77777777" w:rsidR="00500337" w:rsidRDefault="00CB1249" w:rsidP="00500337">
            <w:pPr>
              <w:ind w:left="0" w:right="0"/>
            </w:pPr>
            <w:r>
              <w:t>3 January 2017</w:t>
            </w:r>
          </w:p>
        </w:tc>
      </w:tr>
      <w:tr w:rsidR="00500337" w14:paraId="76082FA1" w14:textId="77777777" w:rsidTr="00500337">
        <w:tc>
          <w:tcPr>
            <w:tcW w:w="4360" w:type="dxa"/>
          </w:tcPr>
          <w:p w14:paraId="6689CA4A" w14:textId="77777777" w:rsidR="00500337" w:rsidRDefault="00500337" w:rsidP="00500337">
            <w:pPr>
              <w:ind w:left="0" w:right="0"/>
            </w:pPr>
            <w:r>
              <w:t>First round evaluation completed</w:t>
            </w:r>
          </w:p>
        </w:tc>
        <w:tc>
          <w:tcPr>
            <w:tcW w:w="4360" w:type="dxa"/>
          </w:tcPr>
          <w:p w14:paraId="4F22684D" w14:textId="77777777" w:rsidR="00500337" w:rsidRDefault="00CB1249" w:rsidP="00500337">
            <w:pPr>
              <w:ind w:left="0" w:right="0"/>
            </w:pPr>
            <w:r>
              <w:t>31 May 2017</w:t>
            </w:r>
          </w:p>
        </w:tc>
      </w:tr>
      <w:tr w:rsidR="00500337" w14:paraId="0B3770E1" w14:textId="77777777" w:rsidTr="00500337">
        <w:tc>
          <w:tcPr>
            <w:tcW w:w="4360" w:type="dxa"/>
          </w:tcPr>
          <w:p w14:paraId="331835A4" w14:textId="77777777" w:rsidR="00500337" w:rsidRDefault="00500337" w:rsidP="00500337">
            <w:pPr>
              <w:ind w:left="0" w:right="0"/>
            </w:pPr>
            <w:r>
              <w:t>Sponsor provides responses on questions raised in first round evaluation</w:t>
            </w:r>
          </w:p>
        </w:tc>
        <w:tc>
          <w:tcPr>
            <w:tcW w:w="4360" w:type="dxa"/>
          </w:tcPr>
          <w:p w14:paraId="42CE9BAF" w14:textId="4F2D45DF" w:rsidR="00500337" w:rsidRDefault="005E1B2D" w:rsidP="005E1B2D">
            <w:pPr>
              <w:ind w:left="0" w:right="0"/>
            </w:pPr>
            <w:r>
              <w:t>3</w:t>
            </w:r>
            <w:r w:rsidR="00CB1249">
              <w:t xml:space="preserve">1 </w:t>
            </w:r>
            <w:r>
              <w:t xml:space="preserve">July </w:t>
            </w:r>
            <w:r w:rsidR="00CB1249">
              <w:t>2017</w:t>
            </w:r>
          </w:p>
        </w:tc>
      </w:tr>
      <w:tr w:rsidR="00500337" w14:paraId="650B6ECD" w14:textId="77777777" w:rsidTr="00500337">
        <w:tc>
          <w:tcPr>
            <w:tcW w:w="4360" w:type="dxa"/>
          </w:tcPr>
          <w:p w14:paraId="68F21538" w14:textId="77777777" w:rsidR="00500337" w:rsidRDefault="00500337" w:rsidP="00500337">
            <w:pPr>
              <w:ind w:left="0" w:right="0"/>
            </w:pPr>
            <w:r>
              <w:t>Second round evaluation completed</w:t>
            </w:r>
          </w:p>
        </w:tc>
        <w:tc>
          <w:tcPr>
            <w:tcW w:w="4360" w:type="dxa"/>
          </w:tcPr>
          <w:p w14:paraId="2A24E900" w14:textId="77777777" w:rsidR="00500337" w:rsidRDefault="00CB1249" w:rsidP="00500337">
            <w:pPr>
              <w:ind w:left="0" w:right="0"/>
            </w:pPr>
            <w:r>
              <w:t>5 October 2017</w:t>
            </w:r>
          </w:p>
        </w:tc>
      </w:tr>
      <w:tr w:rsidR="00500337" w14:paraId="27E8A269" w14:textId="77777777" w:rsidTr="00500337">
        <w:tc>
          <w:tcPr>
            <w:tcW w:w="4360" w:type="dxa"/>
          </w:tcPr>
          <w:p w14:paraId="02A6AB75" w14:textId="77777777" w:rsidR="00500337" w:rsidRDefault="00397016" w:rsidP="00500337">
            <w:pPr>
              <w:ind w:left="0" w:right="0"/>
            </w:pPr>
            <w:r>
              <w:t>Delegate</w:t>
            </w:r>
            <w:r w:rsidR="00500337">
              <w:t>’s Overall benefit-risk assessment and request for Advisory Committee advice</w:t>
            </w:r>
          </w:p>
        </w:tc>
        <w:tc>
          <w:tcPr>
            <w:tcW w:w="4360" w:type="dxa"/>
          </w:tcPr>
          <w:p w14:paraId="4F0C5A14" w14:textId="77777777" w:rsidR="00500337" w:rsidRDefault="00CB1249" w:rsidP="00500337">
            <w:pPr>
              <w:ind w:left="0" w:right="0"/>
            </w:pPr>
            <w:r>
              <w:t>31 October 2017</w:t>
            </w:r>
          </w:p>
        </w:tc>
      </w:tr>
      <w:tr w:rsidR="00500337" w14:paraId="75CC769E" w14:textId="77777777" w:rsidTr="00500337">
        <w:tc>
          <w:tcPr>
            <w:tcW w:w="4360" w:type="dxa"/>
          </w:tcPr>
          <w:p w14:paraId="22AB6B44" w14:textId="77777777" w:rsidR="00500337" w:rsidRDefault="00500337" w:rsidP="00500337">
            <w:pPr>
              <w:ind w:left="0" w:right="0"/>
            </w:pPr>
            <w:r>
              <w:t>Sponsor’s pre-Advisory Committee response</w:t>
            </w:r>
          </w:p>
        </w:tc>
        <w:tc>
          <w:tcPr>
            <w:tcW w:w="4360" w:type="dxa"/>
          </w:tcPr>
          <w:p w14:paraId="253ED05E" w14:textId="77777777" w:rsidR="00500337" w:rsidRDefault="00533141" w:rsidP="00500337">
            <w:pPr>
              <w:ind w:left="0" w:right="0"/>
            </w:pPr>
            <w:r>
              <w:t>14 November 2017</w:t>
            </w:r>
          </w:p>
        </w:tc>
      </w:tr>
      <w:tr w:rsidR="00500337" w14:paraId="24701A12" w14:textId="77777777" w:rsidTr="00500337">
        <w:tc>
          <w:tcPr>
            <w:tcW w:w="4360" w:type="dxa"/>
          </w:tcPr>
          <w:p w14:paraId="3FEF8EC0" w14:textId="77777777" w:rsidR="00500337" w:rsidRDefault="00500337" w:rsidP="00500337">
            <w:pPr>
              <w:ind w:left="0" w:right="0"/>
            </w:pPr>
            <w:r>
              <w:t>Advisory Committee meeting</w:t>
            </w:r>
          </w:p>
        </w:tc>
        <w:tc>
          <w:tcPr>
            <w:tcW w:w="4360" w:type="dxa"/>
          </w:tcPr>
          <w:p w14:paraId="64441F42" w14:textId="16DE6AFC" w:rsidR="00500337" w:rsidRDefault="00533141" w:rsidP="00500337">
            <w:pPr>
              <w:ind w:left="0" w:right="0"/>
            </w:pPr>
            <w:r>
              <w:t>30 November</w:t>
            </w:r>
            <w:r w:rsidR="003E70A4">
              <w:t xml:space="preserve"> to</w:t>
            </w:r>
            <w:r>
              <w:t xml:space="preserve"> 1 December 2017</w:t>
            </w:r>
          </w:p>
        </w:tc>
      </w:tr>
      <w:tr w:rsidR="00500337" w14:paraId="5CB91C2A" w14:textId="77777777" w:rsidTr="00500337">
        <w:tc>
          <w:tcPr>
            <w:tcW w:w="4360" w:type="dxa"/>
          </w:tcPr>
          <w:p w14:paraId="7BA4D803" w14:textId="77777777" w:rsidR="00500337" w:rsidRDefault="00500337" w:rsidP="00500337">
            <w:pPr>
              <w:ind w:left="0" w:right="0"/>
            </w:pPr>
            <w:r>
              <w:t>Registration decision (Outcome)</w:t>
            </w:r>
          </w:p>
        </w:tc>
        <w:tc>
          <w:tcPr>
            <w:tcW w:w="4360" w:type="dxa"/>
          </w:tcPr>
          <w:p w14:paraId="7DFFE31F" w14:textId="77777777" w:rsidR="00500337" w:rsidRDefault="00CB1249" w:rsidP="00500337">
            <w:pPr>
              <w:ind w:left="0" w:right="0"/>
            </w:pPr>
            <w:r>
              <w:t>18 January 2018</w:t>
            </w:r>
          </w:p>
        </w:tc>
      </w:tr>
      <w:tr w:rsidR="00500337" w14:paraId="2F31EB01" w14:textId="77777777" w:rsidTr="00500337">
        <w:tc>
          <w:tcPr>
            <w:tcW w:w="4360" w:type="dxa"/>
          </w:tcPr>
          <w:p w14:paraId="447A537F" w14:textId="77777777" w:rsidR="00500337" w:rsidRDefault="00500337" w:rsidP="00500337">
            <w:pPr>
              <w:ind w:left="0" w:right="0"/>
            </w:pPr>
            <w:r>
              <w:t>Completion of administrative activities and registration on ARTG</w:t>
            </w:r>
          </w:p>
        </w:tc>
        <w:tc>
          <w:tcPr>
            <w:tcW w:w="4360" w:type="dxa"/>
          </w:tcPr>
          <w:p w14:paraId="23E1F99E" w14:textId="77777777" w:rsidR="00500337" w:rsidRDefault="00CB1249" w:rsidP="00500337">
            <w:pPr>
              <w:ind w:left="0" w:right="0"/>
            </w:pPr>
            <w:r>
              <w:t>24 January 2018</w:t>
            </w:r>
          </w:p>
        </w:tc>
      </w:tr>
      <w:tr w:rsidR="00500337" w14:paraId="1AEDC228" w14:textId="77777777" w:rsidTr="00500337">
        <w:tc>
          <w:tcPr>
            <w:tcW w:w="4360" w:type="dxa"/>
          </w:tcPr>
          <w:p w14:paraId="29115F94" w14:textId="77777777" w:rsidR="00500337" w:rsidRDefault="00500337" w:rsidP="00500337">
            <w:pPr>
              <w:ind w:left="0" w:right="0"/>
            </w:pPr>
            <w:r>
              <w:t>Number of working days from submission dossier acceptance to registration decision*</w:t>
            </w:r>
          </w:p>
        </w:tc>
        <w:tc>
          <w:tcPr>
            <w:tcW w:w="4360" w:type="dxa"/>
          </w:tcPr>
          <w:p w14:paraId="1A8C7EEB" w14:textId="77777777" w:rsidR="00500337" w:rsidRDefault="00CB1249" w:rsidP="00500337">
            <w:pPr>
              <w:ind w:left="0" w:right="0"/>
            </w:pPr>
            <w:r>
              <w:t>214</w:t>
            </w:r>
          </w:p>
        </w:tc>
      </w:tr>
    </w:tbl>
    <w:p w14:paraId="2E3E48A2" w14:textId="77777777" w:rsidR="00500337" w:rsidRDefault="00500337" w:rsidP="00500337">
      <w:pPr>
        <w:pStyle w:val="TableDescription"/>
      </w:pPr>
      <w:r>
        <w:t>*</w:t>
      </w:r>
      <w:r w:rsidR="00CB1249">
        <w:t>Statutory time frame is 255</w:t>
      </w:r>
      <w:r>
        <w:t xml:space="preserve"> working days</w:t>
      </w:r>
    </w:p>
    <w:p w14:paraId="267528FF" w14:textId="77777777" w:rsidR="00500337" w:rsidRDefault="00500337" w:rsidP="00500337">
      <w:r>
        <w:t>Evaluations included under Quality findings and Nonclinical findings incorporate both the first and second round evaluations.</w:t>
      </w:r>
    </w:p>
    <w:p w14:paraId="77B296AD" w14:textId="77777777" w:rsidR="008E7846" w:rsidRPr="003602A9" w:rsidRDefault="00500337" w:rsidP="00BD7536">
      <w:pPr>
        <w:pStyle w:val="Heading2"/>
      </w:pPr>
      <w:bookmarkStart w:id="25" w:name="_Toc8816476"/>
      <w:r>
        <w:t>I</w:t>
      </w:r>
      <w:r w:rsidR="008E7846">
        <w:t>II. Quality</w:t>
      </w:r>
      <w:bookmarkEnd w:id="1"/>
      <w:r w:rsidR="008E7846">
        <w:t xml:space="preserve"> findings</w:t>
      </w:r>
      <w:bookmarkEnd w:id="21"/>
      <w:bookmarkEnd w:id="22"/>
      <w:bookmarkEnd w:id="25"/>
    </w:p>
    <w:p w14:paraId="194B5519" w14:textId="77777777" w:rsidR="00940A89" w:rsidRDefault="00940A89" w:rsidP="00BD7536">
      <w:pPr>
        <w:pStyle w:val="Heading3"/>
      </w:pPr>
      <w:bookmarkStart w:id="26" w:name="_Toc8816477"/>
      <w:bookmarkStart w:id="27" w:name="_Toc247691507"/>
      <w:bookmarkStart w:id="28" w:name="_Toc314842488"/>
      <w:r w:rsidRPr="00BD7536">
        <w:t>Introduction</w:t>
      </w:r>
      <w:bookmarkEnd w:id="26"/>
    </w:p>
    <w:p w14:paraId="7A0C696F" w14:textId="6365111B" w:rsidR="00D9507C" w:rsidRPr="00D9507C" w:rsidRDefault="00D9507C" w:rsidP="00BD7536">
      <w:r w:rsidRPr="00D9507C">
        <w:t>Hadlima (</w:t>
      </w:r>
      <w:r w:rsidR="00683EFD">
        <w:t xml:space="preserve">also referred to as </w:t>
      </w:r>
      <w:r w:rsidRPr="00D9507C">
        <w:t>SB5</w:t>
      </w:r>
      <w:r w:rsidR="00683EFD">
        <w:t>) adalimumab</w:t>
      </w:r>
      <w:r w:rsidRPr="00D9507C">
        <w:t xml:space="preserve"> has been developed as a similar biological medicinal product to the reference innovator product Humira. </w:t>
      </w:r>
      <w:r w:rsidR="00683EFD">
        <w:t>Hadlima</w:t>
      </w:r>
      <w:r w:rsidRPr="00D9507C">
        <w:t xml:space="preserve"> drug product (DP) is a clear to opalescent, colourless to pale brown, sterile and preser</w:t>
      </w:r>
      <w:r w:rsidR="00683EFD">
        <w:t xml:space="preserve">vative </w:t>
      </w:r>
      <w:r w:rsidRPr="00D9507C">
        <w:t xml:space="preserve">free solution for </w:t>
      </w:r>
      <w:r w:rsidRPr="00D9507C">
        <w:lastRenderedPageBreak/>
        <w:t xml:space="preserve">injection. </w:t>
      </w:r>
      <w:r w:rsidR="00683EFD">
        <w:t>Hadlima</w:t>
      </w:r>
      <w:r w:rsidRPr="00D9507C">
        <w:t xml:space="preserve"> is presented as a </w:t>
      </w:r>
      <w:r w:rsidR="00683EFD">
        <w:t>single use</w:t>
      </w:r>
      <w:r w:rsidRPr="00D9507C">
        <w:t xml:space="preserve"> </w:t>
      </w:r>
      <w:r w:rsidR="00683EFD">
        <w:t>PFS</w:t>
      </w:r>
      <w:r w:rsidRPr="00D9507C">
        <w:t xml:space="preserve"> and a </w:t>
      </w:r>
      <w:r w:rsidR="00683EFD">
        <w:t>single use</w:t>
      </w:r>
      <w:r w:rsidRPr="00D9507C">
        <w:t xml:space="preserve"> </w:t>
      </w:r>
      <w:r w:rsidR="00683EFD">
        <w:t>AID</w:t>
      </w:r>
      <w:r w:rsidRPr="00D9507C">
        <w:t xml:space="preserve"> containing 40 mg of adalimumab to be administered via subcutaneous (</w:t>
      </w:r>
      <w:r w:rsidR="00683EFD">
        <w:t>SC</w:t>
      </w:r>
      <w:r w:rsidRPr="00D9507C">
        <w:t>) injection. Humira was first approved in 2002 by the U</w:t>
      </w:r>
      <w:r w:rsidR="003E70A4">
        <w:t xml:space="preserve">nited </w:t>
      </w:r>
      <w:r w:rsidRPr="00D9507C">
        <w:t>S</w:t>
      </w:r>
      <w:r w:rsidR="003E70A4">
        <w:t>tates (US)</w:t>
      </w:r>
      <w:r w:rsidRPr="00D9507C">
        <w:t xml:space="preserve"> Food and Drug Administration (FDA), in 2003 by the European Commission (EC), and in 2003 by the Therapeutic Goods Administration (TGA).</w:t>
      </w:r>
    </w:p>
    <w:p w14:paraId="4935C0DC" w14:textId="38FE8C35" w:rsidR="00D9507C" w:rsidRPr="00D9507C" w:rsidRDefault="00683EFD" w:rsidP="00BD7536">
      <w:r>
        <w:t>Hadlima</w:t>
      </w:r>
      <w:r w:rsidR="00D9507C" w:rsidRPr="00D9507C">
        <w:t xml:space="preserve"> </w:t>
      </w:r>
      <w:r>
        <w:t>a</w:t>
      </w:r>
      <w:r w:rsidRPr="00D9507C">
        <w:t xml:space="preserve">dalimumab </w:t>
      </w:r>
      <w:r w:rsidR="00D9507C" w:rsidRPr="00D9507C">
        <w:t>is a fully human monoclonal antibody (mAb) composed of two IgG1 heavy chains and two kappa light chains. Adalimumab binds specifically to TNFα and neutralises the biological function of TNFα by blocking its interaction with the p55 and p75 cell surface TNF receptors. Adalimumab also modulates biological responses that are induced or regulated by TNF, including changes in the levels of adhesion molecules responsible for leukocyte migration.</w:t>
      </w:r>
    </w:p>
    <w:p w14:paraId="2E348360" w14:textId="25D3399B" w:rsidR="00D9507C" w:rsidRPr="00D9507C" w:rsidRDefault="00D9507C" w:rsidP="00BD7536">
      <w:r w:rsidRPr="00D9507C">
        <w:t xml:space="preserve">Humira has been widely used in clinical practice for about 13 years, with a </w:t>
      </w:r>
      <w:r w:rsidR="00683EFD">
        <w:t>well characterised</w:t>
      </w:r>
      <w:r w:rsidRPr="00D9507C">
        <w:t xml:space="preserve"> pharmacological, efficacy, and safety profile. Originally, Humira was approved for use in moderate to severe rheumatoid arthritis, and indications have been extended to include the use in treatment of patients with juvenile idiopathic arthritis (polyarticular juvenile idiopathic arthritis and </w:t>
      </w:r>
      <w:proofErr w:type="spellStart"/>
      <w:r w:rsidRPr="00D9507C">
        <w:t>enthesitis</w:t>
      </w:r>
      <w:proofErr w:type="spellEnd"/>
      <w:r w:rsidRPr="00D9507C">
        <w:t xml:space="preserve">-related arthritis), psoriatic arthritis, ankylosing spondylitis, Crohn’s disease in adults and children, ulcerative colitis, psoriasis in adult and children, hidradenitis suppurativa, and uveitis. The </w:t>
      </w:r>
      <w:r w:rsidR="00683EFD">
        <w:t>sponsor</w:t>
      </w:r>
      <w:r w:rsidRPr="00D9507C">
        <w:t xml:space="preserve"> claims the same therapeutic indications for the proposed biosimilar </w:t>
      </w:r>
      <w:r w:rsidR="00683EFD">
        <w:t>Hadlima</w:t>
      </w:r>
      <w:r w:rsidRPr="00D9507C">
        <w:t xml:space="preserve"> as granted for Humira in Australia. However, as </w:t>
      </w:r>
      <w:r w:rsidR="00683EFD">
        <w:t>Hadlima</w:t>
      </w:r>
      <w:r w:rsidRPr="00D9507C">
        <w:t xml:space="preserve"> is currently only available as a 40 mg PFS and AI presentations, the </w:t>
      </w:r>
      <w:r w:rsidR="00683EFD">
        <w:t>sponsor</w:t>
      </w:r>
      <w:r w:rsidRPr="00D9507C">
        <w:t xml:space="preserve"> intends to claim the paediatric indications only for those patients who can administer the full 40 mg dose.</w:t>
      </w:r>
    </w:p>
    <w:p w14:paraId="2FA0D058" w14:textId="77777777" w:rsidR="008E7846" w:rsidRDefault="008E7846" w:rsidP="00BD7536">
      <w:pPr>
        <w:pStyle w:val="Heading3"/>
      </w:pPr>
      <w:bookmarkStart w:id="29" w:name="_Toc8816478"/>
      <w:r w:rsidRPr="008751DC">
        <w:t xml:space="preserve">Drug </w:t>
      </w:r>
      <w:r>
        <w:t>s</w:t>
      </w:r>
      <w:r w:rsidRPr="008751DC">
        <w:t>ubstance</w:t>
      </w:r>
      <w:r>
        <w:t xml:space="preserve"> (active ingredient)</w:t>
      </w:r>
      <w:bookmarkEnd w:id="27"/>
      <w:bookmarkEnd w:id="28"/>
      <w:bookmarkEnd w:id="29"/>
    </w:p>
    <w:p w14:paraId="47658AF9" w14:textId="77B4864B" w:rsidR="008E7846" w:rsidRDefault="00683EFD" w:rsidP="00BD7536">
      <w:r>
        <w:t>Hadlima</w:t>
      </w:r>
      <w:r w:rsidR="00D9507C" w:rsidRPr="00D9507C">
        <w:t xml:space="preserve"> is a homodimer of a chimeric protein, which consists of 1,330 amino acids, 665</w:t>
      </w:r>
      <w:r w:rsidR="003E70A4">
        <w:t> </w:t>
      </w:r>
      <w:r w:rsidR="00D9507C" w:rsidRPr="00D9507C">
        <w:t xml:space="preserve">amino acids for each chain. The homodimer has a </w:t>
      </w:r>
      <w:r w:rsidR="00BD6CAB">
        <w:t>molecular weight (MW)</w:t>
      </w:r>
      <w:r w:rsidR="00BD6CAB" w:rsidRPr="00D9507C">
        <w:t xml:space="preserve"> </w:t>
      </w:r>
      <w:r w:rsidR="00D9507C" w:rsidRPr="00D9507C">
        <w:t>of approximately 148 kDa</w:t>
      </w:r>
      <w:r>
        <w:t>.</w:t>
      </w:r>
    </w:p>
    <w:p w14:paraId="1D91457B" w14:textId="77777777" w:rsidR="00D9507C" w:rsidRDefault="00D9507C" w:rsidP="00D9507C">
      <w:r w:rsidRPr="00D9507C">
        <w:t>Full details of the elucidation of primary, secondary, tertiary or quaternary structure are detailed in the dossier.</w:t>
      </w:r>
    </w:p>
    <w:p w14:paraId="313387F7" w14:textId="133E73E6" w:rsidR="006C06C7" w:rsidRPr="00D9507C" w:rsidRDefault="006C06C7" w:rsidP="00BD7536">
      <w:pPr>
        <w:pStyle w:val="Heading4"/>
      </w:pPr>
      <w:r w:rsidRPr="00D9507C">
        <w:t xml:space="preserve">Physical </w:t>
      </w:r>
      <w:r w:rsidRPr="00BD7536">
        <w:t>and</w:t>
      </w:r>
      <w:r w:rsidRPr="00D9507C">
        <w:t xml:space="preserve"> chemical properties</w:t>
      </w:r>
    </w:p>
    <w:p w14:paraId="20F3DC49" w14:textId="77777777" w:rsidR="006C06C7" w:rsidRPr="00EC177F" w:rsidRDefault="006C06C7" w:rsidP="00BD7536">
      <w:pPr>
        <w:pStyle w:val="ListBullet"/>
      </w:pPr>
      <w:r w:rsidRPr="00BD6CAB">
        <w:t>Appearance Clear to opalescent and colourless to pale brown solution</w:t>
      </w:r>
    </w:p>
    <w:p w14:paraId="46568FEC" w14:textId="77777777" w:rsidR="006C06C7" w:rsidRPr="00BD6CAB" w:rsidRDefault="006C06C7" w:rsidP="00A833B6">
      <w:pPr>
        <w:pStyle w:val="ListBullet"/>
      </w:pPr>
      <w:r w:rsidRPr="00BD6CAB">
        <w:t>Molecular Weight of approximately 148 kDa</w:t>
      </w:r>
    </w:p>
    <w:p w14:paraId="02B504F4" w14:textId="21E7A176" w:rsidR="006C06C7" w:rsidRPr="00BD6CAB" w:rsidRDefault="006C06C7" w:rsidP="00A833B6">
      <w:pPr>
        <w:pStyle w:val="ListBullet"/>
      </w:pPr>
      <w:r w:rsidRPr="00BD6CAB">
        <w:t>[information redacted]</w:t>
      </w:r>
    </w:p>
    <w:p w14:paraId="41AEB684" w14:textId="77777777" w:rsidR="006C06C7" w:rsidRPr="00BD6CAB" w:rsidRDefault="006C06C7" w:rsidP="00A833B6">
      <w:pPr>
        <w:pStyle w:val="ListBullet"/>
      </w:pPr>
      <w:r w:rsidRPr="00BD6CAB">
        <w:t>Glycosylation One N-linked glycosylation site is located at Asn301 on each heavy chain and there are no O-linked glycosylation sites.</w:t>
      </w:r>
    </w:p>
    <w:p w14:paraId="669CBD8B" w14:textId="469C4C4F" w:rsidR="006C06C7" w:rsidRPr="00BD6CAB" w:rsidRDefault="006C06C7" w:rsidP="00A833B6">
      <w:pPr>
        <w:pStyle w:val="ListBullet"/>
      </w:pPr>
      <w:r w:rsidRPr="00BD6CAB">
        <w:t>Biological activity; adalimumab binds specifically to TNFα and neutralises the biological function by blocking its interaction with the p55 and p75 cell surface TNFα receptors. Adalimumab also modulates biological responses that are induced or regulated by TNFα, including changes in the levels of adhesion molecules responsible for leukocyte migration (ELAM-1, VCAM-1 and ICAM-1).</w:t>
      </w:r>
    </w:p>
    <w:p w14:paraId="10800687" w14:textId="77777777" w:rsidR="00D9507C" w:rsidRPr="00D9507C" w:rsidRDefault="00D9507C" w:rsidP="00BD7536">
      <w:pPr>
        <w:pStyle w:val="Heading4"/>
      </w:pPr>
      <w:bookmarkStart w:id="30" w:name="_Toc491963248"/>
      <w:r w:rsidRPr="00D9507C">
        <w:t>Manufacture/</w:t>
      </w:r>
      <w:r w:rsidRPr="00BD7536">
        <w:t>Manufacturer</w:t>
      </w:r>
      <w:r w:rsidRPr="00D9507C">
        <w:t>(s)/GMP status</w:t>
      </w:r>
      <w:bookmarkEnd w:id="30"/>
    </w:p>
    <w:p w14:paraId="1A871674" w14:textId="75284125" w:rsidR="00D9507C" w:rsidRPr="00D9507C" w:rsidRDefault="00D9507C" w:rsidP="00BD7536">
      <w:r w:rsidRPr="00D9507C">
        <w:t xml:space="preserve">The manufacturing process involves cell culture expansion, a production bioreactor, harvest of the cell culture fluid, purification, and dispensing, resulting in highly purified </w:t>
      </w:r>
      <w:r w:rsidR="00683EFD">
        <w:t>Hadlima</w:t>
      </w:r>
      <w:r w:rsidRPr="00D9507C">
        <w:t xml:space="preserve"> DS.</w:t>
      </w:r>
    </w:p>
    <w:p w14:paraId="4B751677" w14:textId="77777777" w:rsidR="00D9507C" w:rsidRPr="00D9507C" w:rsidRDefault="00D9507C" w:rsidP="00BD7536">
      <w:r w:rsidRPr="00D9507C">
        <w:lastRenderedPageBreak/>
        <w:t xml:space="preserve">The purification process has been designed to isolate </w:t>
      </w:r>
      <w:r w:rsidR="00683EFD">
        <w:t>Hadlima</w:t>
      </w:r>
      <w:r w:rsidRPr="00D9507C">
        <w:t xml:space="preserve"> from process components, host cell DNA, and host cell proteins. Additionally, the process is designed to provide clearance or inactivate model adventitious viruses in scale-down studies. A detailed description of the purification process manufacturing steps was provided</w:t>
      </w:r>
      <w:r w:rsidR="00683EFD">
        <w:t>.</w:t>
      </w:r>
    </w:p>
    <w:p w14:paraId="65EBA127" w14:textId="77777777" w:rsidR="00D9507C" w:rsidRPr="00D9507C" w:rsidRDefault="00D9507C" w:rsidP="00D9507C">
      <w:r w:rsidRPr="00D9507C">
        <w:t>The PFS manufacturing process involves thawing, pooling, and mixing of the drug substance, followed by sterile filtration and aseptic syringe filling, and plunger placement. The PFS is then assembled with the corresponding secondary packagi</w:t>
      </w:r>
      <w:r w:rsidR="00683EFD">
        <w:t>ng components into either PFS or AID.</w:t>
      </w:r>
    </w:p>
    <w:p w14:paraId="1B9251C7" w14:textId="538CCDA1" w:rsidR="00D9507C" w:rsidRDefault="00D9507C" w:rsidP="00BD7536">
      <w:r w:rsidRPr="00D9507C">
        <w:t>All manufacturing steps are validated.</w:t>
      </w:r>
      <w:r w:rsidR="00683EFD">
        <w:t xml:space="preserve"> </w:t>
      </w:r>
      <w:r w:rsidRPr="00D9507C">
        <w:t xml:space="preserve">There </w:t>
      </w:r>
      <w:r>
        <w:t>were</w:t>
      </w:r>
      <w:r w:rsidRPr="00D9507C">
        <w:t xml:space="preserve"> several manufacturing sites still awaiting clearance from </w:t>
      </w:r>
      <w:r w:rsidR="00683EFD">
        <w:t>TGA</w:t>
      </w:r>
      <w:r w:rsidRPr="00D9507C">
        <w:t>.</w:t>
      </w:r>
      <w:r w:rsidR="002937BC">
        <w:rPr>
          <w:rStyle w:val="FootnoteReference"/>
        </w:rPr>
        <w:footnoteReference w:id="3"/>
      </w:r>
    </w:p>
    <w:p w14:paraId="5757F564" w14:textId="77777777" w:rsidR="00D9507C" w:rsidRPr="00D3606A" w:rsidRDefault="00D9507C" w:rsidP="00BD7536">
      <w:pPr>
        <w:pStyle w:val="Heading4"/>
      </w:pPr>
      <w:bookmarkStart w:id="31" w:name="_Toc491963249"/>
      <w:r w:rsidRPr="00BD7536">
        <w:t>Specifications</w:t>
      </w:r>
      <w:bookmarkEnd w:id="31"/>
    </w:p>
    <w:p w14:paraId="646DDCB6" w14:textId="77777777" w:rsidR="00D9507C" w:rsidRPr="00D9507C" w:rsidRDefault="00D9507C" w:rsidP="00BD7536">
      <w:r w:rsidRPr="00D9507C">
        <w:t>All analytical procedures are validated. There are no issues pertaining to specifications.</w:t>
      </w:r>
    </w:p>
    <w:p w14:paraId="65B914B9" w14:textId="77777777" w:rsidR="008E7846" w:rsidRDefault="008E7846" w:rsidP="00BD7536">
      <w:pPr>
        <w:pStyle w:val="Heading3"/>
      </w:pPr>
      <w:bookmarkStart w:id="32" w:name="_Toc247691508"/>
      <w:bookmarkStart w:id="33" w:name="_Toc314842490"/>
      <w:bookmarkStart w:id="34" w:name="_Toc8816479"/>
      <w:r w:rsidRPr="008751DC">
        <w:t xml:space="preserve">Drug </w:t>
      </w:r>
      <w:r w:rsidRPr="00BD7536">
        <w:t>product</w:t>
      </w:r>
      <w:bookmarkEnd w:id="32"/>
      <w:bookmarkEnd w:id="33"/>
      <w:bookmarkEnd w:id="34"/>
    </w:p>
    <w:p w14:paraId="085CD88C" w14:textId="77777777" w:rsidR="00AC4FC7" w:rsidRPr="00AC4FC7" w:rsidRDefault="00AC4FC7" w:rsidP="00BD7536">
      <w:pPr>
        <w:pStyle w:val="Heading4"/>
      </w:pPr>
      <w:bookmarkStart w:id="35" w:name="_Toc491963251"/>
      <w:r w:rsidRPr="00BD7536">
        <w:t>Stability</w:t>
      </w:r>
      <w:bookmarkEnd w:id="35"/>
    </w:p>
    <w:p w14:paraId="6CEC3671" w14:textId="77777777" w:rsidR="00AC4FC7" w:rsidRPr="00AC4FC7" w:rsidRDefault="00AC4FC7" w:rsidP="00BD7536">
      <w:r w:rsidRPr="00AC4FC7">
        <w:t xml:space="preserve">Based on all the data submitted the </w:t>
      </w:r>
      <w:r w:rsidR="00683EFD">
        <w:t xml:space="preserve">quality </w:t>
      </w:r>
      <w:r w:rsidRPr="00AC4FC7">
        <w:t>evaluator recommend</w:t>
      </w:r>
      <w:r w:rsidR="00683EFD">
        <w:t>ed</w:t>
      </w:r>
      <w:r w:rsidRPr="00AC4FC7">
        <w:t xml:space="preserve"> the following shelf life conditions:</w:t>
      </w:r>
    </w:p>
    <w:p w14:paraId="3CF1871C" w14:textId="77777777" w:rsidR="00AC4FC7" w:rsidRPr="00AC4FC7" w:rsidRDefault="00AC4FC7" w:rsidP="00AC4FC7">
      <w:pPr>
        <w:pStyle w:val="ListBullet"/>
      </w:pPr>
      <w:r w:rsidRPr="00AC4FC7">
        <w:t xml:space="preserve">36 months when stored at 5 </w:t>
      </w:r>
      <w:r w:rsidR="00683EFD">
        <w:t>±</w:t>
      </w:r>
      <w:r w:rsidRPr="00AC4FC7">
        <w:t xml:space="preserve"> 3</w:t>
      </w:r>
      <w:r w:rsidR="00683EFD">
        <w:t>°</w:t>
      </w:r>
      <w:r w:rsidRPr="00AC4FC7">
        <w:t>C, protect from light.</w:t>
      </w:r>
    </w:p>
    <w:p w14:paraId="18D912F8" w14:textId="77777777" w:rsidR="00AC4FC7" w:rsidRPr="00AC4FC7" w:rsidRDefault="00AC4FC7" w:rsidP="00BD7536">
      <w:pPr>
        <w:pStyle w:val="ListBullet"/>
      </w:pPr>
      <w:r w:rsidRPr="00AC4FC7">
        <w:t xml:space="preserve">In use: 2 weeks at room temperature condition below 25°C. Once removed from the refrigerator </w:t>
      </w:r>
      <w:r w:rsidRPr="00BD7536">
        <w:t>for</w:t>
      </w:r>
      <w:r w:rsidRPr="00AC4FC7">
        <w:t xml:space="preserve"> storage, the syringe must be used within 14 days or discarded, even if it is returned to the refrigerator.</w:t>
      </w:r>
    </w:p>
    <w:p w14:paraId="6CB459D5" w14:textId="46CD5D0D" w:rsidR="008E7846" w:rsidRDefault="008E7846" w:rsidP="00BD7536">
      <w:pPr>
        <w:pStyle w:val="Heading3"/>
      </w:pPr>
      <w:bookmarkStart w:id="36" w:name="_Toc314842491"/>
      <w:bookmarkStart w:id="37" w:name="_Toc8816480"/>
      <w:r w:rsidRPr="00BD7536">
        <w:t>Biopharmaceutics</w:t>
      </w:r>
      <w:bookmarkEnd w:id="36"/>
      <w:bookmarkEnd w:id="37"/>
    </w:p>
    <w:p w14:paraId="5DE72F32" w14:textId="77777777" w:rsidR="00AC4FC7" w:rsidRDefault="00AC4FC7" w:rsidP="00AC4FC7">
      <w:pPr>
        <w:spacing w:line="276" w:lineRule="auto"/>
        <w:rPr>
          <w:rFonts w:asciiTheme="minorHAnsi" w:hAnsiTheme="minorHAnsi"/>
        </w:rPr>
      </w:pPr>
      <w:bookmarkStart w:id="38" w:name="_Toc247691509"/>
      <w:bookmarkStart w:id="39" w:name="_Toc314842493"/>
      <w:r w:rsidRPr="00D3606A">
        <w:rPr>
          <w:rFonts w:asciiTheme="minorHAnsi" w:hAnsiTheme="minorHAnsi"/>
        </w:rPr>
        <w:t>Bioavailability/bioequivalence data are not required.</w:t>
      </w:r>
    </w:p>
    <w:p w14:paraId="48F1A551" w14:textId="0397D623" w:rsidR="00E23478" w:rsidRPr="00D3606A" w:rsidRDefault="00E23478" w:rsidP="00BD7536">
      <w:pPr>
        <w:pStyle w:val="Heading3"/>
        <w:rPr>
          <w:rFonts w:eastAsia="Calibri"/>
        </w:rPr>
      </w:pPr>
      <w:bookmarkStart w:id="40" w:name="_Toc8816481"/>
      <w:proofErr w:type="spellStart"/>
      <w:r w:rsidRPr="00BD7536">
        <w:rPr>
          <w:rFonts w:eastAsia="Calibri"/>
        </w:rPr>
        <w:t>Biosimilarity</w:t>
      </w:r>
      <w:bookmarkEnd w:id="40"/>
      <w:proofErr w:type="spellEnd"/>
    </w:p>
    <w:p w14:paraId="522EA747" w14:textId="573B0302" w:rsidR="00E23478" w:rsidRPr="00DD6242" w:rsidRDefault="00E23478" w:rsidP="00BD7536">
      <w:r w:rsidRPr="00DD6242">
        <w:t xml:space="preserve">The active substance of </w:t>
      </w:r>
      <w:r>
        <w:t>Hadlima adalimumab (rch)</w:t>
      </w:r>
      <w:r w:rsidRPr="00DD6242">
        <w:t xml:space="preserve"> has been developed as a similar biological medicinal product (biosimilar) to that of the currently regis</w:t>
      </w:r>
      <w:r>
        <w:t>tered reference product Humira.</w:t>
      </w:r>
    </w:p>
    <w:p w14:paraId="62D43824" w14:textId="1ACE019A" w:rsidR="00E23478" w:rsidRPr="00DD6242" w:rsidRDefault="00E23478" w:rsidP="00E23478">
      <w:r w:rsidRPr="00DD6242">
        <w:t xml:space="preserve">During the development of </w:t>
      </w:r>
      <w:r>
        <w:t>Hadlima</w:t>
      </w:r>
      <w:r w:rsidRPr="00DD6242">
        <w:t xml:space="preserve">, Humira from EU was used as the main reference product to demonstrate biosimilarity in terms of quality and non-clinical comparability exercise. Additional bridging comparability study was performed between the EU Humira and </w:t>
      </w:r>
      <w:r w:rsidR="003E70A4">
        <w:t>Australian</w:t>
      </w:r>
      <w:r w:rsidRPr="00DD6242">
        <w:t xml:space="preserve"> Humira to present EU Humira as representative of the Australian registered product (A</w:t>
      </w:r>
      <w:r w:rsidR="003E70A4">
        <w:t>ustralian</w:t>
      </w:r>
      <w:r w:rsidRPr="00DD6242">
        <w:t xml:space="preserve"> Humira).</w:t>
      </w:r>
    </w:p>
    <w:p w14:paraId="027AA5C2" w14:textId="77777777" w:rsidR="00E23478" w:rsidRPr="00DD6242" w:rsidRDefault="00E23478" w:rsidP="000E5AD2">
      <w:r w:rsidRPr="00DD6242">
        <w:t xml:space="preserve">Extensive characterisation studies involving comparison of primary, secondary and tertiary structures, physicochemical properties and biological activities showed that </w:t>
      </w:r>
      <w:r>
        <w:t>Hadlima</w:t>
      </w:r>
      <w:r w:rsidRPr="00DD6242">
        <w:t xml:space="preserve"> and EU Humira are generally similar. However, several differences have been noted as highlighted below:</w:t>
      </w:r>
    </w:p>
    <w:p w14:paraId="3635AD70" w14:textId="7D9CFCA2" w:rsidR="00E23478" w:rsidRPr="001333DA" w:rsidRDefault="00E23478" w:rsidP="00BD7536">
      <w:pPr>
        <w:pStyle w:val="ListBullet"/>
      </w:pPr>
      <w:r>
        <w:t>Carbohydrate Structure;</w:t>
      </w:r>
      <w:r w:rsidRPr="00DD6242">
        <w:t xml:space="preserve"> %</w:t>
      </w:r>
      <w:r>
        <w:t xml:space="preserve"> </w:t>
      </w:r>
      <w:proofErr w:type="spellStart"/>
      <w:r w:rsidRPr="00DD6242">
        <w:t>Afucose</w:t>
      </w:r>
      <w:proofErr w:type="spellEnd"/>
      <w:r w:rsidRPr="00DD6242">
        <w:t xml:space="preserve"> and %</w:t>
      </w:r>
      <w:r w:rsidR="003E70A4">
        <w:t xml:space="preserve"> </w:t>
      </w:r>
      <w:r w:rsidRPr="001333DA">
        <w:t>G0F</w:t>
      </w:r>
      <w:r w:rsidR="003E70A4">
        <w:t>;</w:t>
      </w:r>
      <w:r w:rsidRPr="00BD7536">
        <w:rPr>
          <w:rStyle w:val="FootnoteReference"/>
        </w:rPr>
        <w:footnoteReference w:id="4"/>
      </w:r>
    </w:p>
    <w:p w14:paraId="444B70BD" w14:textId="2224D2B7" w:rsidR="00E23478" w:rsidRPr="00DD6242" w:rsidRDefault="00E23478" w:rsidP="00BD7536">
      <w:pPr>
        <w:pStyle w:val="ListBullet2"/>
      </w:pPr>
      <w:r w:rsidRPr="00DD6242">
        <w:lastRenderedPageBreak/>
        <w:t>%</w:t>
      </w:r>
      <w:r>
        <w:t xml:space="preserve"> </w:t>
      </w:r>
      <w:proofErr w:type="spellStart"/>
      <w:r w:rsidRPr="00DD6242">
        <w:t>Afucose</w:t>
      </w:r>
      <w:proofErr w:type="spellEnd"/>
      <w:r w:rsidRPr="00DD6242">
        <w:t xml:space="preserve"> level of </w:t>
      </w:r>
      <w:proofErr w:type="spellStart"/>
      <w:r>
        <w:t>Hadlima</w:t>
      </w:r>
      <w:proofErr w:type="spellEnd"/>
      <w:r w:rsidRPr="00DD6242">
        <w:t xml:space="preserve"> was </w:t>
      </w:r>
      <w:r w:rsidRPr="00BD7536">
        <w:t>slightly</w:t>
      </w:r>
      <w:r w:rsidRPr="00DD6242">
        <w:t xml:space="preserve"> higher than that of the upper lim</w:t>
      </w:r>
      <w:r w:rsidR="002D0EB7">
        <w:t>it of the similarity range</w:t>
      </w:r>
      <w:r w:rsidR="00FE2BBD">
        <w:t>;</w:t>
      </w:r>
    </w:p>
    <w:p w14:paraId="263304CA" w14:textId="79B481C8" w:rsidR="00933652" w:rsidRDefault="00E23478" w:rsidP="00BD7536">
      <w:pPr>
        <w:pStyle w:val="ListBullet2"/>
      </w:pPr>
      <w:r w:rsidRPr="00DD6242">
        <w:t>%</w:t>
      </w:r>
      <w:r>
        <w:t xml:space="preserve"> </w:t>
      </w:r>
      <w:r w:rsidRPr="00DD6242">
        <w:t xml:space="preserve">G0F levels of </w:t>
      </w:r>
      <w:r>
        <w:t xml:space="preserve">Hadlima </w:t>
      </w:r>
      <w:r w:rsidRPr="00DD6242">
        <w:t>were found to fall b</w:t>
      </w:r>
      <w:r w:rsidR="002D0EB7">
        <w:t>elow the similarity range</w:t>
      </w:r>
      <w:r w:rsidR="00FE2BBD">
        <w:t>.</w:t>
      </w:r>
    </w:p>
    <w:p w14:paraId="1F2BBFAC" w14:textId="1CE3C48D" w:rsidR="00611D22" w:rsidRPr="00933652" w:rsidRDefault="00611D22" w:rsidP="00BD7536">
      <w:r w:rsidRPr="00933652">
        <w:t>The minor differences in % Afucose and %</w:t>
      </w:r>
      <w:r w:rsidR="00FE2BBD">
        <w:t xml:space="preserve"> </w:t>
      </w:r>
      <w:r w:rsidRPr="00933652">
        <w:t>G0F between Hadlima and Humira were shown to have no effect on the FcγRIIIa binding and antibody dependent cell mediated cytotoxicity (ADCC) activities of the drug product. Furthermore, all other glycan structure were shown to be in the similar range, therefore the differences were considered not significant.</w:t>
      </w:r>
    </w:p>
    <w:p w14:paraId="77DB1CE9" w14:textId="20C7BAE8" w:rsidR="00E23478" w:rsidRPr="00DD6242" w:rsidRDefault="00E23478" w:rsidP="00BD7536">
      <w:pPr>
        <w:pStyle w:val="ListBullet"/>
      </w:pPr>
      <w:r>
        <w:t xml:space="preserve">Purity </w:t>
      </w:r>
      <w:r w:rsidRPr="00BD7536">
        <w:t>and</w:t>
      </w:r>
      <w:r>
        <w:t xml:space="preserve"> </w:t>
      </w:r>
      <w:r w:rsidR="009501BC" w:rsidRPr="00BD7536">
        <w:t>i</w:t>
      </w:r>
      <w:r w:rsidRPr="00BD7536">
        <w:t>mpurities</w:t>
      </w:r>
    </w:p>
    <w:p w14:paraId="2BF0FC79" w14:textId="58182E92" w:rsidR="00E23478" w:rsidRPr="00FE2BBD" w:rsidRDefault="00E23478" w:rsidP="00BD7536">
      <w:pPr>
        <w:pStyle w:val="ListBullet2"/>
      </w:pPr>
      <w:r w:rsidRPr="00FE2BBD">
        <w:t>%</w:t>
      </w:r>
      <w:r w:rsidR="00FE2BBD">
        <w:t xml:space="preserve"> m</w:t>
      </w:r>
      <w:r w:rsidRPr="00FE2BBD">
        <w:t xml:space="preserve">ain of </w:t>
      </w:r>
      <w:proofErr w:type="spellStart"/>
      <w:r w:rsidRPr="00BD7536">
        <w:t>Hadlima</w:t>
      </w:r>
      <w:proofErr w:type="spellEnd"/>
      <w:r w:rsidRPr="00FE2BBD">
        <w:t xml:space="preserve"> batches </w:t>
      </w:r>
      <w:r w:rsidR="002D0EB7" w:rsidRPr="00FE2BBD">
        <w:t xml:space="preserve">were out of similarity range, </w:t>
      </w:r>
      <w:r w:rsidRPr="00FE2BBD">
        <w:t>which was attributed to the higher %</w:t>
      </w:r>
      <w:r w:rsidR="00FE2BBD">
        <w:t xml:space="preserve"> </w:t>
      </w:r>
      <w:r w:rsidRPr="00FE2BBD">
        <w:t>non-glycosylated heavy chain level of Hadlima than that of EU Humira</w:t>
      </w:r>
      <w:r w:rsidRPr="00C9463E">
        <w:t>. The N-glycosylation at Fc region of antibodies is known to be associated with Fc related functional activities</w:t>
      </w:r>
      <w:r w:rsidR="00FE2BBD">
        <w:t>.</w:t>
      </w:r>
    </w:p>
    <w:p w14:paraId="0F1A22AC" w14:textId="1D7EE3E9" w:rsidR="00933652" w:rsidRPr="00DD6242" w:rsidRDefault="004E41DC" w:rsidP="00BD7536">
      <w:r>
        <w:t>T</w:t>
      </w:r>
      <w:r w:rsidR="00933652" w:rsidRPr="00DD6242">
        <w:t xml:space="preserve">he slight differences observed were not considered to have an impact on the biological activity. Therefore, the differences in %Main of </w:t>
      </w:r>
      <w:r w:rsidR="00933652">
        <w:t>Hadlima</w:t>
      </w:r>
      <w:r w:rsidR="00933652" w:rsidRPr="00DD6242">
        <w:t xml:space="preserve"> and EU Humira</w:t>
      </w:r>
      <w:r w:rsidR="00933652">
        <w:t xml:space="preserve"> </w:t>
      </w:r>
      <w:r w:rsidR="00933652" w:rsidRPr="00DD6242">
        <w:t>were not considered significant</w:t>
      </w:r>
      <w:r w:rsidR="00933652">
        <w:t>.</w:t>
      </w:r>
    </w:p>
    <w:p w14:paraId="5712821A" w14:textId="2869EF87" w:rsidR="00E23478" w:rsidRPr="00DD6242" w:rsidRDefault="00E23478" w:rsidP="00BD7536">
      <w:pPr>
        <w:pStyle w:val="ListBullet"/>
      </w:pPr>
      <w:r>
        <w:t xml:space="preserve">Charge </w:t>
      </w:r>
      <w:r w:rsidR="009501BC" w:rsidRPr="00BD7536">
        <w:t>v</w:t>
      </w:r>
      <w:r w:rsidRPr="00BD7536">
        <w:t>ariants</w:t>
      </w:r>
    </w:p>
    <w:p w14:paraId="7C15F89B" w14:textId="446A871C" w:rsidR="00E23478" w:rsidRPr="00DD6242" w:rsidRDefault="00611D22" w:rsidP="00BD7536">
      <w:pPr>
        <w:pStyle w:val="ListBullet2"/>
      </w:pPr>
      <w:r>
        <w:t>T</w:t>
      </w:r>
      <w:r w:rsidR="00E23478" w:rsidRPr="00DD6242">
        <w:t xml:space="preserve">he relative contents of acidic variants in </w:t>
      </w:r>
      <w:r w:rsidR="00E23478">
        <w:t xml:space="preserve">Hadlima </w:t>
      </w:r>
      <w:r w:rsidR="00E23478" w:rsidRPr="00DD6242">
        <w:t>were higher than the s</w:t>
      </w:r>
      <w:r w:rsidR="002D0EB7">
        <w:t>imilarity range</w:t>
      </w:r>
      <w:r w:rsidR="00E23478" w:rsidRPr="00DD6242">
        <w:t xml:space="preserve">, </w:t>
      </w:r>
      <w:r w:rsidR="00E23478" w:rsidRPr="00BD7536">
        <w:t>whereas</w:t>
      </w:r>
      <w:r w:rsidR="00E23478" w:rsidRPr="00DD6242">
        <w:t xml:space="preserve"> the relative content of the basic peak of </w:t>
      </w:r>
      <w:r w:rsidR="00E23478">
        <w:t xml:space="preserve">Hadlima </w:t>
      </w:r>
      <w:r w:rsidR="00E23478" w:rsidRPr="00DD6242">
        <w:t xml:space="preserve">was lower </w:t>
      </w:r>
      <w:r w:rsidR="00E23478">
        <w:t>than the similarity range</w:t>
      </w:r>
      <w:r w:rsidR="00E23478" w:rsidRPr="00DD6242">
        <w:t>.</w:t>
      </w:r>
    </w:p>
    <w:p w14:paraId="09A3168F" w14:textId="32BF6E1B" w:rsidR="00E23478" w:rsidRPr="00DD6242" w:rsidRDefault="00E23478" w:rsidP="00BD7536">
      <w:r w:rsidRPr="00DD6242">
        <w:t xml:space="preserve">In order to identify the possible causes and rule out the residual uncertainty on the difference in the charged profiles of </w:t>
      </w:r>
      <w:r>
        <w:t>Hadlima</w:t>
      </w:r>
      <w:r w:rsidRPr="00DD6242">
        <w:t xml:space="preserve"> and Humira, the nature of the molecular forms of the acidic, main and basic regions were elucidated. However, no differences in the molecular forms were observed in the charge variants of </w:t>
      </w:r>
      <w:r>
        <w:t>Hadlima</w:t>
      </w:r>
      <w:r w:rsidRPr="00DD6242">
        <w:t xml:space="preserve"> and EU Humira. Furthermore, to evaluate the impact of the charge heterogeneities on biological activity, </w:t>
      </w:r>
      <w:r w:rsidRPr="001333DA">
        <w:t>SAR studies</w:t>
      </w:r>
      <w:r w:rsidRPr="00DD6242">
        <w:t xml:space="preserve"> were performed using CEX-HPLC fractionated peaks. It was found that the charge variant content did not affect biological activity in</w:t>
      </w:r>
      <w:r>
        <w:t>cluding TNFα binding and ADCC.</w:t>
      </w:r>
    </w:p>
    <w:p w14:paraId="50A52D5C" w14:textId="77777777" w:rsidR="00E23478" w:rsidRPr="00DD6242" w:rsidRDefault="00E23478" w:rsidP="00BD7536">
      <w:r>
        <w:t>T</w:t>
      </w:r>
      <w:r w:rsidRPr="00DD6242">
        <w:t xml:space="preserve">he evaluator </w:t>
      </w:r>
      <w:r>
        <w:t>requested</w:t>
      </w:r>
      <w:r w:rsidRPr="00DD6242">
        <w:t xml:space="preserve"> the </w:t>
      </w:r>
      <w:r>
        <w:t>sponsor</w:t>
      </w:r>
      <w:r w:rsidRPr="00DD6242">
        <w:t xml:space="preserve"> to comment on the differences observed in charge variants with regards to inducing apoptosis. </w:t>
      </w:r>
      <w:r>
        <w:t>In response t</w:t>
      </w:r>
      <w:r w:rsidRPr="00DD6242">
        <w:t xml:space="preserve">he </w:t>
      </w:r>
      <w:r>
        <w:t>sponsor</w:t>
      </w:r>
      <w:r w:rsidRPr="00DD6242">
        <w:t xml:space="preserve"> has stated that the differences observed in charge variants should not result in differences in apoptotic activity for the following reasons:</w:t>
      </w:r>
    </w:p>
    <w:p w14:paraId="6BCA1236" w14:textId="74EFDE31" w:rsidR="00E23478" w:rsidRPr="00DD6242" w:rsidRDefault="00FE2BBD" w:rsidP="00E23478">
      <w:pPr>
        <w:pStyle w:val="Numberbullet0"/>
        <w:numPr>
          <w:ilvl w:val="0"/>
          <w:numId w:val="2"/>
        </w:numPr>
      </w:pPr>
      <w:r>
        <w:t>T</w:t>
      </w:r>
      <w:r w:rsidR="00E23478" w:rsidRPr="00DD6242">
        <w:t>he identified nature of the charge v</w:t>
      </w:r>
      <w:r w:rsidR="00E23478">
        <w:t xml:space="preserve">ariants may primarily affect Fc </w:t>
      </w:r>
      <w:r w:rsidR="00E23478" w:rsidRPr="00DD6242">
        <w:t>related function, and apoptosis is induced through the Fab region of an antibody, the difference in charge variants is not likely to have an impact</w:t>
      </w:r>
      <w:r>
        <w:t>.</w:t>
      </w:r>
    </w:p>
    <w:p w14:paraId="4229A21F" w14:textId="312BFC95" w:rsidR="00E23478" w:rsidRPr="00DD6242" w:rsidRDefault="00E23478" w:rsidP="00E23478">
      <w:pPr>
        <w:pStyle w:val="Numberbullet0"/>
        <w:numPr>
          <w:ilvl w:val="0"/>
          <w:numId w:val="2"/>
        </w:numPr>
      </w:pPr>
      <w:r w:rsidRPr="00DD6242">
        <w:t xml:space="preserve">TNFα binding activity is similar between </w:t>
      </w:r>
      <w:r>
        <w:t>Hadlima</w:t>
      </w:r>
      <w:r w:rsidRPr="00DD6242">
        <w:t xml:space="preserve"> and Humira across all the fractionated charge </w:t>
      </w:r>
      <w:proofErr w:type="gramStart"/>
      <w:r w:rsidRPr="00DD6242">
        <w:t>variants,</w:t>
      </w:r>
      <w:proofErr w:type="gramEnd"/>
      <w:r w:rsidRPr="00DD6242">
        <w:t xml:space="preserve"> therefore, it implies that apoptosis activities in all fractionated charge variants will be similar</w:t>
      </w:r>
      <w:r w:rsidR="00FE2BBD">
        <w:t>.</w:t>
      </w:r>
    </w:p>
    <w:p w14:paraId="523D4685" w14:textId="7F85A07D" w:rsidR="00E23478" w:rsidRPr="00DD6242" w:rsidRDefault="00FE2BBD" w:rsidP="00E23478">
      <w:pPr>
        <w:pStyle w:val="Numberbullet0"/>
        <w:numPr>
          <w:ilvl w:val="0"/>
          <w:numId w:val="2"/>
        </w:numPr>
      </w:pPr>
      <w:r>
        <w:t>T</w:t>
      </w:r>
      <w:r w:rsidR="00E23478" w:rsidRPr="00DD6242">
        <w:t xml:space="preserve">ertiary structure analysis revealed no difference between </w:t>
      </w:r>
      <w:r w:rsidR="00E23478">
        <w:t>Hadlima</w:t>
      </w:r>
      <w:r w:rsidR="00E23478" w:rsidRPr="00DD6242">
        <w:t xml:space="preserve"> and Humira despite the observed difference on charge variants</w:t>
      </w:r>
      <w:r w:rsidR="00E23478">
        <w:t>.</w:t>
      </w:r>
    </w:p>
    <w:p w14:paraId="13C72C31" w14:textId="77777777" w:rsidR="00E23478" w:rsidRPr="00DD6242" w:rsidRDefault="00E23478" w:rsidP="000E5AD2">
      <w:r w:rsidRPr="00DD6242">
        <w:t xml:space="preserve">The detailed analysis provided by the </w:t>
      </w:r>
      <w:r>
        <w:t>sponsor</w:t>
      </w:r>
      <w:r w:rsidRPr="00DD6242">
        <w:t xml:space="preserve"> in the response provided sufficient assurance that the observed differences in charge variants between </w:t>
      </w:r>
      <w:r>
        <w:t>Hadlima</w:t>
      </w:r>
      <w:r w:rsidRPr="00DD6242">
        <w:t xml:space="preserve"> and EU Humira should not affect the apoptotic activity of </w:t>
      </w:r>
      <w:r>
        <w:t>Hadlima</w:t>
      </w:r>
      <w:r w:rsidRPr="00DD6242">
        <w:t xml:space="preserve"> </w:t>
      </w:r>
      <w:r>
        <w:t>drug product</w:t>
      </w:r>
      <w:r w:rsidRPr="00DD6242">
        <w:t>.</w:t>
      </w:r>
    </w:p>
    <w:p w14:paraId="31BED2E8" w14:textId="4839AE0D" w:rsidR="00E23478" w:rsidRPr="00DD6242" w:rsidRDefault="00E23478" w:rsidP="000E5AD2">
      <w:r w:rsidRPr="00DD6242">
        <w:t xml:space="preserve">Overall, the </w:t>
      </w:r>
      <w:r>
        <w:t>sponsor</w:t>
      </w:r>
      <w:r w:rsidRPr="00DD6242">
        <w:t xml:space="preserve"> has demonstrated that </w:t>
      </w:r>
      <w:r>
        <w:t>Hadlima</w:t>
      </w:r>
      <w:r w:rsidRPr="00DD6242">
        <w:t xml:space="preserve"> is comparable to Humira in terms of structure, species, function and degradation profile (</w:t>
      </w:r>
      <w:r>
        <w:t>that is,</w:t>
      </w:r>
      <w:r w:rsidRPr="00DD6242">
        <w:t xml:space="preserve"> physico</w:t>
      </w:r>
      <w:r>
        <w:t>chemical and biological</w:t>
      </w:r>
      <w:r w:rsidR="004E41DC">
        <w:t>).</w:t>
      </w:r>
    </w:p>
    <w:p w14:paraId="24A0F109" w14:textId="77777777" w:rsidR="008E7846" w:rsidRPr="008751DC" w:rsidRDefault="008E7846" w:rsidP="000E5AD2">
      <w:pPr>
        <w:pStyle w:val="Heading3"/>
      </w:pPr>
      <w:bookmarkStart w:id="41" w:name="_Toc8816482"/>
      <w:r>
        <w:lastRenderedPageBreak/>
        <w:t>Quality s</w:t>
      </w:r>
      <w:r w:rsidRPr="008751DC">
        <w:t>ummary</w:t>
      </w:r>
      <w:r>
        <w:t xml:space="preserve"> </w:t>
      </w:r>
      <w:r w:rsidRPr="000E5AD2">
        <w:t>and</w:t>
      </w:r>
      <w:r>
        <w:t xml:space="preserve"> </w:t>
      </w:r>
      <w:r w:rsidRPr="00BD7536">
        <w:t>conclusions</w:t>
      </w:r>
      <w:bookmarkEnd w:id="38"/>
      <w:bookmarkEnd w:id="39"/>
      <w:bookmarkEnd w:id="41"/>
    </w:p>
    <w:p w14:paraId="4D4BBD30" w14:textId="4909878A" w:rsidR="00062787" w:rsidRPr="00062787" w:rsidRDefault="00062787" w:rsidP="000E5AD2">
      <w:r w:rsidRPr="00062787">
        <w:t>There are no objections to the registrat</w:t>
      </w:r>
      <w:r w:rsidRPr="00BD7536">
        <w:t>i</w:t>
      </w:r>
      <w:r w:rsidRPr="00062787">
        <w:t>on of this product from sterility</w:t>
      </w:r>
      <w:r w:rsidR="00FE2BBD">
        <w:t>,</w:t>
      </w:r>
      <w:r w:rsidRPr="00062787">
        <w:t xml:space="preserve"> endotoxin, container safety an</w:t>
      </w:r>
      <w:r w:rsidR="00EB0AAA">
        <w:t>d viral safety related aspects.</w:t>
      </w:r>
    </w:p>
    <w:p w14:paraId="6DA5A8E3" w14:textId="77777777" w:rsidR="00062787" w:rsidRPr="00062787" w:rsidRDefault="00062787" w:rsidP="000E5AD2">
      <w:r w:rsidRPr="00062787">
        <w:t xml:space="preserve">Overall, sufficient evidence has been provided to demonstrate that the risks related to the manufacturing quality of </w:t>
      </w:r>
      <w:r w:rsidR="00683EFD">
        <w:t>Hadlima</w:t>
      </w:r>
      <w:r w:rsidRPr="00062787">
        <w:t xml:space="preserve"> have been controlled to an acceptable level.</w:t>
      </w:r>
    </w:p>
    <w:p w14:paraId="074CED20" w14:textId="077175FB" w:rsidR="008E7846" w:rsidRDefault="00062787" w:rsidP="000E5AD2">
      <w:r w:rsidRPr="00062787">
        <w:t xml:space="preserve">With respect to </w:t>
      </w:r>
      <w:r w:rsidR="00EB0AAA">
        <w:t xml:space="preserve">quality matters the PI, </w:t>
      </w:r>
      <w:r w:rsidR="00FE2BBD">
        <w:t>Consumer Medicine Information (</w:t>
      </w:r>
      <w:r w:rsidRPr="00062787">
        <w:t>CMI</w:t>
      </w:r>
      <w:r w:rsidR="00FE2BBD">
        <w:t>)</w:t>
      </w:r>
      <w:r w:rsidRPr="00062787">
        <w:t xml:space="preserve"> and </w:t>
      </w:r>
      <w:r w:rsidR="00EB0AAA">
        <w:t xml:space="preserve">labels </w:t>
      </w:r>
      <w:r w:rsidRPr="00062787">
        <w:t>are acceptable.</w:t>
      </w:r>
    </w:p>
    <w:p w14:paraId="2D31A464" w14:textId="77777777" w:rsidR="008E7846" w:rsidRDefault="008E7846" w:rsidP="000E5AD2">
      <w:pPr>
        <w:pStyle w:val="Heading2"/>
      </w:pPr>
      <w:bookmarkStart w:id="42" w:name="_Toc196046439"/>
      <w:bookmarkStart w:id="43" w:name="_Toc247691510"/>
      <w:bookmarkStart w:id="44" w:name="_Toc314842494"/>
      <w:bookmarkStart w:id="45" w:name="_Toc8816483"/>
      <w:r>
        <w:t>I</w:t>
      </w:r>
      <w:r w:rsidR="00500337">
        <w:t>V</w:t>
      </w:r>
      <w:r>
        <w:t xml:space="preserve">. </w:t>
      </w:r>
      <w:r w:rsidRPr="000E5AD2">
        <w:t>Nonclinical</w:t>
      </w:r>
      <w:bookmarkEnd w:id="42"/>
      <w:r>
        <w:t xml:space="preserve"> </w:t>
      </w:r>
      <w:r w:rsidRPr="000E5AD2">
        <w:t>findings</w:t>
      </w:r>
      <w:bookmarkEnd w:id="43"/>
      <w:bookmarkEnd w:id="44"/>
      <w:bookmarkEnd w:id="45"/>
    </w:p>
    <w:p w14:paraId="647C59E8" w14:textId="77777777" w:rsidR="008E7846" w:rsidRDefault="008E7846" w:rsidP="000E5AD2">
      <w:pPr>
        <w:pStyle w:val="Heading3"/>
      </w:pPr>
      <w:bookmarkStart w:id="46" w:name="_Toc247691511"/>
      <w:bookmarkStart w:id="47" w:name="_Toc314842495"/>
      <w:bookmarkStart w:id="48" w:name="_Toc8816484"/>
      <w:r w:rsidRPr="000E5AD2">
        <w:t>Introduction</w:t>
      </w:r>
      <w:bookmarkEnd w:id="46"/>
      <w:bookmarkEnd w:id="47"/>
      <w:bookmarkEnd w:id="48"/>
    </w:p>
    <w:p w14:paraId="1192015C" w14:textId="77777777" w:rsidR="00062787" w:rsidRPr="00062787" w:rsidRDefault="00062787" w:rsidP="000E5AD2">
      <w:proofErr w:type="gramStart"/>
      <w:r w:rsidRPr="00062787">
        <w:t>Hadlima, which contains adalimumab, and is intended as a biosimilar to Humira.</w:t>
      </w:r>
      <w:proofErr w:type="gramEnd"/>
      <w:r w:rsidRPr="00062787">
        <w:t xml:space="preserve"> Hadlima is proposed to be used only for the rheumatoid a</w:t>
      </w:r>
      <w:r w:rsidR="00EB0AAA">
        <w:t xml:space="preserve">rthritis indication of Humira (as revised in the response to first round questions). </w:t>
      </w:r>
      <w:r w:rsidRPr="00062787">
        <w:t>Dose, administration route and dosing frequency of Hadlima match those of Humira, as outlined in the approved Australian PI for Humira (Version 39; 19 May 2017).</w:t>
      </w:r>
    </w:p>
    <w:p w14:paraId="294AE55D" w14:textId="77777777" w:rsidR="00062787" w:rsidRPr="00EB69F1" w:rsidRDefault="00062787" w:rsidP="000E5AD2">
      <w:pPr>
        <w:pStyle w:val="Heading4"/>
      </w:pPr>
      <w:bookmarkStart w:id="49" w:name="_Toc294861722"/>
      <w:bookmarkStart w:id="50" w:name="_Toc295290864"/>
      <w:bookmarkStart w:id="51" w:name="_Toc491268193"/>
      <w:r w:rsidRPr="000E5AD2">
        <w:t>General</w:t>
      </w:r>
      <w:r>
        <w:t xml:space="preserve"> </w:t>
      </w:r>
      <w:r w:rsidRPr="000E5AD2">
        <w:t>comments</w:t>
      </w:r>
      <w:bookmarkEnd w:id="49"/>
      <w:bookmarkEnd w:id="50"/>
      <w:bookmarkEnd w:id="51"/>
    </w:p>
    <w:p w14:paraId="394DEA71" w14:textId="5C893DA2" w:rsidR="00EB0AAA" w:rsidRDefault="00062787" w:rsidP="000E5AD2">
      <w:r>
        <w:t xml:space="preserve">The scope of the nonclinical testing program for </w:t>
      </w:r>
      <w:r w:rsidRPr="00EB0AAA">
        <w:t>Hadlima</w:t>
      </w:r>
      <w:r w:rsidR="00EB0AAA">
        <w:t xml:space="preserve"> (</w:t>
      </w:r>
      <w:r w:rsidR="00FE2BBD">
        <w:t xml:space="preserve">drug development code: </w:t>
      </w:r>
      <w:r w:rsidR="00EB0AAA">
        <w:t>SB5)</w:t>
      </w:r>
      <w:r>
        <w:t xml:space="preserve"> is in general accordance with guidance on nonclinical t</w:t>
      </w:r>
      <w:r w:rsidRPr="006A3668">
        <w:t>esting of similar biological medicinal products</w:t>
      </w:r>
      <w:r w:rsidR="00EB0AAA">
        <w:t>.</w:t>
      </w:r>
      <w:r w:rsidR="00EB0AAA">
        <w:rPr>
          <w:rStyle w:val="FootnoteReference"/>
        </w:rPr>
        <w:footnoteReference w:id="5"/>
      </w:r>
      <w:r>
        <w:t xml:space="preserve"> Data presented in </w:t>
      </w:r>
      <w:r w:rsidR="00EB0AAA">
        <w:t>the nonclinical module</w:t>
      </w:r>
      <w:r>
        <w:t xml:space="preserve"> consisted of 2 </w:t>
      </w:r>
      <w:r w:rsidRPr="00A833B6">
        <w:t>in vivo</w:t>
      </w:r>
      <w:r w:rsidRPr="00FE2BBD">
        <w:t xml:space="preserve"> studies</w:t>
      </w:r>
      <w:r>
        <w:t>: a comparative pharmacology study in a transgenic mouse model of polyarthritis (Tg197); and a 4 week repeat dose toxicity study in cynomolgus monkeys including toxicokinetic measurements</w:t>
      </w:r>
      <w:r w:rsidR="00EB0AAA">
        <w:t>.</w:t>
      </w:r>
    </w:p>
    <w:p w14:paraId="7D27B9BA" w14:textId="1B1083D7" w:rsidR="00062787" w:rsidRPr="004932E6" w:rsidRDefault="00062787" w:rsidP="000E5AD2">
      <w:r w:rsidRPr="00A833B6">
        <w:t>In vitro</w:t>
      </w:r>
      <w:r w:rsidRPr="004932E6">
        <w:t xml:space="preserve"> comparability studies on the biological characteristics of SB5 against </w:t>
      </w:r>
      <w:r w:rsidRPr="00EB0AAA">
        <w:t>Humira</w:t>
      </w:r>
      <w:r w:rsidRPr="004932E6">
        <w:t xml:space="preserve"> will be evaluated and commented further by the </w:t>
      </w:r>
      <w:r w:rsidR="00EB0AAA">
        <w:t>quality</w:t>
      </w:r>
      <w:r w:rsidRPr="004932E6">
        <w:t xml:space="preserve"> evaluator. However, it is noted that the SB5 drug product and/or drug substance batches used in the nonclinical studies were not subject to any of these comparability assessments. In response to a question</w:t>
      </w:r>
      <w:r w:rsidR="00EB0AAA">
        <w:t xml:space="preserve"> raised</w:t>
      </w:r>
      <w:r w:rsidRPr="004932E6">
        <w:t xml:space="preserve">, the </w:t>
      </w:r>
      <w:r w:rsidR="00683EFD">
        <w:t>sponsor</w:t>
      </w:r>
      <w:r w:rsidRPr="004932E6">
        <w:t xml:space="preserve"> indicated that at the time nonclinical studies were conducted, the manufacturing stage was locked at </w:t>
      </w:r>
      <w:r w:rsidR="004E41DC">
        <w:t xml:space="preserve">[information redacted] </w:t>
      </w:r>
      <w:r w:rsidRPr="004932E6">
        <w:t xml:space="preserve">production which preceded the </w:t>
      </w:r>
      <w:r w:rsidRPr="006E2D7B">
        <w:t>in vitro</w:t>
      </w:r>
      <w:r w:rsidRPr="004932E6">
        <w:t xml:space="preserve"> </w:t>
      </w:r>
      <w:r w:rsidR="00946EE2" w:rsidRPr="004932E6">
        <w:t>bio comparability</w:t>
      </w:r>
      <w:r w:rsidRPr="004932E6">
        <w:t xml:space="preserve"> assessments reported. However, the </w:t>
      </w:r>
      <w:r w:rsidR="00683EFD">
        <w:t>sponsor</w:t>
      </w:r>
      <w:r w:rsidRPr="004932E6">
        <w:t xml:space="preserve"> referred to comparability assessments that were conducted on SB5 batches from earlier stages of the manufacturing development process. </w:t>
      </w:r>
      <w:r w:rsidR="00512DD1">
        <w:t>The</w:t>
      </w:r>
      <w:r w:rsidRPr="004932E6">
        <w:t xml:space="preserve"> batch used in </w:t>
      </w:r>
      <w:r w:rsidR="00946EE2">
        <w:t>nonclinical</w:t>
      </w:r>
      <w:r w:rsidRPr="004932E6">
        <w:rPr>
          <w:i/>
        </w:rPr>
        <w:t xml:space="preserve"> </w:t>
      </w:r>
      <w:r w:rsidRPr="004932E6">
        <w:t xml:space="preserve">studies) and clinical batches showed comparable functional activities that were within the EU </w:t>
      </w:r>
      <w:r w:rsidRPr="00EB0AAA">
        <w:t>Humira</w:t>
      </w:r>
      <w:r w:rsidR="00EB0AAA">
        <w:t xml:space="preserve"> similarity ranges</w:t>
      </w:r>
      <w:r w:rsidRPr="004932E6">
        <w:t xml:space="preserve">. Therefore, based on this information, the SB5 drug product batch used in </w:t>
      </w:r>
      <w:r w:rsidR="00EB0AAA">
        <w:t>nonclinical</w:t>
      </w:r>
      <w:r w:rsidRPr="004932E6">
        <w:t xml:space="preserve"> studies is considered adequately represented in the main biosimilarity assessments.</w:t>
      </w:r>
    </w:p>
    <w:p w14:paraId="780D1C1D" w14:textId="639E86B3" w:rsidR="004334C7" w:rsidRPr="004334C7" w:rsidRDefault="00392E61" w:rsidP="000E5AD2">
      <w:r>
        <w:t xml:space="preserve">Although EU </w:t>
      </w:r>
      <w:r w:rsidR="00062787" w:rsidRPr="004932E6">
        <w:t xml:space="preserve">sourced </w:t>
      </w:r>
      <w:r w:rsidR="00062787" w:rsidRPr="00EB0AAA">
        <w:t>Humira</w:t>
      </w:r>
      <w:r w:rsidR="00062787" w:rsidRPr="004932E6">
        <w:t xml:space="preserve"> was claimed to be the reference product in nonclinical and clinical studies, it was noted that </w:t>
      </w:r>
      <w:r>
        <w:t>nonclinical</w:t>
      </w:r>
      <w:r w:rsidR="00062787" w:rsidRPr="004932E6">
        <w:t xml:space="preserve"> studies only used </w:t>
      </w:r>
      <w:r>
        <w:t xml:space="preserve">US </w:t>
      </w:r>
      <w:r w:rsidR="00062787" w:rsidRPr="00392E61">
        <w:t>sourced Humira</w:t>
      </w:r>
      <w:r w:rsidR="00062787" w:rsidRPr="004932E6">
        <w:t xml:space="preserve"> as comparator. In their response</w:t>
      </w:r>
      <w:r>
        <w:t xml:space="preserve"> to questions</w:t>
      </w:r>
      <w:r w:rsidR="00062787" w:rsidRPr="004932E6">
        <w:t xml:space="preserve">, the </w:t>
      </w:r>
      <w:r w:rsidR="00683EFD">
        <w:t>sponsor</w:t>
      </w:r>
      <w:r w:rsidR="00062787" w:rsidRPr="004932E6">
        <w:t xml:space="preserve"> explained that because the comparability </w:t>
      </w:r>
      <w:r w:rsidR="00EB0AAA" w:rsidRPr="004932E6">
        <w:t>assessments</w:t>
      </w:r>
      <w:r>
        <w:t xml:space="preserve"> </w:t>
      </w:r>
      <w:r w:rsidR="00062787" w:rsidRPr="004932E6">
        <w:t xml:space="preserve">showed similarity between the tested batches </w:t>
      </w:r>
      <w:r>
        <w:t>of US and EU</w:t>
      </w:r>
      <w:r w:rsidR="00062787" w:rsidRPr="00EB0AAA">
        <w:t xml:space="preserve"> Humira, it can</w:t>
      </w:r>
      <w:r w:rsidR="00062787" w:rsidRPr="004932E6">
        <w:t xml:space="preserve"> be inferred that </w:t>
      </w:r>
      <w:r>
        <w:t xml:space="preserve">other US </w:t>
      </w:r>
      <w:r w:rsidR="00062787" w:rsidRPr="00EB0AAA">
        <w:t>Humira lots not</w:t>
      </w:r>
      <w:r w:rsidR="00062787" w:rsidRPr="004932E6">
        <w:t xml:space="preserve"> part of the comparability assessment are also comparable </w:t>
      </w:r>
      <w:r>
        <w:t xml:space="preserve">to EU </w:t>
      </w:r>
      <w:r w:rsidR="00062787" w:rsidRPr="00EB0AAA">
        <w:t>sourced Humira. To</w:t>
      </w:r>
      <w:r w:rsidR="00062787" w:rsidRPr="004932E6">
        <w:t xml:space="preserve"> further support this claim, the </w:t>
      </w:r>
      <w:r w:rsidR="00683EFD">
        <w:t>sponsor</w:t>
      </w:r>
      <w:r w:rsidR="00062787" w:rsidRPr="004932E6">
        <w:t xml:space="preserve"> presented a tabular summary outlining some physicochemical characteristics of </w:t>
      </w:r>
      <w:r w:rsidR="00062787" w:rsidRPr="004932E6">
        <w:lastRenderedPageBreak/>
        <w:t xml:space="preserve">the </w:t>
      </w:r>
      <w:r>
        <w:t xml:space="preserve">US </w:t>
      </w:r>
      <w:r w:rsidR="00062787" w:rsidRPr="00EB0AAA">
        <w:t xml:space="preserve">Humira lot used in </w:t>
      </w:r>
      <w:r>
        <w:t>nonclinical</w:t>
      </w:r>
      <w:r w:rsidR="00062787" w:rsidRPr="00EB0AAA">
        <w:t xml:space="preserve"> studies that </w:t>
      </w:r>
      <w:r>
        <w:t xml:space="preserve">showed they were within the EU </w:t>
      </w:r>
      <w:r w:rsidR="00062787" w:rsidRPr="00EB0AAA">
        <w:t>Humira</w:t>
      </w:r>
      <w:r w:rsidR="00062787" w:rsidRPr="004932E6">
        <w:t xml:space="preserve"> similarity range. This rationale is considered acceptable.</w:t>
      </w:r>
    </w:p>
    <w:p w14:paraId="29FC7501" w14:textId="77777777" w:rsidR="008E7846" w:rsidRDefault="008E7846" w:rsidP="000E5AD2">
      <w:pPr>
        <w:pStyle w:val="Heading3"/>
      </w:pPr>
      <w:bookmarkStart w:id="52" w:name="_Toc247691512"/>
      <w:bookmarkStart w:id="53" w:name="_Toc314842496"/>
      <w:bookmarkStart w:id="54" w:name="_Toc8816485"/>
      <w:r w:rsidRPr="000E5AD2">
        <w:t>Pharmacology</w:t>
      </w:r>
      <w:bookmarkEnd w:id="52"/>
      <w:bookmarkEnd w:id="53"/>
      <w:bookmarkEnd w:id="54"/>
    </w:p>
    <w:p w14:paraId="55217390" w14:textId="707E6BA9" w:rsidR="00062787" w:rsidRPr="00392E61" w:rsidRDefault="00062787" w:rsidP="000E5AD2">
      <w:r>
        <w:t xml:space="preserve">Adalimumab is a human recombinant monoclonal antibody directed against human </w:t>
      </w:r>
      <w:r w:rsidR="00392E61">
        <w:t>TNFα and confers anti-inflammatory</w:t>
      </w:r>
      <w:r>
        <w:t xml:space="preserve"> activity by preventing the binding of soluble and membrane TNFα to TNF receptors. The Fc fragment also contributes to the biological activity of adalimumab. Biosimilar adalimumab SB5 would be expected to</w:t>
      </w:r>
      <w:r w:rsidRPr="00794133">
        <w:t xml:space="preserve"> </w:t>
      </w:r>
      <w:r>
        <w:t xml:space="preserve">display the same pharmacological actions as </w:t>
      </w:r>
      <w:r w:rsidRPr="00392E61">
        <w:t>innovator Humira.</w:t>
      </w:r>
    </w:p>
    <w:p w14:paraId="7F5B5119" w14:textId="5E228A34" w:rsidR="00EB0AAA" w:rsidRDefault="00062787" w:rsidP="000E5AD2">
      <w:r w:rsidRPr="006E2D7B">
        <w:t>In vitro</w:t>
      </w:r>
      <w:r>
        <w:t xml:space="preserve"> comparability studies between SB5 (as </w:t>
      </w:r>
      <w:r w:rsidR="00722765">
        <w:t xml:space="preserve">clinical </w:t>
      </w:r>
      <w:r w:rsidR="00392E61">
        <w:t>and</w:t>
      </w:r>
      <w:r>
        <w:t xml:space="preserve"> </w:t>
      </w:r>
      <w:r w:rsidR="00722765">
        <w:t xml:space="preserve">product validation run </w:t>
      </w:r>
      <w:r w:rsidR="00392E61">
        <w:t xml:space="preserve">batches) and EU, US and Korean </w:t>
      </w:r>
      <w:r>
        <w:t xml:space="preserve">sourced </w:t>
      </w:r>
      <w:r w:rsidRPr="00392E61">
        <w:t>Humira</w:t>
      </w:r>
      <w:r>
        <w:t xml:space="preserve"> showed a number of qualitative similarities in biological activity. Criteria for establishing biosimilarity were based on whether the tested batches fell within similarity range values that were derived from statistical data on </w:t>
      </w:r>
      <w:r w:rsidR="00392E61">
        <w:t>approximately</w:t>
      </w:r>
      <w:r>
        <w:t xml:space="preserve"> </w:t>
      </w:r>
      <w:r w:rsidR="00512DD1">
        <w:t>[information redacted]</w:t>
      </w:r>
      <w:r>
        <w:t xml:space="preserve"> batches of EU-sourced </w:t>
      </w:r>
      <w:r w:rsidRPr="00392E61">
        <w:t>Humira</w:t>
      </w:r>
      <w:r>
        <w:t xml:space="preserve">. Further comment on the acceptability of these comparative </w:t>
      </w:r>
      <w:r w:rsidR="00392E61">
        <w:t>assessments</w:t>
      </w:r>
      <w:r>
        <w:t xml:space="preserve"> will be provided by the </w:t>
      </w:r>
      <w:r w:rsidR="00392E61">
        <w:t>q</w:t>
      </w:r>
      <w:r>
        <w:t>uality evaluator. The affinity of SB5 for soluble and transmembrane TNFα, TNFα neutralisation, anti</w:t>
      </w:r>
      <w:r w:rsidR="00392E61">
        <w:t>-apoptotic actions, anti-</w:t>
      </w:r>
      <w:r w:rsidR="009324C3">
        <w:t>transmembrane TNFα (anti-</w:t>
      </w:r>
      <w:r w:rsidR="00392E61">
        <w:t>tmTNFα</w:t>
      </w:r>
      <w:r w:rsidR="009324C3">
        <w:t>)</w:t>
      </w:r>
      <w:r w:rsidR="00392E61">
        <w:t xml:space="preserve"> </w:t>
      </w:r>
      <w:r>
        <w:t xml:space="preserve">mediated induction of apoptosis, inhibition of </w:t>
      </w:r>
      <w:r w:rsidR="009324C3">
        <w:t>i</w:t>
      </w:r>
      <w:r w:rsidR="004D676B" w:rsidRPr="004D676B">
        <w:t>nterleukin 8 (</w:t>
      </w:r>
      <w:r w:rsidRPr="004D676B">
        <w:t>IL-8</w:t>
      </w:r>
      <w:r w:rsidR="004D676B" w:rsidRPr="004D676B">
        <w:t>)</w:t>
      </w:r>
      <w:r w:rsidRPr="004D676B">
        <w:t xml:space="preserve"> release</w:t>
      </w:r>
      <w:r>
        <w:t xml:space="preserve">, induction of regulatory macrophages, enhanced soluble </w:t>
      </w:r>
      <w:r w:rsidR="004D676B">
        <w:t xml:space="preserve">vascular cell adhesion </w:t>
      </w:r>
      <w:r w:rsidR="004D676B" w:rsidRPr="004D676B">
        <w:t>molecule 1 (</w:t>
      </w:r>
      <w:r w:rsidRPr="004D676B">
        <w:t>VCAM-1</w:t>
      </w:r>
      <w:r w:rsidR="004D676B" w:rsidRPr="004D676B">
        <w:t>)</w:t>
      </w:r>
      <w:r w:rsidRPr="004D676B">
        <w:t xml:space="preserve"> expression</w:t>
      </w:r>
      <w:r>
        <w:t>, T</w:t>
      </w:r>
      <w:r w:rsidR="009324C3">
        <w:t> </w:t>
      </w:r>
      <w:r>
        <w:t xml:space="preserve">cell anti-proliferation activity, Fc gamma receptor binding and related functions (ADCC and </w:t>
      </w:r>
      <w:r w:rsidR="00D02A3B">
        <w:t xml:space="preserve">complement dependent </w:t>
      </w:r>
      <w:r w:rsidR="00D02A3B" w:rsidRPr="00D02A3B">
        <w:t>cytotoxicity (</w:t>
      </w:r>
      <w:r w:rsidRPr="00D02A3B">
        <w:t>CDC</w:t>
      </w:r>
      <w:r w:rsidR="00D02A3B" w:rsidRPr="00D02A3B">
        <w:t>)</w:t>
      </w:r>
      <w:r w:rsidRPr="00D02A3B">
        <w:t xml:space="preserve"> acti</w:t>
      </w:r>
      <w:r w:rsidR="00392E61" w:rsidRPr="00D02A3B">
        <w:t>vity)</w:t>
      </w:r>
      <w:r w:rsidR="00392E61">
        <w:t xml:space="preserve"> were all comparable to EU, US and Korean </w:t>
      </w:r>
      <w:r>
        <w:t xml:space="preserve">sourced </w:t>
      </w:r>
      <w:r w:rsidRPr="00392E61">
        <w:t>Humira. As</w:t>
      </w:r>
      <w:r>
        <w:t xml:space="preserve"> well, like all </w:t>
      </w:r>
      <w:r w:rsidRPr="00392E61">
        <w:t>three Humira</w:t>
      </w:r>
      <w:r>
        <w:t xml:space="preserve"> comparators, SB5 also did not bind to TNFβ/lymphotoxin</w:t>
      </w:r>
      <w:r w:rsidR="00EB0AAA">
        <w:t>.</w:t>
      </w:r>
    </w:p>
    <w:p w14:paraId="6D431A99" w14:textId="77777777" w:rsidR="00062787" w:rsidRPr="000B7CBE" w:rsidRDefault="00062787" w:rsidP="000E5AD2">
      <w:r w:rsidRPr="006E2D7B">
        <w:t>In vivo</w:t>
      </w:r>
      <w:r>
        <w:t xml:space="preserve"> demonstration of comparative efficacy of SB5 to </w:t>
      </w:r>
      <w:r w:rsidRPr="00392E61">
        <w:t>Humira (</w:t>
      </w:r>
      <w:r>
        <w:t xml:space="preserve">0.5, 3 </w:t>
      </w:r>
      <w:r w:rsidR="00392E61">
        <w:t>and</w:t>
      </w:r>
      <w:r>
        <w:t xml:space="preserve"> 10 mg/kg) was shown in a transgenic mouse model of polyarthritis (Tg197), which develops human </w:t>
      </w:r>
      <w:r w:rsidR="00392E61">
        <w:t xml:space="preserve">TNFα-induced polyarthritis by 6 to </w:t>
      </w:r>
      <w:r>
        <w:t xml:space="preserve">7 weeks of age and is an accepted animal model for human arthritis. Three week old mice received twice weekly intraperitoneal injections of adalimumab or vehicle up to </w:t>
      </w:r>
      <w:r w:rsidR="00392E61">
        <w:t>Week</w:t>
      </w:r>
      <w:r>
        <w:t xml:space="preserve"> 10. Indicators of efficacy were based on in-life observations (improvements to body weight</w:t>
      </w:r>
      <w:r w:rsidR="000B7CBE">
        <w:t xml:space="preserve"> and arthritis scores) and post </w:t>
      </w:r>
      <w:r>
        <w:t xml:space="preserve">mortem examination of limb joints (histopathology scores). Relative to vehicle control group findings, body weight increases and reductions in arthritis scores (indicative of reduced severity of disease) were similar in both SB5 </w:t>
      </w:r>
      <w:r w:rsidRPr="000B7CBE">
        <w:t>and Humira groups</w:t>
      </w:r>
      <w:r>
        <w:t xml:space="preserve">. Improvements in histopathology scores were also similar and were significantly different from vehicle controls at doses </w:t>
      </w:r>
      <w:r w:rsidR="00C05C12">
        <w:t xml:space="preserve">≥ </w:t>
      </w:r>
      <w:r>
        <w:t>3 mg/kg, whereas interdose comparisons between the two adalimumab groups did not find significant differences. Overall, in a mouse model of arthritis SB5 demonstrated anti-inflammatory activity that was c</w:t>
      </w:r>
      <w:r w:rsidR="000B7CBE">
        <w:t xml:space="preserve">omparable to that of US </w:t>
      </w:r>
      <w:r w:rsidRPr="000B7CBE">
        <w:t>sourced Humira.</w:t>
      </w:r>
    </w:p>
    <w:p w14:paraId="42605CCA" w14:textId="77777777" w:rsidR="004334C7" w:rsidRPr="009324C3" w:rsidRDefault="00062787" w:rsidP="000E5AD2">
      <w:r w:rsidRPr="009324C3">
        <w:t xml:space="preserve">In the original submission the </w:t>
      </w:r>
      <w:r w:rsidR="00683EFD" w:rsidRPr="009324C3">
        <w:t>sponsor</w:t>
      </w:r>
      <w:r w:rsidRPr="009324C3">
        <w:t xml:space="preserve"> provided justifications to support extrapolation of data for the other indications of Humira, which were mainly based on findings from the </w:t>
      </w:r>
      <w:r w:rsidRPr="006E2D7B">
        <w:t>in vitro</w:t>
      </w:r>
      <w:r w:rsidRPr="009324C3">
        <w:t xml:space="preserve"> comparability assessments. The </w:t>
      </w:r>
      <w:r w:rsidR="00683EFD" w:rsidRPr="009324C3">
        <w:t>sponsor</w:t>
      </w:r>
      <w:r w:rsidRPr="009324C3">
        <w:t xml:space="preserve"> has since requested to change the indications being sought for approval and only register it for rheumatoid arthritis. Because the </w:t>
      </w:r>
      <w:r w:rsidRPr="006E2D7B">
        <w:t>in vivo</w:t>
      </w:r>
      <w:r w:rsidRPr="009324C3">
        <w:t xml:space="preserve"> pharmacology studies concerned the sought after indication and demonstrated adequate comparability between SB5 and </w:t>
      </w:r>
      <w:r w:rsidR="000B7CBE" w:rsidRPr="00C9463E">
        <w:t xml:space="preserve">US </w:t>
      </w:r>
      <w:r w:rsidRPr="00C9463E">
        <w:t>Humira (an acceptable comparator on the basis of additional information), from a nonclinical perspective there are no specific concerns about adequate demonstr</w:t>
      </w:r>
      <w:r w:rsidR="00F370CF" w:rsidRPr="00C9463E">
        <w:t>ation of comparable efficacies.</w:t>
      </w:r>
    </w:p>
    <w:p w14:paraId="05D478F1" w14:textId="77777777" w:rsidR="008E7846" w:rsidRDefault="008E7846" w:rsidP="000E5AD2">
      <w:pPr>
        <w:pStyle w:val="Heading3"/>
      </w:pPr>
      <w:bookmarkStart w:id="55" w:name="_Toc247691513"/>
      <w:bookmarkStart w:id="56" w:name="_Toc314842497"/>
      <w:bookmarkStart w:id="57" w:name="_Toc8816486"/>
      <w:r w:rsidRPr="000E5AD2">
        <w:t>Pharmacokinetics</w:t>
      </w:r>
      <w:bookmarkEnd w:id="55"/>
      <w:bookmarkEnd w:id="56"/>
      <w:bookmarkEnd w:id="57"/>
    </w:p>
    <w:p w14:paraId="43307AEF" w14:textId="6EFC0FA6" w:rsidR="00EB0AAA" w:rsidRDefault="00062787" w:rsidP="000E5AD2">
      <w:bookmarkStart w:id="58" w:name="_Toc247691514"/>
      <w:bookmarkStart w:id="59" w:name="_Toc314842498"/>
      <w:r w:rsidRPr="000B7BF0">
        <w:t xml:space="preserve">Comparative pharmacokinetic parameters were determined from toxicokinetic </w:t>
      </w:r>
      <w:r>
        <w:t xml:space="preserve">measurements ascertained from </w:t>
      </w:r>
      <w:r w:rsidRPr="000B7BF0">
        <w:t xml:space="preserve">the 4 week repeat dose toxicity study in cynomolgus monkeys. </w:t>
      </w:r>
      <w:r>
        <w:t xml:space="preserve">Although there were slight differences in </w:t>
      </w:r>
      <w:r w:rsidR="005A0780">
        <w:t xml:space="preserve">time to </w:t>
      </w:r>
      <w:r w:rsidR="009324C3">
        <w:t xml:space="preserve">maximum plasma-drug </w:t>
      </w:r>
      <w:r w:rsidR="009324C3">
        <w:lastRenderedPageBreak/>
        <w:t xml:space="preserve">concentration </w:t>
      </w:r>
      <w:r w:rsidR="005A0780">
        <w:t>(</w:t>
      </w:r>
      <w:proofErr w:type="spellStart"/>
      <w:r w:rsidR="00C05C12">
        <w:t>T</w:t>
      </w:r>
      <w:r w:rsidR="00C05C12" w:rsidRPr="00C05C12">
        <w:rPr>
          <w:vertAlign w:val="subscript"/>
        </w:rPr>
        <w:t>max</w:t>
      </w:r>
      <w:proofErr w:type="spellEnd"/>
      <w:r w:rsidR="005A0780">
        <w:t>)</w:t>
      </w:r>
      <w:r>
        <w:t xml:space="preserve"> values in SB5 treated females </w:t>
      </w:r>
      <w:r w:rsidR="000B7CBE" w:rsidRPr="000B7CBE">
        <w:t>compared with</w:t>
      </w:r>
      <w:r w:rsidRPr="000B7CBE">
        <w:t xml:space="preserve"> US Humira, overall, there were no significant or meaningful differences in</w:t>
      </w:r>
      <w:r w:rsidRPr="000B7BF0">
        <w:t xml:space="preserve"> pharmacokinetic parameters </w:t>
      </w:r>
      <w:r>
        <w:t xml:space="preserve">observed </w:t>
      </w:r>
      <w:r w:rsidRPr="000B7BF0">
        <w:t xml:space="preserve">between SB5 and US </w:t>
      </w:r>
      <w:r w:rsidRPr="000B7CBE">
        <w:t>Humira</w:t>
      </w:r>
      <w:r w:rsidRPr="000B7BF0">
        <w:t xml:space="preserve"> in cynomolgus monkeys following SC dosing at equivalent doses (32 mg/kg)</w:t>
      </w:r>
      <w:r w:rsidR="00EB0AAA">
        <w:t>.</w:t>
      </w:r>
    </w:p>
    <w:p w14:paraId="35E9044F" w14:textId="77777777" w:rsidR="00062787" w:rsidRPr="000B7CBE" w:rsidRDefault="00062787" w:rsidP="000E5AD2">
      <w:r w:rsidRPr="000B7BF0">
        <w:t xml:space="preserve">Bioequivalence in humans was claimed based on assessments made in healthy subjects who received single doses </w:t>
      </w:r>
      <w:r w:rsidRPr="000B7CBE">
        <w:t>of SB5/Hadlima, EU Humira or US Humira.</w:t>
      </w:r>
    </w:p>
    <w:p w14:paraId="47570A3D" w14:textId="77777777" w:rsidR="001B5C90" w:rsidRDefault="008E7846" w:rsidP="000E5AD2">
      <w:pPr>
        <w:pStyle w:val="Heading3"/>
      </w:pPr>
      <w:bookmarkStart w:id="60" w:name="_Toc8816487"/>
      <w:r w:rsidRPr="000E5AD2">
        <w:t>Toxicology</w:t>
      </w:r>
      <w:bookmarkEnd w:id="58"/>
      <w:bookmarkEnd w:id="59"/>
      <w:bookmarkEnd w:id="60"/>
    </w:p>
    <w:p w14:paraId="7130A132" w14:textId="26A6A026" w:rsidR="00062787" w:rsidRPr="0082639A" w:rsidRDefault="00062787" w:rsidP="000E5AD2">
      <w:r>
        <w:t xml:space="preserve">The </w:t>
      </w:r>
      <w:r w:rsidR="00683EFD">
        <w:t>sponsor</w:t>
      </w:r>
      <w:r w:rsidR="000B7CBE">
        <w:t xml:space="preserve"> submitted a </w:t>
      </w:r>
      <w:r w:rsidR="009324C3">
        <w:t>Good L</w:t>
      </w:r>
      <w:r w:rsidR="000B7CBE">
        <w:t xml:space="preserve">aboratory </w:t>
      </w:r>
      <w:r w:rsidR="009324C3">
        <w:t>P</w:t>
      </w:r>
      <w:r w:rsidR="000B7CBE" w:rsidRPr="000B7CBE">
        <w:t>ractice (GLP)</w:t>
      </w:r>
      <w:r w:rsidR="000B7CBE">
        <w:t xml:space="preserve"> </w:t>
      </w:r>
      <w:r>
        <w:t xml:space="preserve">compliant, 28 day comparative </w:t>
      </w:r>
      <w:r w:rsidR="000B7CBE">
        <w:t>repeat dose</w:t>
      </w:r>
      <w:r>
        <w:t xml:space="preserve"> toxicity study on </w:t>
      </w:r>
      <w:r w:rsidRPr="000B7BF0">
        <w:t>SB5</w:t>
      </w:r>
      <w:r w:rsidRPr="000B7CBE">
        <w:t>/Hadlima in</w:t>
      </w:r>
      <w:r>
        <w:t xml:space="preserve"> cynomolgus monkeys. The study design was acceptable and consistent with guidelines on toxicity testing for biological medicines</w:t>
      </w:r>
      <w:r w:rsidR="000B7CBE">
        <w:t>.</w:t>
      </w:r>
      <w:r>
        <w:rPr>
          <w:rStyle w:val="FootnoteReference"/>
          <w:kern w:val="2"/>
          <w:szCs w:val="20"/>
        </w:rPr>
        <w:footnoteReference w:id="6"/>
      </w:r>
      <w:r>
        <w:t xml:space="preserve"> The dose utilised (32 mg/kg) was chosen because it was stated to be over 10 times higher than the </w:t>
      </w:r>
      <w:r w:rsidR="009324C3">
        <w:t>maximum recommended human dose (</w:t>
      </w:r>
      <w:r>
        <w:t>MRHD</w:t>
      </w:r>
      <w:r w:rsidR="009324C3">
        <w:t>)</w:t>
      </w:r>
      <w:r>
        <w:t xml:space="preserve"> and dosing frequency was higher (</w:t>
      </w:r>
      <w:r w:rsidRPr="000B7CBE">
        <w:t xml:space="preserve">weekly </w:t>
      </w:r>
      <w:r w:rsidR="000B7CBE" w:rsidRPr="000B7CBE">
        <w:t>compared with</w:t>
      </w:r>
      <w:r w:rsidRPr="000B7CBE">
        <w:t xml:space="preserve"> fortnightly</w:t>
      </w:r>
      <w:r>
        <w:t xml:space="preserve"> for most indications). They also referenced the original assessment of adalimumab</w:t>
      </w:r>
      <w:r w:rsidRPr="000B7CBE">
        <w:t>/ Humira</w:t>
      </w:r>
      <w:r>
        <w:t xml:space="preserve"> where chronic dosing of up to 215 mg/kg, </w:t>
      </w:r>
      <w:r w:rsidR="000B7CBE" w:rsidRPr="000B7CBE">
        <w:t>intravenous (</w:t>
      </w:r>
      <w:r w:rsidRPr="000B7CBE">
        <w:t>IV</w:t>
      </w:r>
      <w:r w:rsidR="000B7CBE" w:rsidRPr="000B7CBE">
        <w:t>)</w:t>
      </w:r>
      <w:r w:rsidRPr="000B7CBE">
        <w:t xml:space="preserve"> for</w:t>
      </w:r>
      <w:r>
        <w:t xml:space="preserve"> 39 weeks did not result in any </w:t>
      </w:r>
      <w:r w:rsidR="000B7CBE">
        <w:t>dose limiting</w:t>
      </w:r>
      <w:r>
        <w:t xml:space="preserve"> or other targeted toxicities. It should be noted that the guideline on biosimilar products</w:t>
      </w:r>
      <w:r>
        <w:rPr>
          <w:rStyle w:val="FootnoteReference"/>
          <w:kern w:val="2"/>
          <w:szCs w:val="20"/>
        </w:rPr>
        <w:footnoteReference w:id="7"/>
      </w:r>
      <w:r>
        <w:t xml:space="preserve"> does not explicitly require toxicity testing if the </w:t>
      </w:r>
      <w:r w:rsidRPr="006E2D7B">
        <w:t>in vitro</w:t>
      </w:r>
      <w:r>
        <w:t xml:space="preserve"> compar</w:t>
      </w:r>
      <w:r w:rsidR="000B7CBE">
        <w:t>ability studies are acceptable;</w:t>
      </w:r>
      <w:r>
        <w:t xml:space="preserve"> that is, that the </w:t>
      </w:r>
      <w:r w:rsidR="000B7CBE">
        <w:t>biological activity and physico</w:t>
      </w:r>
      <w:r>
        <w:t xml:space="preserve">chemical attributes of the biosimilar and innovator are sufficiently similar. Although the </w:t>
      </w:r>
      <w:r w:rsidR="000B7CBE">
        <w:t>q</w:t>
      </w:r>
      <w:r>
        <w:t>uality evaluator will comment specifically on whether the comparability assessments are satisfactory, outwardly the summarised data on the biological activity of SB5 indicate co</w:t>
      </w:r>
      <w:r w:rsidR="000B7CBE">
        <w:t xml:space="preserve">mparable actions relative to EU, US and Korean </w:t>
      </w:r>
      <w:r>
        <w:t xml:space="preserve">sourced </w:t>
      </w:r>
      <w:r w:rsidRPr="000B7CBE">
        <w:t>Humira,</w:t>
      </w:r>
      <w:r>
        <w:t xml:space="preserve"> where measurements with SB5 for most tests fell within specified acceptance ranges.</w:t>
      </w:r>
    </w:p>
    <w:p w14:paraId="71A4EF9A" w14:textId="615A8790" w:rsidR="00EB0AAA" w:rsidRDefault="00062787" w:rsidP="000E5AD2">
      <w:r>
        <w:t xml:space="preserve">In the toxicity study, a single dose of adalimumab was selected (32 mg/kg/week) and administered using the clinical route </w:t>
      </w:r>
      <w:r w:rsidR="000B7CBE">
        <w:t xml:space="preserve">subcutaneous </w:t>
      </w:r>
      <w:r>
        <w:t>(SC); although, the dosing regimen differed slightly since adalimumab is generally given to patients on a fortnightly basis. Toxicokinetic parameters were also determined, and serum samples were analysed for the presence of anti-drug antibodies (ADA) against adalimumab.</w:t>
      </w:r>
      <w:r w:rsidR="000B7CBE">
        <w:t xml:space="preserve"> </w:t>
      </w:r>
      <w:r>
        <w:t xml:space="preserve">The toxicokinetic assessments, as summarised earlier, indicated comparable pharmacokinetic parameters </w:t>
      </w:r>
      <w:r w:rsidRPr="000B7CBE">
        <w:t>between SB5/Hadlima and US Humira. The study</w:t>
      </w:r>
      <w:r>
        <w:t xml:space="preserve"> did not find evidence of ADAs against adalimumab but it was speculated that high circulating levels of adalimumab may have masked their detection</w:t>
      </w:r>
      <w:r w:rsidR="00EB0AAA">
        <w:t>.</w:t>
      </w:r>
    </w:p>
    <w:p w14:paraId="5F88CB46" w14:textId="77777777" w:rsidR="00EB0AAA" w:rsidRDefault="00062787" w:rsidP="000E5AD2">
      <w:r>
        <w:t xml:space="preserve">There were no mortalities in any of the groups, nor were there notable </w:t>
      </w:r>
      <w:r w:rsidR="000B7CBE">
        <w:t>treatment related</w:t>
      </w:r>
      <w:r>
        <w:t xml:space="preserve"> changes in clinical signs above sporadic and transient changes (sparse hair on hind limbs, skin scabbing and reddening, and watery faeces), which were seen in all groups including vehicle treated animals. Other parameters (body weight gain, ophthalmological, </w:t>
      </w:r>
      <w:r w:rsidR="00670D09">
        <w:t>e</w:t>
      </w:r>
      <w:r w:rsidR="000B7CBE" w:rsidRPr="000B7CBE">
        <w:t>lectrocardiograph (</w:t>
      </w:r>
      <w:r w:rsidRPr="000B7CBE">
        <w:t>ECG</w:t>
      </w:r>
      <w:r w:rsidR="000B7CBE" w:rsidRPr="000B7CBE">
        <w:t>)</w:t>
      </w:r>
      <w:r w:rsidRPr="000B7CBE">
        <w:t>, haematological</w:t>
      </w:r>
      <w:r>
        <w:t xml:space="preserve">, urinalysis </w:t>
      </w:r>
      <w:r w:rsidR="00392E61">
        <w:t>and</w:t>
      </w:r>
      <w:r>
        <w:t xml:space="preserve"> clinical chemistry parameters) were unchanged by either type of</w:t>
      </w:r>
      <w:r w:rsidR="000B7CBE">
        <w:t xml:space="preserve"> adalimumab treatment, and post </w:t>
      </w:r>
      <w:r>
        <w:t xml:space="preserve">mortem analyses did not reveal significant changes in either adalimumab group. There were no </w:t>
      </w:r>
      <w:r w:rsidR="000B7CBE">
        <w:t>treatment related</w:t>
      </w:r>
      <w:r>
        <w:t xml:space="preserve"> effects on organ weights in any of the groups. Infrequent injection site changes were reported which were of minimal to mild grade of severity (fibrosis, myofibre degeneration/regeneration, pigmented macrophages and mineralisation)</w:t>
      </w:r>
      <w:r w:rsidR="00EB0AAA">
        <w:t>.</w:t>
      </w:r>
    </w:p>
    <w:p w14:paraId="1DEB1EAA" w14:textId="77777777" w:rsidR="00062787" w:rsidRPr="000B7CBE" w:rsidRDefault="00062787" w:rsidP="000E5AD2">
      <w:r>
        <w:t xml:space="preserve">Overall, toxicity studies did not identify any unexpected toxicities with SB5 or any findings that were inconsistent to those </w:t>
      </w:r>
      <w:r w:rsidRPr="000B7CBE">
        <w:t>with Humira. The</w:t>
      </w:r>
      <w:r>
        <w:t xml:space="preserve"> nature, incidence and severity of findings </w:t>
      </w:r>
      <w:r w:rsidRPr="000B7CBE">
        <w:t>with SB5</w:t>
      </w:r>
      <w:r>
        <w:t xml:space="preserve"> were generally comparable to those </w:t>
      </w:r>
      <w:r w:rsidR="000B7CBE">
        <w:t xml:space="preserve">observed with US </w:t>
      </w:r>
      <w:r w:rsidRPr="000B7CBE">
        <w:t>sourced Humira.</w:t>
      </w:r>
    </w:p>
    <w:p w14:paraId="60041841" w14:textId="77777777" w:rsidR="00062787" w:rsidRPr="00EB69F1" w:rsidRDefault="00062787" w:rsidP="000E5AD2">
      <w:pPr>
        <w:pStyle w:val="Heading5"/>
      </w:pPr>
      <w:r w:rsidRPr="00EB69F1">
        <w:lastRenderedPageBreak/>
        <w:t xml:space="preserve">Pregnancy </w:t>
      </w:r>
      <w:r w:rsidRPr="000E5AD2">
        <w:t>classification</w:t>
      </w:r>
    </w:p>
    <w:p w14:paraId="18234DCE" w14:textId="4C748270" w:rsidR="00062787" w:rsidRPr="000B7CBE" w:rsidRDefault="00062787" w:rsidP="000E5AD2">
      <w:r w:rsidRPr="006920A2">
        <w:t xml:space="preserve">The sponsor has </w:t>
      </w:r>
      <w:r w:rsidR="00946EE2" w:rsidRPr="006920A2">
        <w:t xml:space="preserve">proposed pregnancy category </w:t>
      </w:r>
      <w:r w:rsidRPr="006920A2">
        <w:t>C.</w:t>
      </w:r>
      <w:r w:rsidR="000B7CBE">
        <w:rPr>
          <w:rStyle w:val="FootnoteReference"/>
          <w:szCs w:val="20"/>
        </w:rPr>
        <w:footnoteReference w:id="8"/>
      </w:r>
      <w:r w:rsidRPr="006920A2">
        <w:t xml:space="preserve"> </w:t>
      </w:r>
      <w:proofErr w:type="gramStart"/>
      <w:r w:rsidRPr="006920A2">
        <w:t>This</w:t>
      </w:r>
      <w:proofErr w:type="gramEnd"/>
      <w:r w:rsidRPr="006920A2">
        <w:t xml:space="preserve"> matches the existing category for </w:t>
      </w:r>
      <w:r w:rsidRPr="000B7CBE">
        <w:t>Humira and is appropriate.</w:t>
      </w:r>
    </w:p>
    <w:p w14:paraId="1D6CA9A9" w14:textId="1A250A8F" w:rsidR="00062787" w:rsidRPr="00EB69F1" w:rsidRDefault="00062787" w:rsidP="000E5AD2">
      <w:pPr>
        <w:pStyle w:val="Heading3"/>
      </w:pPr>
      <w:bookmarkStart w:id="61" w:name="_Toc491268197"/>
      <w:bookmarkStart w:id="62" w:name="_Toc8816488"/>
      <w:r w:rsidRPr="000E5AD2">
        <w:t>Comments</w:t>
      </w:r>
      <w:r w:rsidRPr="00EB69F1">
        <w:t xml:space="preserve"> on the</w:t>
      </w:r>
      <w:r>
        <w:t xml:space="preserve"> </w:t>
      </w:r>
      <w:r w:rsidR="000E5AD2">
        <w:t>n</w:t>
      </w:r>
      <w:r>
        <w:t>onclinical</w:t>
      </w:r>
      <w:r w:rsidRPr="00EB69F1">
        <w:t xml:space="preserve"> </w:t>
      </w:r>
      <w:r w:rsidR="000E5AD2">
        <w:t>s</w:t>
      </w:r>
      <w:r w:rsidRPr="00EB69F1">
        <w:t xml:space="preserve">afety </w:t>
      </w:r>
      <w:r w:rsidR="000E5AD2" w:rsidRPr="000E5AD2">
        <w:t>s</w:t>
      </w:r>
      <w:r w:rsidRPr="000E5AD2">
        <w:t>pecification</w:t>
      </w:r>
      <w:r w:rsidRPr="00EB69F1">
        <w:t xml:space="preserve"> of the </w:t>
      </w:r>
      <w:r w:rsidR="00A20571">
        <w:t>r</w:t>
      </w:r>
      <w:r w:rsidRPr="00EB69F1">
        <w:t xml:space="preserve">isk </w:t>
      </w:r>
      <w:r w:rsidR="00A20571">
        <w:t>m</w:t>
      </w:r>
      <w:r w:rsidRPr="00EB69F1">
        <w:t xml:space="preserve">anagement </w:t>
      </w:r>
      <w:r w:rsidR="00A20571">
        <w:t>p</w:t>
      </w:r>
      <w:r w:rsidRPr="00EB69F1">
        <w:t>lan</w:t>
      </w:r>
      <w:bookmarkEnd w:id="61"/>
      <w:bookmarkEnd w:id="62"/>
    </w:p>
    <w:p w14:paraId="6CB5795B" w14:textId="77777777" w:rsidR="00062787" w:rsidRPr="00C675B6" w:rsidRDefault="00062787" w:rsidP="000E5AD2">
      <w:r>
        <w:t xml:space="preserve">The results and conclusions drawn from the nonclinical program </w:t>
      </w:r>
      <w:r w:rsidRPr="009612AD">
        <w:t>for SB5/Hadlima</w:t>
      </w:r>
      <w:r>
        <w:t xml:space="preserve"> as detailed in the sponsor’s draft Risk Management Plan</w:t>
      </w:r>
      <w:r w:rsidR="009612AD">
        <w:t xml:space="preserve"> (RMP)</w:t>
      </w:r>
      <w:r>
        <w:t xml:space="preserve"> are in general concordance with those of </w:t>
      </w:r>
      <w:r w:rsidR="009612AD">
        <w:t>the nonclinical evaluator</w:t>
      </w:r>
      <w:r>
        <w:t>.</w:t>
      </w:r>
    </w:p>
    <w:p w14:paraId="08FD8469" w14:textId="77777777" w:rsidR="008E7846" w:rsidRDefault="008E7846" w:rsidP="000E5AD2">
      <w:pPr>
        <w:pStyle w:val="Heading3"/>
      </w:pPr>
      <w:bookmarkStart w:id="63" w:name="_Toc247691515"/>
      <w:bookmarkStart w:id="64" w:name="_Toc314842499"/>
      <w:bookmarkStart w:id="65" w:name="_Toc8816489"/>
      <w:r>
        <w:t xml:space="preserve">Nonclinical summary </w:t>
      </w:r>
      <w:r w:rsidRPr="000E5AD2">
        <w:t>and</w:t>
      </w:r>
      <w:r>
        <w:t xml:space="preserve"> conclusions</w:t>
      </w:r>
      <w:bookmarkEnd w:id="63"/>
      <w:bookmarkEnd w:id="64"/>
      <w:bookmarkEnd w:id="65"/>
    </w:p>
    <w:p w14:paraId="00CD5670" w14:textId="159217B2" w:rsidR="00062787" w:rsidRPr="00CA4763" w:rsidRDefault="00062787" w:rsidP="000E5AD2">
      <w:pPr>
        <w:pStyle w:val="ListBullet"/>
      </w:pPr>
      <w:r w:rsidRPr="00CA4763">
        <w:t xml:space="preserve">The nonclinical </w:t>
      </w:r>
      <w:r w:rsidRPr="000E5AD2">
        <w:t>dossier</w:t>
      </w:r>
      <w:r w:rsidRPr="00CA4763">
        <w:t xml:space="preserve"> contained comparative studies on phar</w:t>
      </w:r>
      <w:r>
        <w:t>m</w:t>
      </w:r>
      <w:r w:rsidRPr="00CA4763">
        <w:t>aco</w:t>
      </w:r>
      <w:r>
        <w:t xml:space="preserve">logy, </w:t>
      </w:r>
      <w:r w:rsidRPr="000E5AD2">
        <w:t>pharmacokinetics</w:t>
      </w:r>
      <w:r>
        <w:t xml:space="preserve"> and </w:t>
      </w:r>
      <w:r w:rsidR="000B7CBE">
        <w:t>repeat dose</w:t>
      </w:r>
      <w:r>
        <w:t xml:space="preserve"> toxicity. The scope of the nonclinical program is in general accordance with the EMA guideline on nonclinical assessment of biological medicines (EMEA/CHMP/BMWP/42832/2005 Rev 1). Nonclinical </w:t>
      </w:r>
      <w:r w:rsidRPr="006E2D7B">
        <w:t>in vivo</w:t>
      </w:r>
      <w:r>
        <w:t xml:space="preserve"> studies only used US-source</w:t>
      </w:r>
      <w:r w:rsidR="009324C3">
        <w:t xml:space="preserve">d Humira, </w:t>
      </w:r>
      <w:r>
        <w:t xml:space="preserve">whereas the </w:t>
      </w:r>
      <w:r w:rsidR="00683EFD">
        <w:t>sponsor</w:t>
      </w:r>
      <w:r>
        <w:t xml:space="preserve"> indicated that </w:t>
      </w:r>
      <w:r w:rsidR="009612AD">
        <w:t xml:space="preserve">EU </w:t>
      </w:r>
      <w:r w:rsidRPr="009612AD">
        <w:t>sourced Humira</w:t>
      </w:r>
      <w:r>
        <w:t xml:space="preserve"> was the chief comparator.</w:t>
      </w:r>
    </w:p>
    <w:p w14:paraId="6079B331" w14:textId="77777777" w:rsidR="00EB0AAA" w:rsidRDefault="00062787" w:rsidP="000E5AD2">
      <w:pPr>
        <w:pStyle w:val="ListBullet"/>
      </w:pPr>
      <w:r>
        <w:t>There were no significant</w:t>
      </w:r>
      <w:r w:rsidRPr="00FA1E44">
        <w:t xml:space="preserve"> differences betwe</w:t>
      </w:r>
      <w:r w:rsidRPr="009612AD">
        <w:t xml:space="preserve">en SB5/Hadlima </w:t>
      </w:r>
      <w:r w:rsidR="009612AD">
        <w:t xml:space="preserve">and US </w:t>
      </w:r>
      <w:r w:rsidRPr="009612AD">
        <w:t xml:space="preserve">sourced Humira </w:t>
      </w:r>
      <w:r w:rsidRPr="00FA1E44">
        <w:t xml:space="preserve">in the </w:t>
      </w:r>
      <w:r w:rsidRPr="006E2D7B">
        <w:t xml:space="preserve">in </w:t>
      </w:r>
      <w:r w:rsidRPr="000E5AD2">
        <w:t>vivo</w:t>
      </w:r>
      <w:r w:rsidRPr="00F50751">
        <w:t xml:space="preserve"> comparative pharmacology, pharmacokinetic and toxicity studies</w:t>
      </w:r>
      <w:r w:rsidR="00EB0AAA">
        <w:t>.</w:t>
      </w:r>
    </w:p>
    <w:p w14:paraId="37DC5AF5" w14:textId="77777777" w:rsidR="00062787" w:rsidRPr="00456411" w:rsidRDefault="00062787" w:rsidP="000E5AD2">
      <w:pPr>
        <w:pStyle w:val="ListBullet"/>
      </w:pPr>
      <w:r w:rsidRPr="00456411">
        <w:t xml:space="preserve">Based on the nonclinical studies submitted and additional information provided by the </w:t>
      </w:r>
      <w:r w:rsidR="00683EFD">
        <w:t>sponsor</w:t>
      </w:r>
      <w:r w:rsidRPr="00456411">
        <w:t xml:space="preserve">, all major concerns identified in the </w:t>
      </w:r>
      <w:r w:rsidR="009612AD">
        <w:t>first round</w:t>
      </w:r>
      <w:r w:rsidRPr="00456411">
        <w:t xml:space="preserve"> report have been resolved. Nonclinical demonstration of </w:t>
      </w:r>
      <w:r w:rsidRPr="000E5AD2">
        <w:t>comparability</w:t>
      </w:r>
      <w:r w:rsidRPr="00456411">
        <w:t xml:space="preserve"> between SB5 and </w:t>
      </w:r>
      <w:r w:rsidR="009612AD">
        <w:t xml:space="preserve">innovator US </w:t>
      </w:r>
      <w:r w:rsidRPr="009612AD">
        <w:t>Humira is</w:t>
      </w:r>
      <w:r w:rsidRPr="00456411">
        <w:t xml:space="preserve"> </w:t>
      </w:r>
      <w:r>
        <w:t xml:space="preserve">considered </w:t>
      </w:r>
      <w:r w:rsidRPr="00456411">
        <w:t>acceptable and there are no nonclinical objections to registration.</w:t>
      </w:r>
    </w:p>
    <w:p w14:paraId="1B9A4D7C" w14:textId="20A3C5EF" w:rsidR="00062787" w:rsidRPr="009612AD" w:rsidRDefault="00062787" w:rsidP="000E5AD2">
      <w:r w:rsidRPr="009612AD">
        <w:t xml:space="preserve">The </w:t>
      </w:r>
      <w:r w:rsidR="009612AD" w:rsidRPr="009612AD">
        <w:t xml:space="preserve">nonclinical evaluator also made comments relating to the </w:t>
      </w:r>
      <w:r w:rsidRPr="009612AD">
        <w:t xml:space="preserve">draft </w:t>
      </w:r>
      <w:r w:rsidR="00946EE2">
        <w:t>PI</w:t>
      </w:r>
      <w:r w:rsidRPr="009612AD">
        <w:t xml:space="preserve"> </w:t>
      </w:r>
      <w:r w:rsidR="009612AD" w:rsidRPr="009612AD">
        <w:t>but these are beyond the scope of the AusPAR.</w:t>
      </w:r>
    </w:p>
    <w:p w14:paraId="099B57C8" w14:textId="77777777" w:rsidR="008E7846" w:rsidRPr="00254787" w:rsidRDefault="008E7846" w:rsidP="000E5AD2">
      <w:pPr>
        <w:pStyle w:val="Heading2"/>
      </w:pPr>
      <w:bookmarkStart w:id="66" w:name="_Toc196046462"/>
      <w:bookmarkStart w:id="67" w:name="_Toc247691516"/>
      <w:bookmarkStart w:id="68" w:name="_Toc314842500"/>
      <w:bookmarkStart w:id="69" w:name="_Toc8816490"/>
      <w:bookmarkStart w:id="70" w:name="_Toc163441353"/>
      <w:bookmarkStart w:id="71" w:name="_Toc163441348"/>
      <w:r>
        <w:t xml:space="preserve">V. </w:t>
      </w:r>
      <w:r w:rsidRPr="000E5AD2">
        <w:t>Clinical</w:t>
      </w:r>
      <w:bookmarkEnd w:id="66"/>
      <w:r>
        <w:t xml:space="preserve"> </w:t>
      </w:r>
      <w:r w:rsidR="003A7F6C">
        <w:t>f</w:t>
      </w:r>
      <w:r>
        <w:t>indings</w:t>
      </w:r>
      <w:bookmarkEnd w:id="67"/>
      <w:bookmarkEnd w:id="68"/>
      <w:bookmarkEnd w:id="69"/>
    </w:p>
    <w:p w14:paraId="27833CF2" w14:textId="2D2D2081" w:rsidR="00C80137" w:rsidRDefault="00C80137" w:rsidP="000E5AD2">
      <w:bookmarkStart w:id="72" w:name="_Toc196046463"/>
      <w:r>
        <w:t xml:space="preserve">A summary of the </w:t>
      </w:r>
      <w:r w:rsidRPr="00FD70B8">
        <w:t>clinical findings is presented in this section.</w:t>
      </w:r>
    </w:p>
    <w:p w14:paraId="70C5C69C" w14:textId="77777777" w:rsidR="008E7846" w:rsidRDefault="008E7846" w:rsidP="000E5AD2">
      <w:pPr>
        <w:pStyle w:val="Heading3"/>
      </w:pPr>
      <w:bookmarkStart w:id="73" w:name="_Toc247691517"/>
      <w:bookmarkStart w:id="74" w:name="_Toc314842501"/>
      <w:bookmarkStart w:id="75" w:name="_Toc8816491"/>
      <w:r w:rsidRPr="000E5AD2">
        <w:t>Introduction</w:t>
      </w:r>
      <w:bookmarkEnd w:id="72"/>
      <w:bookmarkEnd w:id="73"/>
      <w:bookmarkEnd w:id="74"/>
      <w:bookmarkEnd w:id="75"/>
    </w:p>
    <w:p w14:paraId="6E613F70" w14:textId="625C47DC" w:rsidR="009612AD" w:rsidRDefault="00570539" w:rsidP="000E5AD2">
      <w:r w:rsidRPr="000559C0">
        <w:t xml:space="preserve">This application is a full submission requesting the registration of a new chemical entity in Australia, </w:t>
      </w:r>
      <w:r>
        <w:t xml:space="preserve">Hadlima (also referred to as </w:t>
      </w:r>
      <w:r w:rsidRPr="000559C0">
        <w:t>SB5</w:t>
      </w:r>
      <w:r>
        <w:t>)</w:t>
      </w:r>
      <w:r w:rsidRPr="000559C0">
        <w:t>, which is a biosimilar medicine of adalimumab. In this submission, similarity to Humira (</w:t>
      </w:r>
      <w:r>
        <w:t>that is,</w:t>
      </w:r>
      <w:r w:rsidRPr="000559C0">
        <w:t xml:space="preserve"> the reference medicinal product) is claimed. The application for </w:t>
      </w:r>
      <w:r w:rsidR="0069652B">
        <w:t>Hadlima</w:t>
      </w:r>
      <w:r w:rsidRPr="000559C0">
        <w:t xml:space="preserve"> is requesting approval of the same 9</w:t>
      </w:r>
      <w:r w:rsidR="00212873">
        <w:t> </w:t>
      </w:r>
      <w:r w:rsidRPr="000559C0">
        <w:t>treatment indications currently approved for Humira in Australia</w:t>
      </w:r>
      <w:r w:rsidR="00946EE2">
        <w:t>,</w:t>
      </w:r>
      <w:r w:rsidR="009612AD">
        <w:rPr>
          <w:rStyle w:val="FootnoteReference"/>
        </w:rPr>
        <w:footnoteReference w:id="9"/>
      </w:r>
      <w:r w:rsidRPr="000559C0">
        <w:t xml:space="preserve"> which include active rheumatoid arthritis (RA), juvenile idiopathic arthritis (JIA) in children and adolescents aged </w:t>
      </w:r>
      <w:r>
        <w:t>2 to 17</w:t>
      </w:r>
      <w:r w:rsidRPr="000559C0">
        <w:t xml:space="preserve"> years, psoriatic arthritis (</w:t>
      </w:r>
      <w:proofErr w:type="spellStart"/>
      <w:r w:rsidRPr="000559C0">
        <w:t>PsA</w:t>
      </w:r>
      <w:proofErr w:type="spellEnd"/>
      <w:r w:rsidRPr="000559C0">
        <w:t>), chronic plaque psoriasis (PSOR) in adults and children (</w:t>
      </w:r>
      <w:r>
        <w:t>4 to 17</w:t>
      </w:r>
      <w:r w:rsidRPr="000559C0">
        <w:t xml:space="preserve"> years), Crohn’s disease (CD) in adults and children </w:t>
      </w:r>
      <w:r>
        <w:t xml:space="preserve">&gt; </w:t>
      </w:r>
      <w:r w:rsidRPr="000559C0">
        <w:t>6 years of age, ulcerative colitis (UC), ankylosing spondylitis (AS), hidradenitis suppurativa (</w:t>
      </w:r>
      <w:r w:rsidR="0069652B">
        <w:t>HS) and non-infectious uveitis.</w:t>
      </w:r>
    </w:p>
    <w:p w14:paraId="23CB93C4" w14:textId="77777777" w:rsidR="00570539" w:rsidRPr="000559C0" w:rsidRDefault="00570539" w:rsidP="000E5AD2">
      <w:r w:rsidRPr="000559C0">
        <w:lastRenderedPageBreak/>
        <w:t xml:space="preserve">The submission contains a single pivotal </w:t>
      </w:r>
      <w:r>
        <w:t>Phase III</w:t>
      </w:r>
      <w:r w:rsidRPr="000559C0">
        <w:t xml:space="preserve"> trial (Study SB5-G31-RA) with an active treatment period of 52 weeks, which primarily evaluated the comparative efficacy and safety of SB5 versus EU sourced Humira for the treatment of 544 adult subjects with active RA. The sponsor has also nominated the comparative pharmacokinetic (PK) and safety data provided by the </w:t>
      </w:r>
      <w:r>
        <w:t>Phase I</w:t>
      </w:r>
      <w:r w:rsidRPr="000559C0">
        <w:t xml:space="preserve"> trial (Study SB5-G11-NHV) as pivotal in this submission. Two additional clinical studies (SB5-G12-NHV and SB5-G21-RA) with </w:t>
      </w:r>
      <w:r>
        <w:t>open label</w:t>
      </w:r>
      <w:r w:rsidRPr="000559C0">
        <w:t xml:space="preserve"> designs were included in this submission, to mainly support the registration of t</w:t>
      </w:r>
      <w:r>
        <w:t xml:space="preserve">he </w:t>
      </w:r>
      <w:r w:rsidR="0069652B" w:rsidRPr="000559C0">
        <w:t>auto-injector device</w:t>
      </w:r>
      <w:r w:rsidR="0069652B">
        <w:t xml:space="preserve"> (</w:t>
      </w:r>
      <w:r>
        <w:t>AID</w:t>
      </w:r>
      <w:r w:rsidR="0069652B">
        <w:t>)</w:t>
      </w:r>
      <w:r>
        <w:t xml:space="preserve"> in addition to the </w:t>
      </w:r>
      <w:r w:rsidR="0069652B" w:rsidRPr="000559C0">
        <w:t xml:space="preserve">pre-filled syringes </w:t>
      </w:r>
      <w:r w:rsidR="0069652B">
        <w:t>(</w:t>
      </w:r>
      <w:r>
        <w:t>PFS</w:t>
      </w:r>
      <w:r w:rsidR="0069652B">
        <w:t>)</w:t>
      </w:r>
      <w:r>
        <w:t>.</w:t>
      </w:r>
    </w:p>
    <w:p w14:paraId="53F08538" w14:textId="77777777" w:rsidR="00570539" w:rsidRDefault="00570539" w:rsidP="000E5AD2">
      <w:r>
        <w:t>Adalimumab is a recombinant human immunoglobulin (IgG1) monoclonal antibody containing only human peptide sequences that bind with high affinity and specificity to soluble human tumour necrosis (TNF-</w:t>
      </w:r>
      <w:r w:rsidR="009612AD">
        <w:t>α</w:t>
      </w:r>
      <w:r>
        <w:t>), but not lymphotoxin (TNF-</w:t>
      </w:r>
      <w:r w:rsidR="009612AD">
        <w:t>β</w:t>
      </w:r>
      <w:r>
        <w:t>), thereby preventing the interaction between TNF, and the p55 and p75 cell surface TNF receptors. As a consequence, TNF is rendered biologically inactive.</w:t>
      </w:r>
    </w:p>
    <w:p w14:paraId="4D3385F7" w14:textId="093DA502" w:rsidR="00570539" w:rsidRDefault="00570539" w:rsidP="00570539">
      <w:r w:rsidRPr="000559C0">
        <w:t xml:space="preserve">The submission proposes registration of </w:t>
      </w:r>
      <w:r w:rsidR="00321955">
        <w:t>Hadlima</w:t>
      </w:r>
      <w:r w:rsidRPr="000559C0">
        <w:t>: 40 mg of adalimumab dissolved in 0.8</w:t>
      </w:r>
      <w:r w:rsidR="00946EE2">
        <w:t> </w:t>
      </w:r>
      <w:r w:rsidRPr="000559C0">
        <w:t xml:space="preserve">mL sterile solution, presented in single use, </w:t>
      </w:r>
      <w:r w:rsidR="0069652B">
        <w:t>PFS</w:t>
      </w:r>
      <w:r w:rsidRPr="000559C0">
        <w:t xml:space="preserve"> and </w:t>
      </w:r>
      <w:r w:rsidR="0069652B">
        <w:t>AID</w:t>
      </w:r>
      <w:r>
        <w:t>.</w:t>
      </w:r>
    </w:p>
    <w:p w14:paraId="4CA73FA7" w14:textId="3AAF18F4" w:rsidR="00570539" w:rsidRDefault="009612AD" w:rsidP="000E5AD2">
      <w:r>
        <w:t>Humira</w:t>
      </w:r>
      <w:r w:rsidR="00570539" w:rsidRPr="000559C0">
        <w:t xml:space="preserve"> has 3 dose presentations currently registered in Australia</w:t>
      </w:r>
      <w:bookmarkStart w:id="76" w:name="Top"/>
      <w:r w:rsidR="00570539">
        <w:t>: 10 </w:t>
      </w:r>
      <w:r w:rsidR="00570539" w:rsidRPr="000559C0">
        <w:t>mg/0.2 mL and 20</w:t>
      </w:r>
      <w:r w:rsidR="00946EE2">
        <w:t> </w:t>
      </w:r>
      <w:r w:rsidR="00570539" w:rsidRPr="000559C0">
        <w:t>mg/0.4 mL (both for paediatric use only; only available as PFS) as well as the 40</w:t>
      </w:r>
      <w:r w:rsidR="00946EE2">
        <w:t> </w:t>
      </w:r>
      <w:r w:rsidR="00570539" w:rsidRPr="000559C0">
        <w:t>mg/0.8 mL presentation (for adult and paediatric use; presented as PFS and AID)</w:t>
      </w:r>
      <w:bookmarkEnd w:id="76"/>
      <w:r w:rsidR="00570539">
        <w:t>. The 10 </w:t>
      </w:r>
      <w:r w:rsidR="00570539" w:rsidRPr="000559C0">
        <w:t>mg vial presentation of Humira is not currently marketed in Australia</w:t>
      </w:r>
      <w:r w:rsidR="00570539">
        <w:t>.</w:t>
      </w:r>
    </w:p>
    <w:p w14:paraId="4741CB39" w14:textId="77777777" w:rsidR="005C3656" w:rsidRPr="000559C0" w:rsidRDefault="005C3656" w:rsidP="000E5AD2">
      <w:pPr>
        <w:pStyle w:val="Heading4"/>
      </w:pPr>
      <w:bookmarkStart w:id="77" w:name="_Toc493594497"/>
      <w:r w:rsidRPr="000559C0">
        <w:t xml:space="preserve">Dosage </w:t>
      </w:r>
      <w:r w:rsidRPr="000E5AD2">
        <w:t>and</w:t>
      </w:r>
      <w:r w:rsidRPr="000559C0">
        <w:t xml:space="preserve"> administration</w:t>
      </w:r>
      <w:bookmarkEnd w:id="77"/>
    </w:p>
    <w:p w14:paraId="265257B9" w14:textId="16E22CF3" w:rsidR="00570539" w:rsidRPr="00570539" w:rsidRDefault="005C3656" w:rsidP="000E5AD2">
      <w:r w:rsidRPr="000559C0">
        <w:t xml:space="preserve">Adalimumab is administered by subcutaneous (SC) injection. </w:t>
      </w:r>
      <w:r w:rsidR="00512DD1">
        <w:t xml:space="preserve">The </w:t>
      </w:r>
      <w:r w:rsidRPr="000559C0">
        <w:t>proposed adult treatment indication for Hadlima</w:t>
      </w:r>
      <w:r w:rsidR="00AB2F1D">
        <w:t xml:space="preserve"> </w:t>
      </w:r>
      <w:r w:rsidR="00706CDA">
        <w:t>has</w:t>
      </w:r>
      <w:r w:rsidRPr="000559C0">
        <w:t xml:space="preserve"> a recommended maintenance dose of 40 mg per fortnight.</w:t>
      </w:r>
    </w:p>
    <w:p w14:paraId="3FFC0FDA" w14:textId="77777777" w:rsidR="00605AD4" w:rsidRDefault="00605AD4" w:rsidP="000E5AD2">
      <w:pPr>
        <w:pStyle w:val="Heading4"/>
      </w:pPr>
      <w:bookmarkStart w:id="78" w:name="_Toc196046464"/>
      <w:bookmarkStart w:id="79" w:name="_Toc247691518"/>
      <w:bookmarkStart w:id="80" w:name="_Toc314842502"/>
      <w:r w:rsidRPr="00605AD4">
        <w:t xml:space="preserve">Clinical </w:t>
      </w:r>
      <w:r w:rsidR="00EF59DC" w:rsidRPr="000E5AD2">
        <w:t>r</w:t>
      </w:r>
      <w:r w:rsidRPr="000E5AD2">
        <w:t>ationale</w:t>
      </w:r>
    </w:p>
    <w:p w14:paraId="43F8E826" w14:textId="77777777" w:rsidR="005C3656" w:rsidRDefault="005C3656" w:rsidP="000E5AD2">
      <w:r w:rsidRPr="00A5558E">
        <w:t>Rheumatoid arthritis (RA) is a chronic inflammatory autoimmune disease characterised by polyarticular inflammatory synovitis, which is associated with cartilage breakdown, bony erosion and ultimately loss of function of the affected joints. It is the second most common form of arthritis and the most common autoimmune disease in Australia with a prevalence of 2%</w:t>
      </w:r>
      <w:r>
        <w:t>.</w:t>
      </w:r>
    </w:p>
    <w:p w14:paraId="3EEEDE5C" w14:textId="77777777" w:rsidR="005C3656" w:rsidRDefault="005C3656" w:rsidP="000E5AD2">
      <w:r w:rsidRPr="00A5558E">
        <w:t>Juvenile Idiopathic Arthritis (JIA) is the most common rheumatic disease in children and is more common in females. The estimated prevalence of JIA in Australia is 1 in 1</w:t>
      </w:r>
      <w:r w:rsidR="0069652B">
        <w:t>,</w:t>
      </w:r>
      <w:r w:rsidRPr="00A5558E">
        <w:t>000 children aged up to 16 years. Ankylosing Spondylitis (AS) affects approximately 0.5% of the population, mainly young to middle aged males. Plaque psoriasis (PSOR) is an inflammatory immune based skin disorder with a gene</w:t>
      </w:r>
      <w:r>
        <w:t xml:space="preserve">tic disposition, occurring in 6 to </w:t>
      </w:r>
      <w:r w:rsidRPr="00A5558E">
        <w:t xml:space="preserve">7% of the adult Australian population. Approximately 15% of all cases of PSOR begin in children before the age of 15 years, and the condition may start as young as infancy. About </w:t>
      </w:r>
      <w:r>
        <w:t>25 to 30</w:t>
      </w:r>
      <w:r w:rsidRPr="00A5558E">
        <w:t>% of subjects with PSOR develop a concurrent inflammatory arthritis, psoriatic arthritis (</w:t>
      </w:r>
      <w:proofErr w:type="spellStart"/>
      <w:r w:rsidRPr="00A5558E">
        <w:t>PsA</w:t>
      </w:r>
      <w:proofErr w:type="spellEnd"/>
      <w:r w:rsidRPr="00A5558E">
        <w:t>)</w:t>
      </w:r>
      <w:r>
        <w:t>.</w:t>
      </w:r>
    </w:p>
    <w:p w14:paraId="6CD5401E" w14:textId="77777777" w:rsidR="00500337" w:rsidRDefault="005C3656" w:rsidP="000E5AD2">
      <w:r w:rsidRPr="00A5558E">
        <w:t xml:space="preserve">Hidradenitis Suppurativa (HS) is a chronic skin disorder, which usually occurs in the skin fold areas such as the axilla. The condition involves inflammatory nodules, cysts and abscesses and often has a substantial impact upon an affected individual’s quality of life. The incidence and severity of autoimmune inflammatory bowel disease (Crohn’s Disease </w:t>
      </w:r>
      <w:r>
        <w:t>(</w:t>
      </w:r>
      <w:r w:rsidRPr="00A5558E">
        <w:t>CD</w:t>
      </w:r>
      <w:r>
        <w:t>)</w:t>
      </w:r>
      <w:r w:rsidRPr="00A5558E">
        <w:t xml:space="preserve"> and Ulcerative Colitis </w:t>
      </w:r>
      <w:r>
        <w:t>(</w:t>
      </w:r>
      <w:r w:rsidRPr="00A5558E">
        <w:t>UC</w:t>
      </w:r>
      <w:r>
        <w:t>)</w:t>
      </w:r>
      <w:r w:rsidRPr="00A5558E">
        <w:t>) have significantly increased in Australia in the last 3 decades with an estimated prevalence of 0.5% in 2013</w:t>
      </w:r>
      <w:r>
        <w:t xml:space="preserve">. It is estimated that up to 10 to </w:t>
      </w:r>
      <w:r w:rsidRPr="00A5558E">
        <w:t>20% of all CD cases have an onset in paediatric years (</w:t>
      </w:r>
      <w:r>
        <w:t xml:space="preserve">&lt; </w:t>
      </w:r>
      <w:r w:rsidRPr="00A5558E">
        <w:t>17 years of age) at a mean age of 11 years. Non-infectious uveitis describes a broad range of inflammatory eye diseases characterised by swelling and redness of the eye, which if untreated can lead to loss of vision. They have a collective prevalence of up to 1%</w:t>
      </w:r>
      <w:r>
        <w:t>.</w:t>
      </w:r>
    </w:p>
    <w:p w14:paraId="4C09B0CA" w14:textId="77777777" w:rsidR="00553242" w:rsidRDefault="00553242" w:rsidP="000E5AD2">
      <w:pPr>
        <w:pStyle w:val="Heading4"/>
      </w:pPr>
      <w:bookmarkStart w:id="81" w:name="_Toc513018258"/>
      <w:r w:rsidRPr="00621E82">
        <w:lastRenderedPageBreak/>
        <w:t xml:space="preserve">Current </w:t>
      </w:r>
      <w:r w:rsidRPr="000E5AD2">
        <w:t>treatment</w:t>
      </w:r>
      <w:r w:rsidRPr="00621E82">
        <w:t xml:space="preserve"> options</w:t>
      </w:r>
      <w:bookmarkEnd w:id="81"/>
    </w:p>
    <w:p w14:paraId="2AD012D2" w14:textId="77777777" w:rsidR="00553242" w:rsidRPr="00A5558E" w:rsidRDefault="00553242" w:rsidP="000E5AD2">
      <w:r w:rsidRPr="00A5558E">
        <w:t xml:space="preserve">The inflammatory arthritides are heterogeneous conditions in terms of clinical presentation, natural history and drug responsiveness. Published evidence and current international guidelines for the treatment of autoimmune inflammatory arthritis emphasise the importance of achieving clinical remission, or at least low disease activity, as both of these states are associated with a favourable long term prognosis. Conventional synthetic disease modifying drugs (in particular, methotrexate </w:t>
      </w:r>
      <w:r>
        <w:t>(</w:t>
      </w:r>
      <w:r w:rsidRPr="00A5558E">
        <w:t>MTX</w:t>
      </w:r>
      <w:r>
        <w:t>)</w:t>
      </w:r>
      <w:r w:rsidRPr="00A5558E">
        <w:t>), alone or in combination with each other, are the initial recommended treatments for most types of inflammatory arthritis apart from AS. Biological DMARDs, either as add-on or single drug therapy, is the next recommended line of therapy in active inflammatory arthritis after conventional synthetic DMARD failure or intolerability. While anti-TNF drugs and cytokine modulators have been shown to demonstrate significant efficacy in treating active inflammatory arthritis, a substantial proportion of patients are not achieving meaningful clinical responses.</w:t>
      </w:r>
    </w:p>
    <w:p w14:paraId="0B6EC92D" w14:textId="77777777" w:rsidR="00553242" w:rsidRPr="00A5558E" w:rsidRDefault="00553242" w:rsidP="000E5AD2">
      <w:r w:rsidRPr="00A5558E">
        <w:t xml:space="preserve">Inflammatory bowel disease is typically treated with glucocorticoids (topical and/or systemic) in conjunction with immunosuppressant therapies such as azathioprine, 6-mercaptopurine and MTX. If insufficient response to these drugs occurs, then patients may be considered candidates for biological therapies such as anti-TNF medicines. Inflammatory skin disorders such as PSOR and HS are typically treated initially with topical glucocorticoids and if insufficient response is observed, then systemic therapies (such as MTX and retinoid) and/or phototherapy may be considered. Non-infectious uveitis is typically treated with topical or systemic glucocorticoids and/or </w:t>
      </w:r>
      <w:r w:rsidR="005A0780">
        <w:rPr>
          <w:lang w:val="it-IT"/>
        </w:rPr>
        <w:t>Non-Steroidal Anti-Inflammatory Drug</w:t>
      </w:r>
      <w:r w:rsidR="005A0780" w:rsidRPr="00A5558E">
        <w:t xml:space="preserve"> </w:t>
      </w:r>
      <w:r w:rsidR="005A0780">
        <w:t>(</w:t>
      </w:r>
      <w:r w:rsidRPr="00A5558E">
        <w:t>NSAID</w:t>
      </w:r>
      <w:r w:rsidR="005A0780">
        <w:t>)</w:t>
      </w:r>
      <w:r w:rsidRPr="00A5558E">
        <w:t>.</w:t>
      </w:r>
    </w:p>
    <w:p w14:paraId="34287061" w14:textId="77777777" w:rsidR="00553242" w:rsidRDefault="00553242" w:rsidP="000E5AD2">
      <w:r w:rsidRPr="00A5558E">
        <w:t xml:space="preserve">TNF plays a central role in the molecular and cellular events occurring in the pathogenesis of several autoimmune inflammatory conditions. Elevated concentrations of TNF have been found in the synovium of those with active RA, </w:t>
      </w:r>
      <w:proofErr w:type="spellStart"/>
      <w:r w:rsidRPr="00A5558E">
        <w:t>PsA</w:t>
      </w:r>
      <w:proofErr w:type="spellEnd"/>
      <w:r w:rsidRPr="00A5558E">
        <w:t xml:space="preserve"> and AS, as well as in the skin lesions of PSOR. Elevated levels of TNF are found in the skin lesions of hidradenitis suppurativa (HS). Elevated TNF levels are found in the stool of patients with active inflammatory bowel disease and patients with non-infectious uveitis demonstrate up-regulated aqueous humour and serum levels of TNF. Anti-TNF medicines work by neutralising the activity of soluble TNF and preventing its binding to the 2 main TNF receptors (p55 and p75). These receptors are expressed on the membrane of monocytes and T lymphocytes, and circulate in the blood in soluble forms</w:t>
      </w:r>
      <w:r>
        <w:t>.</w:t>
      </w:r>
    </w:p>
    <w:p w14:paraId="0E6C1973" w14:textId="77777777" w:rsidR="00553242" w:rsidRDefault="00553242" w:rsidP="000E5AD2">
      <w:r w:rsidRPr="00A5558E">
        <w:t>Adalimumab is a recombinant human monoclonal antibody, which inhibits the binding of TNF to the surface of cells exp</w:t>
      </w:r>
      <w:r w:rsidR="00321955">
        <w:t xml:space="preserve">ressing TNF receptors such as T </w:t>
      </w:r>
      <w:r w:rsidRPr="00A5558E">
        <w:t>lymphocytes in the synovium of patients with active RA. Humira is currently approved in Australia for use in 9</w:t>
      </w:r>
      <w:r w:rsidR="0069652B">
        <w:t> </w:t>
      </w:r>
      <w:r w:rsidRPr="00A5558E">
        <w:t xml:space="preserve">treatment indications. The central therapeutic effect of Humira in all these indications is mediated by TNF blockade. Reducing disease activity and slowing the progression of inflammatory disease are the key therapeutic goals in autoimmune disease with significant inflammatory characteristics. Adalimumab is well established and widely used in Australian adult and paediatric rheumatology, dermatology and gastroenterology clinical practice for </w:t>
      </w:r>
      <w:r>
        <w:t xml:space="preserve">&gt; 15 years and has a well </w:t>
      </w:r>
      <w:r w:rsidRPr="00A5558E">
        <w:t>characterised benefit: risk profile.</w:t>
      </w:r>
    </w:p>
    <w:p w14:paraId="64190CF1" w14:textId="77777777" w:rsidR="00553242" w:rsidRDefault="00553242" w:rsidP="000E5AD2">
      <w:pPr>
        <w:pStyle w:val="Heading4"/>
      </w:pPr>
      <w:bookmarkStart w:id="82" w:name="_Toc513018260"/>
      <w:r>
        <w:t>Evaluator’s commentary on the background information</w:t>
      </w:r>
      <w:bookmarkEnd w:id="82"/>
    </w:p>
    <w:p w14:paraId="30127449" w14:textId="77777777" w:rsidR="00553242" w:rsidRDefault="00321955" w:rsidP="000E5AD2">
      <w:r>
        <w:t>Hadlima</w:t>
      </w:r>
      <w:r w:rsidR="00553242" w:rsidRPr="00A5558E">
        <w:t xml:space="preserve"> is the first biosimilar medicine of adalimumab proposed for registration in Australia. Two other anti-TNF medicines (infliximab and etanercept) already have biosimilar therapies approved in Australia, both of which have been granted the full list of treatment indications of the originator biologic medicine. </w:t>
      </w:r>
      <w:r>
        <w:t>Hadlima</w:t>
      </w:r>
      <w:r w:rsidR="00553242" w:rsidRPr="00A5558E">
        <w:t xml:space="preserve"> is available as a SC formulation and predominantly exerts its immunomodulatory effect via inhibition of soluble TNF, which is often elevated in various autoimmune disorders. In recent years, published evidence has supported a significant clinical practice change in treating </w:t>
      </w:r>
      <w:r w:rsidR="00553242" w:rsidRPr="00A5558E">
        <w:lastRenderedPageBreak/>
        <w:t>inflammatory autoimmune disease whereby tight and sustained control of disease activity is the desired outcome</w:t>
      </w:r>
      <w:r w:rsidR="00553242">
        <w:t>.</w:t>
      </w:r>
    </w:p>
    <w:p w14:paraId="4F03DC3A" w14:textId="7DE33540" w:rsidR="00553242" w:rsidRDefault="00553242" w:rsidP="000E5AD2">
      <w:r w:rsidRPr="00A5558E">
        <w:t xml:space="preserve">In general, the sponsor has adhered to the TGA guidelines on the registration of a biosimilar medicine in this submission. Moreover, the sponsor has provided information on the overseas regulatory status of </w:t>
      </w:r>
      <w:r w:rsidR="00321955">
        <w:t>Hadlima</w:t>
      </w:r>
      <w:r w:rsidRPr="00A5558E">
        <w:t xml:space="preserve"> (</w:t>
      </w:r>
      <w:r>
        <w:t xml:space="preserve">that </w:t>
      </w:r>
      <w:r w:rsidR="00C7771F">
        <w:t>was</w:t>
      </w:r>
      <w:r w:rsidRPr="00A5558E">
        <w:t xml:space="preserve"> pending registration applications in several contemporary jurisdictions). The sponsor has appropriately justified the formulation development program for </w:t>
      </w:r>
      <w:r w:rsidR="00321955">
        <w:t>Hadlima</w:t>
      </w:r>
      <w:r>
        <w:t>.</w:t>
      </w:r>
    </w:p>
    <w:p w14:paraId="62247064" w14:textId="113C026D" w:rsidR="00553242" w:rsidRPr="00A5558E" w:rsidRDefault="00553242" w:rsidP="000E5AD2">
      <w:r w:rsidRPr="00A5558E">
        <w:t xml:space="preserve">Some of the key issues to consider in this submission are common to biosimilar medicine applications. The sponsor needs to demonstrate that </w:t>
      </w:r>
      <w:r w:rsidR="00321955">
        <w:t>Hadlima</w:t>
      </w:r>
      <w:r w:rsidRPr="00A5558E">
        <w:t xml:space="preserve"> results in clinical effects (efficacy and safety outcomes) that are comparable to the reference product, Humira</w:t>
      </w:r>
      <w:r w:rsidR="00CF5FC1">
        <w:t>.</w:t>
      </w:r>
      <w:r w:rsidRPr="00A5558E">
        <w:t xml:space="preserve"> Furthermore, the biosimilar therapy needs to demonstrate equivalence with the reference drug for pharmacokinetic parameters as well as immunogenicity (mainly, rates and types of anti-drug antibody formation). However, lower rates of immunogenicity with the bio</w:t>
      </w:r>
      <w:r>
        <w:t>similar may be acceptable.</w:t>
      </w:r>
    </w:p>
    <w:p w14:paraId="1B28F255" w14:textId="77777777" w:rsidR="00605AD4" w:rsidRDefault="00605AD4" w:rsidP="000E5AD2">
      <w:pPr>
        <w:pStyle w:val="Heading4"/>
      </w:pPr>
      <w:r w:rsidRPr="000E5AD2">
        <w:t>Guidance</w:t>
      </w:r>
    </w:p>
    <w:p w14:paraId="0CE55484" w14:textId="2419DED7" w:rsidR="00553242" w:rsidRDefault="00553242" w:rsidP="000E5AD2">
      <w:r w:rsidRPr="00615AA9">
        <w:t>The TGA published guideline is called ‘Evaluation of biosimilars’ which was published on 30 July 2013</w:t>
      </w:r>
      <w:r w:rsidR="00C9463E">
        <w:t xml:space="preserve"> </w:t>
      </w:r>
      <w:r>
        <w:t>and was updated in Dec</w:t>
      </w:r>
      <w:r w:rsidR="00C9463E">
        <w:t>ember</w:t>
      </w:r>
      <w:r>
        <w:t xml:space="preserve"> 2015.</w:t>
      </w:r>
      <w:bookmarkStart w:id="83" w:name="_Ref3295550"/>
      <w:r w:rsidR="00C9463E">
        <w:rPr>
          <w:rStyle w:val="FootnoteReference"/>
          <w:rFonts w:asciiTheme="minorHAnsi" w:hAnsiTheme="minorHAnsi"/>
        </w:rPr>
        <w:footnoteReference w:id="10"/>
      </w:r>
      <w:bookmarkEnd w:id="83"/>
      <w:r w:rsidR="0069652B">
        <w:t xml:space="preserve"> </w:t>
      </w:r>
      <w:r>
        <w:t>This guideline notes that a biosimilar medicine is a version of an already registered biological medicine that:</w:t>
      </w:r>
    </w:p>
    <w:p w14:paraId="54E7F0D1" w14:textId="77777777" w:rsidR="00553242" w:rsidRPr="00553242" w:rsidRDefault="00553242" w:rsidP="00553242">
      <w:pPr>
        <w:pStyle w:val="Numberbullet0"/>
        <w:numPr>
          <w:ilvl w:val="0"/>
          <w:numId w:val="16"/>
        </w:numPr>
      </w:pPr>
      <w:r w:rsidRPr="00553242">
        <w:t>Has a demonstrable similarity in physicochemical, biological and immunological characteristics, efficacy and safety, based on comprehensive comparability studies</w:t>
      </w:r>
    </w:p>
    <w:p w14:paraId="610E69DA" w14:textId="77777777" w:rsidR="00553242" w:rsidRPr="00553242" w:rsidRDefault="00553242" w:rsidP="00553242">
      <w:pPr>
        <w:pStyle w:val="Numberbullet0"/>
        <w:numPr>
          <w:ilvl w:val="0"/>
          <w:numId w:val="16"/>
        </w:numPr>
      </w:pPr>
      <w:r w:rsidRPr="00553242">
        <w:t>Before a biosimilar medicine can be registered in Australia, a number of laboratory and clinical studies need to be performed to demonstrate the comparability (biosimilarity) of the new biosimilar to the reference biological medicine already registered in Australia</w:t>
      </w:r>
    </w:p>
    <w:p w14:paraId="00FFA791" w14:textId="77777777" w:rsidR="00553242" w:rsidRPr="00553242" w:rsidRDefault="00553242" w:rsidP="00553242">
      <w:pPr>
        <w:pStyle w:val="Numberbullet0"/>
        <w:numPr>
          <w:ilvl w:val="0"/>
          <w:numId w:val="16"/>
        </w:numPr>
      </w:pPr>
      <w:r w:rsidRPr="00553242">
        <w:t>The TGA has adopted a number of European guidelines that outline the quality, nonclinical and clinical data requirements specific to biosimilar medicines; and the ICH guideline on the assessment of comparability</w:t>
      </w:r>
    </w:p>
    <w:p w14:paraId="6ACC1135" w14:textId="77777777" w:rsidR="00553242" w:rsidRPr="00553242" w:rsidRDefault="00553242" w:rsidP="00553242">
      <w:pPr>
        <w:pStyle w:val="Numberbullet0"/>
        <w:numPr>
          <w:ilvl w:val="0"/>
          <w:numId w:val="16"/>
        </w:numPr>
      </w:pPr>
      <w:r w:rsidRPr="00553242">
        <w:t>For a biosimilar to be registered in Australia, the reference medicine must be a biological medicine that has been registered in Australia based on full quality, safety and efficacy data and the Australian reference medicine must have been marketed in Australia for a substantial period and have a volume of marketed use so that there is likely to be a substantial body of acceptable data regarding the safety and efficacy for the approved indications.</w:t>
      </w:r>
      <w:r w:rsidR="0069652B">
        <w:t xml:space="preserve"> </w:t>
      </w:r>
      <w:r w:rsidRPr="00553242">
        <w:t>However it may be possible for the sponsor to compare the biosimilar in certain clinical studies and in in vivo non-clinical studies to a medicine not registered in Australia in which case the reference medicine must be approved for general marketing by a regulatory authority with similar scientific and regulatory standards as the TGA (</w:t>
      </w:r>
      <w:r w:rsidR="00393DE6">
        <w:t>for example</w:t>
      </w:r>
      <w:r w:rsidRPr="00553242">
        <w:t xml:space="preserve"> EMA or US FDA) and a bridging study must be provided to demonstrate that the comparability studies are relevant to the Australian reference medicine.</w:t>
      </w:r>
    </w:p>
    <w:p w14:paraId="31BD0C8D" w14:textId="1F713283" w:rsidR="00553242" w:rsidRDefault="00553242" w:rsidP="00553242">
      <w:pPr>
        <w:pStyle w:val="Numberbullet0"/>
        <w:numPr>
          <w:ilvl w:val="0"/>
          <w:numId w:val="2"/>
        </w:numPr>
      </w:pPr>
      <w:r>
        <w:t>To justify extrapolated indications based on the adopted EU guideline</w:t>
      </w:r>
      <w:r w:rsidR="00C9463E">
        <w:t>.</w:t>
      </w:r>
      <w:r w:rsidR="00C9463E">
        <w:rPr>
          <w:rStyle w:val="FootnoteReference"/>
        </w:rPr>
        <w:footnoteReference w:id="11"/>
      </w:r>
    </w:p>
    <w:p w14:paraId="3C974AA0" w14:textId="3977ADA7" w:rsidR="00553242" w:rsidRDefault="00553242" w:rsidP="00553242">
      <w:pPr>
        <w:pStyle w:val="Numberbullet0"/>
        <w:numPr>
          <w:ilvl w:val="0"/>
          <w:numId w:val="2"/>
        </w:numPr>
      </w:pPr>
      <w:r>
        <w:t>To have a clearly distinguishable tradename from all other products and the active ingredient is to use the same name as the reference’s active ingredient without a specific biosimilar identifier suffix.</w:t>
      </w:r>
      <w:r w:rsidR="0069652B">
        <w:t xml:space="preserve"> </w:t>
      </w:r>
      <w:r>
        <w:t xml:space="preserve">The </w:t>
      </w:r>
      <w:r w:rsidR="00C9463E">
        <w:t>World Health Organization (</w:t>
      </w:r>
      <w:r w:rsidRPr="0069652B">
        <w:t>WHO</w:t>
      </w:r>
      <w:r w:rsidR="00C9463E">
        <w:t>)</w:t>
      </w:r>
      <w:r w:rsidRPr="0069652B">
        <w:t xml:space="preserve"> </w:t>
      </w:r>
      <w:proofErr w:type="gramStart"/>
      <w:r w:rsidRPr="0069652B">
        <w:t>are</w:t>
      </w:r>
      <w:proofErr w:type="gramEnd"/>
      <w:r>
        <w:t xml:space="preserve"> considering a naming convention for the active ingredients of all biological medicines, including biosimilars.</w:t>
      </w:r>
    </w:p>
    <w:p w14:paraId="1316A7F5" w14:textId="77777777" w:rsidR="00553242" w:rsidRDefault="00553242" w:rsidP="00553242">
      <w:pPr>
        <w:pStyle w:val="Numberbullet0"/>
        <w:numPr>
          <w:ilvl w:val="0"/>
          <w:numId w:val="2"/>
        </w:numPr>
      </w:pPr>
      <w:r>
        <w:lastRenderedPageBreak/>
        <w:t>The inclusion of comparative clinical trial information in the PI along with a clear distinction of the clinical trial information generated on the reference medicine.</w:t>
      </w:r>
    </w:p>
    <w:p w14:paraId="67360E96" w14:textId="77777777" w:rsidR="00EB0AAA" w:rsidRDefault="00553242" w:rsidP="00553242">
      <w:pPr>
        <w:pStyle w:val="Numberbullet0"/>
        <w:numPr>
          <w:ilvl w:val="0"/>
          <w:numId w:val="2"/>
        </w:numPr>
      </w:pPr>
      <w:r>
        <w:t>There may be post-registration requirements and biosimilars must have an RMP</w:t>
      </w:r>
      <w:r w:rsidR="00EB0AAA">
        <w:t>.</w:t>
      </w:r>
    </w:p>
    <w:p w14:paraId="1FDA6D41" w14:textId="77777777" w:rsidR="00553242" w:rsidRDefault="00553242" w:rsidP="000E5AD2">
      <w:r>
        <w:t>There are a number of specific clinical EU guideline</w:t>
      </w:r>
      <w:r w:rsidR="0069652B">
        <w:t>s</w:t>
      </w:r>
      <w:r>
        <w:t xml:space="preserve"> adopted by the TGA relevant to this submission, besides the general guidelines:</w:t>
      </w:r>
    </w:p>
    <w:p w14:paraId="199E2B82" w14:textId="334DED56" w:rsidR="00553242" w:rsidRPr="00957F15" w:rsidRDefault="00553242" w:rsidP="000E5AD2">
      <w:pPr>
        <w:pStyle w:val="ListBullet"/>
        <w:rPr>
          <w:lang w:val="en-US"/>
        </w:rPr>
      </w:pPr>
      <w:r>
        <w:rPr>
          <w:lang w:val="en-US"/>
        </w:rPr>
        <w:t>CPMP/</w:t>
      </w:r>
      <w:r w:rsidRPr="000E5AD2">
        <w:t>EWP</w:t>
      </w:r>
      <w:r>
        <w:rPr>
          <w:lang w:val="en-US"/>
        </w:rPr>
        <w:t xml:space="preserve">/556/95 Rev 1: </w:t>
      </w:r>
      <w:r w:rsidRPr="00957F15">
        <w:rPr>
          <w:lang w:val="en-US"/>
        </w:rPr>
        <w:t xml:space="preserve">Points to Consider on Clinical Investigation of Medicinal Products other than </w:t>
      </w:r>
      <w:r w:rsidR="00C9463E" w:rsidRPr="00957F15">
        <w:rPr>
          <w:lang w:val="en-US"/>
        </w:rPr>
        <w:t>NSAID</w:t>
      </w:r>
      <w:r w:rsidR="00C9463E">
        <w:rPr>
          <w:lang w:val="en-US"/>
        </w:rPr>
        <w:t>s</w:t>
      </w:r>
      <w:r w:rsidR="00C9463E" w:rsidRPr="00957F15">
        <w:rPr>
          <w:lang w:val="en-US"/>
        </w:rPr>
        <w:t xml:space="preserve"> </w:t>
      </w:r>
      <w:r w:rsidRPr="00957F15">
        <w:rPr>
          <w:lang w:val="en-US"/>
        </w:rPr>
        <w:t>for Treatment of Rheumatoid Arthritis</w:t>
      </w:r>
      <w:r>
        <w:rPr>
          <w:lang w:val="en-US"/>
        </w:rPr>
        <w:t xml:space="preserve">. </w:t>
      </w:r>
      <w:r w:rsidRPr="00957F15">
        <w:rPr>
          <w:lang w:val="en-US"/>
        </w:rPr>
        <w:t>Effective:</w:t>
      </w:r>
      <w:r w:rsidR="00C9463E">
        <w:rPr>
          <w:lang w:val="en-US"/>
        </w:rPr>
        <w:t> </w:t>
      </w:r>
      <w:r w:rsidRPr="00957F15">
        <w:rPr>
          <w:lang w:val="en-US"/>
        </w:rPr>
        <w:t>29</w:t>
      </w:r>
      <w:r w:rsidR="00C9463E">
        <w:rPr>
          <w:lang w:val="en-US"/>
        </w:rPr>
        <w:t> </w:t>
      </w:r>
      <w:r w:rsidRPr="00957F15">
        <w:rPr>
          <w:lang w:val="en-US"/>
        </w:rPr>
        <w:t>January 2007</w:t>
      </w:r>
    </w:p>
    <w:p w14:paraId="63F7EC59" w14:textId="64ABE2D2" w:rsidR="00553242" w:rsidRPr="00957F15" w:rsidRDefault="00553242" w:rsidP="000E5AD2">
      <w:pPr>
        <w:pStyle w:val="ListBullet"/>
        <w:rPr>
          <w:lang w:val="en-US"/>
        </w:rPr>
      </w:pPr>
      <w:r>
        <w:rPr>
          <w:lang w:val="en-US"/>
        </w:rPr>
        <w:t xml:space="preserve">CHMP/437/04/Rev 1: </w:t>
      </w:r>
      <w:r w:rsidRPr="00957F15">
        <w:rPr>
          <w:lang w:val="en-US"/>
        </w:rPr>
        <w:t>Guideline on Simila</w:t>
      </w:r>
      <w:r>
        <w:rPr>
          <w:lang w:val="en-US"/>
        </w:rPr>
        <w:t xml:space="preserve">r Biological Medicinal Products. </w:t>
      </w:r>
      <w:r w:rsidRPr="00957F15">
        <w:rPr>
          <w:lang w:val="en-US"/>
        </w:rPr>
        <w:t>Effective:</w:t>
      </w:r>
      <w:r w:rsidR="00C9463E">
        <w:rPr>
          <w:lang w:val="en-US"/>
        </w:rPr>
        <w:t> </w:t>
      </w:r>
      <w:r w:rsidRPr="00957F15">
        <w:rPr>
          <w:lang w:val="en-US"/>
        </w:rPr>
        <w:t>25</w:t>
      </w:r>
      <w:r w:rsidR="00C9463E">
        <w:rPr>
          <w:lang w:val="en-US"/>
        </w:rPr>
        <w:t> </w:t>
      </w:r>
      <w:r w:rsidRPr="00957F15">
        <w:rPr>
          <w:lang w:val="en-US"/>
        </w:rPr>
        <w:t>May 2015</w:t>
      </w:r>
    </w:p>
    <w:p w14:paraId="3932EF2B" w14:textId="77777777" w:rsidR="00553242" w:rsidRPr="00496DA0" w:rsidRDefault="00553242" w:rsidP="00553242">
      <w:pPr>
        <w:pStyle w:val="ListBullet"/>
        <w:numPr>
          <w:ilvl w:val="0"/>
          <w:numId w:val="1"/>
        </w:numPr>
        <w:rPr>
          <w:lang w:val="en-US"/>
        </w:rPr>
      </w:pPr>
      <w:r w:rsidRPr="00496DA0">
        <w:rPr>
          <w:lang w:val="en-US"/>
        </w:rPr>
        <w:t xml:space="preserve">EMA/CHMP/BMWP/86289/2010: Guideline on immunogenicity assessment of monoclonal antibodies intended for in vivo clinical use. Effective: </w:t>
      </w:r>
      <w:r>
        <w:rPr>
          <w:lang w:val="en-US"/>
        </w:rPr>
        <w:t>1</w:t>
      </w:r>
      <w:r w:rsidRPr="00496DA0">
        <w:rPr>
          <w:lang w:val="en-US"/>
        </w:rPr>
        <w:t xml:space="preserve"> June </w:t>
      </w:r>
      <w:r>
        <w:rPr>
          <w:lang w:val="en-US"/>
        </w:rPr>
        <w:t>2014</w:t>
      </w:r>
    </w:p>
    <w:p w14:paraId="720E207B" w14:textId="21C08AA4" w:rsidR="00500337" w:rsidRPr="00553242" w:rsidRDefault="00553242" w:rsidP="000E5AD2">
      <w:pPr>
        <w:pStyle w:val="ListBullet"/>
        <w:rPr>
          <w:lang w:val="en-US"/>
        </w:rPr>
      </w:pPr>
      <w:r w:rsidRPr="00496DA0">
        <w:rPr>
          <w:lang w:val="en-US"/>
        </w:rPr>
        <w:t>EMA/</w:t>
      </w:r>
      <w:r w:rsidRPr="000E5AD2">
        <w:t>CHMP</w:t>
      </w:r>
      <w:r w:rsidRPr="00496DA0">
        <w:rPr>
          <w:lang w:val="en-US"/>
        </w:rPr>
        <w:t>/BMWP/403543/2010: Guideline on similar biological medicinal products containing monoclonal antibodies - non-clinical and clinical issues. Effective:</w:t>
      </w:r>
      <w:r w:rsidR="00C9463E">
        <w:rPr>
          <w:lang w:val="en-US"/>
        </w:rPr>
        <w:t> </w:t>
      </w:r>
      <w:r>
        <w:rPr>
          <w:lang w:val="en-US"/>
        </w:rPr>
        <w:t>17</w:t>
      </w:r>
      <w:r w:rsidR="00C9463E">
        <w:rPr>
          <w:lang w:val="en-US"/>
        </w:rPr>
        <w:t> </w:t>
      </w:r>
      <w:r>
        <w:rPr>
          <w:lang w:val="en-US"/>
        </w:rPr>
        <w:t>August</w:t>
      </w:r>
      <w:r w:rsidRPr="00496DA0">
        <w:rPr>
          <w:lang w:val="en-US"/>
        </w:rPr>
        <w:t xml:space="preserve"> 2015</w:t>
      </w:r>
      <w:r w:rsidR="0069652B">
        <w:rPr>
          <w:lang w:val="en-US"/>
        </w:rPr>
        <w:t>.</w:t>
      </w:r>
    </w:p>
    <w:p w14:paraId="2301030D" w14:textId="77777777" w:rsidR="00605AD4" w:rsidRDefault="00605AD4" w:rsidP="000E5AD2">
      <w:pPr>
        <w:pStyle w:val="Heading4"/>
      </w:pPr>
      <w:r w:rsidRPr="00605AD4">
        <w:t xml:space="preserve">Contents of </w:t>
      </w:r>
      <w:r w:rsidRPr="000E5AD2">
        <w:t>the</w:t>
      </w:r>
      <w:r w:rsidRPr="00605AD4">
        <w:t xml:space="preserve"> clinical dossier</w:t>
      </w:r>
    </w:p>
    <w:p w14:paraId="78DEC0A4" w14:textId="77777777" w:rsidR="00553242" w:rsidRDefault="00553242" w:rsidP="000E5AD2">
      <w:r w:rsidRPr="00A5558E">
        <w:t xml:space="preserve">The clinical dossier contains a pivotal </w:t>
      </w:r>
      <w:r>
        <w:t>Phase I</w:t>
      </w:r>
      <w:r w:rsidRPr="00A5558E">
        <w:t xml:space="preserve"> trial (Study SB5-G11-NHV) that aimed to compare the pharmacology, safety and tolerability of 3 different formulations of adalimumab (SB5, EU sourced Humira and US sourced Humira) and a single pivotal </w:t>
      </w:r>
      <w:r>
        <w:t>Phase III</w:t>
      </w:r>
      <w:r w:rsidRPr="00A5558E">
        <w:t xml:space="preserve"> trial (Study SB5-G31-RA) in adult patients with active RA. The clinical program had the objective of achieving regulatory guidelines for the demonstration of biosimilarity between SB5 and the approved reference product, Humira. The clinical dossier also contained 2 additional trials (Studies SB5-G12-NHV and SB5-G21-RA) to support the approval of the AID administration device.</w:t>
      </w:r>
    </w:p>
    <w:p w14:paraId="14915941" w14:textId="77777777" w:rsidR="00553242" w:rsidRDefault="00553242" w:rsidP="000E5AD2">
      <w:r>
        <w:t>The submission contained the following clinical information:</w:t>
      </w:r>
    </w:p>
    <w:p w14:paraId="2719C7E4" w14:textId="77777777" w:rsidR="00553242" w:rsidRPr="00553242" w:rsidRDefault="00553242" w:rsidP="000E5AD2">
      <w:pPr>
        <w:pStyle w:val="ListBullet"/>
      </w:pPr>
      <w:r w:rsidRPr="00553242">
        <w:t xml:space="preserve">1 pivotal clinical pharmacology study (Study SB5-G11-NHV) in healthy volunteers that </w:t>
      </w:r>
      <w:r w:rsidRPr="000E5AD2">
        <w:t>provided</w:t>
      </w:r>
      <w:r w:rsidRPr="00553242">
        <w:t xml:space="preserve"> pharmacokinetic (PK) data and supporting safety information.</w:t>
      </w:r>
    </w:p>
    <w:p w14:paraId="23162EED" w14:textId="1BE19362" w:rsidR="00553242" w:rsidRPr="00553242" w:rsidRDefault="00553242" w:rsidP="00553242">
      <w:pPr>
        <w:pStyle w:val="ListBullet"/>
      </w:pPr>
      <w:r w:rsidRPr="00553242">
        <w:t>1 supporting clinical pharmacology trial (Study SB5-G12-NHV) in healthy volunteers that provided PK data and safety information on a single 40 mg SC dose of SB5 given by either AID or PFS.</w:t>
      </w:r>
    </w:p>
    <w:p w14:paraId="2512FD4F" w14:textId="77777777" w:rsidR="00553242" w:rsidRPr="00553242" w:rsidRDefault="00553242" w:rsidP="000E5AD2">
      <w:pPr>
        <w:pStyle w:val="ListBullet"/>
      </w:pPr>
      <w:r w:rsidRPr="00553242">
        <w:t xml:space="preserve">No </w:t>
      </w:r>
      <w:r w:rsidRPr="000E5AD2">
        <w:t>population</w:t>
      </w:r>
      <w:r w:rsidRPr="00553242">
        <w:t xml:space="preserve"> PK analyses.</w:t>
      </w:r>
    </w:p>
    <w:p w14:paraId="648C96EA" w14:textId="77777777" w:rsidR="00553242" w:rsidRPr="00553242" w:rsidRDefault="00553242" w:rsidP="00553242">
      <w:pPr>
        <w:pStyle w:val="ListBullet"/>
      </w:pPr>
      <w:r w:rsidRPr="00553242">
        <w:t>1 pivotal efficacy/safety study (SB5-G31-RA) in adult patients with active RA, which included a PK sub-study reporting exploratory steady-state PK data.</w:t>
      </w:r>
    </w:p>
    <w:p w14:paraId="00867956" w14:textId="77777777" w:rsidR="00553242" w:rsidRPr="00553242" w:rsidRDefault="00553242" w:rsidP="00553242">
      <w:pPr>
        <w:pStyle w:val="ListBullet"/>
      </w:pPr>
      <w:r w:rsidRPr="00553242">
        <w:t>No dose-finding studies.</w:t>
      </w:r>
    </w:p>
    <w:p w14:paraId="41E9820D" w14:textId="77777777" w:rsidR="00553242" w:rsidRPr="00553242" w:rsidRDefault="00553242" w:rsidP="000E5AD2">
      <w:pPr>
        <w:pStyle w:val="ListBullet"/>
      </w:pPr>
      <w:r w:rsidRPr="00553242">
        <w:t xml:space="preserve">1 </w:t>
      </w:r>
      <w:r w:rsidRPr="000E5AD2">
        <w:t>supporting</w:t>
      </w:r>
      <w:r w:rsidRPr="00553242">
        <w:t xml:space="preserve"> open label trial (Study SB5-G21-RA) of SB5 administered by PFS and AID in subjects with RA to demonstrate comparability in terms of injection site pain.</w:t>
      </w:r>
    </w:p>
    <w:p w14:paraId="362F1433" w14:textId="77777777" w:rsidR="00500337" w:rsidRPr="00500337" w:rsidRDefault="00553242" w:rsidP="000E5AD2">
      <w:r>
        <w:t xml:space="preserve">The submission also included; </w:t>
      </w:r>
      <w:r w:rsidRPr="00E83285">
        <w:t>Clinical Overview, Summary of Clinical Efficacy, Summary of Clinical Safety</w:t>
      </w:r>
      <w:r>
        <w:t>,</w:t>
      </w:r>
      <w:r w:rsidRPr="00E83285">
        <w:t xml:space="preserve"> </w:t>
      </w:r>
      <w:r>
        <w:t>Summary of Biopharmaceutical Studies and associated Analytical Methods, Summary of Clinical Pharmacology Studies</w:t>
      </w:r>
      <w:r w:rsidRPr="00E83285">
        <w:t xml:space="preserve"> and literature references.</w:t>
      </w:r>
    </w:p>
    <w:p w14:paraId="4726C7E9" w14:textId="77777777" w:rsidR="00605AD4" w:rsidRDefault="00605AD4" w:rsidP="000E5AD2">
      <w:pPr>
        <w:pStyle w:val="Heading4"/>
      </w:pPr>
      <w:r w:rsidRPr="000E5AD2">
        <w:t>Paediatric</w:t>
      </w:r>
      <w:r w:rsidRPr="00605AD4">
        <w:t xml:space="preserve"> data</w:t>
      </w:r>
    </w:p>
    <w:p w14:paraId="35D01840" w14:textId="26889334" w:rsidR="00553242" w:rsidRPr="0069652B" w:rsidRDefault="00553242" w:rsidP="000E5AD2">
      <w:r w:rsidRPr="0069652B">
        <w:t>The submission did not include any paediatric specific data.</w:t>
      </w:r>
    </w:p>
    <w:p w14:paraId="0B3F2A97" w14:textId="77777777" w:rsidR="00605AD4" w:rsidRDefault="00605AD4" w:rsidP="000E5AD2">
      <w:pPr>
        <w:pStyle w:val="Heading4"/>
      </w:pPr>
      <w:r w:rsidRPr="00605AD4">
        <w:lastRenderedPageBreak/>
        <w:t xml:space="preserve">Good </w:t>
      </w:r>
      <w:r w:rsidRPr="000E5AD2">
        <w:t>clinical</w:t>
      </w:r>
      <w:r w:rsidRPr="00605AD4">
        <w:t xml:space="preserve"> practice</w:t>
      </w:r>
    </w:p>
    <w:p w14:paraId="1151A672" w14:textId="77777777" w:rsidR="00500337" w:rsidRDefault="00553242" w:rsidP="000E5AD2">
      <w:r>
        <w:t>All of the clinical studies provided in this submission for</w:t>
      </w:r>
      <w:r w:rsidRPr="00CC4BCB">
        <w:t xml:space="preserve"> </w:t>
      </w:r>
      <w:r w:rsidR="00321955">
        <w:t>Hadlima</w:t>
      </w:r>
      <w:r>
        <w:t xml:space="preserve"> </w:t>
      </w:r>
      <w:r w:rsidRPr="00CC4BCB">
        <w:t>were conducted in accordance with the principles of Good Clinical Practice (GCP) and compliance with</w:t>
      </w:r>
      <w:r>
        <w:t xml:space="preserve"> ethical requirements was met.</w:t>
      </w:r>
    </w:p>
    <w:p w14:paraId="046B10C0" w14:textId="77777777" w:rsidR="00553242" w:rsidRDefault="00553242" w:rsidP="000E5AD2">
      <w:pPr>
        <w:pStyle w:val="Heading4"/>
      </w:pPr>
      <w:bookmarkStart w:id="84" w:name="_Toc493594511"/>
      <w:r w:rsidRPr="00A5558E">
        <w:t xml:space="preserve">Evaluator’s commentary on the clinical </w:t>
      </w:r>
      <w:r w:rsidRPr="000E5AD2">
        <w:t>dossier</w:t>
      </w:r>
      <w:bookmarkEnd w:id="84"/>
    </w:p>
    <w:p w14:paraId="1A6E451B" w14:textId="41C642FE" w:rsidR="00553242" w:rsidRDefault="00553242" w:rsidP="000E5AD2">
      <w:pPr>
        <w:rPr>
          <w:lang w:eastAsia="en-AU"/>
        </w:rPr>
      </w:pPr>
      <w:r>
        <w:rPr>
          <w:lang w:eastAsia="en-AU"/>
        </w:rPr>
        <w:t>T</w:t>
      </w:r>
      <w:r w:rsidRPr="00AF4E52">
        <w:rPr>
          <w:lang w:eastAsia="en-AU"/>
        </w:rPr>
        <w:t xml:space="preserve">he </w:t>
      </w:r>
      <w:r>
        <w:rPr>
          <w:lang w:eastAsia="en-AU"/>
        </w:rPr>
        <w:t>sp</w:t>
      </w:r>
      <w:r w:rsidRPr="00AF4E52">
        <w:rPr>
          <w:lang w:eastAsia="en-AU"/>
        </w:rPr>
        <w:t>o</w:t>
      </w:r>
      <w:r>
        <w:rPr>
          <w:lang w:eastAsia="en-AU"/>
        </w:rPr>
        <w:t xml:space="preserve">nsor designed </w:t>
      </w:r>
      <w:r w:rsidRPr="00AF4E52">
        <w:rPr>
          <w:lang w:eastAsia="en-AU"/>
        </w:rPr>
        <w:t>t</w:t>
      </w:r>
      <w:r>
        <w:rPr>
          <w:lang w:eastAsia="en-AU"/>
        </w:rPr>
        <w:t xml:space="preserve">he </w:t>
      </w:r>
      <w:r w:rsidRPr="00AF4E52">
        <w:rPr>
          <w:lang w:eastAsia="en-AU"/>
        </w:rPr>
        <w:t>clinical development program</w:t>
      </w:r>
      <w:r>
        <w:rPr>
          <w:lang w:eastAsia="en-AU"/>
        </w:rPr>
        <w:t xml:space="preserve"> for </w:t>
      </w:r>
      <w:r w:rsidR="00321955">
        <w:rPr>
          <w:lang w:eastAsia="en-AU"/>
        </w:rPr>
        <w:t>Hadlima</w:t>
      </w:r>
      <w:r>
        <w:rPr>
          <w:lang w:eastAsia="en-AU"/>
        </w:rPr>
        <w:t xml:space="preserve"> </w:t>
      </w:r>
      <w:r w:rsidRPr="00AF4E52">
        <w:rPr>
          <w:lang w:eastAsia="en-AU"/>
        </w:rPr>
        <w:t xml:space="preserve">to demonstrate </w:t>
      </w:r>
      <w:r>
        <w:rPr>
          <w:lang w:eastAsia="en-AU"/>
        </w:rPr>
        <w:t xml:space="preserve">equivalent </w:t>
      </w:r>
      <w:r w:rsidRPr="00AF4E52">
        <w:rPr>
          <w:lang w:eastAsia="en-AU"/>
        </w:rPr>
        <w:t>safety</w:t>
      </w:r>
      <w:r>
        <w:rPr>
          <w:lang w:eastAsia="en-AU"/>
        </w:rPr>
        <w:t>,</w:t>
      </w:r>
      <w:r w:rsidRPr="00AF4E52">
        <w:rPr>
          <w:lang w:eastAsia="en-AU"/>
        </w:rPr>
        <w:t xml:space="preserve"> efficacy </w:t>
      </w:r>
      <w:r>
        <w:rPr>
          <w:lang w:eastAsia="en-AU"/>
        </w:rPr>
        <w:t>a</w:t>
      </w:r>
      <w:r w:rsidRPr="00AF4E52">
        <w:rPr>
          <w:lang w:eastAsia="en-AU"/>
        </w:rPr>
        <w:t>n</w:t>
      </w:r>
      <w:r>
        <w:rPr>
          <w:lang w:eastAsia="en-AU"/>
        </w:rPr>
        <w:t>d</w:t>
      </w:r>
      <w:r w:rsidRPr="00AF4E52">
        <w:rPr>
          <w:lang w:eastAsia="en-AU"/>
        </w:rPr>
        <w:t xml:space="preserve"> </w:t>
      </w:r>
      <w:r>
        <w:rPr>
          <w:lang w:eastAsia="en-AU"/>
        </w:rPr>
        <w:t>pharmacokine</w:t>
      </w:r>
      <w:r w:rsidRPr="00AF4E52">
        <w:rPr>
          <w:lang w:eastAsia="en-AU"/>
        </w:rPr>
        <w:t>t</w:t>
      </w:r>
      <w:r>
        <w:rPr>
          <w:lang w:eastAsia="en-AU"/>
        </w:rPr>
        <w:t xml:space="preserve">ics </w:t>
      </w:r>
      <w:r w:rsidRPr="00AF4E52">
        <w:rPr>
          <w:lang w:eastAsia="en-AU"/>
        </w:rPr>
        <w:t>o</w:t>
      </w:r>
      <w:r>
        <w:rPr>
          <w:lang w:eastAsia="en-AU"/>
        </w:rPr>
        <w:t>utcomes</w:t>
      </w:r>
      <w:r w:rsidRPr="00AF4E52">
        <w:rPr>
          <w:lang w:eastAsia="en-AU"/>
        </w:rPr>
        <w:t xml:space="preserve"> </w:t>
      </w:r>
      <w:r>
        <w:rPr>
          <w:lang w:eastAsia="en-AU"/>
        </w:rPr>
        <w:t>to the appropriate reference product, Humira.</w:t>
      </w:r>
      <w:r w:rsidRPr="00AF4E52">
        <w:rPr>
          <w:lang w:eastAsia="en-AU"/>
        </w:rPr>
        <w:t xml:space="preserve"> </w:t>
      </w:r>
      <w:r>
        <w:rPr>
          <w:lang w:eastAsia="en-AU"/>
        </w:rPr>
        <w:t>The submission</w:t>
      </w:r>
      <w:r w:rsidRPr="00AF4E52">
        <w:rPr>
          <w:lang w:eastAsia="en-AU"/>
        </w:rPr>
        <w:t xml:space="preserve"> include</w:t>
      </w:r>
      <w:r>
        <w:rPr>
          <w:lang w:eastAsia="en-AU"/>
        </w:rPr>
        <w:t>s 4</w:t>
      </w:r>
      <w:r w:rsidRPr="00AF4E52">
        <w:rPr>
          <w:lang w:eastAsia="en-AU"/>
        </w:rPr>
        <w:t xml:space="preserve"> </w:t>
      </w:r>
      <w:r>
        <w:rPr>
          <w:lang w:eastAsia="en-AU"/>
        </w:rPr>
        <w:t xml:space="preserve">clinical trials including 1 pivotal </w:t>
      </w:r>
      <w:r w:rsidRPr="00AF4E52">
        <w:rPr>
          <w:lang w:eastAsia="en-AU"/>
        </w:rPr>
        <w:t>r</w:t>
      </w:r>
      <w:r>
        <w:rPr>
          <w:lang w:eastAsia="en-AU"/>
        </w:rPr>
        <w:t xml:space="preserve">andomised, multi-centre, double </w:t>
      </w:r>
      <w:r w:rsidRPr="00AF4E52">
        <w:rPr>
          <w:lang w:eastAsia="en-AU"/>
        </w:rPr>
        <w:t>blind,</w:t>
      </w:r>
      <w:r>
        <w:rPr>
          <w:lang w:eastAsia="en-AU"/>
        </w:rPr>
        <w:t xml:space="preserve"> Phase III</w:t>
      </w:r>
      <w:r w:rsidRPr="00AF4E52">
        <w:rPr>
          <w:lang w:eastAsia="en-AU"/>
        </w:rPr>
        <w:t xml:space="preserve"> </w:t>
      </w:r>
      <w:r w:rsidR="00C9463E">
        <w:rPr>
          <w:lang w:eastAsia="en-AU"/>
        </w:rPr>
        <w:t>S</w:t>
      </w:r>
      <w:r w:rsidRPr="00AF4E52">
        <w:rPr>
          <w:lang w:eastAsia="en-AU"/>
        </w:rPr>
        <w:t>tud</w:t>
      </w:r>
      <w:r>
        <w:rPr>
          <w:lang w:eastAsia="en-AU"/>
        </w:rPr>
        <w:t>y</w:t>
      </w:r>
      <w:r w:rsidRPr="00AF4E52">
        <w:rPr>
          <w:lang w:eastAsia="en-AU"/>
        </w:rPr>
        <w:t xml:space="preserve"> </w:t>
      </w:r>
      <w:r>
        <w:rPr>
          <w:lang w:eastAsia="en-AU"/>
        </w:rPr>
        <w:t xml:space="preserve">SB5-G31-RA </w:t>
      </w:r>
      <w:r w:rsidRPr="00AF4E52">
        <w:rPr>
          <w:lang w:eastAsia="en-AU"/>
        </w:rPr>
        <w:t xml:space="preserve">evaluating the </w:t>
      </w:r>
      <w:r>
        <w:rPr>
          <w:lang w:eastAsia="en-AU"/>
        </w:rPr>
        <w:t xml:space="preserve">comparative </w:t>
      </w:r>
      <w:r w:rsidRPr="00AF4E52">
        <w:rPr>
          <w:lang w:eastAsia="en-AU"/>
        </w:rPr>
        <w:t xml:space="preserve">efficacy and safety of </w:t>
      </w:r>
      <w:r>
        <w:rPr>
          <w:lang w:eastAsia="en-AU"/>
        </w:rPr>
        <w:t>SB5 and EU sourced Humira</w:t>
      </w:r>
      <w:r w:rsidRPr="00AF4E52">
        <w:rPr>
          <w:lang w:eastAsia="en-AU"/>
        </w:rPr>
        <w:t xml:space="preserve"> in a</w:t>
      </w:r>
      <w:r>
        <w:rPr>
          <w:lang w:eastAsia="en-AU"/>
        </w:rPr>
        <w:t>n</w:t>
      </w:r>
      <w:r w:rsidRPr="00AF4E52">
        <w:rPr>
          <w:lang w:eastAsia="en-AU"/>
        </w:rPr>
        <w:t xml:space="preserve"> </w:t>
      </w:r>
      <w:r>
        <w:rPr>
          <w:lang w:eastAsia="en-AU"/>
        </w:rPr>
        <w:t xml:space="preserve">active RA population </w:t>
      </w:r>
      <w:r w:rsidRPr="00AF4E52">
        <w:rPr>
          <w:lang w:eastAsia="en-AU"/>
        </w:rPr>
        <w:t xml:space="preserve">setting. </w:t>
      </w:r>
      <w:r>
        <w:rPr>
          <w:lang w:eastAsia="en-AU"/>
        </w:rPr>
        <w:t>T</w:t>
      </w:r>
      <w:r w:rsidRPr="00AF4E52">
        <w:rPr>
          <w:lang w:eastAsia="en-AU"/>
        </w:rPr>
        <w:t xml:space="preserve">he </w:t>
      </w:r>
      <w:r>
        <w:rPr>
          <w:lang w:eastAsia="en-AU"/>
        </w:rPr>
        <w:t>Phase III trial</w:t>
      </w:r>
      <w:r w:rsidRPr="00AF4E52">
        <w:rPr>
          <w:lang w:eastAsia="en-AU"/>
        </w:rPr>
        <w:t xml:space="preserve"> add</w:t>
      </w:r>
      <w:r>
        <w:rPr>
          <w:lang w:eastAsia="en-AU"/>
        </w:rPr>
        <w:t>ed</w:t>
      </w:r>
      <w:r w:rsidRPr="00AF4E52">
        <w:rPr>
          <w:lang w:eastAsia="en-AU"/>
        </w:rPr>
        <w:t xml:space="preserve"> </w:t>
      </w:r>
      <w:r>
        <w:rPr>
          <w:lang w:eastAsia="en-AU"/>
        </w:rPr>
        <w:t xml:space="preserve">adalimumab (SB5 </w:t>
      </w:r>
      <w:r w:rsidRPr="00AF4E52">
        <w:rPr>
          <w:lang w:eastAsia="en-AU"/>
        </w:rPr>
        <w:t>o</w:t>
      </w:r>
      <w:r>
        <w:rPr>
          <w:lang w:eastAsia="en-AU"/>
        </w:rPr>
        <w:t>r Humira)</w:t>
      </w:r>
      <w:r w:rsidRPr="00AF4E52">
        <w:rPr>
          <w:lang w:eastAsia="en-AU"/>
        </w:rPr>
        <w:t xml:space="preserve"> </w:t>
      </w:r>
      <w:r>
        <w:rPr>
          <w:lang w:eastAsia="en-AU"/>
        </w:rPr>
        <w:t xml:space="preserve">to patients with an </w:t>
      </w:r>
      <w:r w:rsidRPr="00AF4E52">
        <w:rPr>
          <w:lang w:eastAsia="en-AU"/>
        </w:rPr>
        <w:t>inadequate</w:t>
      </w:r>
      <w:r>
        <w:rPr>
          <w:lang w:eastAsia="en-AU"/>
        </w:rPr>
        <w:t xml:space="preserve"> r</w:t>
      </w:r>
      <w:r w:rsidRPr="00AF4E52">
        <w:rPr>
          <w:lang w:eastAsia="en-AU"/>
        </w:rPr>
        <w:t>e</w:t>
      </w:r>
      <w:r>
        <w:rPr>
          <w:lang w:eastAsia="en-AU"/>
        </w:rPr>
        <w:t>spons</w:t>
      </w:r>
      <w:r w:rsidRPr="00AF4E52">
        <w:rPr>
          <w:lang w:eastAsia="en-AU"/>
        </w:rPr>
        <w:t xml:space="preserve">e </w:t>
      </w:r>
      <w:r>
        <w:rPr>
          <w:lang w:eastAsia="en-AU"/>
        </w:rPr>
        <w:t>t</w:t>
      </w:r>
      <w:r w:rsidRPr="00AF4E52">
        <w:rPr>
          <w:lang w:eastAsia="en-AU"/>
        </w:rPr>
        <w:t>o</w:t>
      </w:r>
      <w:r>
        <w:rPr>
          <w:lang w:eastAsia="en-AU"/>
        </w:rPr>
        <w:t xml:space="preserve"> MTX.</w:t>
      </w:r>
      <w:r w:rsidRPr="00AF4E52">
        <w:rPr>
          <w:lang w:eastAsia="en-AU"/>
        </w:rPr>
        <w:t xml:space="preserve"> Additional </w:t>
      </w:r>
      <w:r>
        <w:rPr>
          <w:lang w:eastAsia="en-AU"/>
        </w:rPr>
        <w:t xml:space="preserve">Phase I </w:t>
      </w:r>
      <w:r w:rsidRPr="00AF4E52">
        <w:rPr>
          <w:lang w:eastAsia="en-AU"/>
        </w:rPr>
        <w:t>studies were</w:t>
      </w:r>
      <w:r>
        <w:rPr>
          <w:lang w:eastAsia="en-AU"/>
        </w:rPr>
        <w:t xml:space="preserve"> </w:t>
      </w:r>
      <w:r w:rsidRPr="00AF4E52">
        <w:rPr>
          <w:lang w:eastAsia="en-AU"/>
        </w:rPr>
        <w:t xml:space="preserve">conducted to assess </w:t>
      </w:r>
      <w:r>
        <w:rPr>
          <w:lang w:eastAsia="en-AU"/>
        </w:rPr>
        <w:t>the safety and pharmacokinetic properties of SB5 to Humira</w:t>
      </w:r>
      <w:r w:rsidRPr="00AF4E52">
        <w:rPr>
          <w:lang w:eastAsia="en-AU"/>
        </w:rPr>
        <w:t xml:space="preserve"> as</w:t>
      </w:r>
      <w:r>
        <w:rPr>
          <w:lang w:eastAsia="en-AU"/>
        </w:rPr>
        <w:t xml:space="preserve"> well as compare the administration of SB5 by 2 different administration devices i</w:t>
      </w:r>
      <w:r w:rsidRPr="00AF4E52">
        <w:rPr>
          <w:lang w:eastAsia="en-AU"/>
        </w:rPr>
        <w:t xml:space="preserve">n </w:t>
      </w:r>
      <w:r>
        <w:rPr>
          <w:lang w:eastAsia="en-AU"/>
        </w:rPr>
        <w:t xml:space="preserve">healthy volunteers. The submission </w:t>
      </w:r>
      <w:r w:rsidRPr="00AF4E52">
        <w:rPr>
          <w:lang w:eastAsia="en-AU"/>
        </w:rPr>
        <w:t>a</w:t>
      </w:r>
      <w:r>
        <w:rPr>
          <w:lang w:eastAsia="en-AU"/>
        </w:rPr>
        <w:t xml:space="preserve">lso included </w:t>
      </w:r>
      <w:r w:rsidR="00C9463E">
        <w:rPr>
          <w:lang w:eastAsia="en-AU"/>
        </w:rPr>
        <w:t xml:space="preserve">the </w:t>
      </w:r>
      <w:r>
        <w:rPr>
          <w:lang w:eastAsia="en-AU"/>
        </w:rPr>
        <w:t xml:space="preserve">Phase II Study SB5-G21-RA </w:t>
      </w:r>
      <w:r w:rsidRPr="00AF4E52">
        <w:rPr>
          <w:lang w:eastAsia="en-AU"/>
        </w:rPr>
        <w:t>in subjects w</w:t>
      </w:r>
      <w:r>
        <w:rPr>
          <w:lang w:eastAsia="en-AU"/>
        </w:rPr>
        <w:t>ith RA t</w:t>
      </w:r>
      <w:r w:rsidRPr="00AF4E52">
        <w:rPr>
          <w:lang w:eastAsia="en-AU"/>
        </w:rPr>
        <w:t xml:space="preserve">o </w:t>
      </w:r>
      <w:r>
        <w:rPr>
          <w:lang w:eastAsia="en-AU"/>
        </w:rPr>
        <w:t>further examine the usability a</w:t>
      </w:r>
      <w:r w:rsidRPr="00AF4E52">
        <w:rPr>
          <w:lang w:eastAsia="en-AU"/>
        </w:rPr>
        <w:t>n</w:t>
      </w:r>
      <w:r>
        <w:rPr>
          <w:lang w:eastAsia="en-AU"/>
        </w:rPr>
        <w:t>d tolerability of SB5 given by AID or PFS</w:t>
      </w:r>
      <w:r w:rsidRPr="00AF4E52">
        <w:rPr>
          <w:lang w:eastAsia="en-AU"/>
        </w:rPr>
        <w:t>.</w:t>
      </w:r>
      <w:r>
        <w:rPr>
          <w:lang w:eastAsia="en-AU"/>
        </w:rPr>
        <w:t xml:space="preserve"> Clinical study reports were provided for each trial and the safety data was presented by individual study as integrated datasets were not appropriate. Overall, the data in the submission was well presented in a ready to use electronic format.</w:t>
      </w:r>
    </w:p>
    <w:p w14:paraId="135DEEDC" w14:textId="04A5E49C" w:rsidR="00553242" w:rsidRPr="00500337" w:rsidRDefault="00553242" w:rsidP="000E5AD2">
      <w:r>
        <w:rPr>
          <w:lang w:eastAsia="ja-JP"/>
        </w:rPr>
        <w:t xml:space="preserve">The clinical development program for </w:t>
      </w:r>
      <w:r w:rsidR="00321955">
        <w:rPr>
          <w:lang w:eastAsia="ja-JP"/>
        </w:rPr>
        <w:t>Hadlima</w:t>
      </w:r>
      <w:r>
        <w:rPr>
          <w:lang w:eastAsia="ja-JP"/>
        </w:rPr>
        <w:t xml:space="preserve"> has 3 specific limitations that need to be considered. Firstly, RA is the only disease condition in which </w:t>
      </w:r>
      <w:r w:rsidR="00321955">
        <w:rPr>
          <w:lang w:eastAsia="ja-JP"/>
        </w:rPr>
        <w:t>Hadlima</w:t>
      </w:r>
      <w:r>
        <w:rPr>
          <w:lang w:eastAsia="ja-JP"/>
        </w:rPr>
        <w:t xml:space="preserve"> has been studied, and careful reflection about the sensitivity of the efficacy measures in the RA studies is required. Secondly, no specific paediatric studies have been conducted by the sponsor</w:t>
      </w:r>
      <w:r w:rsidR="00CF5FC1">
        <w:rPr>
          <w:lang w:eastAsia="ja-JP"/>
        </w:rPr>
        <w:t>.</w:t>
      </w:r>
      <w:r>
        <w:rPr>
          <w:lang w:eastAsia="ja-JP"/>
        </w:rPr>
        <w:t xml:space="preserve"> Finally, the dataset does not contain any information about multiple treatment switches between the adalimumab formulations. The pivotal RA </w:t>
      </w:r>
      <w:r w:rsidR="00C9463E">
        <w:rPr>
          <w:lang w:eastAsia="ja-JP"/>
        </w:rPr>
        <w:t>S</w:t>
      </w:r>
      <w:r>
        <w:rPr>
          <w:lang w:eastAsia="ja-JP"/>
        </w:rPr>
        <w:t xml:space="preserve">tudy SB5-G31-RA examined the effect of a single 1 way switch in therapy from Humira to </w:t>
      </w:r>
      <w:r w:rsidR="00321955">
        <w:rPr>
          <w:lang w:eastAsia="ja-JP"/>
        </w:rPr>
        <w:t>Hadlima</w:t>
      </w:r>
      <w:r>
        <w:rPr>
          <w:lang w:eastAsia="ja-JP"/>
        </w:rPr>
        <w:t xml:space="preserve"> in a subgroup of patients.</w:t>
      </w:r>
    </w:p>
    <w:p w14:paraId="15A11D6E" w14:textId="77777777" w:rsidR="008E7846" w:rsidRDefault="008E7846" w:rsidP="000E5AD2">
      <w:pPr>
        <w:pStyle w:val="Heading3"/>
      </w:pPr>
      <w:bookmarkStart w:id="85" w:name="_Toc8816492"/>
      <w:r w:rsidRPr="000E5AD2">
        <w:t>Pharmacokinetics</w:t>
      </w:r>
      <w:bookmarkEnd w:id="70"/>
      <w:bookmarkEnd w:id="78"/>
      <w:bookmarkEnd w:id="79"/>
      <w:bookmarkEnd w:id="80"/>
      <w:bookmarkEnd w:id="85"/>
    </w:p>
    <w:p w14:paraId="60F2BE94" w14:textId="20E45BC4" w:rsidR="00553242" w:rsidRPr="00553242" w:rsidRDefault="00553242" w:rsidP="000E5AD2">
      <w:r>
        <w:t>In accordance with the relevant TGA adopted EU guidelines</w:t>
      </w:r>
      <w:bookmarkStart w:id="86" w:name="_Ref524696062"/>
      <w:proofErr w:type="gramStart"/>
      <w:r w:rsidR="00C9463E">
        <w:t>;</w:t>
      </w:r>
      <w:r w:rsidR="004C0246">
        <w:t xml:space="preserve"> </w:t>
      </w:r>
      <w:proofErr w:type="gramEnd"/>
      <w:r w:rsidR="0069652B">
        <w:rPr>
          <w:rStyle w:val="FootnoteReference"/>
        </w:rPr>
        <w:footnoteReference w:id="12"/>
      </w:r>
      <w:bookmarkEnd w:id="86"/>
      <w:r w:rsidR="00C9463E" w:rsidRPr="004C0246">
        <w:rPr>
          <w:vertAlign w:val="superscript"/>
        </w:rPr>
        <w:t>,</w:t>
      </w:r>
      <w:bookmarkStart w:id="87" w:name="_Ref524696067"/>
      <w:r w:rsidR="0069652B">
        <w:rPr>
          <w:rStyle w:val="FootnoteReference"/>
        </w:rPr>
        <w:footnoteReference w:id="13"/>
      </w:r>
      <w:bookmarkEnd w:id="87"/>
      <w:r>
        <w:t xml:space="preserve"> the clinical dossier presented a total of 3 studies for demonstrating similarity </w:t>
      </w:r>
      <w:r w:rsidRPr="00D02A3B">
        <w:t>in PK characteristics</w:t>
      </w:r>
      <w:r>
        <w:t xml:space="preserve"> between </w:t>
      </w:r>
      <w:r w:rsidR="00321955">
        <w:t>Hadlima</w:t>
      </w:r>
      <w:r>
        <w:t xml:space="preserve"> and Humira. The clinical Phase I, single dose trial (Study SB5-G11-NHV) in young-middle aged, healthy volunteers was considered the primary PK study for demonstrating similarity, and the PK sub-study of the pivotal Phase III RA clinical trial (Study SB5-G31-RA) provides supporting evidence for PK similarity in a patient population. The third PK study included in this submission was a Phase I, single dose trial (Study SB5-G12-NHV) that compared the PK of </w:t>
      </w:r>
      <w:r w:rsidR="00321955">
        <w:t>Hadlima</w:t>
      </w:r>
      <w:r>
        <w:t xml:space="preserve"> administered by PFS and AID in healthy volunteers. None of the studies had significant deficiencies that excluded their results from consideration.</w:t>
      </w:r>
    </w:p>
    <w:p w14:paraId="5B8627C1" w14:textId="77777777" w:rsidR="00FA02D5" w:rsidRDefault="00605AD4" w:rsidP="006F6ADA">
      <w:pPr>
        <w:pStyle w:val="Heading4"/>
      </w:pPr>
      <w:r w:rsidRPr="006F6ADA">
        <w:t>Studies</w:t>
      </w:r>
      <w:r w:rsidR="00500337">
        <w:t xml:space="preserve"> providing pharmacokinetic data</w:t>
      </w:r>
    </w:p>
    <w:p w14:paraId="44AFF7D9" w14:textId="77777777" w:rsidR="00FA02D5" w:rsidRPr="00FA02D5" w:rsidRDefault="00FA02D5" w:rsidP="006F6ADA">
      <w:pPr>
        <w:pStyle w:val="Heading5"/>
      </w:pPr>
      <w:bookmarkStart w:id="88" w:name="_Ref271189106"/>
      <w:bookmarkStart w:id="89" w:name="_Ref271189143"/>
      <w:bookmarkStart w:id="90" w:name="_Toc272414618"/>
      <w:bookmarkStart w:id="91" w:name="_Toc290888467"/>
      <w:bookmarkStart w:id="92" w:name="_Toc416353663"/>
      <w:bookmarkStart w:id="93" w:name="_Toc421005244"/>
      <w:bookmarkStart w:id="94" w:name="_Toc432079126"/>
      <w:bookmarkStart w:id="95" w:name="_Toc432080699"/>
      <w:r w:rsidRPr="006F6ADA">
        <w:t>Pharmacokinetics</w:t>
      </w:r>
      <w:r w:rsidRPr="00545B14">
        <w:t xml:space="preserve"> in healthy subjects</w:t>
      </w:r>
      <w:bookmarkEnd w:id="88"/>
      <w:bookmarkEnd w:id="89"/>
      <w:bookmarkEnd w:id="90"/>
      <w:bookmarkEnd w:id="91"/>
      <w:bookmarkEnd w:id="92"/>
      <w:bookmarkEnd w:id="93"/>
      <w:bookmarkEnd w:id="94"/>
      <w:bookmarkEnd w:id="95"/>
    </w:p>
    <w:p w14:paraId="2DC4066A" w14:textId="77777777" w:rsidR="00FA02D5" w:rsidRPr="00FA02D5" w:rsidRDefault="00FA02D5" w:rsidP="006F6ADA">
      <w:pPr>
        <w:pStyle w:val="ListBullet"/>
      </w:pPr>
      <w:r w:rsidRPr="006F6ADA">
        <w:t>Study</w:t>
      </w:r>
      <w:r w:rsidRPr="00FA02D5">
        <w:t xml:space="preserve"> SB5-G11-NHV</w:t>
      </w:r>
    </w:p>
    <w:p w14:paraId="5436EE64" w14:textId="77777777" w:rsidR="00500337" w:rsidRDefault="00FA02D5" w:rsidP="006F6ADA">
      <w:pPr>
        <w:pStyle w:val="ListBullet"/>
      </w:pPr>
      <w:r w:rsidRPr="00AD61B2">
        <w:lastRenderedPageBreak/>
        <w:t>Study SB5-G12-NHV</w:t>
      </w:r>
      <w:r w:rsidR="0069652B">
        <w:t>.</w:t>
      </w:r>
    </w:p>
    <w:p w14:paraId="5A646305" w14:textId="77777777" w:rsidR="00FA02D5" w:rsidRPr="00FA02D5" w:rsidRDefault="00FA02D5" w:rsidP="006F6ADA">
      <w:pPr>
        <w:pStyle w:val="Heading5"/>
      </w:pPr>
      <w:bookmarkStart w:id="96" w:name="_Toc241374292"/>
      <w:bookmarkStart w:id="97" w:name="_Ref271189131"/>
      <w:bookmarkStart w:id="98" w:name="_Ref271189136"/>
      <w:bookmarkStart w:id="99" w:name="_Toc272414625"/>
      <w:bookmarkStart w:id="100" w:name="_Toc290888474"/>
      <w:bookmarkStart w:id="101" w:name="_Toc416353670"/>
      <w:bookmarkStart w:id="102" w:name="_Toc421005245"/>
      <w:bookmarkStart w:id="103" w:name="_Toc432079127"/>
      <w:bookmarkStart w:id="104" w:name="_Toc432080700"/>
      <w:r w:rsidRPr="006F6ADA">
        <w:t>Pharmacokinetics</w:t>
      </w:r>
      <w:r w:rsidRPr="00FA02D5">
        <w:t xml:space="preserve"> in the target population</w:t>
      </w:r>
      <w:bookmarkEnd w:id="96"/>
      <w:bookmarkEnd w:id="97"/>
      <w:bookmarkEnd w:id="98"/>
      <w:bookmarkEnd w:id="99"/>
      <w:bookmarkEnd w:id="100"/>
      <w:bookmarkEnd w:id="101"/>
      <w:bookmarkEnd w:id="102"/>
      <w:bookmarkEnd w:id="103"/>
      <w:bookmarkEnd w:id="104"/>
    </w:p>
    <w:p w14:paraId="583797D9" w14:textId="77777777" w:rsidR="00FA02D5" w:rsidRPr="00500337" w:rsidRDefault="00FA02D5" w:rsidP="006F6ADA">
      <w:r w:rsidRPr="00AD61B2">
        <w:t xml:space="preserve">Study SB5-G31-RA was a </w:t>
      </w:r>
      <w:r>
        <w:t>Phase III</w:t>
      </w:r>
      <w:r w:rsidRPr="00AD61B2">
        <w:t xml:space="preserve"> clinical study that aimed to demonstrate that </w:t>
      </w:r>
      <w:r w:rsidR="00321955">
        <w:t>Hadlima</w:t>
      </w:r>
      <w:r w:rsidRPr="00AD61B2">
        <w:t xml:space="preserve"> was equivalent to EU sourced Humira (40 mg dose given once every 2 weeks by SC injection) in terms of efficacy and safety outcomes.</w:t>
      </w:r>
    </w:p>
    <w:p w14:paraId="67C94249" w14:textId="77777777" w:rsidR="00605AD4" w:rsidRDefault="00605AD4" w:rsidP="006F6ADA">
      <w:pPr>
        <w:pStyle w:val="Heading4"/>
      </w:pPr>
      <w:r w:rsidRPr="006F6ADA">
        <w:t>Evaluator’s</w:t>
      </w:r>
      <w:r>
        <w:t xml:space="preserve"> conclusions on pharmacokinetics</w:t>
      </w:r>
    </w:p>
    <w:p w14:paraId="2F00DE49" w14:textId="013D02BE" w:rsidR="00FA02D5" w:rsidRDefault="00FA02D5" w:rsidP="006F6ADA">
      <w:r w:rsidRPr="00AD61B2">
        <w:t xml:space="preserve">The PK characteristics of </w:t>
      </w:r>
      <w:r w:rsidR="00321955">
        <w:t>Hadlima</w:t>
      </w:r>
      <w:r w:rsidRPr="00AD61B2">
        <w:t xml:space="preserve"> and the approved reference product Humira (EU and US sourced) were investigated in 3 clinical trials. Study SB5-G11-NHV was specifically designed to evaluate the PK of </w:t>
      </w:r>
      <w:r w:rsidR="00321955">
        <w:t>Hadlima</w:t>
      </w:r>
      <w:r w:rsidRPr="00AD61B2">
        <w:t xml:space="preserve"> in healthy volunteers aged between 18 and 55 years, and to demonstrate the PK equivalence of </w:t>
      </w:r>
      <w:r w:rsidR="00321955">
        <w:t>Hadlima</w:t>
      </w:r>
      <w:r w:rsidRPr="00AD61B2">
        <w:t xml:space="preserve"> with Humira (EU and US sourced) for the co-primary endpoints of </w:t>
      </w:r>
      <w:proofErr w:type="spellStart"/>
      <w:r w:rsidRPr="00A5558E">
        <w:t>AUC</w:t>
      </w:r>
      <w:r w:rsidRPr="00294CBE">
        <w:rPr>
          <w:vertAlign w:val="subscript"/>
        </w:rPr>
        <w:t>inf</w:t>
      </w:r>
      <w:proofErr w:type="spellEnd"/>
      <w:r w:rsidR="00C9463E">
        <w:t>;</w:t>
      </w:r>
      <w:r w:rsidR="00670D09">
        <w:rPr>
          <w:rStyle w:val="FootnoteReference"/>
        </w:rPr>
        <w:footnoteReference w:id="14"/>
      </w:r>
      <w:r w:rsidR="00C9463E">
        <w:t xml:space="preserve"> </w:t>
      </w:r>
      <w:r w:rsidRPr="00AD61B2">
        <w:t xml:space="preserve">and </w:t>
      </w:r>
      <w:proofErr w:type="spellStart"/>
      <w:r w:rsidR="00C05C12" w:rsidRPr="00245F5E">
        <w:t>C</w:t>
      </w:r>
      <w:r w:rsidR="00C05C12" w:rsidRPr="00C05C12">
        <w:rPr>
          <w:vertAlign w:val="subscript"/>
        </w:rPr>
        <w:t>max</w:t>
      </w:r>
      <w:proofErr w:type="spellEnd"/>
      <w:r w:rsidR="00C9463E">
        <w:t>.</w:t>
      </w:r>
      <w:r w:rsidR="00670D09">
        <w:rPr>
          <w:rStyle w:val="FootnoteReference"/>
        </w:rPr>
        <w:footnoteReference w:id="15"/>
      </w:r>
      <w:r>
        <w:t xml:space="preserve"> </w:t>
      </w:r>
      <w:r w:rsidRPr="00AD61B2">
        <w:t xml:space="preserve">These co-primary PK endpoints are appropriate for demonstrating PK similarity. It was agreed with the EMA and US FDA to determine PK equivalence using a single dose trial for which </w:t>
      </w:r>
      <w:r w:rsidRPr="00A5558E">
        <w:t>AUC</w:t>
      </w:r>
      <w:r w:rsidRPr="00294CBE">
        <w:rPr>
          <w:vertAlign w:val="subscript"/>
        </w:rPr>
        <w:t>inf</w:t>
      </w:r>
      <w:r w:rsidRPr="00AD61B2">
        <w:t xml:space="preserve"> and </w:t>
      </w:r>
      <w:r w:rsidR="00C05C12" w:rsidRPr="00245F5E">
        <w:t>C</w:t>
      </w:r>
      <w:r w:rsidR="00C05C12" w:rsidRPr="00C05C12">
        <w:rPr>
          <w:vertAlign w:val="subscript"/>
        </w:rPr>
        <w:t>max</w:t>
      </w:r>
      <w:r w:rsidRPr="00AD61B2">
        <w:t xml:space="preserve"> would lie within the pre-determined equivalence margin of 0.8 to 1.25. This was observed to be correct for Study SB5-G11–NHV, in which </w:t>
      </w:r>
      <w:r w:rsidR="00321955">
        <w:t>Hadlima</w:t>
      </w:r>
      <w:r w:rsidRPr="00AD61B2">
        <w:t xml:space="preserve"> was demonstrated to have geometric </w:t>
      </w:r>
      <w:r w:rsidR="005A0780">
        <w:t>least squares</w:t>
      </w:r>
      <w:r w:rsidR="005A0780" w:rsidRPr="00AD61B2">
        <w:t xml:space="preserve"> </w:t>
      </w:r>
      <w:r w:rsidR="005A0780">
        <w:t>(</w:t>
      </w:r>
      <w:r w:rsidRPr="00AD61B2">
        <w:t>LS</w:t>
      </w:r>
      <w:r w:rsidR="005A0780">
        <w:t>)</w:t>
      </w:r>
      <w:r w:rsidRPr="00AD61B2">
        <w:t xml:space="preserve"> means ratios compared to both EU and US sourced </w:t>
      </w:r>
      <w:r w:rsidR="00007A5D">
        <w:t xml:space="preserve">Humira </w:t>
      </w:r>
      <w:r w:rsidRPr="00AD61B2">
        <w:t xml:space="preserve">close </w:t>
      </w:r>
      <w:r>
        <w:t xml:space="preserve">to 1 (and always within the 0.8 to </w:t>
      </w:r>
      <w:r w:rsidRPr="00AD61B2">
        <w:t xml:space="preserve">1.25 equivalence margin) for both </w:t>
      </w:r>
      <w:r>
        <w:t>primary PK endpoints. Study SB5</w:t>
      </w:r>
      <w:r>
        <w:noBreakHyphen/>
      </w:r>
      <w:r w:rsidRPr="00AD61B2">
        <w:t xml:space="preserve">G11-NHV also demonstrated that </w:t>
      </w:r>
      <w:r w:rsidR="00321955">
        <w:t>Hadlima</w:t>
      </w:r>
      <w:r w:rsidRPr="00AD61B2">
        <w:t xml:space="preserve"> was bioequivalent with the appropriate reference products of Humira in terms of the key secondary PK parameters including </w:t>
      </w:r>
      <w:proofErr w:type="spellStart"/>
      <w:r w:rsidRPr="00AD61B2">
        <w:t>AUC</w:t>
      </w:r>
      <w:r w:rsidRPr="00294CBE">
        <w:rPr>
          <w:vertAlign w:val="subscript"/>
        </w:rPr>
        <w:t>last</w:t>
      </w:r>
      <w:proofErr w:type="spellEnd"/>
      <w:r w:rsidR="00C9463E">
        <w:t>;</w:t>
      </w:r>
      <w:r w:rsidR="00670D09">
        <w:rPr>
          <w:rStyle w:val="FootnoteReference"/>
        </w:rPr>
        <w:footnoteReference w:id="16"/>
      </w:r>
      <w:r w:rsidRPr="00AD61B2">
        <w:t xml:space="preserve"> </w:t>
      </w:r>
      <w:proofErr w:type="spellStart"/>
      <w:r w:rsidR="00C05C12">
        <w:t>T</w:t>
      </w:r>
      <w:r w:rsidR="00C05C12" w:rsidRPr="00C05C12">
        <w:rPr>
          <w:vertAlign w:val="subscript"/>
        </w:rPr>
        <w:t>max</w:t>
      </w:r>
      <w:proofErr w:type="spellEnd"/>
      <w:r w:rsidRPr="00AD61B2">
        <w:t xml:space="preserve"> and </w:t>
      </w:r>
      <w:r w:rsidRPr="00A5558E">
        <w:t>T</w:t>
      </w:r>
      <w:r w:rsidRPr="006E2D7B">
        <w:rPr>
          <w:vertAlign w:val="subscript"/>
        </w:rPr>
        <w:t>½</w:t>
      </w:r>
      <w:r>
        <w:t>.</w:t>
      </w:r>
    </w:p>
    <w:p w14:paraId="4F5C6259" w14:textId="77777777" w:rsidR="00FA02D5" w:rsidRDefault="00FA02D5" w:rsidP="006F6ADA">
      <w:r w:rsidRPr="00AD61B2">
        <w:t xml:space="preserve">Study SB5-G31-RA demonstrated that </w:t>
      </w:r>
      <w:r w:rsidR="00321955">
        <w:t>Hadlima</w:t>
      </w:r>
      <w:r w:rsidRPr="00AD61B2">
        <w:t xml:space="preserve"> and EU sourced Humira achieve similar trough drug concentrations of adalimumab between </w:t>
      </w:r>
      <w:r>
        <w:t>Week</w:t>
      </w:r>
      <w:r w:rsidRPr="00AD61B2">
        <w:t xml:space="preserve">s 4 and 24. However, both formulations of </w:t>
      </w:r>
      <w:r>
        <w:t xml:space="preserve">adalimumab exhibited high inter </w:t>
      </w:r>
      <w:r w:rsidRPr="00AD61B2">
        <w:t xml:space="preserve">patient variability in drug exposure with the </w:t>
      </w:r>
      <w:r w:rsidR="00670D09">
        <w:t>coefficient of variation</w:t>
      </w:r>
      <w:r w:rsidR="00670D09" w:rsidRPr="00AD61B2">
        <w:t xml:space="preserve"> </w:t>
      </w:r>
      <w:r w:rsidR="00670D09">
        <w:t>(</w:t>
      </w:r>
      <w:r w:rsidRPr="00AD61B2">
        <w:t>CV</w:t>
      </w:r>
      <w:r w:rsidR="00670D09">
        <w:t>)</w:t>
      </w:r>
      <w:r w:rsidRPr="00AD61B2">
        <w:t xml:space="preserve">% for serum </w:t>
      </w:r>
      <w:r>
        <w:t xml:space="preserve">trough levels ranging from 51.1 to 68.4% for </w:t>
      </w:r>
      <w:r w:rsidR="00321955">
        <w:t>Hadlima</w:t>
      </w:r>
      <w:r>
        <w:t xml:space="preserve"> and 45.8 to </w:t>
      </w:r>
      <w:r w:rsidRPr="00AD61B2">
        <w:t>68.9% for EU sourced Humira</w:t>
      </w:r>
      <w:r>
        <w:t>.</w:t>
      </w:r>
    </w:p>
    <w:p w14:paraId="2635C348" w14:textId="36E7972D" w:rsidR="00FA02D5" w:rsidRPr="00AD61B2" w:rsidRDefault="00FA02D5" w:rsidP="006F6ADA">
      <w:r w:rsidRPr="00AD61B2">
        <w:t xml:space="preserve">Study SB5-G12-NHV was the third study in this submission that collected PK data and its primary objective was to demonstrate the equivalence of </w:t>
      </w:r>
      <w:r w:rsidR="00321955">
        <w:t>Hadlima</w:t>
      </w:r>
      <w:r w:rsidRPr="00AD61B2">
        <w:t xml:space="preserve"> administered SC by AID and PFS. The trial enrolled a total of 190 healthy subjects (95 subjects in each arm) and all but </w:t>
      </w:r>
      <w:r w:rsidR="00007A5D">
        <w:t>1 subject in the SB5 PFS treatment group</w:t>
      </w:r>
      <w:r w:rsidRPr="00AD61B2">
        <w:t xml:space="preserve"> received a single SC 40 mg dose of </w:t>
      </w:r>
      <w:r w:rsidR="00321955">
        <w:t>Hadlima</w:t>
      </w:r>
      <w:r w:rsidRPr="00AD61B2">
        <w:t xml:space="preserve">. All assessed PK parameters including </w:t>
      </w:r>
      <w:r w:rsidRPr="00A5558E">
        <w:t>AUC</w:t>
      </w:r>
      <w:r w:rsidRPr="00294CBE">
        <w:rPr>
          <w:vertAlign w:val="subscript"/>
        </w:rPr>
        <w:t>inf</w:t>
      </w:r>
      <w:r w:rsidRPr="00AD61B2">
        <w:t xml:space="preserve">, </w:t>
      </w:r>
      <w:r w:rsidR="00C05C12" w:rsidRPr="00245F5E">
        <w:t>C</w:t>
      </w:r>
      <w:r w:rsidR="00C05C12" w:rsidRPr="00C05C12">
        <w:rPr>
          <w:vertAlign w:val="subscript"/>
        </w:rPr>
        <w:t>max</w:t>
      </w:r>
      <w:r w:rsidRPr="00AD61B2">
        <w:t xml:space="preserve"> and </w:t>
      </w:r>
      <w:r w:rsidR="00C05C12">
        <w:t>T</w:t>
      </w:r>
      <w:r w:rsidR="00C05C12" w:rsidRPr="00C05C12">
        <w:rPr>
          <w:vertAlign w:val="subscript"/>
        </w:rPr>
        <w:t>max</w:t>
      </w:r>
      <w:r w:rsidRPr="00AD61B2">
        <w:t xml:space="preserve"> were comparable across the 2</w:t>
      </w:r>
      <w:r w:rsidR="00E93F23">
        <w:t> </w:t>
      </w:r>
      <w:r w:rsidRPr="00AD61B2">
        <w:t>treatment groups. This study specifically supports the PK equivalence of both administration devices for registration purposes.</w:t>
      </w:r>
    </w:p>
    <w:p w14:paraId="7791578D" w14:textId="199F7E16" w:rsidR="00FA02D5" w:rsidRDefault="00FA02D5" w:rsidP="006F6ADA">
      <w:r w:rsidRPr="00AD61B2">
        <w:t xml:space="preserve">All 3 of the studies showed mean serum </w:t>
      </w:r>
      <w:r>
        <w:t>concentration time</w:t>
      </w:r>
      <w:r w:rsidRPr="00AD61B2">
        <w:t xml:space="preserve"> profile data consistent with the known PK characteristics of adalimumab. In particular, adalimumab is slowly absorbed from the site of SC injection (mean </w:t>
      </w:r>
      <w:r w:rsidR="00C05C12">
        <w:t>T</w:t>
      </w:r>
      <w:r w:rsidR="00C05C12" w:rsidRPr="00C05C12">
        <w:rPr>
          <w:vertAlign w:val="subscript"/>
        </w:rPr>
        <w:t>max</w:t>
      </w:r>
      <w:r>
        <w:t xml:space="preserve"> was 150 to </w:t>
      </w:r>
      <w:r w:rsidRPr="00AD61B2">
        <w:t>166 hours in Study</w:t>
      </w:r>
      <w:r w:rsidR="00E93F23">
        <w:t> </w:t>
      </w:r>
      <w:r w:rsidRPr="00AD61B2">
        <w:t>SB5</w:t>
      </w:r>
      <w:r w:rsidR="00E93F23">
        <w:noBreakHyphen/>
      </w:r>
      <w:r w:rsidRPr="00AD61B2">
        <w:t>G11</w:t>
      </w:r>
      <w:r w:rsidR="00E93F23">
        <w:noBreakHyphen/>
      </w:r>
      <w:r w:rsidRPr="00AD61B2">
        <w:t xml:space="preserve">NHV and </w:t>
      </w:r>
      <w:r w:rsidR="00007A5D">
        <w:t xml:space="preserve">median </w:t>
      </w:r>
      <w:proofErr w:type="spellStart"/>
      <w:r w:rsidR="00007A5D">
        <w:t>T</w:t>
      </w:r>
      <w:r w:rsidR="00007A5D" w:rsidRPr="00FF638F">
        <w:rPr>
          <w:vertAlign w:val="subscript"/>
        </w:rPr>
        <w:t>max</w:t>
      </w:r>
      <w:proofErr w:type="spellEnd"/>
      <w:r w:rsidR="00007A5D" w:rsidRPr="00AD61B2">
        <w:t xml:space="preserve"> </w:t>
      </w:r>
      <w:r w:rsidR="00007A5D">
        <w:t xml:space="preserve">was </w:t>
      </w:r>
      <w:r w:rsidRPr="00AD61B2">
        <w:t xml:space="preserve">168 hours in Study SB5-G12-NHV) and slowly cleared with the mean </w:t>
      </w:r>
      <w:r w:rsidRPr="00A5558E">
        <w:t>T</w:t>
      </w:r>
      <w:r>
        <w:t xml:space="preserve">½ ranging from 320 to </w:t>
      </w:r>
      <w:r w:rsidRPr="00AD61B2">
        <w:t>384 hours. Both studies that examined for anti-drug antibodies (ADA) to adalimumab showed a high incidence of it developing (</w:t>
      </w:r>
      <w:r>
        <w:t>&gt;</w:t>
      </w:r>
      <w:r w:rsidR="00E93F23">
        <w:t> </w:t>
      </w:r>
      <w:r w:rsidRPr="00AD61B2">
        <w:t xml:space="preserve">95% of all subjects in Study SB5-G11-NHV and </w:t>
      </w:r>
      <w:r>
        <w:t xml:space="preserve">&gt; </w:t>
      </w:r>
      <w:r w:rsidRPr="00AD61B2">
        <w:t xml:space="preserve">30% of subjects in Study SB5-G31-RA up to 24 weeks). In Study SB5-G11-NHV, the incidence of </w:t>
      </w:r>
      <w:r>
        <w:t>post dose</w:t>
      </w:r>
      <w:r w:rsidRPr="00AD61B2">
        <w:t xml:space="preserve"> neutralising antibodies (</w:t>
      </w:r>
      <w:proofErr w:type="spellStart"/>
      <w:r w:rsidRPr="00AD61B2">
        <w:t>NAbs</w:t>
      </w:r>
      <w:proofErr w:type="spellEnd"/>
      <w:r w:rsidRPr="00AD61B2">
        <w:t xml:space="preserve">) was also high in each of the treatment groups with no statistically significant differences between the arms. In the SB5 group, 79.0% (49/62) of subjects had a positive result for </w:t>
      </w:r>
      <w:proofErr w:type="spellStart"/>
      <w:r w:rsidRPr="00AD61B2">
        <w:t>NAb</w:t>
      </w:r>
      <w:proofErr w:type="spellEnd"/>
      <w:r w:rsidRPr="00AD61B2">
        <w:t xml:space="preserve">, which was numerically slightly lower than that reported for the 2 Humira groups (80.0% </w:t>
      </w:r>
      <w:r>
        <w:t>(</w:t>
      </w:r>
      <w:r w:rsidRPr="00AD61B2">
        <w:t>48/60</w:t>
      </w:r>
      <w:r>
        <w:t>)</w:t>
      </w:r>
      <w:r w:rsidRPr="00AD61B2">
        <w:t xml:space="preserve"> for EU Humira and 82.5% </w:t>
      </w:r>
      <w:r>
        <w:t>(</w:t>
      </w:r>
      <w:r w:rsidRPr="00AD61B2">
        <w:t>52/63</w:t>
      </w:r>
      <w:r>
        <w:t>)</w:t>
      </w:r>
      <w:r w:rsidRPr="00AD61B2">
        <w:t xml:space="preserve"> for US sourced Humira). The incidence of developing </w:t>
      </w:r>
      <w:proofErr w:type="spellStart"/>
      <w:r w:rsidRPr="00AD61B2">
        <w:t>NAb</w:t>
      </w:r>
      <w:proofErr w:type="spellEnd"/>
      <w:r w:rsidRPr="00AD61B2">
        <w:t xml:space="preserve"> at </w:t>
      </w:r>
      <w:r>
        <w:t>Week</w:t>
      </w:r>
      <w:r w:rsidRPr="00AD61B2">
        <w:t xml:space="preserve"> 52 in Study SB5-G31-RA was 52.5% (73/139). The higher incidences of </w:t>
      </w:r>
      <w:r>
        <w:t>post dose</w:t>
      </w:r>
      <w:r w:rsidRPr="00AD61B2">
        <w:t xml:space="preserve"> ADA and </w:t>
      </w:r>
      <w:proofErr w:type="spellStart"/>
      <w:r w:rsidRPr="00AD61B2">
        <w:t>NAb</w:t>
      </w:r>
      <w:proofErr w:type="spellEnd"/>
      <w:r w:rsidRPr="00AD61B2">
        <w:t xml:space="preserve"> development in Study SB5-G11-NHV versus </w:t>
      </w:r>
      <w:r w:rsidRPr="00AD61B2">
        <w:lastRenderedPageBreak/>
        <w:t xml:space="preserve">SB5-G31-RA may be explained by the concomitant administration of low dose MTX in Study SB5-G31-RA as this has been associated with lower rates of immunogenicity. Expectedly, </w:t>
      </w:r>
      <w:r w:rsidR="00E93F23">
        <w:t>minimum drug concentration (</w:t>
      </w:r>
      <w:proofErr w:type="spellStart"/>
      <w:r w:rsidRPr="00AD61B2">
        <w:t>C</w:t>
      </w:r>
      <w:r w:rsidRPr="00970106">
        <w:rPr>
          <w:vertAlign w:val="subscript"/>
        </w:rPr>
        <w:t>trough</w:t>
      </w:r>
      <w:proofErr w:type="spellEnd"/>
      <w:r w:rsidR="00E93F23">
        <w:t xml:space="preserve">) </w:t>
      </w:r>
      <w:r w:rsidRPr="00AD61B2">
        <w:t>adalimumab values were lower in patients who developed ADA</w:t>
      </w:r>
      <w:r w:rsidR="0098199A" w:rsidRPr="00AD61B2">
        <w:t>, particularly those with medium to high titres of ADA</w:t>
      </w:r>
      <w:r w:rsidR="0098199A">
        <w:t>.</w:t>
      </w:r>
    </w:p>
    <w:p w14:paraId="1DD8B77B" w14:textId="77777777" w:rsidR="00FA02D5" w:rsidRDefault="00FA02D5" w:rsidP="006F6ADA">
      <w:r w:rsidRPr="00AD61B2">
        <w:t xml:space="preserve">The clinical dossier for </w:t>
      </w:r>
      <w:r w:rsidR="00321955">
        <w:t>Hadlima</w:t>
      </w:r>
      <w:r w:rsidRPr="00AD61B2">
        <w:t xml:space="preserve"> contained PK assessments collected in healthy volunteers and a subset of 356 adult patients with active RA (</w:t>
      </w:r>
      <w:r>
        <w:t>that is</w:t>
      </w:r>
      <w:r w:rsidRPr="00AD61B2">
        <w:t xml:space="preserve"> 1 approved treatment indication of the use of Humira).</w:t>
      </w:r>
      <w:r>
        <w:t xml:space="preserve"> </w:t>
      </w:r>
      <w:r w:rsidRPr="00AD61B2">
        <w:t xml:space="preserve">Hence, it is unknown whether or not there any significant PK differences between Humira and </w:t>
      </w:r>
      <w:r w:rsidR="00321955">
        <w:t>Hadlima</w:t>
      </w:r>
      <w:r w:rsidRPr="00AD61B2">
        <w:t xml:space="preserve"> exist for the other claimed treatment indications in adults (such as </w:t>
      </w:r>
      <w:proofErr w:type="spellStart"/>
      <w:r w:rsidRPr="00AD61B2">
        <w:t>AS</w:t>
      </w:r>
      <w:proofErr w:type="spellEnd"/>
      <w:r w:rsidRPr="00AD61B2">
        <w:t xml:space="preserve">, </w:t>
      </w:r>
      <w:proofErr w:type="spellStart"/>
      <w:r w:rsidRPr="00AD61B2">
        <w:t>PsA</w:t>
      </w:r>
      <w:proofErr w:type="spellEnd"/>
      <w:r w:rsidRPr="00AD61B2">
        <w:t xml:space="preserve"> and PSOR), although it would seem unlikely. The sponsor has provided evidence from a literature review that the concurrent use of MTX reduces adalimumab clearance by approximately 40%. All enrolled patients in Study SB5-G31-RA were taking concomitant weekly low oral MTX with adalimumab, while none of the healthy volunteer subjects in Studies SB5-G11-NHV and SB5-G12-NHV were taking concomitant immunosuppression. However, there has been no clinical study with </w:t>
      </w:r>
      <w:r w:rsidR="00321955">
        <w:t>Hadlima</w:t>
      </w:r>
      <w:r w:rsidRPr="00AD61B2">
        <w:t xml:space="preserve"> in diseased individuals (</w:t>
      </w:r>
      <w:r>
        <w:t>for example</w:t>
      </w:r>
      <w:r w:rsidRPr="00AD61B2">
        <w:t xml:space="preserve"> adult subjects with PSOR, AS or inflammatory bowel disease) where the concurrent use of MTX is typically not part of the treatment strategy with adalimumab. It is unknown whether the PK and immunogenicity profile (anti-drug antibody status) of </w:t>
      </w:r>
      <w:r w:rsidR="00321955">
        <w:t>Hadlima</w:t>
      </w:r>
      <w:r w:rsidRPr="00AD61B2">
        <w:t xml:space="preserve"> in those other adult treatment patients may be significantly altered without the concurrent use of MTX. Furthermore, no PK data has been obtained in children and the sponsor is requesting consideration of the approved paediatric treatment indications for adalimumab across a very broad age range (</w:t>
      </w:r>
      <w:r>
        <w:t>2 to 17</w:t>
      </w:r>
      <w:r w:rsidRPr="00AD61B2">
        <w:t xml:space="preserve"> years)</w:t>
      </w:r>
      <w:r>
        <w:t>.</w:t>
      </w:r>
    </w:p>
    <w:p w14:paraId="1E03BBE2" w14:textId="77777777" w:rsidR="00500337" w:rsidRPr="00500337" w:rsidRDefault="00FA02D5" w:rsidP="006F6ADA">
      <w:r w:rsidRPr="00AD61B2">
        <w:t xml:space="preserve">Overall, the PK assessments provided in this submission for the registration of </w:t>
      </w:r>
      <w:r w:rsidR="00321955">
        <w:t>Hadlima</w:t>
      </w:r>
      <w:r w:rsidRPr="00AD61B2">
        <w:t xml:space="preserve"> as a biosimilar product of Humira are appropriate and the data largely meets the minimum criteria of supporting evidence for PK bioequivalence.</w:t>
      </w:r>
    </w:p>
    <w:p w14:paraId="104B8A8C" w14:textId="77777777" w:rsidR="008E7846" w:rsidRDefault="008E7846" w:rsidP="006F6ADA">
      <w:pPr>
        <w:pStyle w:val="Heading3"/>
      </w:pPr>
      <w:bookmarkStart w:id="105" w:name="_Toc196046481"/>
      <w:bookmarkStart w:id="106" w:name="_Toc247691520"/>
      <w:bookmarkStart w:id="107" w:name="_Toc314842503"/>
      <w:bookmarkStart w:id="108" w:name="_Toc8816493"/>
      <w:r w:rsidRPr="006F6ADA">
        <w:t>Pharmacodynamics</w:t>
      </w:r>
      <w:bookmarkEnd w:id="71"/>
      <w:bookmarkEnd w:id="105"/>
      <w:bookmarkEnd w:id="106"/>
      <w:bookmarkEnd w:id="107"/>
      <w:bookmarkEnd w:id="108"/>
    </w:p>
    <w:p w14:paraId="3D0ECE3D" w14:textId="77777777" w:rsidR="00605AD4" w:rsidRDefault="00605AD4" w:rsidP="006F6ADA">
      <w:pPr>
        <w:pStyle w:val="Heading4"/>
      </w:pPr>
      <w:r>
        <w:t>Studies providing pharmacodynamic data</w:t>
      </w:r>
    </w:p>
    <w:p w14:paraId="7C0AC888" w14:textId="77777777" w:rsidR="00FA02D5" w:rsidRDefault="00FA02D5" w:rsidP="00FA02D5">
      <w:r w:rsidRPr="00AD61B2">
        <w:t xml:space="preserve">This submission did not contain any specific pharmacodynamic (PD) data for </w:t>
      </w:r>
      <w:proofErr w:type="spellStart"/>
      <w:r w:rsidR="00321955">
        <w:t>Hadlima</w:t>
      </w:r>
      <w:proofErr w:type="spellEnd"/>
      <w:r w:rsidRPr="00AD61B2">
        <w:t xml:space="preserve"> collected in th</w:t>
      </w:r>
      <w:r w:rsidRPr="006F6ADA">
        <w:t>e</w:t>
      </w:r>
      <w:r w:rsidRPr="00AD61B2">
        <w:t xml:space="preserve"> clinical studies. The sponsor states that the PD effects of adalimumab have been well characterised in the published Humira trials and registration process. Furthermore, the sponsor asserts that in vitro and in vivo non-clinical studies provided in this submission demonstrate similarity between </w:t>
      </w:r>
      <w:r w:rsidR="00321955">
        <w:t>Hadlima</w:t>
      </w:r>
      <w:r w:rsidRPr="00AD61B2">
        <w:t xml:space="preserve"> and Humira in anti-TNF mediated PD effects</w:t>
      </w:r>
      <w:r>
        <w:t>.</w:t>
      </w:r>
    </w:p>
    <w:p w14:paraId="44BC0975" w14:textId="66D8B5D1" w:rsidR="00500337" w:rsidRPr="00500337" w:rsidRDefault="00FA02D5" w:rsidP="006F6ADA">
      <w:r w:rsidRPr="00AD61B2">
        <w:t xml:space="preserve">As a proposed biosimilar of Humira, the applicant states that no further PD studies of </w:t>
      </w:r>
      <w:r w:rsidR="00321955">
        <w:t>Hadlima</w:t>
      </w:r>
      <w:r w:rsidRPr="00AD61B2">
        <w:t xml:space="preserve"> are required by the relevant regulatory guidelines</w:t>
      </w:r>
      <w:r w:rsidR="0069652B">
        <w:t xml:space="preserve"> </w:t>
      </w:r>
      <w:r w:rsidR="0069652B" w:rsidRPr="0069652B">
        <w:rPr>
          <w:vertAlign w:val="superscript"/>
        </w:rPr>
        <w:fldChar w:fldCharType="begin"/>
      </w:r>
      <w:r w:rsidR="0069652B" w:rsidRPr="0069652B">
        <w:rPr>
          <w:vertAlign w:val="superscript"/>
        </w:rPr>
        <w:instrText xml:space="preserve"> NOTEREF _Ref524696062 \h </w:instrText>
      </w:r>
      <w:r w:rsidR="0069652B">
        <w:rPr>
          <w:vertAlign w:val="superscript"/>
        </w:rPr>
        <w:instrText xml:space="preserve"> \* MERGEFORMAT </w:instrText>
      </w:r>
      <w:r w:rsidR="0069652B" w:rsidRPr="0069652B">
        <w:rPr>
          <w:vertAlign w:val="superscript"/>
        </w:rPr>
      </w:r>
      <w:r w:rsidR="0069652B" w:rsidRPr="0069652B">
        <w:rPr>
          <w:vertAlign w:val="superscript"/>
        </w:rPr>
        <w:fldChar w:fldCharType="separate"/>
      </w:r>
      <w:r w:rsidR="005F7B1B">
        <w:rPr>
          <w:vertAlign w:val="superscript"/>
        </w:rPr>
        <w:t>13</w:t>
      </w:r>
      <w:r w:rsidR="0069652B" w:rsidRPr="0069652B">
        <w:rPr>
          <w:vertAlign w:val="superscript"/>
        </w:rPr>
        <w:fldChar w:fldCharType="end"/>
      </w:r>
      <w:proofErr w:type="gramStart"/>
      <w:r w:rsidR="0069652B" w:rsidRPr="0069652B">
        <w:rPr>
          <w:vertAlign w:val="superscript"/>
        </w:rPr>
        <w:t>,</w:t>
      </w:r>
      <w:proofErr w:type="gramEnd"/>
      <w:r w:rsidR="0069652B" w:rsidRPr="0069652B">
        <w:rPr>
          <w:vertAlign w:val="superscript"/>
        </w:rPr>
        <w:fldChar w:fldCharType="begin"/>
      </w:r>
      <w:r w:rsidR="0069652B" w:rsidRPr="0069652B">
        <w:rPr>
          <w:vertAlign w:val="superscript"/>
        </w:rPr>
        <w:instrText xml:space="preserve"> NOTEREF _Ref524696067 \h </w:instrText>
      </w:r>
      <w:r w:rsidR="0069652B">
        <w:rPr>
          <w:vertAlign w:val="superscript"/>
        </w:rPr>
        <w:instrText xml:space="preserve"> \* MERGEFORMAT </w:instrText>
      </w:r>
      <w:r w:rsidR="0069652B" w:rsidRPr="0069652B">
        <w:rPr>
          <w:vertAlign w:val="superscript"/>
        </w:rPr>
      </w:r>
      <w:r w:rsidR="0069652B" w:rsidRPr="0069652B">
        <w:rPr>
          <w:vertAlign w:val="superscript"/>
        </w:rPr>
        <w:fldChar w:fldCharType="separate"/>
      </w:r>
      <w:r w:rsidR="005F7B1B">
        <w:rPr>
          <w:vertAlign w:val="superscript"/>
        </w:rPr>
        <w:t>14</w:t>
      </w:r>
      <w:r w:rsidR="0069652B" w:rsidRPr="0069652B">
        <w:rPr>
          <w:vertAlign w:val="superscript"/>
        </w:rPr>
        <w:fldChar w:fldCharType="end"/>
      </w:r>
      <w:r w:rsidRPr="0069652B">
        <w:rPr>
          <w:vertAlign w:val="superscript"/>
        </w:rPr>
        <w:t xml:space="preserve"> </w:t>
      </w:r>
      <w:r w:rsidRPr="00AD61B2">
        <w:t xml:space="preserve">and that clinical evidence for comparability can be demonstrated by PD surrogate endpoints or clinical evidence. In the case of </w:t>
      </w:r>
      <w:r w:rsidR="00321955">
        <w:t>Hadlima</w:t>
      </w:r>
      <w:r w:rsidRPr="00AD61B2">
        <w:t>, clinical evidence for similarity was to be demonstrated by clinical rather than PD endpoints. In patients with active RA, acute phase reactants of inflammation such as C-reactive protein (CRP) an</w:t>
      </w:r>
      <w:r w:rsidR="00670D09">
        <w:t>d erythrocyte sedimentation ratio</w:t>
      </w:r>
      <w:r w:rsidRPr="00AD61B2">
        <w:t xml:space="preserve"> (ESR) can be useful PD markers. Both CRP and ESR are sensitive indicators of the inflammatory activity of RA, and their measurement is included among the </w:t>
      </w:r>
      <w:r w:rsidR="00670D09">
        <w:t>American College of Rheumatology</w:t>
      </w:r>
      <w:r w:rsidR="00670D09" w:rsidRPr="00AD61B2">
        <w:t xml:space="preserve"> </w:t>
      </w:r>
      <w:r w:rsidR="00670D09">
        <w:t>(</w:t>
      </w:r>
      <w:r w:rsidRPr="00AD61B2">
        <w:t>ACR</w:t>
      </w:r>
      <w:r w:rsidR="00670D09">
        <w:t>)</w:t>
      </w:r>
      <w:r w:rsidRPr="00AD61B2">
        <w:t xml:space="preserve"> and </w:t>
      </w:r>
      <w:r w:rsidR="00670D09">
        <w:t xml:space="preserve">European League </w:t>
      </w:r>
      <w:proofErr w:type="gramStart"/>
      <w:r w:rsidR="00670D09">
        <w:t>Against</w:t>
      </w:r>
      <w:proofErr w:type="gramEnd"/>
      <w:r w:rsidR="00670D09">
        <w:t xml:space="preserve"> Rheumatism</w:t>
      </w:r>
      <w:r w:rsidR="00670D09" w:rsidRPr="00AD61B2">
        <w:t xml:space="preserve"> </w:t>
      </w:r>
      <w:r w:rsidR="00670D09">
        <w:t>(</w:t>
      </w:r>
      <w:r w:rsidRPr="00AD61B2">
        <w:t>EULAR</w:t>
      </w:r>
      <w:r w:rsidR="00670D09">
        <w:t>)</w:t>
      </w:r>
      <w:r w:rsidRPr="00AD61B2">
        <w:t xml:space="preserve"> criteria for improvement in RA</w:t>
      </w:r>
      <w:r>
        <w:t>.</w:t>
      </w:r>
    </w:p>
    <w:p w14:paraId="7CC3B7AD" w14:textId="77777777" w:rsidR="00605AD4" w:rsidRDefault="00605AD4" w:rsidP="006F6ADA">
      <w:pPr>
        <w:pStyle w:val="Heading4"/>
      </w:pPr>
      <w:r>
        <w:t>Evaluator’s conclusions on pharmacodynamics</w:t>
      </w:r>
    </w:p>
    <w:p w14:paraId="7B6A5072" w14:textId="77777777" w:rsidR="00FA02D5" w:rsidRDefault="00FA02D5" w:rsidP="006F6ADA">
      <w:r w:rsidRPr="00AD61B2">
        <w:t xml:space="preserve">In summary, the sponsor has not submitted any clinically derived PD data in this submission apart from the change in serum inflammatory markers (ESR and CRP) over time in the pivotal clinical </w:t>
      </w:r>
      <w:r>
        <w:t>Phase III</w:t>
      </w:r>
      <w:r w:rsidRPr="00AD61B2">
        <w:t xml:space="preserve"> study (SB5-G31-RA). This data will be presented in the clinical efficacy section of this report and in general </w:t>
      </w:r>
      <w:proofErr w:type="gramStart"/>
      <w:r w:rsidRPr="00AD61B2">
        <w:t>shows there was</w:t>
      </w:r>
      <w:proofErr w:type="gramEnd"/>
      <w:r w:rsidRPr="00AD61B2">
        <w:t xml:space="preserve"> similarity of PD </w:t>
      </w:r>
      <w:r w:rsidRPr="00AD61B2">
        <w:lastRenderedPageBreak/>
        <w:t>effect (for serum inflammatory markers) between the 2 formulations of adalimumab in an adult RA treatment population</w:t>
      </w:r>
      <w:r>
        <w:t>.</w:t>
      </w:r>
    </w:p>
    <w:p w14:paraId="389D1522" w14:textId="5795A1F3" w:rsidR="00500337" w:rsidRPr="00500337" w:rsidRDefault="00FA02D5" w:rsidP="006F6ADA">
      <w:r w:rsidRPr="00AD61B2">
        <w:t>The applicant has also provided in vitro studies examining binding and cell based assays, as well as additional biological properties</w:t>
      </w:r>
      <w:r>
        <w:t>.</w:t>
      </w:r>
      <w:r w:rsidR="0098199A" w:rsidRPr="00AD61B2">
        <w:t xml:space="preserve">(such as </w:t>
      </w:r>
      <w:r w:rsidR="0098199A">
        <w:t>[information redacted]</w:t>
      </w:r>
      <w:r w:rsidR="0098199A" w:rsidRPr="00AD61B2">
        <w:t xml:space="preserve">) to support similarity in the PD activity of </w:t>
      </w:r>
      <w:r w:rsidR="0098199A">
        <w:t>Hadlima</w:t>
      </w:r>
      <w:r w:rsidR="0098199A" w:rsidRPr="00AD61B2">
        <w:t xml:space="preserve"> compared to Humira</w:t>
      </w:r>
      <w:r w:rsidR="0098199A">
        <w:t>.</w:t>
      </w:r>
    </w:p>
    <w:p w14:paraId="7D408C98" w14:textId="77777777" w:rsidR="008E7846" w:rsidRDefault="00605AD4" w:rsidP="006F6ADA">
      <w:pPr>
        <w:pStyle w:val="Heading3"/>
      </w:pPr>
      <w:bookmarkStart w:id="109" w:name="_Toc8816494"/>
      <w:r>
        <w:t>Dosage selection for the pivotal studies</w:t>
      </w:r>
      <w:bookmarkEnd w:id="109"/>
    </w:p>
    <w:p w14:paraId="305E9BDB" w14:textId="234D3AF9" w:rsidR="00FA02D5" w:rsidRDefault="00FA02D5" w:rsidP="006F6ADA">
      <w:r>
        <w:t>The dose and regimen of adalimumab selected for the pivotal and supporting studies was based on the doses used in the Humira registration trials. This is an appropriate rationale for a biosimilarity submission.</w:t>
      </w:r>
    </w:p>
    <w:p w14:paraId="388DE51E" w14:textId="00452F27" w:rsidR="00FA02D5" w:rsidRDefault="00FA02D5" w:rsidP="006F6ADA">
      <w:r>
        <w:t>In the pivotal study involving adult patients with active RA (Study SB5-G31-RA), adalimumab 40 mg injections were given fortnightly by SC injection. Adalimumab was co-administered with oral MTX 10 to 25 mg/week and folic acid (at least 5 mg/week). In addition, nearly half of the enrolled subjects were taking concurrent low dose oral corticosteroid therapy during the study and about one thi</w:t>
      </w:r>
      <w:r w:rsidR="0069652B">
        <w:t>rd took NSAID. In Study SB5</w:t>
      </w:r>
      <w:r w:rsidR="0069652B">
        <w:noBreakHyphen/>
      </w:r>
      <w:r>
        <w:t xml:space="preserve">G31-RA, no loading dose of adalimumab was utilised, which is consistent with clinical practice and the current approved posology for Humira. The reference drug (Humira) used in the pivotal Phase III Study SB5-G31-RA was sourced from within the EU. </w:t>
      </w:r>
      <w:r w:rsidRPr="006F3A36">
        <w:t>A</w:t>
      </w:r>
      <w:r>
        <w:t>ustralian</w:t>
      </w:r>
      <w:r w:rsidRPr="006F3A36">
        <w:t xml:space="preserve"> </w:t>
      </w:r>
      <w:r>
        <w:t xml:space="preserve">sourced </w:t>
      </w:r>
      <w:r w:rsidRPr="006F3A36">
        <w:t>Humira has been compared with EU Humira with respect to quality attributes</w:t>
      </w:r>
      <w:r>
        <w:t xml:space="preserve"> and based </w:t>
      </w:r>
      <w:r w:rsidRPr="006F3A36">
        <w:t>on th</w:t>
      </w:r>
      <w:r>
        <w:t>is</w:t>
      </w:r>
      <w:r w:rsidRPr="006F3A36">
        <w:t xml:space="preserve"> </w:t>
      </w:r>
      <w:r>
        <w:t>analysis</w:t>
      </w:r>
      <w:r w:rsidRPr="006F3A36">
        <w:t xml:space="preserve">, the </w:t>
      </w:r>
      <w:r>
        <w:t xml:space="preserve">sponsor asserts that the </w:t>
      </w:r>
      <w:r w:rsidRPr="006F3A36">
        <w:t xml:space="preserve">comparability </w:t>
      </w:r>
      <w:r>
        <w:t>of</w:t>
      </w:r>
      <w:r w:rsidRPr="006F3A36">
        <w:t xml:space="preserve"> A</w:t>
      </w:r>
      <w:r>
        <w:t>ustralian sourced</w:t>
      </w:r>
      <w:r w:rsidRPr="006F3A36">
        <w:t xml:space="preserve"> Humira and EU Humira has been</w:t>
      </w:r>
      <w:r>
        <w:t xml:space="preserve"> </w:t>
      </w:r>
      <w:r w:rsidRPr="006F3A36">
        <w:t>demonstrated</w:t>
      </w:r>
      <w:r>
        <w:t>, and therefore</w:t>
      </w:r>
      <w:r w:rsidRPr="006F3A36">
        <w:t xml:space="preserve"> </w:t>
      </w:r>
      <w:r>
        <w:t>i</w:t>
      </w:r>
      <w:r w:rsidRPr="006F3A36">
        <w:t>t</w:t>
      </w:r>
      <w:r>
        <w:t xml:space="preserve"> is</w:t>
      </w:r>
      <w:r w:rsidRPr="006F3A36">
        <w:t xml:space="preserve"> justif</w:t>
      </w:r>
      <w:r>
        <w:t>iable to</w:t>
      </w:r>
      <w:r w:rsidRPr="006F3A36">
        <w:t xml:space="preserve"> use EU Humira as </w:t>
      </w:r>
      <w:r>
        <w:t>the nominated</w:t>
      </w:r>
      <w:r w:rsidRPr="006F3A36">
        <w:t xml:space="preserve"> reference product</w:t>
      </w:r>
      <w:r>
        <w:t>. In this submission, t</w:t>
      </w:r>
      <w:r w:rsidRPr="006F3A36">
        <w:t xml:space="preserve">he </w:t>
      </w:r>
      <w:r>
        <w:t xml:space="preserve">sponsor provided a </w:t>
      </w:r>
      <w:r w:rsidRPr="006F3A36">
        <w:t>bridging</w:t>
      </w:r>
      <w:r>
        <w:t xml:space="preserve"> </w:t>
      </w:r>
      <w:r w:rsidRPr="006F3A36">
        <w:t>comparability s</w:t>
      </w:r>
      <w:r>
        <w:t>tudy</w:t>
      </w:r>
      <w:r w:rsidRPr="006F3A36">
        <w:t xml:space="preserve"> between 3 batches of </w:t>
      </w:r>
      <w:r w:rsidR="00E93F23">
        <w:t>Australian</w:t>
      </w:r>
      <w:r w:rsidRPr="006F3A36">
        <w:t xml:space="preserve"> Humira and 1 batch of EU Humira</w:t>
      </w:r>
      <w:r>
        <w:t>,</w:t>
      </w:r>
      <w:r w:rsidRPr="006F3A36">
        <w:t xml:space="preserve"> a</w:t>
      </w:r>
      <w:r>
        <w:t>nd conclud</w:t>
      </w:r>
      <w:r w:rsidRPr="006F3A36">
        <w:t>ed t</w:t>
      </w:r>
      <w:r>
        <w:t xml:space="preserve">hat </w:t>
      </w:r>
      <w:r w:rsidRPr="00016E38">
        <w:t>their physicochemical and biological properties</w:t>
      </w:r>
      <w:r>
        <w:t xml:space="preserve"> </w:t>
      </w:r>
      <w:r w:rsidRPr="00016E38">
        <w:t>were</w:t>
      </w:r>
      <w:r>
        <w:t xml:space="preserve"> </w:t>
      </w:r>
      <w:r w:rsidRPr="00016E38">
        <w:t>within pre-defined similarity ranges</w:t>
      </w:r>
      <w:r>
        <w:t xml:space="preserve">. The opinion of the nonclinical evaluator with respect to the comparability of </w:t>
      </w:r>
      <w:r w:rsidR="00E93F23">
        <w:t>Australian</w:t>
      </w:r>
      <w:r>
        <w:t xml:space="preserve"> and EU sourced Humira for quality attributes will be crucial to claim of justification.</w:t>
      </w:r>
    </w:p>
    <w:p w14:paraId="369B9175" w14:textId="77777777" w:rsidR="00FA02D5" w:rsidRPr="00FA02D5" w:rsidRDefault="00FA02D5" w:rsidP="006F6ADA">
      <w:r>
        <w:t>In the supporting Phase I clinical studies (SB5-G11-NHV and SB5-G12-NHV), which evaluated healthy volunteers aged between 18 and 55 years, the investigated dose of adalimumab was 40 mg by SC injection on 1 occasion. No concomitant background therapy was allowed, which is appropriate for this type of study.</w:t>
      </w:r>
    </w:p>
    <w:p w14:paraId="0927FC04" w14:textId="77777777" w:rsidR="008E7846" w:rsidRPr="00254787" w:rsidRDefault="008E7846" w:rsidP="006F6ADA">
      <w:pPr>
        <w:pStyle w:val="Heading3"/>
      </w:pPr>
      <w:bookmarkStart w:id="110" w:name="_Toc163441372"/>
      <w:bookmarkStart w:id="111" w:name="_Toc196046485"/>
      <w:bookmarkStart w:id="112" w:name="_Toc247691521"/>
      <w:bookmarkStart w:id="113" w:name="_Toc314842504"/>
      <w:bookmarkStart w:id="114" w:name="_Toc8816495"/>
      <w:r w:rsidRPr="006F6ADA">
        <w:t>Efficacy</w:t>
      </w:r>
      <w:bookmarkEnd w:id="110"/>
      <w:bookmarkEnd w:id="111"/>
      <w:bookmarkEnd w:id="112"/>
      <w:bookmarkEnd w:id="113"/>
      <w:bookmarkEnd w:id="114"/>
    </w:p>
    <w:p w14:paraId="5DFBD601" w14:textId="77777777" w:rsidR="00605AD4" w:rsidRDefault="00605AD4" w:rsidP="006F6ADA">
      <w:pPr>
        <w:pStyle w:val="Heading4"/>
      </w:pPr>
      <w:bookmarkStart w:id="115" w:name="_Toc184439992"/>
      <w:bookmarkStart w:id="116" w:name="_Toc184440279"/>
      <w:bookmarkStart w:id="117" w:name="_Toc184444657"/>
      <w:bookmarkStart w:id="118" w:name="_Toc196046487"/>
      <w:r w:rsidRPr="006F6ADA">
        <w:t>Studies</w:t>
      </w:r>
      <w:r>
        <w:t xml:space="preserve"> providing efficacy data</w:t>
      </w:r>
    </w:p>
    <w:p w14:paraId="214DD92E" w14:textId="2156E739" w:rsidR="00FA02D5" w:rsidRPr="00500337" w:rsidRDefault="00FA02D5" w:rsidP="006F6ADA">
      <w:pPr>
        <w:rPr>
          <w:lang w:eastAsia="ja-JP"/>
        </w:rPr>
      </w:pPr>
      <w:r>
        <w:rPr>
          <w:lang w:eastAsia="ja-JP"/>
        </w:rPr>
        <w:t xml:space="preserve">The submission contains a single pivotal Phase III trial (Study SB5-G31-RA) in adult patients with active RA. For supportive purposes, the sponsor has also included an open label, Phase II study (SB5-G21-RA) that assessed and compared the usability of </w:t>
      </w:r>
      <w:r w:rsidR="00321955">
        <w:rPr>
          <w:lang w:eastAsia="ja-JP"/>
        </w:rPr>
        <w:t>Hadlima</w:t>
      </w:r>
      <w:r>
        <w:rPr>
          <w:lang w:eastAsia="ja-JP"/>
        </w:rPr>
        <w:t xml:space="preserve"> administered SC by AID or PFS in 49 biologic DMARD naïve patients with RA</w:t>
      </w:r>
      <w:r w:rsidR="0098199A">
        <w:rPr>
          <w:lang w:eastAsia="ja-JP"/>
        </w:rPr>
        <w:t>. In the submission, the sponsor provided a literature review and analysis.</w:t>
      </w:r>
    </w:p>
    <w:p w14:paraId="42917401" w14:textId="77777777" w:rsidR="008E7846" w:rsidRDefault="00605AD4" w:rsidP="006F6ADA">
      <w:pPr>
        <w:pStyle w:val="Heading4"/>
      </w:pPr>
      <w:r w:rsidRPr="006F6ADA">
        <w:t>Evaluator’s</w:t>
      </w:r>
      <w:r>
        <w:t xml:space="preserve"> conclusions on efficacy</w:t>
      </w:r>
    </w:p>
    <w:p w14:paraId="611C3057" w14:textId="77777777" w:rsidR="00FA02D5" w:rsidRDefault="00FA02D5" w:rsidP="006F6ADA">
      <w:r w:rsidRPr="00B520BB">
        <w:t xml:space="preserve">The clinical </w:t>
      </w:r>
      <w:r>
        <w:t>Phase III</w:t>
      </w:r>
      <w:r w:rsidRPr="00B520BB">
        <w:t xml:space="preserve"> Study SB5-G31-RA demonstrated equivalen</w:t>
      </w:r>
      <w:r>
        <w:t>t</w:t>
      </w:r>
      <w:r w:rsidRPr="00B520BB">
        <w:t xml:space="preserve"> efficacy </w:t>
      </w:r>
      <w:r>
        <w:t>be</w:t>
      </w:r>
      <w:r w:rsidRPr="00B520BB">
        <w:t>t</w:t>
      </w:r>
      <w:r>
        <w:t>w</w:t>
      </w:r>
      <w:r w:rsidRPr="00B520BB">
        <w:t>ee</w:t>
      </w:r>
      <w:r>
        <w:t>n</w:t>
      </w:r>
      <w:r w:rsidRPr="00B520BB">
        <w:t xml:space="preserve"> </w:t>
      </w:r>
      <w:r w:rsidR="00321955">
        <w:t>Hadlima (SB5)</w:t>
      </w:r>
      <w:r w:rsidRPr="00B520BB">
        <w:t xml:space="preserve"> and the reference product </w:t>
      </w:r>
      <w:r>
        <w:t>(</w:t>
      </w:r>
      <w:r w:rsidRPr="00B520BB">
        <w:t xml:space="preserve">EU </w:t>
      </w:r>
      <w:r>
        <w:t xml:space="preserve">sourced </w:t>
      </w:r>
      <w:r w:rsidRPr="00B520BB">
        <w:t>Humira</w:t>
      </w:r>
      <w:r>
        <w:t>)</w:t>
      </w:r>
      <w:r w:rsidRPr="00B520BB">
        <w:t xml:space="preserve"> in </w:t>
      </w:r>
      <w:r>
        <w:t xml:space="preserve">adult </w:t>
      </w:r>
      <w:r w:rsidRPr="00B520BB">
        <w:t>patients with moderate</w:t>
      </w:r>
      <w:r>
        <w:t>ly</w:t>
      </w:r>
      <w:r w:rsidRPr="00B520BB">
        <w:t xml:space="preserve"> to</w:t>
      </w:r>
      <w:r>
        <w:t xml:space="preserve"> </w:t>
      </w:r>
      <w:r w:rsidRPr="00B520BB">
        <w:t>severe</w:t>
      </w:r>
      <w:r>
        <w:t>ly</w:t>
      </w:r>
      <w:r w:rsidRPr="00B520BB">
        <w:t xml:space="preserve"> RA despite</w:t>
      </w:r>
      <w:r>
        <w:t xml:space="preserve"> prior</w:t>
      </w:r>
      <w:r w:rsidRPr="00B520BB">
        <w:t xml:space="preserve"> MTX, with the following outcomes</w:t>
      </w:r>
      <w:r>
        <w:t xml:space="preserve"> being observed:</w:t>
      </w:r>
    </w:p>
    <w:p w14:paraId="11775B9D" w14:textId="77777777" w:rsidR="00FA02D5" w:rsidRPr="00FA02D5" w:rsidRDefault="00FA02D5" w:rsidP="00FA02D5">
      <w:pPr>
        <w:pStyle w:val="ListBullet"/>
      </w:pPr>
      <w:r w:rsidRPr="00FA02D5">
        <w:t>ACR20 response rates at Week 24 for SB5 and EU Humira in PPS1 cohort were equivalent</w:t>
      </w:r>
      <w:r w:rsidRPr="006F6ADA">
        <w:t xml:space="preserve"> </w:t>
      </w:r>
      <w:r w:rsidRPr="00FA02D5">
        <w:t xml:space="preserve">with the 95% </w:t>
      </w:r>
      <w:r w:rsidR="00670D09">
        <w:t>confidence interval</w:t>
      </w:r>
      <w:r w:rsidR="00670D09" w:rsidRPr="00FA02D5">
        <w:t xml:space="preserve"> </w:t>
      </w:r>
      <w:r w:rsidR="00670D09">
        <w:t>(</w:t>
      </w:r>
      <w:r w:rsidRPr="00FA02D5">
        <w:t>CI</w:t>
      </w:r>
      <w:r w:rsidR="00670D09">
        <w:t>)</w:t>
      </w:r>
      <w:r w:rsidRPr="00FA02D5">
        <w:t xml:space="preserve"> of the adjusted difference in ACR20 </w:t>
      </w:r>
      <w:r w:rsidRPr="00FA02D5">
        <w:lastRenderedPageBreak/>
        <w:t xml:space="preserve">response rate between SB5 and Humira being ‒7.83% to 8.13%, which was contained within the predefined equivalence margin of −15% to 15%. This result was also replicated in the </w:t>
      </w:r>
      <w:r w:rsidR="00670D09">
        <w:t>Full Analysis Set</w:t>
      </w:r>
      <w:r w:rsidR="00670D09" w:rsidRPr="00FA02D5">
        <w:t xml:space="preserve"> </w:t>
      </w:r>
      <w:r w:rsidR="00670D09">
        <w:t>(</w:t>
      </w:r>
      <w:r w:rsidRPr="00FA02D5">
        <w:t>FAS</w:t>
      </w:r>
      <w:r w:rsidR="00670D09">
        <w:t>)</w:t>
      </w:r>
      <w:r w:rsidRPr="00FA02D5">
        <w:t xml:space="preserve"> and supported by the equivalence of </w:t>
      </w:r>
      <w:r w:rsidR="0069652B">
        <w:t>the time response curve</w:t>
      </w:r>
    </w:p>
    <w:p w14:paraId="2B025FFE" w14:textId="1DF147D5" w:rsidR="00FA02D5" w:rsidRPr="00FA02D5" w:rsidRDefault="00FA02D5" w:rsidP="006F6ADA">
      <w:pPr>
        <w:pStyle w:val="ListBullet"/>
      </w:pPr>
      <w:r w:rsidRPr="00FA02D5">
        <w:t>Secondary efficacy endpoints at Week 24 (including ACR50 and ACR70 response rates, ACR-N, AUC of ACR-N, mean change from baseline in DAS28 scores</w:t>
      </w:r>
      <w:r w:rsidR="00946EE2">
        <w:t>,</w:t>
      </w:r>
      <w:r w:rsidR="00670D09">
        <w:rPr>
          <w:rStyle w:val="FootnoteReference"/>
        </w:rPr>
        <w:footnoteReference w:id="17"/>
      </w:r>
      <w:r w:rsidRPr="00FA02D5">
        <w:t xml:space="preserve"> EULAR response and the AUC of the change in DAS28 from baseline up to Week 24) were similar between the SB5 and Humira arms; and</w:t>
      </w:r>
    </w:p>
    <w:p w14:paraId="15295178" w14:textId="77777777" w:rsidR="00FA02D5" w:rsidRPr="00FA02D5" w:rsidRDefault="00FA02D5" w:rsidP="006F6ADA">
      <w:pPr>
        <w:pStyle w:val="ListBullet"/>
      </w:pPr>
      <w:r w:rsidRPr="00FA02D5">
        <w:t xml:space="preserve">Secondary efficacy endpoints assessed at Week 52 (such as ACR20, ACR50, and ACR70 response, major clinical response and mean change from baseline in </w:t>
      </w:r>
      <w:r w:rsidR="005A0780">
        <w:t>modified Total Sharp Score</w:t>
      </w:r>
      <w:r w:rsidR="005A0780" w:rsidRPr="00FA02D5">
        <w:t xml:space="preserve"> </w:t>
      </w:r>
      <w:r w:rsidR="005A0780">
        <w:t>(</w:t>
      </w:r>
      <w:proofErr w:type="spellStart"/>
      <w:r w:rsidRPr="00FA02D5">
        <w:t>mTSS</w:t>
      </w:r>
      <w:proofErr w:type="spellEnd"/>
      <w:r w:rsidR="005A0780">
        <w:t>)</w:t>
      </w:r>
      <w:r w:rsidRPr="00FA02D5">
        <w:t>) were also comparable between the SB5 and Humira groups (including between the Humira to SB5 switch and continuous Humira treatment groups).</w:t>
      </w:r>
    </w:p>
    <w:p w14:paraId="6D2712ED" w14:textId="77777777" w:rsidR="00FA02D5" w:rsidRDefault="00FA02D5" w:rsidP="006F6ADA">
      <w:r>
        <w:t>In addition, Study SB5-G21-RA met its primary and secondary usability endpoint objectives by demonstrating that t</w:t>
      </w:r>
      <w:r w:rsidRPr="006D4CEB">
        <w:t xml:space="preserve">he injection site pain score </w:t>
      </w:r>
      <w:r>
        <w:t xml:space="preserve">(primary) and overall impression (secondary) for SC administration of SB5 at Week 2 for the PFS </w:t>
      </w:r>
      <w:r w:rsidRPr="006D4CEB">
        <w:t xml:space="preserve">was equivalent </w:t>
      </w:r>
      <w:r>
        <w:t>to the AID pen at Week</w:t>
      </w:r>
      <w:r w:rsidRPr="006D4CEB">
        <w:t xml:space="preserve"> 6.</w:t>
      </w:r>
    </w:p>
    <w:p w14:paraId="0F0DFFFE" w14:textId="7327BB7F" w:rsidR="00500337" w:rsidRPr="00500337" w:rsidRDefault="00D27DD1" w:rsidP="006F6ADA">
      <w:r>
        <w:t>T</w:t>
      </w:r>
      <w:r w:rsidR="0098199A">
        <w:t xml:space="preserve">he sponsor has provided substantial evidence from non-clinical studies (not assessed as part of this report) that show similarity in structure for Hadlima compared to Humira, as well as </w:t>
      </w:r>
      <w:r w:rsidR="0098199A" w:rsidRPr="002F15E7">
        <w:t xml:space="preserve">the </w:t>
      </w:r>
      <w:r w:rsidR="0098199A">
        <w:t xml:space="preserve">comparable </w:t>
      </w:r>
      <w:r w:rsidR="0098199A" w:rsidRPr="002F15E7">
        <w:t xml:space="preserve">binding of </w:t>
      </w:r>
      <w:r w:rsidR="0098199A">
        <w:t>Hadlima</w:t>
      </w:r>
      <w:r w:rsidR="0098199A" w:rsidRPr="002F15E7">
        <w:t xml:space="preserve"> and </w:t>
      </w:r>
      <w:r w:rsidR="0098199A">
        <w:t>Humira</w:t>
      </w:r>
      <w:r w:rsidR="0098199A" w:rsidRPr="002F15E7">
        <w:t xml:space="preserve"> to s</w:t>
      </w:r>
      <w:r w:rsidR="0098199A">
        <w:t>oluble</w:t>
      </w:r>
      <w:r w:rsidR="0098199A" w:rsidRPr="002F15E7">
        <w:t xml:space="preserve"> and t</w:t>
      </w:r>
      <w:r w:rsidR="0098199A">
        <w:t>rans</w:t>
      </w:r>
      <w:r w:rsidR="0098199A" w:rsidRPr="002F15E7">
        <w:t>m</w:t>
      </w:r>
      <w:r w:rsidR="0098199A">
        <w:t xml:space="preserve">embrane </w:t>
      </w:r>
      <w:r w:rsidR="0098199A" w:rsidRPr="002F15E7">
        <w:t>TNF</w:t>
      </w:r>
      <w:r w:rsidR="0098199A">
        <w:t>. In conjunction with the bioequivalence data from the PK studies, the efficacy data observed in patients with RA (Study SB5-G31-RA) provides evidence to suggest similar responses for SB5 and Humira in medical conditions that share common mechanisms of pathology to RA</w:t>
      </w:r>
      <w:r w:rsidR="007C4788" w:rsidRPr="00FE2BBD">
        <w:rPr>
          <w:rStyle w:val="CommentReference"/>
          <w:sz w:val="22"/>
          <w:szCs w:val="22"/>
        </w:rPr>
        <w:t>.</w:t>
      </w:r>
    </w:p>
    <w:p w14:paraId="27226A59" w14:textId="77777777" w:rsidR="008E7846" w:rsidRPr="002E238E" w:rsidRDefault="008E7846" w:rsidP="006F6ADA">
      <w:pPr>
        <w:pStyle w:val="Heading3"/>
      </w:pPr>
      <w:bookmarkStart w:id="119" w:name="_Toc163441378"/>
      <w:bookmarkStart w:id="120" w:name="_Toc196046495"/>
      <w:bookmarkStart w:id="121" w:name="_Toc247691522"/>
      <w:bookmarkStart w:id="122" w:name="_Toc314842505"/>
      <w:bookmarkStart w:id="123" w:name="_Toc8816496"/>
      <w:bookmarkEnd w:id="115"/>
      <w:bookmarkEnd w:id="116"/>
      <w:bookmarkEnd w:id="117"/>
      <w:bookmarkEnd w:id="118"/>
      <w:r w:rsidRPr="006F6ADA">
        <w:t>Safety</w:t>
      </w:r>
      <w:bookmarkEnd w:id="119"/>
      <w:bookmarkEnd w:id="120"/>
      <w:bookmarkEnd w:id="121"/>
      <w:bookmarkEnd w:id="122"/>
      <w:bookmarkEnd w:id="123"/>
    </w:p>
    <w:p w14:paraId="6E569F36" w14:textId="77777777" w:rsidR="00605AD4" w:rsidRDefault="00605AD4" w:rsidP="006F6ADA">
      <w:pPr>
        <w:pStyle w:val="Heading4"/>
      </w:pPr>
      <w:bookmarkStart w:id="124" w:name="_Toc247691524"/>
      <w:bookmarkStart w:id="125" w:name="_Toc314842508"/>
      <w:bookmarkStart w:id="126" w:name="_Toc196046504"/>
      <w:bookmarkStart w:id="127" w:name="_Toc163441390"/>
      <w:r w:rsidRPr="00605AD4">
        <w:t xml:space="preserve">Studies </w:t>
      </w:r>
      <w:r w:rsidRPr="006F6ADA">
        <w:t>providing</w:t>
      </w:r>
      <w:r w:rsidRPr="00605AD4">
        <w:t xml:space="preserve"> safety data</w:t>
      </w:r>
    </w:p>
    <w:p w14:paraId="0C26D461" w14:textId="77777777" w:rsidR="00FA02D5" w:rsidRDefault="00FA02D5" w:rsidP="006F6ADA">
      <w:pPr>
        <w:rPr>
          <w:lang w:eastAsia="ja-JP"/>
        </w:rPr>
      </w:pPr>
      <w:r>
        <w:rPr>
          <w:lang w:eastAsia="ja-JP"/>
        </w:rPr>
        <w:t>In this submission, there was only 1 pivotal efficacy trial (Study SB5-G31-RA), which collected the following safety data:</w:t>
      </w:r>
    </w:p>
    <w:p w14:paraId="48AE4728" w14:textId="77777777" w:rsidR="00FA02D5" w:rsidRPr="002B25FE" w:rsidRDefault="00FA02D5" w:rsidP="006F6ADA">
      <w:pPr>
        <w:pStyle w:val="ListBullet"/>
      </w:pPr>
      <w:r w:rsidRPr="002B25FE">
        <w:t>Adverse events (AEs) in general were assessed by completion of the AE Case Report Form (</w:t>
      </w:r>
      <w:r w:rsidRPr="006F6ADA">
        <w:t>CRF</w:t>
      </w:r>
      <w:r w:rsidRPr="002B25FE">
        <w:t>) and physical examination performed at Weeks 2 and 4, every 4 weeks between Weeks 4 and 16, and every 8 weeks between Weeks 24 and 52, with an additional post-treatment follow-up visit at Week 60.</w:t>
      </w:r>
    </w:p>
    <w:p w14:paraId="60ECB307" w14:textId="6478A087" w:rsidR="00FA02D5" w:rsidRPr="002B25FE" w:rsidRDefault="00FA02D5" w:rsidP="0098199A">
      <w:pPr>
        <w:pStyle w:val="ListBullet"/>
      </w:pPr>
      <w:r w:rsidRPr="002B25FE">
        <w:t xml:space="preserve">AEs of particular interest, including serious infection, </w:t>
      </w:r>
      <w:r w:rsidR="00E93F23">
        <w:t>t</w:t>
      </w:r>
      <w:r w:rsidR="00E93F23" w:rsidRPr="002B25FE">
        <w:t xml:space="preserve">uberculosis </w:t>
      </w:r>
      <w:r w:rsidRPr="002B25FE">
        <w:t>(TB) and injection site reactions (ISRs) were assessed by CRF and physical examination as per the schedule for general AE evaluation.</w:t>
      </w:r>
    </w:p>
    <w:p w14:paraId="739D0A27" w14:textId="77777777" w:rsidR="00FA02D5" w:rsidRPr="002B25FE" w:rsidRDefault="00FA02D5" w:rsidP="0098199A">
      <w:pPr>
        <w:pStyle w:val="ListBullet"/>
      </w:pPr>
      <w:r w:rsidRPr="002B25FE">
        <w:t>Laboratory tests, including haematology (central lab), clinical chemistry (central lab) and urinalysis (local), were performed at baseline, Weeks 2 and 4, every 4 weeks between Weeks 4 and 16 and then every 8 weeks up until Week 52.</w:t>
      </w:r>
    </w:p>
    <w:p w14:paraId="6A9B689C" w14:textId="02B352B5" w:rsidR="00FA02D5" w:rsidRPr="002B25FE" w:rsidRDefault="00FA02D5" w:rsidP="0098199A">
      <w:pPr>
        <w:pStyle w:val="ListBullet"/>
      </w:pPr>
      <w:r w:rsidRPr="002B25FE">
        <w:t>Screening tests for TB (</w:t>
      </w:r>
      <w:r w:rsidR="00E93F23">
        <w:t>c</w:t>
      </w:r>
      <w:r w:rsidR="00E93F23" w:rsidRPr="002B25FE">
        <w:t xml:space="preserve">hest </w:t>
      </w:r>
      <w:r w:rsidRPr="002B25FE">
        <w:t xml:space="preserve">X-ray and </w:t>
      </w:r>
      <w:proofErr w:type="spellStart"/>
      <w:r w:rsidRPr="002B25FE">
        <w:t>QuantiFERON</w:t>
      </w:r>
      <w:proofErr w:type="spellEnd"/>
      <w:r w:rsidRPr="002B25FE">
        <w:t xml:space="preserve"> Gold testing) were routinely taken at baseline, and were performed again if TB was suspected thereafter.</w:t>
      </w:r>
    </w:p>
    <w:p w14:paraId="67091EFB" w14:textId="77777777" w:rsidR="00FA02D5" w:rsidRPr="002B25FE" w:rsidRDefault="00FA02D5" w:rsidP="006F6ADA">
      <w:pPr>
        <w:pStyle w:val="ListBullet"/>
      </w:pPr>
      <w:r w:rsidRPr="002B25FE">
        <w:t xml:space="preserve">Vital </w:t>
      </w:r>
      <w:r w:rsidRPr="006F6ADA">
        <w:t>signs</w:t>
      </w:r>
      <w:r w:rsidRPr="002B25FE">
        <w:t xml:space="preserve"> such as blood pressure, heart rate and temperature were performed at each scheduled study visit. Complete physical examination was performed at screening </w:t>
      </w:r>
      <w:r w:rsidRPr="002B25FE">
        <w:lastRenderedPageBreak/>
        <w:t>(including subject weight) and was abbreviated at subsequent visits (discretion of the site investigator).</w:t>
      </w:r>
    </w:p>
    <w:p w14:paraId="63F67C1E" w14:textId="77777777" w:rsidR="00FA02D5" w:rsidRPr="002B25FE" w:rsidRDefault="00FA02D5" w:rsidP="006F6ADA">
      <w:pPr>
        <w:pStyle w:val="ListBullet"/>
      </w:pPr>
      <w:r w:rsidRPr="002B25FE">
        <w:t xml:space="preserve">12-lead ECG for central reading was taken at baseline and thereafter as required by clinical </w:t>
      </w:r>
      <w:r w:rsidRPr="006F6ADA">
        <w:t>indication</w:t>
      </w:r>
      <w:r w:rsidRPr="002B25FE">
        <w:t xml:space="preserve"> up to Week 52.</w:t>
      </w:r>
    </w:p>
    <w:p w14:paraId="02046B2F" w14:textId="77777777" w:rsidR="00FA02D5" w:rsidRPr="002B25FE" w:rsidRDefault="00FA02D5" w:rsidP="0098199A">
      <w:pPr>
        <w:pStyle w:val="ListBullet"/>
      </w:pPr>
      <w:r w:rsidRPr="002B25FE">
        <w:t>Urine pregnancy testing was performed at baseline and every 4 weeks thereafter in women of reproductive age.</w:t>
      </w:r>
    </w:p>
    <w:p w14:paraId="7E90AD35" w14:textId="33E89BB8" w:rsidR="00FA02D5" w:rsidRPr="002B25FE" w:rsidRDefault="00FA02D5" w:rsidP="0098199A">
      <w:pPr>
        <w:pStyle w:val="ListBullet"/>
      </w:pPr>
      <w:r w:rsidRPr="002B25FE">
        <w:t xml:space="preserve">Serum for </w:t>
      </w:r>
      <w:r w:rsidR="00E93F23">
        <w:t>a</w:t>
      </w:r>
      <w:r w:rsidR="00E93F23" w:rsidRPr="002B25FE">
        <w:t>nti</w:t>
      </w:r>
      <w:r w:rsidRPr="002B25FE">
        <w:t>-</w:t>
      </w:r>
      <w:r w:rsidR="00E93F23">
        <w:t>d</w:t>
      </w:r>
      <w:r w:rsidR="00E93F23" w:rsidRPr="002B25FE">
        <w:t xml:space="preserve">rug </w:t>
      </w:r>
      <w:r w:rsidR="00E93F23">
        <w:t>a</w:t>
      </w:r>
      <w:r w:rsidR="00E93F23" w:rsidRPr="002B25FE">
        <w:t xml:space="preserve">ntibodies </w:t>
      </w:r>
      <w:r w:rsidRPr="002B25FE">
        <w:t>(ADA) to adalimumab was collected at baseline, as well as Weeks 4, 8, 16, 24, 32, 40 and 52. Analysis occurred via central laboratory.</w:t>
      </w:r>
    </w:p>
    <w:p w14:paraId="0F51C0DF" w14:textId="77777777" w:rsidR="00500337" w:rsidRPr="00500337" w:rsidRDefault="00FA02D5" w:rsidP="006F6ADA">
      <w:pPr>
        <w:pStyle w:val="ListBullet"/>
      </w:pPr>
      <w:r w:rsidRPr="002B25FE">
        <w:t xml:space="preserve">Serum for anti-nuclear antibodies and anti-dsDNA antibodies was collected at </w:t>
      </w:r>
      <w:r w:rsidRPr="006F6ADA">
        <w:t>baseline</w:t>
      </w:r>
      <w:r w:rsidRPr="002B25FE">
        <w:t>, as well as Weeks 8, 24 and 52. Analysis occurred via central laboratory.</w:t>
      </w:r>
    </w:p>
    <w:p w14:paraId="4E60E3BB" w14:textId="77777777" w:rsidR="00605AD4" w:rsidRDefault="00605AD4" w:rsidP="006F6ADA">
      <w:pPr>
        <w:pStyle w:val="Heading4"/>
      </w:pPr>
      <w:r w:rsidRPr="00605AD4">
        <w:t xml:space="preserve">Patient </w:t>
      </w:r>
      <w:r w:rsidRPr="006F6ADA">
        <w:t>exposure</w:t>
      </w:r>
    </w:p>
    <w:p w14:paraId="760D6A07" w14:textId="1922E36E" w:rsidR="002B25FE" w:rsidRDefault="002B25FE" w:rsidP="006F6ADA">
      <w:pPr>
        <w:rPr>
          <w:lang w:eastAsia="ja-JP"/>
        </w:rPr>
      </w:pPr>
      <w:r>
        <w:rPr>
          <w:lang w:eastAsia="ja-JP"/>
        </w:rPr>
        <w:t xml:space="preserve">In </w:t>
      </w:r>
      <w:r w:rsidRPr="00565DA1">
        <w:t>Study SB5-G31-RA</w:t>
      </w:r>
      <w:r>
        <w:rPr>
          <w:lang w:eastAsia="ja-JP"/>
        </w:rPr>
        <w:t>, 99.4% (541/544) of subjects received at least 1 injection of SB5 or Humira (</w:t>
      </w:r>
      <w:r w:rsidR="003A2B7E">
        <w:rPr>
          <w:lang w:eastAsia="ja-JP"/>
        </w:rPr>
        <w:t>3</w:t>
      </w:r>
      <w:r>
        <w:rPr>
          <w:lang w:eastAsia="ja-JP"/>
        </w:rPr>
        <w:t> patient</w:t>
      </w:r>
      <w:r w:rsidR="003A2B7E">
        <w:rPr>
          <w:lang w:eastAsia="ja-JP"/>
        </w:rPr>
        <w:t>s</w:t>
      </w:r>
      <w:r>
        <w:rPr>
          <w:lang w:eastAsia="ja-JP"/>
        </w:rPr>
        <w:t xml:space="preserve"> in the SB5 group did not receive injectable study drug). Patients who received at least 1 dose of investigational drug during Study SB5-G31-RA were included in the main safety analysis set, which was known as the Safety Set 1 (SAF1) cohort. Up to Week 24, the mean duration of drug exposure was similar at 150.7 days in the SB5 group and 148.7 days in t</w:t>
      </w:r>
      <w:r w:rsidR="003B5224">
        <w:rPr>
          <w:lang w:eastAsia="ja-JP"/>
        </w:rPr>
        <w:t>he Humira arm; refer to Table 3</w:t>
      </w:r>
      <w:r>
        <w:rPr>
          <w:lang w:eastAsia="ja-JP"/>
        </w:rPr>
        <w:t>.</w:t>
      </w:r>
    </w:p>
    <w:p w14:paraId="7BA97A5D" w14:textId="3745A043" w:rsidR="002B25FE" w:rsidRDefault="002B25FE" w:rsidP="006F6ADA">
      <w:pPr>
        <w:rPr>
          <w:lang w:eastAsia="ja-JP"/>
        </w:rPr>
      </w:pPr>
      <w:r>
        <w:rPr>
          <w:lang w:eastAsia="ja-JP"/>
        </w:rPr>
        <w:t>The Safety Set 2 (SAF2) was the other safety analysis population evaluated in this trial and consisted of all SAF1 subjects who received at least 1 dose of investigational drug after re</w:t>
      </w:r>
      <w:r w:rsidR="007135AC">
        <w:rPr>
          <w:lang w:eastAsia="ja-JP"/>
        </w:rPr>
        <w:noBreakHyphen/>
      </w:r>
      <w:r>
        <w:rPr>
          <w:lang w:eastAsia="ja-JP"/>
        </w:rPr>
        <w:t>randomisation at Week 24. The SAF2 cohort consisted of a total of 506 subjects (93.0% of 544 subjects in the</w:t>
      </w:r>
      <w:r w:rsidR="003A2B7E">
        <w:rPr>
          <w:lang w:eastAsia="ja-JP"/>
        </w:rPr>
        <w:t xml:space="preserve"> Randomised Set</w:t>
      </w:r>
      <w:r>
        <w:rPr>
          <w:lang w:eastAsia="ja-JP"/>
        </w:rPr>
        <w:t>), which included 254 (93.7% of 271) subjects in the original randomised SB5 group and 252 (92.3% of 273) subjects in the overall Humira arm (100% (125/125) of subjects in the Humira to SB5 treatment switch group at Week 24 and 98.4% (127/129) of subjects in the continued Humira arm). Up to Week 52, the mean duration of drug exposure was comparable at 333.6 days in the SB5 group and 324.6</w:t>
      </w:r>
      <w:r w:rsidR="00E93F23">
        <w:rPr>
          <w:lang w:eastAsia="ja-JP"/>
        </w:rPr>
        <w:t> </w:t>
      </w:r>
      <w:r>
        <w:rPr>
          <w:lang w:eastAsia="ja-JP"/>
        </w:rPr>
        <w:t xml:space="preserve">days in the overall Humira arm (343.3 days in the Humira to SB5 switch group and 348.3 days in the continued Humira arm); refer to Table </w:t>
      </w:r>
      <w:r w:rsidR="003B5224">
        <w:rPr>
          <w:lang w:eastAsia="ja-JP"/>
        </w:rPr>
        <w:t>3</w:t>
      </w:r>
      <w:r>
        <w:rPr>
          <w:lang w:eastAsia="ja-JP"/>
        </w:rPr>
        <w:t xml:space="preserve">. </w:t>
      </w:r>
      <w:r>
        <w:t>The majority of continuing subjects (88.6 to 92.5%) in both treatment groups received all doses of study treatment up to Day 281 (that is &gt; 9 months in Study SB5-G31-RA) resulting in a similar cumulative exposure to adalimumab for both treatment arms.</w:t>
      </w:r>
    </w:p>
    <w:p w14:paraId="2FC82A50" w14:textId="77777777" w:rsidR="002B25FE" w:rsidRDefault="002B25FE" w:rsidP="006F6ADA">
      <w:pPr>
        <w:pStyle w:val="Tabletitle0"/>
        <w:rPr>
          <w:lang w:eastAsia="ja-JP"/>
        </w:rPr>
      </w:pPr>
      <w:r>
        <w:rPr>
          <w:lang w:eastAsia="ja-JP"/>
        </w:rPr>
        <w:lastRenderedPageBreak/>
        <w:t xml:space="preserve">Table </w:t>
      </w:r>
      <w:r w:rsidR="003B5224">
        <w:rPr>
          <w:lang w:eastAsia="ja-JP"/>
        </w:rPr>
        <w:t>3</w:t>
      </w:r>
      <w:r>
        <w:rPr>
          <w:lang w:eastAsia="ja-JP"/>
        </w:rPr>
        <w:t xml:space="preserve">: Duration of </w:t>
      </w:r>
      <w:r w:rsidRPr="006F6ADA">
        <w:t>exposure</w:t>
      </w:r>
      <w:r>
        <w:rPr>
          <w:lang w:eastAsia="ja-JP"/>
        </w:rPr>
        <w:t xml:space="preserve"> to adalimumab in Study SB5-G31-RA (SAF1 Cohort)</w:t>
      </w:r>
    </w:p>
    <w:p w14:paraId="2D0C0186" w14:textId="77777777" w:rsidR="00500337" w:rsidRPr="00500337" w:rsidRDefault="002B25FE" w:rsidP="006F6ADA">
      <w:r>
        <w:rPr>
          <w:noProof/>
          <w:lang w:eastAsia="en-AU"/>
        </w:rPr>
        <w:drawing>
          <wp:inline distT="0" distB="0" distL="0" distR="0" wp14:anchorId="45E367F1" wp14:editId="4017579A">
            <wp:extent cx="4988966" cy="6098538"/>
            <wp:effectExtent l="0" t="0" r="2540" b="0"/>
            <wp:docPr id="2" name="Picture 2" descr="Table 3: Duration of exposure to adalimumab in Study SB5-G31-RA (SAF1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90281" cy="6100145"/>
                    </a:xfrm>
                    <a:prstGeom prst="rect">
                      <a:avLst/>
                    </a:prstGeom>
                  </pic:spPr>
                </pic:pic>
              </a:graphicData>
            </a:graphic>
          </wp:inline>
        </w:drawing>
      </w:r>
    </w:p>
    <w:p w14:paraId="40A34FF1" w14:textId="77777777" w:rsidR="00605AD4" w:rsidRDefault="00605AD4" w:rsidP="006F6ADA">
      <w:pPr>
        <w:pStyle w:val="Heading4"/>
      </w:pPr>
      <w:r w:rsidRPr="00605AD4">
        <w:t>Safety issues with the potential for major regulatory impact</w:t>
      </w:r>
    </w:p>
    <w:p w14:paraId="543E975B" w14:textId="77777777" w:rsidR="00630211" w:rsidRPr="0043109C" w:rsidRDefault="00630211" w:rsidP="006F6ADA">
      <w:pPr>
        <w:pStyle w:val="Heading5"/>
      </w:pPr>
      <w:bookmarkStart w:id="128" w:name="_Toc272414669"/>
      <w:bookmarkStart w:id="129" w:name="_Toc290888533"/>
      <w:bookmarkStart w:id="130" w:name="_Toc416353749"/>
      <w:bookmarkStart w:id="131" w:name="_Toc421005292"/>
      <w:bookmarkStart w:id="132" w:name="_Toc432079169"/>
      <w:bookmarkStart w:id="133" w:name="_Toc432080742"/>
      <w:r w:rsidRPr="0043109C">
        <w:t xml:space="preserve">Liver </w:t>
      </w:r>
      <w:r w:rsidRPr="006F6ADA">
        <w:t>function</w:t>
      </w:r>
      <w:bookmarkEnd w:id="128"/>
      <w:bookmarkEnd w:id="129"/>
      <w:bookmarkEnd w:id="130"/>
      <w:bookmarkEnd w:id="131"/>
      <w:r w:rsidRPr="0043109C">
        <w:t xml:space="preserve"> and liver toxicity</w:t>
      </w:r>
      <w:bookmarkEnd w:id="132"/>
      <w:bookmarkEnd w:id="133"/>
    </w:p>
    <w:p w14:paraId="004170DA" w14:textId="77777777" w:rsidR="00630211" w:rsidRPr="0043109C" w:rsidRDefault="00630211" w:rsidP="006F6ADA">
      <w:pPr>
        <w:pStyle w:val="Heading6"/>
      </w:pPr>
      <w:r w:rsidRPr="0043109C">
        <w:t>Study SB5-G31-RA</w:t>
      </w:r>
    </w:p>
    <w:p w14:paraId="69931929" w14:textId="03C818BE" w:rsidR="00630211" w:rsidRDefault="00630211" w:rsidP="006F6ADA">
      <w:r>
        <w:t xml:space="preserve">Over the course of the study, there were small changes in the mean and median values for liver function tests (serum transaminases, albumin, total bilirubin, </w:t>
      </w:r>
      <w:r w:rsidR="00795FCD">
        <w:t>gamma glutamyl</w:t>
      </w:r>
      <w:r w:rsidR="00B91287">
        <w:t xml:space="preserve"> </w:t>
      </w:r>
      <w:r w:rsidR="00795FCD">
        <w:t xml:space="preserve">transferase (GGT) </w:t>
      </w:r>
      <w:r>
        <w:t>and lactate dehydrogenase) in both treatment groups that were clinically insignificant.</w:t>
      </w:r>
    </w:p>
    <w:p w14:paraId="4B391C0D" w14:textId="2E69E121" w:rsidR="00630211" w:rsidRDefault="00630211" w:rsidP="006F6ADA">
      <w:r>
        <w:t xml:space="preserve">Up to Week 52, the most commonly reported abnormality of liver function tests was an elevated </w:t>
      </w:r>
      <w:r w:rsidR="00795FCD">
        <w:t>alanine transaminase (</w:t>
      </w:r>
      <w:r>
        <w:t>ALT</w:t>
      </w:r>
      <w:r w:rsidR="00795FCD">
        <w:t>)</w:t>
      </w:r>
      <w:r>
        <w:t xml:space="preserve"> value (that is </w:t>
      </w:r>
      <w:r w:rsidR="00C05C12">
        <w:t xml:space="preserve">≥ </w:t>
      </w:r>
      <w:r>
        <w:t xml:space="preserve">2 fold </w:t>
      </w:r>
      <w:r w:rsidR="005A0780">
        <w:t>upper limit of normal (</w:t>
      </w:r>
      <w:r>
        <w:t>ULN</w:t>
      </w:r>
      <w:r w:rsidR="005A0780">
        <w:t>)</w:t>
      </w:r>
      <w:r>
        <w:t xml:space="preserve"> increase), which was recorded in 3.7% (10/268) of subjects in the SB5 group, 5.5% (7/127) of patients in the continuous Humira arm and 6.4% (8/125) of subjects in the Humira to SB5 switch group. Increased </w:t>
      </w:r>
      <w:r w:rsidR="00795FCD">
        <w:t>aspartate transaminase (</w:t>
      </w:r>
      <w:r>
        <w:t>AST</w:t>
      </w:r>
      <w:r w:rsidR="00795FCD">
        <w:t>)</w:t>
      </w:r>
      <w:r>
        <w:t xml:space="preserve"> readings </w:t>
      </w:r>
      <w:r w:rsidR="00C05C12">
        <w:t xml:space="preserve">≥ </w:t>
      </w:r>
      <w:r>
        <w:t xml:space="preserve">2 fold </w:t>
      </w:r>
      <w:r>
        <w:lastRenderedPageBreak/>
        <w:t xml:space="preserve">ULN increase were observed in 1.5% (4/268) of subjects in the SB5 group, 0.8% (1/127) of patients in the continuous Humira arm and 3.2% (4/125) of subjects in the Humira to SB5 switch group. Four subjects (2 in each of the main treatment groups) reported increases in serum total bilirubin &gt; 34 </w:t>
      </w:r>
      <w:r w:rsidR="00795FCD">
        <w:t>µ</w:t>
      </w:r>
      <w:proofErr w:type="spellStart"/>
      <w:r>
        <w:t>mol</w:t>
      </w:r>
      <w:proofErr w:type="spellEnd"/>
      <w:r>
        <w:t>/L. In addition, high GGT readings were reported in 4 subjects in each main treatment group (1.5%). There were no possible Hy’s law cases observed in Study SB5-G31-RA.</w:t>
      </w:r>
    </w:p>
    <w:p w14:paraId="68F604FF" w14:textId="77777777" w:rsidR="00630211" w:rsidRPr="00C2074B" w:rsidRDefault="00630211" w:rsidP="006F6ADA">
      <w:pPr>
        <w:pStyle w:val="Heading6"/>
      </w:pPr>
      <w:r w:rsidRPr="006F6ADA">
        <w:t>Supporting</w:t>
      </w:r>
      <w:r>
        <w:t xml:space="preserve"> studies</w:t>
      </w:r>
    </w:p>
    <w:p w14:paraId="412AA884" w14:textId="77777777" w:rsidR="00630211" w:rsidRDefault="00630211" w:rsidP="006F6ADA">
      <w:pPr>
        <w:rPr>
          <w:lang w:eastAsia="ja-JP"/>
        </w:rPr>
      </w:pPr>
      <w:r>
        <w:rPr>
          <w:lang w:eastAsia="ja-JP"/>
        </w:rPr>
        <w:t xml:space="preserve">There were no clinically significant post dose changes in liver function tests in the two Phase I SB5 clinical studies. In Study SB5-G21-RA, 1 subject developed a post-treatment increase in serum total bilirubin (&gt; 34.2 </w:t>
      </w:r>
      <w:proofErr w:type="spellStart"/>
      <w:r>
        <w:rPr>
          <w:lang w:eastAsia="ja-JP"/>
        </w:rPr>
        <w:t>μmol</w:t>
      </w:r>
      <w:proofErr w:type="spellEnd"/>
      <w:r>
        <w:rPr>
          <w:lang w:eastAsia="ja-JP"/>
        </w:rPr>
        <w:t>/L) and another subject recorded a high serum ALT reading (&gt; 99 U/L for female and &gt; 123 U/L for men).</w:t>
      </w:r>
    </w:p>
    <w:p w14:paraId="1C8FAFCA" w14:textId="77777777" w:rsidR="00630211" w:rsidRPr="00630211" w:rsidRDefault="00630211" w:rsidP="006F6ADA">
      <w:pPr>
        <w:pStyle w:val="Heading5"/>
      </w:pPr>
      <w:bookmarkStart w:id="134" w:name="_Toc272414670"/>
      <w:bookmarkStart w:id="135" w:name="_Toc290888534"/>
      <w:bookmarkStart w:id="136" w:name="_Toc416353750"/>
      <w:bookmarkStart w:id="137" w:name="_Toc421005293"/>
      <w:bookmarkStart w:id="138" w:name="_Toc432079170"/>
      <w:bookmarkStart w:id="139" w:name="_Toc432080743"/>
      <w:r w:rsidRPr="00630211">
        <w:t>Renal function</w:t>
      </w:r>
      <w:bookmarkEnd w:id="134"/>
      <w:bookmarkEnd w:id="135"/>
      <w:bookmarkEnd w:id="136"/>
      <w:bookmarkEnd w:id="137"/>
      <w:r w:rsidRPr="00630211">
        <w:t xml:space="preserve"> and renal toxicity</w:t>
      </w:r>
      <w:bookmarkEnd w:id="138"/>
      <w:bookmarkEnd w:id="139"/>
    </w:p>
    <w:p w14:paraId="4F579812" w14:textId="77777777" w:rsidR="00630211" w:rsidRPr="002B7B05" w:rsidRDefault="00630211" w:rsidP="006F6ADA">
      <w:pPr>
        <w:pStyle w:val="Heading6"/>
      </w:pPr>
      <w:r w:rsidRPr="006F6ADA">
        <w:t>Study</w:t>
      </w:r>
      <w:r w:rsidRPr="002B7B05">
        <w:t xml:space="preserve"> </w:t>
      </w:r>
      <w:r>
        <w:t>SB5-G31-RA</w:t>
      </w:r>
    </w:p>
    <w:p w14:paraId="6E71D383" w14:textId="0DCAD84C" w:rsidR="00630211" w:rsidRDefault="00630211" w:rsidP="00630211">
      <w:r>
        <w:t>Over the 52 week treatment follow-up period of Study SB5-G31-RA, 3.2% (8/</w:t>
      </w:r>
      <w:r w:rsidR="007F5F60">
        <w:t>247</w:t>
      </w:r>
      <w:r>
        <w:t>) of subject</w:t>
      </w:r>
      <w:r w:rsidRPr="006F6ADA">
        <w:t>s</w:t>
      </w:r>
      <w:r>
        <w:t xml:space="preserve"> in the SB5 group and 6.2% (15/</w:t>
      </w:r>
      <w:r w:rsidR="007F5F60">
        <w:t>242</w:t>
      </w:r>
      <w:r>
        <w:t>) of patients in the overall Humira arm recorded minor shifts (increases) from a normal baseline value in serum creatinine levels on at least 1 occasion.</w:t>
      </w:r>
    </w:p>
    <w:p w14:paraId="1FCC34CA" w14:textId="77777777" w:rsidR="00630211" w:rsidRPr="00C2074B" w:rsidRDefault="00630211" w:rsidP="00630211">
      <w:pPr>
        <w:pStyle w:val="Heading6"/>
      </w:pPr>
      <w:r>
        <w:t>Supporting s</w:t>
      </w:r>
      <w:r w:rsidRPr="00C2074B">
        <w:t>tudies</w:t>
      </w:r>
    </w:p>
    <w:p w14:paraId="7811E7F2" w14:textId="77777777" w:rsidR="00630211" w:rsidRDefault="00630211" w:rsidP="00630211">
      <w:pPr>
        <w:autoSpaceDE w:val="0"/>
        <w:autoSpaceDN w:val="0"/>
        <w:adjustRightInd w:val="0"/>
      </w:pPr>
      <w:r>
        <w:t xml:space="preserve">No subjects in the single dose </w:t>
      </w:r>
      <w:proofErr w:type="gramStart"/>
      <w:r>
        <w:t>Phase</w:t>
      </w:r>
      <w:proofErr w:type="gramEnd"/>
      <w:r>
        <w:t xml:space="preserve"> I trials or the Phase II Study SB5-G21-RA developed clinically significant abnormalities in renal function.</w:t>
      </w:r>
    </w:p>
    <w:p w14:paraId="61FC2274" w14:textId="77777777" w:rsidR="00630211" w:rsidRDefault="00630211" w:rsidP="006F6ADA">
      <w:pPr>
        <w:pStyle w:val="Heading5"/>
      </w:pPr>
      <w:bookmarkStart w:id="140" w:name="_Toc272414671"/>
      <w:bookmarkStart w:id="141" w:name="_Toc290888535"/>
      <w:bookmarkStart w:id="142" w:name="_Toc416353751"/>
      <w:bookmarkStart w:id="143" w:name="_Toc421005294"/>
      <w:bookmarkStart w:id="144" w:name="_Toc432079171"/>
      <w:bookmarkStart w:id="145" w:name="_Toc432080744"/>
      <w:r w:rsidRPr="00545B14">
        <w:t xml:space="preserve">Other </w:t>
      </w:r>
      <w:r w:rsidRPr="006F6ADA">
        <w:t>clinical</w:t>
      </w:r>
      <w:r w:rsidRPr="00545B14">
        <w:t xml:space="preserve"> chemistry</w:t>
      </w:r>
      <w:bookmarkEnd w:id="140"/>
      <w:bookmarkEnd w:id="141"/>
      <w:bookmarkEnd w:id="142"/>
      <w:bookmarkEnd w:id="143"/>
      <w:bookmarkEnd w:id="144"/>
      <w:bookmarkEnd w:id="145"/>
    </w:p>
    <w:p w14:paraId="20C29994" w14:textId="77777777" w:rsidR="00630211" w:rsidRPr="002B7B05" w:rsidRDefault="00630211" w:rsidP="006F6ADA">
      <w:pPr>
        <w:pStyle w:val="Heading6"/>
      </w:pPr>
      <w:r>
        <w:t>S</w:t>
      </w:r>
      <w:r w:rsidRPr="002B7B05">
        <w:t>t</w:t>
      </w:r>
      <w:r>
        <w:t>ud</w:t>
      </w:r>
      <w:r w:rsidRPr="002B7B05">
        <w:t xml:space="preserve">y </w:t>
      </w:r>
      <w:r w:rsidRPr="006F6ADA">
        <w:t>SB5</w:t>
      </w:r>
      <w:r>
        <w:t>-G31-RA</w:t>
      </w:r>
    </w:p>
    <w:p w14:paraId="648A89A5" w14:textId="77777777" w:rsidR="00630211" w:rsidRDefault="00630211" w:rsidP="006F6ADA">
      <w:r>
        <w:t>Up to Week 52, high serum glucose readings &gt; 13.9 mmol/L were reported in 2 subjects (0.7% of 268) in the SB5 group and 2 patients (0.7% of 273) in the overall Humira arm.</w:t>
      </w:r>
    </w:p>
    <w:p w14:paraId="31CF78B3" w14:textId="77777777" w:rsidR="00630211" w:rsidRPr="00C2074B" w:rsidRDefault="00630211" w:rsidP="00630211">
      <w:pPr>
        <w:pStyle w:val="Heading6"/>
      </w:pPr>
      <w:r>
        <w:t>Supporting studies</w:t>
      </w:r>
    </w:p>
    <w:p w14:paraId="7F564B3B" w14:textId="39D898FA" w:rsidR="00630211" w:rsidRDefault="00630211" w:rsidP="006F6ADA">
      <w:r>
        <w:t>No subjects in the single dose Phase I trials were identified as developing clinically significant abnormalities in biochemistry. One subject (2.0% of 49) in Study SB5-G</w:t>
      </w:r>
      <w:r w:rsidR="007F5F60">
        <w:t>2</w:t>
      </w:r>
      <w:r>
        <w:t>1-RA recorded a high blood glucose result (&gt; 250 mg/dL).</w:t>
      </w:r>
    </w:p>
    <w:p w14:paraId="2C911F54" w14:textId="77777777" w:rsidR="00630211" w:rsidRPr="00545B14" w:rsidRDefault="00630211" w:rsidP="006F6ADA">
      <w:pPr>
        <w:pStyle w:val="Heading5"/>
      </w:pPr>
      <w:bookmarkStart w:id="146" w:name="_Toc272414672"/>
      <w:bookmarkStart w:id="147" w:name="_Toc290888536"/>
      <w:bookmarkStart w:id="148" w:name="_Toc416353752"/>
      <w:bookmarkStart w:id="149" w:name="_Toc421005295"/>
      <w:bookmarkStart w:id="150" w:name="_Toc432079172"/>
      <w:bookmarkStart w:id="151" w:name="_Toc432080745"/>
      <w:r w:rsidRPr="006F6ADA">
        <w:t>Haematology</w:t>
      </w:r>
      <w:bookmarkEnd w:id="146"/>
      <w:bookmarkEnd w:id="147"/>
      <w:bookmarkEnd w:id="148"/>
      <w:bookmarkEnd w:id="149"/>
      <w:r>
        <w:t xml:space="preserve"> and haematological toxicity</w:t>
      </w:r>
      <w:bookmarkEnd w:id="150"/>
      <w:bookmarkEnd w:id="151"/>
    </w:p>
    <w:p w14:paraId="566BADF5" w14:textId="77777777" w:rsidR="00630211" w:rsidRDefault="00630211" w:rsidP="00630211">
      <w:pPr>
        <w:pStyle w:val="Heading6"/>
      </w:pPr>
      <w:r>
        <w:t>S</w:t>
      </w:r>
      <w:r w:rsidRPr="002B7B05">
        <w:t>t</w:t>
      </w:r>
      <w:r>
        <w:t>u</w:t>
      </w:r>
      <w:r w:rsidRPr="002B7B05">
        <w:t>dy</w:t>
      </w:r>
      <w:r>
        <w:t xml:space="preserve"> SB5-G31-RA</w:t>
      </w:r>
    </w:p>
    <w:p w14:paraId="7BFD850A" w14:textId="6462065D" w:rsidR="00630211" w:rsidRDefault="00630211" w:rsidP="006F6ADA">
      <w:r>
        <w:t xml:space="preserve">In Study SB5-G31-RA, there were no notable differences between the 2 treatment groups for mean and median changes in haematology parameters. Up to Week 52 in the SAF population, a total of 9 patients developed low neutrophil cell counts of &lt; 1.2 x </w:t>
      </w:r>
      <w:r w:rsidRPr="00212CD6">
        <w:t>10</w:t>
      </w:r>
      <w:r w:rsidRPr="00970106">
        <w:rPr>
          <w:vertAlign w:val="superscript"/>
        </w:rPr>
        <w:t>9</w:t>
      </w:r>
      <w:r w:rsidRPr="00212CD6">
        <w:t>/L</w:t>
      </w:r>
      <w:r>
        <w:t xml:space="preserve"> (5</w:t>
      </w:r>
      <w:r w:rsidR="007C4788">
        <w:t> </w:t>
      </w:r>
      <w:r>
        <w:t xml:space="preserve">subjects (1.9% of 268) in the SB5 group, 1 (0.8% of 127) in the continuous Humira arm and 3 (2.4% of 125) in the Humira to SB5 switch group), 5 subjects developed decreases in lymphocyte cell counts of &lt; 0.5 x </w:t>
      </w:r>
      <w:r w:rsidRPr="00212CD6">
        <w:t>10</w:t>
      </w:r>
      <w:r w:rsidRPr="00970106">
        <w:rPr>
          <w:vertAlign w:val="superscript"/>
        </w:rPr>
        <w:t>9</w:t>
      </w:r>
      <w:r w:rsidRPr="00212CD6">
        <w:t>/L</w:t>
      </w:r>
      <w:r>
        <w:t xml:space="preserve"> (3 (1.1% of 268) in the SB5 group and 2 (</w:t>
      </w:r>
      <w:r w:rsidR="007F5F60">
        <w:t>1.6</w:t>
      </w:r>
      <w:r>
        <w:t xml:space="preserve">% of 127) in the continuous Humira arm) and 1 subject in in the SB5 arm recorded a low serum haemoglobin level (&lt; 80 g/L for females and &lt; 90 g/L for males). One subject in </w:t>
      </w:r>
      <w:r w:rsidR="007F5F60">
        <w:t xml:space="preserve">the SB5 </w:t>
      </w:r>
      <w:r>
        <w:t>treatment group (0.4% incidence) developed significant thrombocytop</w:t>
      </w:r>
      <w:r w:rsidR="00795FCD">
        <w:t>a</w:t>
      </w:r>
      <w:r>
        <w:t xml:space="preserve">enia (platelet count &lt; 50 x </w:t>
      </w:r>
      <w:r w:rsidRPr="00212CD6">
        <w:t>10</w:t>
      </w:r>
      <w:r w:rsidRPr="00970106">
        <w:rPr>
          <w:vertAlign w:val="superscript"/>
        </w:rPr>
        <w:t>9</w:t>
      </w:r>
      <w:r w:rsidRPr="00212CD6">
        <w:t>/L</w:t>
      </w:r>
      <w:r>
        <w:t>) during Study SB5-G31-RA.</w:t>
      </w:r>
    </w:p>
    <w:p w14:paraId="47E5C632" w14:textId="77777777" w:rsidR="00630211" w:rsidRPr="00C2074B" w:rsidRDefault="00630211" w:rsidP="00630211">
      <w:pPr>
        <w:pStyle w:val="Heading6"/>
      </w:pPr>
      <w:r>
        <w:t>Supp</w:t>
      </w:r>
      <w:r w:rsidRPr="006F6ADA">
        <w:t>o</w:t>
      </w:r>
      <w:r>
        <w:t>rting studies</w:t>
      </w:r>
    </w:p>
    <w:p w14:paraId="54F145DA" w14:textId="77777777" w:rsidR="00630211" w:rsidRDefault="00630211" w:rsidP="006F6ADA">
      <w:r>
        <w:t>No subjects in the single dose Phase I trials or the Phase II Study SB5-G21-RA were recorded as developing significant abnormalities in haematology parameters.</w:t>
      </w:r>
    </w:p>
    <w:p w14:paraId="4711A64B" w14:textId="77777777" w:rsidR="00630211" w:rsidRPr="00545B14" w:rsidRDefault="00630211" w:rsidP="006F6ADA">
      <w:pPr>
        <w:pStyle w:val="Heading5"/>
      </w:pPr>
      <w:bookmarkStart w:id="152" w:name="_Toc272414674"/>
      <w:bookmarkStart w:id="153" w:name="_Toc290888538"/>
      <w:bookmarkStart w:id="154" w:name="_Toc416353753"/>
      <w:bookmarkStart w:id="155" w:name="_Toc421005296"/>
      <w:bookmarkStart w:id="156" w:name="_Toc432079173"/>
      <w:bookmarkStart w:id="157" w:name="_Toc432080746"/>
      <w:proofErr w:type="spellStart"/>
      <w:r>
        <w:lastRenderedPageBreak/>
        <w:t>QuantiFERON</w:t>
      </w:r>
      <w:proofErr w:type="spellEnd"/>
      <w:r>
        <w:t xml:space="preserve"> Gold t</w:t>
      </w:r>
      <w:r w:rsidRPr="00545B14">
        <w:t>est</w:t>
      </w:r>
      <w:bookmarkEnd w:id="152"/>
      <w:bookmarkEnd w:id="153"/>
      <w:bookmarkEnd w:id="154"/>
      <w:bookmarkEnd w:id="155"/>
      <w:bookmarkEnd w:id="156"/>
      <w:bookmarkEnd w:id="157"/>
      <w:r>
        <w:t xml:space="preserve">s </w:t>
      </w:r>
      <w:r w:rsidRPr="006F6ADA">
        <w:t>and</w:t>
      </w:r>
      <w:r>
        <w:t xml:space="preserve"> latent Tuberculosis</w:t>
      </w:r>
    </w:p>
    <w:p w14:paraId="0B256CE2" w14:textId="77777777" w:rsidR="00630211" w:rsidRPr="002B7B05" w:rsidRDefault="00630211" w:rsidP="00630211">
      <w:pPr>
        <w:pStyle w:val="Heading6"/>
      </w:pPr>
      <w:r>
        <w:t>S</w:t>
      </w:r>
      <w:r w:rsidRPr="002B7B05">
        <w:t>t</w:t>
      </w:r>
      <w:r>
        <w:t>u</w:t>
      </w:r>
      <w:r w:rsidRPr="002B7B05">
        <w:t xml:space="preserve">dy </w:t>
      </w:r>
      <w:r>
        <w:t>SB5-G31-RA</w:t>
      </w:r>
    </w:p>
    <w:p w14:paraId="35CEC137" w14:textId="1F9B1406" w:rsidR="00630211" w:rsidRDefault="00630211" w:rsidP="00630211">
      <w:pPr>
        <w:rPr>
          <w:lang w:eastAsia="ja-JP"/>
        </w:rPr>
      </w:pPr>
      <w:r w:rsidRPr="008B2828">
        <w:t>No subjects in the SAF1 cohort had a positive QuantiFERON Gold test at screening in Study</w:t>
      </w:r>
      <w:r w:rsidR="007C4788">
        <w:t> </w:t>
      </w:r>
      <w:r w:rsidRPr="008B2828">
        <w:t>SB5-G31-RA. At Week 24, the majority of subjects in the SB5 (82.1%; 220/268) and the Humira (82.8%; 226/273) treatment groups had a negative result for QuantiFERON Gold testing. In the SB5 treatment group, 10 (3.7%) subjects had positive and 2 (0.7%) subjects had indeterminate results, and in the Humira arm 9 (3.3%) subjects had positive and 2 (0.7%</w:t>
      </w:r>
      <w:r w:rsidRPr="006F6ADA">
        <w:t>)</w:t>
      </w:r>
      <w:r w:rsidRPr="008B2828">
        <w:t xml:space="preserve"> subjects had indeterminate results. In the SB5 treatment group, a total of 12 subjects (4.5%) were considered to have latent TB at Week 24, 10 of whom had a positive QuantiFERON Gold test result for the first time at Week 24, 1 subject had an indeterminate QuantiFERON Gold test result on 2 occasions and 1 subject whose QuantiFERON Gold test was not available for the first time because the sample was not centrifuged, recorded a positive test result on second testing. In the Humira arm, a total of 10 subjects (3.7%) were considered to have latent TB up to Week 24</w:t>
      </w:r>
      <w:r>
        <w:rPr>
          <w:lang w:eastAsia="ja-JP"/>
        </w:rPr>
        <w:t xml:space="preserve"> including</w:t>
      </w:r>
      <w:r w:rsidRPr="001B0CBF">
        <w:rPr>
          <w:lang w:eastAsia="ja-JP"/>
        </w:rPr>
        <w:t xml:space="preserve"> 9 subjects with</w:t>
      </w:r>
      <w:r>
        <w:rPr>
          <w:lang w:eastAsia="ja-JP"/>
        </w:rPr>
        <w:t xml:space="preserve"> a</w:t>
      </w:r>
      <w:r w:rsidRPr="001B0CBF">
        <w:rPr>
          <w:lang w:eastAsia="ja-JP"/>
        </w:rPr>
        <w:t xml:space="preserve"> positive QuantiFERON Gold test result for the first time</w:t>
      </w:r>
      <w:r>
        <w:rPr>
          <w:lang w:eastAsia="ja-JP"/>
        </w:rPr>
        <w:t xml:space="preserve"> </w:t>
      </w:r>
      <w:r w:rsidRPr="001B0CBF">
        <w:rPr>
          <w:lang w:eastAsia="ja-JP"/>
        </w:rPr>
        <w:t>and 1 subject whose test was not</w:t>
      </w:r>
      <w:r>
        <w:rPr>
          <w:lang w:eastAsia="ja-JP"/>
        </w:rPr>
        <w:t xml:space="preserve"> </w:t>
      </w:r>
      <w:r w:rsidRPr="001B0CBF">
        <w:rPr>
          <w:lang w:eastAsia="ja-JP"/>
        </w:rPr>
        <w:t>available for the first</w:t>
      </w:r>
      <w:r>
        <w:rPr>
          <w:lang w:eastAsia="ja-JP"/>
        </w:rPr>
        <w:t xml:space="preserve"> </w:t>
      </w:r>
      <w:r w:rsidRPr="001B0CBF">
        <w:rPr>
          <w:lang w:eastAsia="ja-JP"/>
        </w:rPr>
        <w:t>time because the sample was not centrifuged, but positive for the second time. The 2 subjects</w:t>
      </w:r>
      <w:r>
        <w:rPr>
          <w:lang w:eastAsia="ja-JP"/>
        </w:rPr>
        <w:t xml:space="preserve"> </w:t>
      </w:r>
      <w:r w:rsidRPr="001B0CBF">
        <w:rPr>
          <w:lang w:eastAsia="ja-JP"/>
        </w:rPr>
        <w:t>with indeterminate QuantiFERON tests i</w:t>
      </w:r>
      <w:r>
        <w:rPr>
          <w:lang w:eastAsia="ja-JP"/>
        </w:rPr>
        <w:t>nitially</w:t>
      </w:r>
      <w:r w:rsidRPr="001B0CBF">
        <w:rPr>
          <w:lang w:eastAsia="ja-JP"/>
        </w:rPr>
        <w:t xml:space="preserve"> were not considered to</w:t>
      </w:r>
      <w:r>
        <w:rPr>
          <w:lang w:eastAsia="ja-JP"/>
        </w:rPr>
        <w:t xml:space="preserve"> </w:t>
      </w:r>
      <w:r w:rsidRPr="001B0CBF">
        <w:rPr>
          <w:lang w:eastAsia="ja-JP"/>
        </w:rPr>
        <w:t xml:space="preserve">have latent TB because their second </w:t>
      </w:r>
      <w:r>
        <w:rPr>
          <w:lang w:eastAsia="ja-JP"/>
        </w:rPr>
        <w:t>t</w:t>
      </w:r>
      <w:r w:rsidRPr="001B0CBF">
        <w:rPr>
          <w:lang w:eastAsia="ja-JP"/>
        </w:rPr>
        <w:t xml:space="preserve">est </w:t>
      </w:r>
      <w:r>
        <w:rPr>
          <w:lang w:eastAsia="ja-JP"/>
        </w:rPr>
        <w:t xml:space="preserve">result </w:t>
      </w:r>
      <w:r w:rsidRPr="001B0CBF">
        <w:rPr>
          <w:lang w:eastAsia="ja-JP"/>
        </w:rPr>
        <w:t>w</w:t>
      </w:r>
      <w:r>
        <w:rPr>
          <w:lang w:eastAsia="ja-JP"/>
        </w:rPr>
        <w:t>as</w:t>
      </w:r>
      <w:r w:rsidRPr="001B0CBF">
        <w:rPr>
          <w:lang w:eastAsia="ja-JP"/>
        </w:rPr>
        <w:t xml:space="preserve"> negative</w:t>
      </w:r>
      <w:r>
        <w:rPr>
          <w:lang w:eastAsia="ja-JP"/>
        </w:rPr>
        <w:t>.</w:t>
      </w:r>
    </w:p>
    <w:p w14:paraId="57D72DC6" w14:textId="31F0DE10" w:rsidR="00630211" w:rsidRDefault="00630211" w:rsidP="00630211">
      <w:pPr>
        <w:rPr>
          <w:lang w:eastAsia="ja-JP"/>
        </w:rPr>
      </w:pPr>
      <w:r w:rsidRPr="001B0CBF">
        <w:rPr>
          <w:lang w:eastAsia="ja-JP"/>
        </w:rPr>
        <w:t xml:space="preserve">At </w:t>
      </w:r>
      <w:r>
        <w:rPr>
          <w:lang w:eastAsia="ja-JP"/>
        </w:rPr>
        <w:t>Week</w:t>
      </w:r>
      <w:r w:rsidRPr="001B0CBF">
        <w:rPr>
          <w:lang w:eastAsia="ja-JP"/>
        </w:rPr>
        <w:t xml:space="preserve"> 52</w:t>
      </w:r>
      <w:r>
        <w:rPr>
          <w:lang w:eastAsia="ja-JP"/>
        </w:rPr>
        <w:t>,</w:t>
      </w:r>
      <w:r w:rsidRPr="001B0CBF">
        <w:rPr>
          <w:lang w:eastAsia="ja-JP"/>
        </w:rPr>
        <w:t xml:space="preserve"> the QuantiFERON Gold test results were comparable </w:t>
      </w:r>
      <w:r>
        <w:rPr>
          <w:lang w:eastAsia="ja-JP"/>
        </w:rPr>
        <w:t>b</w:t>
      </w:r>
      <w:r w:rsidRPr="001B0CBF">
        <w:rPr>
          <w:lang w:eastAsia="ja-JP"/>
        </w:rPr>
        <w:t>etween the treatment</w:t>
      </w:r>
      <w:r>
        <w:rPr>
          <w:lang w:eastAsia="ja-JP"/>
        </w:rPr>
        <w:t xml:space="preserve"> </w:t>
      </w:r>
      <w:r w:rsidRPr="001B0CBF">
        <w:rPr>
          <w:lang w:eastAsia="ja-JP"/>
        </w:rPr>
        <w:t>groups. The majority of subjects had a negative result</w:t>
      </w:r>
      <w:r>
        <w:rPr>
          <w:lang w:eastAsia="ja-JP"/>
        </w:rPr>
        <w:t>:</w:t>
      </w:r>
      <w:r w:rsidRPr="001B0CBF">
        <w:rPr>
          <w:lang w:eastAsia="ja-JP"/>
        </w:rPr>
        <w:t xml:space="preserve"> 225 </w:t>
      </w:r>
      <w:r>
        <w:rPr>
          <w:lang w:eastAsia="ja-JP"/>
        </w:rPr>
        <w:t>(</w:t>
      </w:r>
      <w:r w:rsidRPr="001B0CBF">
        <w:rPr>
          <w:lang w:eastAsia="ja-JP"/>
        </w:rPr>
        <w:t>84.0%</w:t>
      </w:r>
      <w:r>
        <w:rPr>
          <w:lang w:eastAsia="ja-JP"/>
        </w:rPr>
        <w:t>)</w:t>
      </w:r>
      <w:r w:rsidRPr="001B0CBF">
        <w:rPr>
          <w:lang w:eastAsia="ja-JP"/>
        </w:rPr>
        <w:t xml:space="preserve"> subjects in the SB5, 226 </w:t>
      </w:r>
      <w:r>
        <w:rPr>
          <w:lang w:eastAsia="ja-JP"/>
        </w:rPr>
        <w:t>(</w:t>
      </w:r>
      <w:r w:rsidRPr="001B0CBF">
        <w:rPr>
          <w:lang w:eastAsia="ja-JP"/>
        </w:rPr>
        <w:t>82.8%</w:t>
      </w:r>
      <w:r>
        <w:rPr>
          <w:lang w:eastAsia="ja-JP"/>
        </w:rPr>
        <w:t>)</w:t>
      </w:r>
      <w:r w:rsidRPr="001B0CBF">
        <w:rPr>
          <w:lang w:eastAsia="ja-JP"/>
        </w:rPr>
        <w:t xml:space="preserve"> subjects in the </w:t>
      </w:r>
      <w:r>
        <w:rPr>
          <w:lang w:eastAsia="ja-JP"/>
        </w:rPr>
        <w:t xml:space="preserve">overall </w:t>
      </w:r>
      <w:r w:rsidRPr="001B0CBF">
        <w:rPr>
          <w:lang w:eastAsia="ja-JP"/>
        </w:rPr>
        <w:t xml:space="preserve">Humira </w:t>
      </w:r>
      <w:r>
        <w:rPr>
          <w:lang w:eastAsia="ja-JP"/>
        </w:rPr>
        <w:t>c</w:t>
      </w:r>
      <w:r w:rsidRPr="001B0CBF">
        <w:rPr>
          <w:lang w:eastAsia="ja-JP"/>
        </w:rPr>
        <w:t>o</w:t>
      </w:r>
      <w:r>
        <w:rPr>
          <w:lang w:eastAsia="ja-JP"/>
        </w:rPr>
        <w:t>hort</w:t>
      </w:r>
      <w:r w:rsidRPr="001B0CBF">
        <w:rPr>
          <w:lang w:eastAsia="ja-JP"/>
        </w:rPr>
        <w:t xml:space="preserve">, 108 </w:t>
      </w:r>
      <w:r>
        <w:rPr>
          <w:lang w:eastAsia="ja-JP"/>
        </w:rPr>
        <w:t>(</w:t>
      </w:r>
      <w:r w:rsidRPr="001B0CBF">
        <w:rPr>
          <w:lang w:eastAsia="ja-JP"/>
        </w:rPr>
        <w:t>86.4%</w:t>
      </w:r>
      <w:r>
        <w:rPr>
          <w:lang w:eastAsia="ja-JP"/>
        </w:rPr>
        <w:t xml:space="preserve">) </w:t>
      </w:r>
      <w:r w:rsidRPr="001B0CBF">
        <w:rPr>
          <w:lang w:eastAsia="ja-JP"/>
        </w:rPr>
        <w:t>sub</w:t>
      </w:r>
      <w:r w:rsidRPr="006F6ADA">
        <w:t>j</w:t>
      </w:r>
      <w:r w:rsidRPr="001B0CBF">
        <w:rPr>
          <w:lang w:eastAsia="ja-JP"/>
        </w:rPr>
        <w:t xml:space="preserve">ects in the </w:t>
      </w:r>
      <w:proofErr w:type="spellStart"/>
      <w:r w:rsidRPr="001B0CBF">
        <w:rPr>
          <w:lang w:eastAsia="ja-JP"/>
        </w:rPr>
        <w:t>Humira</w:t>
      </w:r>
      <w:proofErr w:type="spellEnd"/>
      <w:r w:rsidR="00795FCD">
        <w:t xml:space="preserve"> switching to </w:t>
      </w:r>
      <w:r w:rsidRPr="001B0CBF">
        <w:rPr>
          <w:lang w:eastAsia="ja-JP"/>
        </w:rPr>
        <w:t>SB5</w:t>
      </w:r>
      <w:r>
        <w:rPr>
          <w:lang w:eastAsia="ja-JP"/>
        </w:rPr>
        <w:t xml:space="preserve"> group</w:t>
      </w:r>
      <w:r w:rsidRPr="001B0CBF">
        <w:rPr>
          <w:lang w:eastAsia="ja-JP"/>
        </w:rPr>
        <w:t xml:space="preserve"> and 108 </w:t>
      </w:r>
      <w:r>
        <w:rPr>
          <w:lang w:eastAsia="ja-JP"/>
        </w:rPr>
        <w:t>(</w:t>
      </w:r>
      <w:r w:rsidRPr="001B0CBF">
        <w:rPr>
          <w:lang w:eastAsia="ja-JP"/>
        </w:rPr>
        <w:t>85.0%</w:t>
      </w:r>
      <w:r>
        <w:rPr>
          <w:lang w:eastAsia="ja-JP"/>
        </w:rPr>
        <w:t>)</w:t>
      </w:r>
      <w:r w:rsidRPr="001B0CBF">
        <w:rPr>
          <w:lang w:eastAsia="ja-JP"/>
        </w:rPr>
        <w:t xml:space="preserve"> subjects in the </w:t>
      </w:r>
      <w:r>
        <w:rPr>
          <w:lang w:eastAsia="ja-JP"/>
        </w:rPr>
        <w:t xml:space="preserve">continuous </w:t>
      </w:r>
      <w:r w:rsidRPr="001B0CBF">
        <w:rPr>
          <w:lang w:eastAsia="ja-JP"/>
        </w:rPr>
        <w:t>Humira</w:t>
      </w:r>
      <w:r>
        <w:rPr>
          <w:lang w:eastAsia="ja-JP"/>
        </w:rPr>
        <w:t xml:space="preserve"> </w:t>
      </w:r>
      <w:r w:rsidRPr="001B0CBF">
        <w:rPr>
          <w:lang w:eastAsia="ja-JP"/>
        </w:rPr>
        <w:t>treatment</w:t>
      </w:r>
      <w:r>
        <w:rPr>
          <w:lang w:eastAsia="ja-JP"/>
        </w:rPr>
        <w:t xml:space="preserve"> a</w:t>
      </w:r>
      <w:r w:rsidRPr="001B0CBF">
        <w:rPr>
          <w:lang w:eastAsia="ja-JP"/>
        </w:rPr>
        <w:t>r</w:t>
      </w:r>
      <w:r>
        <w:rPr>
          <w:lang w:eastAsia="ja-JP"/>
        </w:rPr>
        <w:t>m</w:t>
      </w:r>
      <w:r w:rsidRPr="001B0CBF">
        <w:rPr>
          <w:lang w:eastAsia="ja-JP"/>
        </w:rPr>
        <w:t xml:space="preserve">. </w:t>
      </w:r>
      <w:r>
        <w:rPr>
          <w:lang w:eastAsia="ja-JP"/>
        </w:rPr>
        <w:t>Eleven</w:t>
      </w:r>
      <w:r w:rsidRPr="001B0CBF">
        <w:rPr>
          <w:lang w:eastAsia="ja-JP"/>
        </w:rPr>
        <w:t xml:space="preserve"> (4.1%) subjects had positive and 1 (0.4%) subject had indeterminate results in the</w:t>
      </w:r>
      <w:r>
        <w:rPr>
          <w:lang w:eastAsia="ja-JP"/>
        </w:rPr>
        <w:t xml:space="preserve"> </w:t>
      </w:r>
      <w:r w:rsidRPr="001B0CBF">
        <w:rPr>
          <w:lang w:eastAsia="ja-JP"/>
        </w:rPr>
        <w:t>SB5 treatment group</w:t>
      </w:r>
      <w:r>
        <w:rPr>
          <w:lang w:eastAsia="ja-JP"/>
        </w:rPr>
        <w:t>;</w:t>
      </w:r>
      <w:r w:rsidRPr="001B0CBF">
        <w:rPr>
          <w:lang w:eastAsia="ja-JP"/>
        </w:rPr>
        <w:t xml:space="preserve"> 10 </w:t>
      </w:r>
      <w:r>
        <w:rPr>
          <w:lang w:eastAsia="ja-JP"/>
        </w:rPr>
        <w:t xml:space="preserve">subjects </w:t>
      </w:r>
      <w:r w:rsidRPr="001B0CBF">
        <w:rPr>
          <w:lang w:eastAsia="ja-JP"/>
        </w:rPr>
        <w:t>(3.7%)</w:t>
      </w:r>
      <w:r>
        <w:rPr>
          <w:lang w:eastAsia="ja-JP"/>
        </w:rPr>
        <w:t xml:space="preserve"> had positive</w:t>
      </w:r>
      <w:r w:rsidRPr="001B0CBF">
        <w:rPr>
          <w:lang w:eastAsia="ja-JP"/>
        </w:rPr>
        <w:t xml:space="preserve"> and 1 (0.4%) subject</w:t>
      </w:r>
      <w:r>
        <w:rPr>
          <w:lang w:eastAsia="ja-JP"/>
        </w:rPr>
        <w:t xml:space="preserve"> had indeterminate result</w:t>
      </w:r>
      <w:r w:rsidRPr="001B0CBF">
        <w:rPr>
          <w:lang w:eastAsia="ja-JP"/>
        </w:rPr>
        <w:t xml:space="preserve"> in the </w:t>
      </w:r>
      <w:r>
        <w:rPr>
          <w:lang w:eastAsia="ja-JP"/>
        </w:rPr>
        <w:t xml:space="preserve">overall </w:t>
      </w:r>
      <w:r w:rsidRPr="001B0CBF">
        <w:rPr>
          <w:lang w:eastAsia="ja-JP"/>
        </w:rPr>
        <w:t>Humira</w:t>
      </w:r>
      <w:r>
        <w:rPr>
          <w:lang w:eastAsia="ja-JP"/>
        </w:rPr>
        <w:t xml:space="preserve"> c</w:t>
      </w:r>
      <w:r w:rsidRPr="001B0CBF">
        <w:rPr>
          <w:lang w:eastAsia="ja-JP"/>
        </w:rPr>
        <w:t>o</w:t>
      </w:r>
      <w:r>
        <w:rPr>
          <w:lang w:eastAsia="ja-JP"/>
        </w:rPr>
        <w:t>hort</w:t>
      </w:r>
      <w:r w:rsidRPr="001B0CBF">
        <w:rPr>
          <w:lang w:eastAsia="ja-JP"/>
        </w:rPr>
        <w:t>.</w:t>
      </w:r>
      <w:r>
        <w:rPr>
          <w:lang w:eastAsia="ja-JP"/>
        </w:rPr>
        <w:t xml:space="preserve"> </w:t>
      </w:r>
      <w:r w:rsidRPr="001B0CBF">
        <w:rPr>
          <w:lang w:eastAsia="ja-JP"/>
        </w:rPr>
        <w:t xml:space="preserve">At </w:t>
      </w:r>
      <w:r>
        <w:rPr>
          <w:lang w:eastAsia="ja-JP"/>
        </w:rPr>
        <w:t>Week</w:t>
      </w:r>
      <w:r w:rsidRPr="001B0CBF">
        <w:rPr>
          <w:lang w:eastAsia="ja-JP"/>
        </w:rPr>
        <w:t xml:space="preserve"> 52, a total of 11 subjects (4.1%) in the SB5 treatment group were considered to have</w:t>
      </w:r>
      <w:r>
        <w:rPr>
          <w:lang w:eastAsia="ja-JP"/>
        </w:rPr>
        <w:t xml:space="preserve"> </w:t>
      </w:r>
      <w:r w:rsidRPr="001B0CBF">
        <w:rPr>
          <w:lang w:eastAsia="ja-JP"/>
        </w:rPr>
        <w:t>latent TB</w:t>
      </w:r>
      <w:r>
        <w:rPr>
          <w:lang w:eastAsia="ja-JP"/>
        </w:rPr>
        <w:t xml:space="preserve"> plus</w:t>
      </w:r>
      <w:r w:rsidRPr="001B0CBF">
        <w:rPr>
          <w:lang w:eastAsia="ja-JP"/>
        </w:rPr>
        <w:t xml:space="preserve"> 4 </w:t>
      </w:r>
      <w:r>
        <w:rPr>
          <w:lang w:eastAsia="ja-JP"/>
        </w:rPr>
        <w:t xml:space="preserve">subjects </w:t>
      </w:r>
      <w:r w:rsidRPr="001B0CBF">
        <w:rPr>
          <w:lang w:eastAsia="ja-JP"/>
        </w:rPr>
        <w:t>(3.2%) in the Humira</w:t>
      </w:r>
      <w:r w:rsidR="00795FCD">
        <w:rPr>
          <w:lang w:eastAsia="ja-JP"/>
        </w:rPr>
        <w:t xml:space="preserve"> switching to</w:t>
      </w:r>
      <w:r w:rsidR="00795FCD">
        <w:t xml:space="preserve"> </w:t>
      </w:r>
      <w:r>
        <w:rPr>
          <w:lang w:eastAsia="ja-JP"/>
        </w:rPr>
        <w:t>S</w:t>
      </w:r>
      <w:r w:rsidRPr="001B0CBF">
        <w:rPr>
          <w:lang w:eastAsia="ja-JP"/>
        </w:rPr>
        <w:t xml:space="preserve">B5 </w:t>
      </w:r>
      <w:r w:rsidR="00795FCD">
        <w:rPr>
          <w:lang w:eastAsia="ja-JP"/>
        </w:rPr>
        <w:t xml:space="preserve">group </w:t>
      </w:r>
      <w:r w:rsidRPr="001B0CBF">
        <w:rPr>
          <w:lang w:eastAsia="ja-JP"/>
        </w:rPr>
        <w:t xml:space="preserve">and 6 (4.7%) in the </w:t>
      </w:r>
      <w:r>
        <w:rPr>
          <w:lang w:eastAsia="ja-JP"/>
        </w:rPr>
        <w:t xml:space="preserve">continuous </w:t>
      </w:r>
      <w:r w:rsidRPr="001B0CBF">
        <w:rPr>
          <w:lang w:eastAsia="ja-JP"/>
        </w:rPr>
        <w:t>Humira</w:t>
      </w:r>
      <w:r>
        <w:rPr>
          <w:lang w:eastAsia="ja-JP"/>
        </w:rPr>
        <w:t xml:space="preserve"> </w:t>
      </w:r>
      <w:r w:rsidRPr="001B0CBF">
        <w:rPr>
          <w:lang w:eastAsia="ja-JP"/>
        </w:rPr>
        <w:t>group</w:t>
      </w:r>
      <w:r>
        <w:rPr>
          <w:lang w:eastAsia="ja-JP"/>
        </w:rPr>
        <w:t xml:space="preserve"> were considered to have latent TB.</w:t>
      </w:r>
    </w:p>
    <w:p w14:paraId="7503FA1D" w14:textId="20E9A5B9" w:rsidR="00630211" w:rsidRPr="00C2074B" w:rsidRDefault="00630211" w:rsidP="006F6ADA">
      <w:pPr>
        <w:pStyle w:val="Heading6"/>
      </w:pPr>
      <w:r>
        <w:t xml:space="preserve">Supporting </w:t>
      </w:r>
      <w:r w:rsidR="006F6ADA" w:rsidRPr="006F6ADA">
        <w:t>s</w:t>
      </w:r>
      <w:r w:rsidRPr="006F6ADA">
        <w:t>tudies</w:t>
      </w:r>
    </w:p>
    <w:p w14:paraId="349F2E09" w14:textId="77777777" w:rsidR="00630211" w:rsidRDefault="00630211" w:rsidP="006F6ADA">
      <w:pPr>
        <w:rPr>
          <w:lang w:eastAsia="ja-JP"/>
        </w:rPr>
      </w:pPr>
      <w:r>
        <w:rPr>
          <w:lang w:eastAsia="ja-JP"/>
        </w:rPr>
        <w:t>No subject in the supporting studies developed latent TB.</w:t>
      </w:r>
      <w:bookmarkStart w:id="158" w:name="_Toc272414675"/>
      <w:bookmarkStart w:id="159" w:name="_Toc290888539"/>
      <w:bookmarkStart w:id="160" w:name="_Toc416353754"/>
      <w:bookmarkStart w:id="161" w:name="_Toc421005297"/>
      <w:bookmarkStart w:id="162" w:name="_Toc432079174"/>
      <w:bookmarkStart w:id="163" w:name="_Toc432080747"/>
    </w:p>
    <w:p w14:paraId="59B5E0B7" w14:textId="77777777" w:rsidR="00630211" w:rsidRPr="00545B14" w:rsidRDefault="00630211" w:rsidP="006F6ADA">
      <w:pPr>
        <w:pStyle w:val="Heading5"/>
      </w:pPr>
      <w:r w:rsidRPr="00545B14">
        <w:t>Electrocardiograph</w:t>
      </w:r>
      <w:bookmarkEnd w:id="158"/>
      <w:bookmarkEnd w:id="159"/>
      <w:bookmarkEnd w:id="160"/>
      <w:bookmarkEnd w:id="161"/>
      <w:r>
        <w:t xml:space="preserve"> </w:t>
      </w:r>
      <w:r w:rsidRPr="006F6ADA">
        <w:t>findings</w:t>
      </w:r>
      <w:r>
        <w:t xml:space="preserve"> and cardiovascular safety</w:t>
      </w:r>
      <w:bookmarkEnd w:id="162"/>
      <w:bookmarkEnd w:id="163"/>
    </w:p>
    <w:p w14:paraId="317AB754" w14:textId="77777777" w:rsidR="00630211" w:rsidRPr="002B7B05" w:rsidRDefault="00630211" w:rsidP="00630211">
      <w:pPr>
        <w:pStyle w:val="Heading6"/>
      </w:pPr>
      <w:r>
        <w:t>S</w:t>
      </w:r>
      <w:r w:rsidRPr="002B7B05">
        <w:t>t</w:t>
      </w:r>
      <w:r>
        <w:t>u</w:t>
      </w:r>
      <w:r w:rsidRPr="002B7B05">
        <w:t xml:space="preserve">dy </w:t>
      </w:r>
      <w:r>
        <w:t>SB5-G31-RA</w:t>
      </w:r>
    </w:p>
    <w:p w14:paraId="4BD7EC1B" w14:textId="77777777" w:rsidR="00630211" w:rsidRDefault="00630211" w:rsidP="006F6ADA">
      <w:pPr>
        <w:rPr>
          <w:lang w:eastAsia="ja-JP"/>
        </w:rPr>
      </w:pPr>
      <w:r>
        <w:rPr>
          <w:lang w:eastAsia="ja-JP"/>
        </w:rPr>
        <w:t>There were 2 cardiovascular related deaths (cardiac arrest and pulmonary embolism) in Study SB5-G31-RA, both of which occurred in Humira treated subjects before Week 24. In addition, 1 SB5 treated subject suffered an acute, non-fatal myocardial infarction up to Week 52 in this trial.</w:t>
      </w:r>
    </w:p>
    <w:p w14:paraId="35899270" w14:textId="77777777" w:rsidR="00630211" w:rsidRPr="00C2074B" w:rsidRDefault="00630211" w:rsidP="006F6ADA">
      <w:pPr>
        <w:pStyle w:val="Heading6"/>
      </w:pPr>
      <w:r>
        <w:t xml:space="preserve">Supporting </w:t>
      </w:r>
      <w:r w:rsidRPr="006F6ADA">
        <w:t>studies</w:t>
      </w:r>
    </w:p>
    <w:p w14:paraId="79C3A93A" w14:textId="77777777" w:rsidR="00630211" w:rsidRDefault="00630211" w:rsidP="006F6ADA">
      <w:r>
        <w:t>In each of the supporting studies, no significant changes (mean, median or individual) in ECG parameters such as QT interval were observed. Minor alterations similar to that observed in healthy individuals over time were seen, but no subject developed clinically significant ECG changes over time after receiving adalimumab.</w:t>
      </w:r>
    </w:p>
    <w:p w14:paraId="62400E67" w14:textId="77777777" w:rsidR="00630211" w:rsidRPr="00545B14" w:rsidRDefault="00630211" w:rsidP="006F6ADA">
      <w:pPr>
        <w:pStyle w:val="Heading5"/>
      </w:pPr>
      <w:bookmarkStart w:id="164" w:name="_Toc272414676"/>
      <w:bookmarkStart w:id="165" w:name="_Toc290888540"/>
      <w:bookmarkStart w:id="166" w:name="_Toc416353755"/>
      <w:bookmarkStart w:id="167" w:name="_Toc421005298"/>
      <w:bookmarkStart w:id="168" w:name="_Toc432079175"/>
      <w:bookmarkStart w:id="169" w:name="_Toc432080748"/>
      <w:r w:rsidRPr="00545B14">
        <w:t>Vital signs</w:t>
      </w:r>
      <w:bookmarkEnd w:id="164"/>
      <w:bookmarkEnd w:id="165"/>
      <w:bookmarkEnd w:id="166"/>
      <w:bookmarkEnd w:id="167"/>
      <w:r>
        <w:t xml:space="preserve"> and clinical examination findings</w:t>
      </w:r>
      <w:bookmarkEnd w:id="168"/>
      <w:bookmarkEnd w:id="169"/>
    </w:p>
    <w:p w14:paraId="4E757AD4" w14:textId="77777777" w:rsidR="00630211" w:rsidRPr="002B7B05" w:rsidRDefault="00630211" w:rsidP="00630211">
      <w:pPr>
        <w:pStyle w:val="Heading6"/>
      </w:pPr>
      <w:r>
        <w:t>Stud</w:t>
      </w:r>
      <w:r w:rsidRPr="002B7B05">
        <w:t xml:space="preserve">y </w:t>
      </w:r>
      <w:r>
        <w:t>SB5-G31-RA</w:t>
      </w:r>
    </w:p>
    <w:p w14:paraId="0BF6090F" w14:textId="0083CE94" w:rsidR="00630211" w:rsidRDefault="00630211" w:rsidP="006F6ADA">
      <w:r w:rsidRPr="007A6D2D">
        <w:t xml:space="preserve">At </w:t>
      </w:r>
      <w:r>
        <w:t>Week</w:t>
      </w:r>
      <w:r w:rsidRPr="007A6D2D">
        <w:t xml:space="preserve"> 52, there were small </w:t>
      </w:r>
      <w:r>
        <w:t>differences between the SB5 and Humira</w:t>
      </w:r>
      <w:r w:rsidRPr="007A6D2D">
        <w:t xml:space="preserve"> treatment groups in mean</w:t>
      </w:r>
      <w:r>
        <w:t xml:space="preserve"> systolic blood pressure (+1.1 mmHg and +2.1</w:t>
      </w:r>
      <w:r w:rsidRPr="007A6D2D">
        <w:t xml:space="preserve"> mmHg</w:t>
      </w:r>
      <w:r>
        <w:t>, respectively</w:t>
      </w:r>
      <w:r w:rsidRPr="007A6D2D">
        <w:t xml:space="preserve">), mean diastolic </w:t>
      </w:r>
      <w:r>
        <w:t>blood pressure (+1.3</w:t>
      </w:r>
      <w:r w:rsidRPr="007A6D2D">
        <w:t xml:space="preserve"> </w:t>
      </w:r>
      <w:r>
        <w:t>mmHg and 0.5</w:t>
      </w:r>
      <w:r w:rsidRPr="007A6D2D">
        <w:t xml:space="preserve"> mmHg</w:t>
      </w:r>
      <w:r>
        <w:t>, respectively</w:t>
      </w:r>
      <w:r w:rsidRPr="007A6D2D">
        <w:t>)</w:t>
      </w:r>
      <w:r>
        <w:t xml:space="preserve"> and heart rate (–0.5</w:t>
      </w:r>
      <w:r w:rsidRPr="007A6D2D">
        <w:t xml:space="preserve"> </w:t>
      </w:r>
      <w:r>
        <w:t xml:space="preserve">bpm and </w:t>
      </w:r>
      <w:r w:rsidR="007C4788">
        <w:noBreakHyphen/>
      </w:r>
      <w:r>
        <w:t>0.1</w:t>
      </w:r>
      <w:r w:rsidRPr="007A6D2D">
        <w:t xml:space="preserve"> bpm</w:t>
      </w:r>
      <w:r>
        <w:t>, respectively</w:t>
      </w:r>
      <w:r w:rsidRPr="007A6D2D">
        <w:t>)</w:t>
      </w:r>
      <w:r>
        <w:t xml:space="preserve">. The clinical study report did not include information on the </w:t>
      </w:r>
      <w:r>
        <w:lastRenderedPageBreak/>
        <w:t>changes in subject weight with treatment (mean and clinically significant changes in individual subjects).</w:t>
      </w:r>
    </w:p>
    <w:p w14:paraId="78C64974" w14:textId="77777777" w:rsidR="00630211" w:rsidRDefault="00630211" w:rsidP="006F6ADA">
      <w:r>
        <w:t xml:space="preserve">At 24 weeks, 2 subjects in </w:t>
      </w:r>
      <w:r w:rsidRPr="007A6D2D">
        <w:t>e</w:t>
      </w:r>
      <w:r>
        <w:t>ach treatment</w:t>
      </w:r>
      <w:r w:rsidRPr="007A6D2D">
        <w:t xml:space="preserve"> group re</w:t>
      </w:r>
      <w:r>
        <w:t>c</w:t>
      </w:r>
      <w:r w:rsidRPr="007A6D2D">
        <w:t>or</w:t>
      </w:r>
      <w:r>
        <w:t>d</w:t>
      </w:r>
      <w:r w:rsidRPr="007A6D2D">
        <w:t>ed clinically significant</w:t>
      </w:r>
      <w:r>
        <w:t>,</w:t>
      </w:r>
      <w:r w:rsidRPr="007A6D2D">
        <w:t xml:space="preserve"> low systolic </w:t>
      </w:r>
      <w:r>
        <w:t>blood pressure</w:t>
      </w:r>
      <w:r w:rsidRPr="007A6D2D">
        <w:t xml:space="preserve"> (</w:t>
      </w:r>
      <w:r>
        <w:t xml:space="preserve">≤ </w:t>
      </w:r>
      <w:r w:rsidRPr="007A6D2D">
        <w:t>90 mmHg and</w:t>
      </w:r>
      <w:r>
        <w:t xml:space="preserve"> a </w:t>
      </w:r>
      <w:r w:rsidRPr="007A6D2D">
        <w:t>chan</w:t>
      </w:r>
      <w:r>
        <w:t>ge from baseline ≤ –20 mmHg), 1</w:t>
      </w:r>
      <w:r w:rsidRPr="007A6D2D">
        <w:t xml:space="preserve"> subject in </w:t>
      </w:r>
      <w:r>
        <w:t>th</w:t>
      </w:r>
      <w:r w:rsidRPr="007A6D2D">
        <w:t>e</w:t>
      </w:r>
      <w:r>
        <w:t xml:space="preserve"> Humira arm reported</w:t>
      </w:r>
      <w:r w:rsidRPr="007A6D2D">
        <w:t xml:space="preserve"> clinically significant high systolic </w:t>
      </w:r>
      <w:r>
        <w:t>blood pressure</w:t>
      </w:r>
      <w:r w:rsidRPr="007A6D2D">
        <w:t xml:space="preserve"> (</w:t>
      </w:r>
      <w:r w:rsidR="00C05C12">
        <w:t xml:space="preserve">≥ </w:t>
      </w:r>
      <w:r w:rsidRPr="007A6D2D">
        <w:t>180 mmHg</w:t>
      </w:r>
      <w:r>
        <w:t xml:space="preserve"> </w:t>
      </w:r>
      <w:r w:rsidRPr="007A6D2D">
        <w:t>and</w:t>
      </w:r>
      <w:r>
        <w:t xml:space="preserve"> a</w:t>
      </w:r>
      <w:r w:rsidRPr="007A6D2D">
        <w:t xml:space="preserve"> ch</w:t>
      </w:r>
      <w:r>
        <w:t xml:space="preserve">ange from baseline </w:t>
      </w:r>
      <w:r w:rsidR="00C05C12">
        <w:t xml:space="preserve">≥ </w:t>
      </w:r>
      <w:r>
        <w:t>20 mmHg) and</w:t>
      </w:r>
      <w:r w:rsidRPr="007A6D2D">
        <w:t xml:space="preserve"> </w:t>
      </w:r>
      <w:r>
        <w:t>3 subjects in the Humira group recorded clinically significant high diastolic readings (</w:t>
      </w:r>
      <w:r w:rsidR="00C05C12">
        <w:t xml:space="preserve">≥ </w:t>
      </w:r>
      <w:r>
        <w:t>1</w:t>
      </w:r>
      <w:r w:rsidRPr="007A6D2D">
        <w:t>0</w:t>
      </w:r>
      <w:r>
        <w:t>5</w:t>
      </w:r>
      <w:r w:rsidRPr="007A6D2D">
        <w:t xml:space="preserve"> mmHg</w:t>
      </w:r>
      <w:r>
        <w:t xml:space="preserve"> </w:t>
      </w:r>
      <w:r w:rsidRPr="007A6D2D">
        <w:t>and</w:t>
      </w:r>
      <w:r>
        <w:t xml:space="preserve"> a</w:t>
      </w:r>
      <w:r w:rsidRPr="007A6D2D">
        <w:t xml:space="preserve"> ch</w:t>
      </w:r>
      <w:r>
        <w:t xml:space="preserve">ange from baseline </w:t>
      </w:r>
      <w:r w:rsidR="00C05C12">
        <w:t xml:space="preserve">≥ </w:t>
      </w:r>
      <w:r>
        <w:t>20 mmHg)</w:t>
      </w:r>
      <w:r w:rsidRPr="007A6D2D">
        <w:t>.</w:t>
      </w:r>
      <w:r>
        <w:t xml:space="preserve"> The proportion of subjects who developed clinically significant changes in blood pressure between Weeks 24 and 52 was similar to that observed at Week 24.</w:t>
      </w:r>
    </w:p>
    <w:p w14:paraId="69FCF281" w14:textId="77777777" w:rsidR="00630211" w:rsidRDefault="00630211" w:rsidP="006F6ADA">
      <w:pPr>
        <w:pStyle w:val="Heading6"/>
      </w:pPr>
      <w:r w:rsidRPr="006F6ADA">
        <w:t>Supporting</w:t>
      </w:r>
      <w:r w:rsidRPr="00C2074B">
        <w:t xml:space="preserve"> </w:t>
      </w:r>
      <w:r>
        <w:t>studies</w:t>
      </w:r>
    </w:p>
    <w:p w14:paraId="27F0395F" w14:textId="77777777" w:rsidR="00630211" w:rsidRDefault="00630211" w:rsidP="006F6ADA">
      <w:r>
        <w:t xml:space="preserve">In all of the supporting studies, mean and median values for all vital sign parameters (such as </w:t>
      </w:r>
      <w:r w:rsidRPr="007A6D2D">
        <w:t xml:space="preserve">systolic </w:t>
      </w:r>
      <w:r>
        <w:t xml:space="preserve">and diastolic </w:t>
      </w:r>
      <w:r w:rsidRPr="007A6D2D">
        <w:t>blood pressure</w:t>
      </w:r>
      <w:r>
        <w:t>,</w:t>
      </w:r>
      <w:r w:rsidRPr="007A6D2D">
        <w:t xml:space="preserve"> </w:t>
      </w:r>
      <w:r>
        <w:t>heart rate and body temperature) did not show any significant change o</w:t>
      </w:r>
      <w:r w:rsidRPr="007A6D2D">
        <w:t>v</w:t>
      </w:r>
      <w:r>
        <w:t>er time.</w:t>
      </w:r>
      <w:r w:rsidRPr="007A6D2D">
        <w:t xml:space="preserve"> </w:t>
      </w:r>
      <w:r>
        <w:t xml:space="preserve">In addition, no </w:t>
      </w:r>
      <w:r w:rsidRPr="007A6D2D">
        <w:t>subject</w:t>
      </w:r>
      <w:r>
        <w:t xml:space="preserve"> was obs</w:t>
      </w:r>
      <w:r w:rsidRPr="007A6D2D">
        <w:t>e</w:t>
      </w:r>
      <w:r>
        <w:t>rved to develop clinically significant changes in vital sign parameters in the 3 supporting trials.</w:t>
      </w:r>
    </w:p>
    <w:p w14:paraId="45D5CAAD" w14:textId="77777777" w:rsidR="00630211" w:rsidRPr="00770E1C" w:rsidRDefault="00630211" w:rsidP="006F6ADA">
      <w:pPr>
        <w:pStyle w:val="Heading5"/>
      </w:pPr>
      <w:bookmarkStart w:id="170" w:name="_Toc432079176"/>
      <w:bookmarkStart w:id="171" w:name="_Toc432080749"/>
      <w:r w:rsidRPr="006F6ADA">
        <w:t>Immunogenicity</w:t>
      </w:r>
      <w:r w:rsidRPr="00770E1C">
        <w:t xml:space="preserve"> and immunological events</w:t>
      </w:r>
      <w:bookmarkEnd w:id="170"/>
      <w:bookmarkEnd w:id="171"/>
    </w:p>
    <w:p w14:paraId="35CD2E88" w14:textId="77777777" w:rsidR="00630211" w:rsidRDefault="00630211" w:rsidP="006F6ADA">
      <w:pPr>
        <w:pStyle w:val="Heading6"/>
        <w:rPr>
          <w:lang w:eastAsia="ja-JP"/>
        </w:rPr>
      </w:pPr>
      <w:r w:rsidRPr="006F6ADA">
        <w:t>Methods</w:t>
      </w:r>
    </w:p>
    <w:p w14:paraId="1B7EEF86" w14:textId="23B5AC27" w:rsidR="00630211" w:rsidRDefault="00630211" w:rsidP="006F6ADA">
      <w:pPr>
        <w:rPr>
          <w:lang w:eastAsia="ja-JP"/>
        </w:rPr>
      </w:pPr>
      <w:r w:rsidRPr="00276D05">
        <w:rPr>
          <w:lang w:eastAsia="ja-JP"/>
        </w:rPr>
        <w:t>A single bridging ligand</w:t>
      </w:r>
      <w:r>
        <w:rPr>
          <w:lang w:eastAsia="ja-JP"/>
        </w:rPr>
        <w:t xml:space="preserve"> </w:t>
      </w:r>
      <w:r w:rsidRPr="00276D05">
        <w:rPr>
          <w:lang w:eastAsia="ja-JP"/>
        </w:rPr>
        <w:t xml:space="preserve">binding assay was used for the determination of </w:t>
      </w:r>
      <w:r>
        <w:rPr>
          <w:lang w:eastAsia="ja-JP"/>
        </w:rPr>
        <w:t>Anti-Drug Antibodies (</w:t>
      </w:r>
      <w:r w:rsidRPr="00276D05">
        <w:rPr>
          <w:lang w:eastAsia="ja-JP"/>
        </w:rPr>
        <w:t>ADA</w:t>
      </w:r>
      <w:r>
        <w:rPr>
          <w:lang w:eastAsia="ja-JP"/>
        </w:rPr>
        <w:t>) to adalimumab</w:t>
      </w:r>
      <w:r w:rsidRPr="00276D05">
        <w:rPr>
          <w:lang w:eastAsia="ja-JP"/>
        </w:rPr>
        <w:t xml:space="preserve"> in the</w:t>
      </w:r>
      <w:r>
        <w:rPr>
          <w:lang w:eastAsia="ja-JP"/>
        </w:rPr>
        <w:t xml:space="preserve"> clinical </w:t>
      </w:r>
      <w:r w:rsidRPr="00276D05">
        <w:rPr>
          <w:lang w:eastAsia="ja-JP"/>
        </w:rPr>
        <w:t>Phase I and Phase III studies. In this assay, the qualitative and quasi</w:t>
      </w:r>
      <w:r>
        <w:rPr>
          <w:lang w:eastAsia="ja-JP"/>
        </w:rPr>
        <w:t>-</w:t>
      </w:r>
      <w:r w:rsidRPr="00276D05">
        <w:rPr>
          <w:lang w:eastAsia="ja-JP"/>
        </w:rPr>
        <w:t>quantitative</w:t>
      </w:r>
      <w:r>
        <w:rPr>
          <w:lang w:eastAsia="ja-JP"/>
        </w:rPr>
        <w:t xml:space="preserve"> </w:t>
      </w:r>
      <w:r w:rsidRPr="00276D05">
        <w:rPr>
          <w:lang w:eastAsia="ja-JP"/>
        </w:rPr>
        <w:t>determination of ADA in human serum samples was conducted by using a</w:t>
      </w:r>
      <w:r>
        <w:rPr>
          <w:lang w:eastAsia="ja-JP"/>
        </w:rPr>
        <w:t xml:space="preserve"> </w:t>
      </w:r>
      <w:r w:rsidRPr="00276D05">
        <w:rPr>
          <w:lang w:eastAsia="ja-JP"/>
        </w:rPr>
        <w:t xml:space="preserve">validated </w:t>
      </w:r>
      <w:proofErr w:type="spellStart"/>
      <w:r w:rsidRPr="00276D05">
        <w:rPr>
          <w:lang w:eastAsia="ja-JP"/>
        </w:rPr>
        <w:t>Meso</w:t>
      </w:r>
      <w:proofErr w:type="spellEnd"/>
      <w:r w:rsidRPr="00276D05">
        <w:rPr>
          <w:lang w:eastAsia="ja-JP"/>
        </w:rPr>
        <w:t xml:space="preserve"> Scale Discovery (MSD) platform. In</w:t>
      </w:r>
      <w:r>
        <w:rPr>
          <w:lang w:eastAsia="ja-JP"/>
        </w:rPr>
        <w:t xml:space="preserve"> </w:t>
      </w:r>
      <w:r w:rsidRPr="00276D05">
        <w:rPr>
          <w:lang w:eastAsia="ja-JP"/>
        </w:rPr>
        <w:t>addition, a ligand binding</w:t>
      </w:r>
      <w:r>
        <w:rPr>
          <w:lang w:eastAsia="ja-JP"/>
        </w:rPr>
        <w:t xml:space="preserve"> </w:t>
      </w:r>
      <w:r w:rsidRPr="00276D05">
        <w:rPr>
          <w:lang w:eastAsia="ja-JP"/>
        </w:rPr>
        <w:t xml:space="preserve">assay was used for the determination of </w:t>
      </w:r>
      <w:proofErr w:type="spellStart"/>
      <w:r w:rsidRPr="00276D05">
        <w:rPr>
          <w:lang w:eastAsia="ja-JP"/>
        </w:rPr>
        <w:t>NAb</w:t>
      </w:r>
      <w:r>
        <w:rPr>
          <w:lang w:eastAsia="ja-JP"/>
        </w:rPr>
        <w:t>s</w:t>
      </w:r>
      <w:proofErr w:type="spellEnd"/>
      <w:r w:rsidRPr="00276D05">
        <w:rPr>
          <w:lang w:eastAsia="ja-JP"/>
        </w:rPr>
        <w:t xml:space="preserve"> in the clinical studies.</w:t>
      </w:r>
      <w:r>
        <w:rPr>
          <w:lang w:eastAsia="ja-JP"/>
        </w:rPr>
        <w:t xml:space="preserve"> N</w:t>
      </w:r>
      <w:r w:rsidRPr="00276D05">
        <w:rPr>
          <w:lang w:eastAsia="ja-JP"/>
        </w:rPr>
        <w:t>eutralising activity was assessed by inhibition,</w:t>
      </w:r>
      <w:r>
        <w:rPr>
          <w:lang w:eastAsia="ja-JP"/>
        </w:rPr>
        <w:t xml:space="preserve"> </w:t>
      </w:r>
      <w:r w:rsidRPr="00276D05">
        <w:rPr>
          <w:lang w:eastAsia="ja-JP"/>
        </w:rPr>
        <w:t>represented by the normalised ratio of binding of adalimumab to TNF</w:t>
      </w:r>
      <w:r>
        <w:rPr>
          <w:lang w:eastAsia="ja-JP"/>
        </w:rPr>
        <w:t xml:space="preserve"> </w:t>
      </w:r>
      <w:r w:rsidRPr="00276D05">
        <w:rPr>
          <w:lang w:eastAsia="ja-JP"/>
        </w:rPr>
        <w:t xml:space="preserve">present in the </w:t>
      </w:r>
      <w:r>
        <w:rPr>
          <w:lang w:eastAsia="ja-JP"/>
        </w:rPr>
        <w:t xml:space="preserve">blood </w:t>
      </w:r>
      <w:r w:rsidRPr="00276D05">
        <w:rPr>
          <w:lang w:eastAsia="ja-JP"/>
        </w:rPr>
        <w:t>samples.</w:t>
      </w:r>
      <w:r>
        <w:rPr>
          <w:lang w:eastAsia="ja-JP"/>
        </w:rPr>
        <w:t xml:space="preserve"> In the SB5 study program, only s</w:t>
      </w:r>
      <w:r w:rsidRPr="00414530">
        <w:rPr>
          <w:lang w:eastAsia="ja-JP"/>
        </w:rPr>
        <w:t>erum samples with a</w:t>
      </w:r>
      <w:r>
        <w:rPr>
          <w:lang w:eastAsia="ja-JP"/>
        </w:rPr>
        <w:t xml:space="preserve"> positive</w:t>
      </w:r>
      <w:r w:rsidRPr="00414530">
        <w:rPr>
          <w:lang w:eastAsia="ja-JP"/>
        </w:rPr>
        <w:t xml:space="preserve"> ADA</w:t>
      </w:r>
      <w:r>
        <w:rPr>
          <w:lang w:eastAsia="ja-JP"/>
        </w:rPr>
        <w:t xml:space="preserve"> </w:t>
      </w:r>
      <w:r w:rsidRPr="00414530">
        <w:rPr>
          <w:lang w:eastAsia="ja-JP"/>
        </w:rPr>
        <w:t>result were further</w:t>
      </w:r>
      <w:r>
        <w:rPr>
          <w:lang w:eastAsia="ja-JP"/>
        </w:rPr>
        <w:t xml:space="preserve"> </w:t>
      </w:r>
      <w:r w:rsidRPr="00414530">
        <w:rPr>
          <w:lang w:eastAsia="ja-JP"/>
        </w:rPr>
        <w:t xml:space="preserve">analysed </w:t>
      </w:r>
      <w:r>
        <w:rPr>
          <w:lang w:eastAsia="ja-JP"/>
        </w:rPr>
        <w:t>for</w:t>
      </w:r>
      <w:r w:rsidRPr="00414530">
        <w:rPr>
          <w:lang w:eastAsia="ja-JP"/>
        </w:rPr>
        <w:t xml:space="preserve"> </w:t>
      </w:r>
      <w:proofErr w:type="spellStart"/>
      <w:r w:rsidRPr="00414530">
        <w:rPr>
          <w:lang w:eastAsia="ja-JP"/>
        </w:rPr>
        <w:t>NAb</w:t>
      </w:r>
      <w:r w:rsidR="0085032E">
        <w:rPr>
          <w:lang w:eastAsia="ja-JP"/>
        </w:rPr>
        <w:t>s</w:t>
      </w:r>
      <w:proofErr w:type="spellEnd"/>
      <w:r>
        <w:rPr>
          <w:lang w:eastAsia="ja-JP"/>
        </w:rPr>
        <w:t xml:space="preserve">. Moreover, </w:t>
      </w:r>
      <w:r w:rsidRPr="00596298">
        <w:rPr>
          <w:lang w:eastAsia="ja-JP"/>
        </w:rPr>
        <w:t xml:space="preserve">method validation </w:t>
      </w:r>
      <w:r>
        <w:rPr>
          <w:lang w:eastAsia="ja-JP"/>
        </w:rPr>
        <w:t>of</w:t>
      </w:r>
      <w:r w:rsidRPr="00596298">
        <w:rPr>
          <w:lang w:eastAsia="ja-JP"/>
        </w:rPr>
        <w:t xml:space="preserve"> the ADA </w:t>
      </w:r>
      <w:r>
        <w:rPr>
          <w:lang w:eastAsia="ja-JP"/>
        </w:rPr>
        <w:t xml:space="preserve">and </w:t>
      </w:r>
      <w:proofErr w:type="spellStart"/>
      <w:r>
        <w:rPr>
          <w:lang w:eastAsia="ja-JP"/>
        </w:rPr>
        <w:t>NAb</w:t>
      </w:r>
      <w:proofErr w:type="spellEnd"/>
      <w:r>
        <w:rPr>
          <w:lang w:eastAsia="ja-JP"/>
        </w:rPr>
        <w:t xml:space="preserve"> </w:t>
      </w:r>
      <w:r w:rsidRPr="00596298">
        <w:rPr>
          <w:lang w:eastAsia="ja-JP"/>
        </w:rPr>
        <w:t>assay</w:t>
      </w:r>
      <w:r>
        <w:rPr>
          <w:lang w:eastAsia="ja-JP"/>
        </w:rPr>
        <w:t>s</w:t>
      </w:r>
      <w:r w:rsidRPr="00596298">
        <w:rPr>
          <w:lang w:eastAsia="ja-JP"/>
        </w:rPr>
        <w:t xml:space="preserve"> indicates that </w:t>
      </w:r>
      <w:r w:rsidR="00321955">
        <w:rPr>
          <w:lang w:eastAsia="ja-JP"/>
        </w:rPr>
        <w:t>Hadlima</w:t>
      </w:r>
      <w:r w:rsidRPr="00596298">
        <w:rPr>
          <w:lang w:eastAsia="ja-JP"/>
        </w:rPr>
        <w:t xml:space="preserve"> and EU or </w:t>
      </w:r>
      <w:proofErr w:type="gramStart"/>
      <w:r w:rsidRPr="00596298">
        <w:rPr>
          <w:lang w:eastAsia="ja-JP"/>
        </w:rPr>
        <w:t>US</w:t>
      </w:r>
      <w:proofErr w:type="gramEnd"/>
      <w:r w:rsidRPr="00596298">
        <w:rPr>
          <w:lang w:eastAsia="ja-JP"/>
        </w:rPr>
        <w:t xml:space="preserve"> Humira were antigenically equivalent</w:t>
      </w:r>
      <w:r>
        <w:rPr>
          <w:lang w:eastAsia="ja-JP"/>
        </w:rPr>
        <w:t>.</w:t>
      </w:r>
    </w:p>
    <w:p w14:paraId="6FB7B288" w14:textId="633E8029" w:rsidR="00630211" w:rsidRDefault="00795FCD" w:rsidP="00B91287">
      <w:pPr>
        <w:rPr>
          <w:lang w:eastAsia="ja-JP"/>
        </w:rPr>
      </w:pPr>
      <w:r w:rsidRPr="00B91287">
        <w:rPr>
          <w:lang w:eastAsia="ja-JP"/>
        </w:rPr>
        <w:t>The evaluator notes that</w:t>
      </w:r>
      <w:r>
        <w:rPr>
          <w:b/>
          <w:lang w:eastAsia="ja-JP"/>
        </w:rPr>
        <w:t xml:space="preserve"> </w:t>
      </w:r>
      <w:r>
        <w:rPr>
          <w:lang w:eastAsia="ja-JP"/>
        </w:rPr>
        <w:t>t</w:t>
      </w:r>
      <w:r w:rsidR="00630211">
        <w:rPr>
          <w:lang w:eastAsia="ja-JP"/>
        </w:rPr>
        <w:t xml:space="preserve">he incidence of ADA depends on a number of factors, including disease state, type of assay, assay sensitivity and interference by free drug. Assays for ADA must also avoid interference by RF and heterophile antibody. The immunogenicity evaluation of </w:t>
      </w:r>
      <w:r w:rsidR="00321955">
        <w:rPr>
          <w:lang w:eastAsia="ja-JP"/>
        </w:rPr>
        <w:t>Hadlima</w:t>
      </w:r>
      <w:r w:rsidR="00630211">
        <w:rPr>
          <w:lang w:eastAsia="ja-JP"/>
        </w:rPr>
        <w:t xml:space="preserve"> was conducted using an appropriately developed and validated method of investigation, which was fittingly outlined in the submission.</w:t>
      </w:r>
    </w:p>
    <w:p w14:paraId="7548F6DA" w14:textId="77777777" w:rsidR="00630211" w:rsidRPr="0043109C" w:rsidRDefault="00630211" w:rsidP="006F6ADA">
      <w:pPr>
        <w:pStyle w:val="Heading6"/>
      </w:pPr>
      <w:r w:rsidRPr="0043109C">
        <w:t xml:space="preserve">Study </w:t>
      </w:r>
      <w:r w:rsidRPr="006F6ADA">
        <w:t>SB5</w:t>
      </w:r>
      <w:r w:rsidRPr="0043109C">
        <w:t>-G31-RA</w:t>
      </w:r>
    </w:p>
    <w:p w14:paraId="0B32F552" w14:textId="53C8BECB" w:rsidR="00630211" w:rsidRDefault="00630211" w:rsidP="006F6ADA">
      <w:pPr>
        <w:rPr>
          <w:lang w:eastAsia="ja-JP"/>
        </w:rPr>
      </w:pPr>
      <w:r>
        <w:rPr>
          <w:lang w:eastAsia="ja-JP"/>
        </w:rPr>
        <w:t>In Study SB5-G31-RA, b</w:t>
      </w:r>
      <w:r w:rsidRPr="00414530">
        <w:rPr>
          <w:lang w:eastAsia="ja-JP"/>
        </w:rPr>
        <w:t xml:space="preserve">lood samples for immunogenicity </w:t>
      </w:r>
      <w:r>
        <w:rPr>
          <w:lang w:eastAsia="ja-JP"/>
        </w:rPr>
        <w:t xml:space="preserve">testing </w:t>
      </w:r>
      <w:r w:rsidRPr="00414530">
        <w:rPr>
          <w:lang w:eastAsia="ja-JP"/>
        </w:rPr>
        <w:t xml:space="preserve">were collected at baseline and </w:t>
      </w:r>
      <w:r>
        <w:rPr>
          <w:lang w:eastAsia="ja-JP"/>
        </w:rPr>
        <w:t>Week</w:t>
      </w:r>
      <w:r w:rsidRPr="00414530">
        <w:rPr>
          <w:lang w:eastAsia="ja-JP"/>
        </w:rPr>
        <w:t>s 4, 8, 16, 24, 32, 40 and 52.</w:t>
      </w:r>
      <w:r>
        <w:rPr>
          <w:lang w:eastAsia="ja-JP"/>
        </w:rPr>
        <w:t xml:space="preserve"> An</w:t>
      </w:r>
      <w:r w:rsidRPr="00414530">
        <w:rPr>
          <w:lang w:eastAsia="ja-JP"/>
        </w:rPr>
        <w:t xml:space="preserve"> ADA result w</w:t>
      </w:r>
      <w:r>
        <w:rPr>
          <w:lang w:eastAsia="ja-JP"/>
        </w:rPr>
        <w:t>as</w:t>
      </w:r>
      <w:r w:rsidRPr="00414530">
        <w:rPr>
          <w:lang w:eastAsia="ja-JP"/>
        </w:rPr>
        <w:t xml:space="preserve"> defined as positive if </w:t>
      </w:r>
      <w:r>
        <w:rPr>
          <w:lang w:eastAsia="ja-JP"/>
        </w:rPr>
        <w:t>the</w:t>
      </w:r>
      <w:r w:rsidRPr="00414530">
        <w:rPr>
          <w:lang w:eastAsia="ja-JP"/>
        </w:rPr>
        <w:t xml:space="preserve"> patient had at least 1 ADA</w:t>
      </w:r>
      <w:r>
        <w:rPr>
          <w:lang w:eastAsia="ja-JP"/>
        </w:rPr>
        <w:t xml:space="preserve"> </w:t>
      </w:r>
      <w:r w:rsidRPr="00414530">
        <w:rPr>
          <w:lang w:eastAsia="ja-JP"/>
        </w:rPr>
        <w:t>positive result</w:t>
      </w:r>
      <w:r>
        <w:rPr>
          <w:lang w:eastAsia="ja-JP"/>
        </w:rPr>
        <w:t xml:space="preserve"> </w:t>
      </w:r>
      <w:r w:rsidRPr="00414530">
        <w:rPr>
          <w:lang w:eastAsia="ja-JP"/>
        </w:rPr>
        <w:t>until the relevant time</w:t>
      </w:r>
      <w:r>
        <w:rPr>
          <w:lang w:eastAsia="ja-JP"/>
        </w:rPr>
        <w:t xml:space="preserve"> </w:t>
      </w:r>
      <w:r w:rsidRPr="00414530">
        <w:rPr>
          <w:lang w:eastAsia="ja-JP"/>
        </w:rPr>
        <w:t xml:space="preserve">point among the </w:t>
      </w:r>
      <w:r>
        <w:rPr>
          <w:lang w:eastAsia="ja-JP"/>
        </w:rPr>
        <w:t>subject</w:t>
      </w:r>
      <w:r w:rsidRPr="00414530">
        <w:rPr>
          <w:lang w:eastAsia="ja-JP"/>
        </w:rPr>
        <w:t>s with an ADA</w:t>
      </w:r>
      <w:r>
        <w:rPr>
          <w:lang w:eastAsia="ja-JP"/>
        </w:rPr>
        <w:t xml:space="preserve"> </w:t>
      </w:r>
      <w:r w:rsidRPr="00414530">
        <w:rPr>
          <w:lang w:eastAsia="ja-JP"/>
        </w:rPr>
        <w:t xml:space="preserve">negative result at </w:t>
      </w:r>
      <w:r>
        <w:rPr>
          <w:lang w:eastAsia="ja-JP"/>
        </w:rPr>
        <w:t>Week</w:t>
      </w:r>
      <w:r w:rsidRPr="00414530">
        <w:rPr>
          <w:lang w:eastAsia="ja-JP"/>
        </w:rPr>
        <w:t xml:space="preserve"> 0</w:t>
      </w:r>
      <w:r>
        <w:rPr>
          <w:lang w:eastAsia="ja-JP"/>
        </w:rPr>
        <w:t>,</w:t>
      </w:r>
      <w:r w:rsidRPr="00414530">
        <w:rPr>
          <w:lang w:eastAsia="ja-JP"/>
        </w:rPr>
        <w:t xml:space="preserve"> and</w:t>
      </w:r>
      <w:r>
        <w:rPr>
          <w:lang w:eastAsia="ja-JP"/>
        </w:rPr>
        <w:t xml:space="preserve"> was deemed </w:t>
      </w:r>
      <w:r w:rsidRPr="00414530">
        <w:rPr>
          <w:lang w:eastAsia="ja-JP"/>
        </w:rPr>
        <w:t>negative if a patient had no ADA</w:t>
      </w:r>
      <w:r>
        <w:rPr>
          <w:lang w:eastAsia="ja-JP"/>
        </w:rPr>
        <w:t xml:space="preserve"> </w:t>
      </w:r>
      <w:r w:rsidRPr="00414530">
        <w:rPr>
          <w:lang w:eastAsia="ja-JP"/>
        </w:rPr>
        <w:t>positive result until the relevant time</w:t>
      </w:r>
      <w:r>
        <w:rPr>
          <w:lang w:eastAsia="ja-JP"/>
        </w:rPr>
        <w:t xml:space="preserve"> </w:t>
      </w:r>
      <w:r w:rsidRPr="00414530">
        <w:rPr>
          <w:lang w:eastAsia="ja-JP"/>
        </w:rPr>
        <w:t>point</w:t>
      </w:r>
      <w:r>
        <w:rPr>
          <w:lang w:eastAsia="ja-JP"/>
        </w:rPr>
        <w:t xml:space="preserve"> of interest</w:t>
      </w:r>
      <w:r w:rsidRPr="00414530">
        <w:rPr>
          <w:lang w:eastAsia="ja-JP"/>
        </w:rPr>
        <w:t>.</w:t>
      </w:r>
      <w:r>
        <w:rPr>
          <w:lang w:eastAsia="ja-JP"/>
        </w:rPr>
        <w:t xml:space="preserve"> </w:t>
      </w:r>
      <w:r w:rsidRPr="00414530">
        <w:rPr>
          <w:lang w:eastAsia="ja-JP"/>
        </w:rPr>
        <w:t xml:space="preserve">The incidence of ADA and </w:t>
      </w:r>
      <w:proofErr w:type="spellStart"/>
      <w:r w:rsidRPr="00414530">
        <w:rPr>
          <w:lang w:eastAsia="ja-JP"/>
        </w:rPr>
        <w:t>NAb</w:t>
      </w:r>
      <w:proofErr w:type="spellEnd"/>
      <w:r w:rsidRPr="00414530">
        <w:rPr>
          <w:lang w:eastAsia="ja-JP"/>
        </w:rPr>
        <w:t xml:space="preserve"> </w:t>
      </w:r>
      <w:r>
        <w:rPr>
          <w:lang w:eastAsia="ja-JP"/>
        </w:rPr>
        <w:t xml:space="preserve">up to Week 24 </w:t>
      </w:r>
      <w:r w:rsidRPr="00414530">
        <w:rPr>
          <w:lang w:eastAsia="ja-JP"/>
        </w:rPr>
        <w:t>in Study SB5-G31-RA is presented in</w:t>
      </w:r>
      <w:r>
        <w:rPr>
          <w:lang w:eastAsia="ja-JP"/>
        </w:rPr>
        <w:t xml:space="preserve"> </w:t>
      </w:r>
      <w:r w:rsidRPr="00414530">
        <w:rPr>
          <w:lang w:eastAsia="ja-JP"/>
        </w:rPr>
        <w:t xml:space="preserve">Table </w:t>
      </w:r>
      <w:r w:rsidR="003B5224">
        <w:rPr>
          <w:lang w:eastAsia="ja-JP"/>
        </w:rPr>
        <w:t>4</w:t>
      </w:r>
      <w:r w:rsidRPr="00414530">
        <w:rPr>
          <w:lang w:eastAsia="ja-JP"/>
        </w:rPr>
        <w:t>.</w:t>
      </w:r>
      <w:r>
        <w:rPr>
          <w:lang w:eastAsia="ja-JP"/>
        </w:rPr>
        <w:t xml:space="preserve"> </w:t>
      </w:r>
      <w:r w:rsidRPr="00863131">
        <w:rPr>
          <w:lang w:eastAsia="ja-JP"/>
        </w:rPr>
        <w:t xml:space="preserve">At </w:t>
      </w:r>
      <w:r>
        <w:rPr>
          <w:lang w:eastAsia="ja-JP"/>
        </w:rPr>
        <w:t>24 Weeks</w:t>
      </w:r>
      <w:r w:rsidRPr="00863131">
        <w:rPr>
          <w:lang w:eastAsia="ja-JP"/>
        </w:rPr>
        <w:t>, there was no statistically significant difference between</w:t>
      </w:r>
      <w:r>
        <w:rPr>
          <w:lang w:eastAsia="ja-JP"/>
        </w:rPr>
        <w:t xml:space="preserve"> the 2</w:t>
      </w:r>
      <w:r w:rsidRPr="00863131">
        <w:rPr>
          <w:lang w:eastAsia="ja-JP"/>
        </w:rPr>
        <w:t xml:space="preserve"> treatment groups in ADA</w:t>
      </w:r>
      <w:r>
        <w:rPr>
          <w:lang w:eastAsia="ja-JP"/>
        </w:rPr>
        <w:t xml:space="preserve"> </w:t>
      </w:r>
      <w:r w:rsidR="0069652B">
        <w:rPr>
          <w:lang w:eastAsia="ja-JP"/>
        </w:rPr>
        <w:t>results (p</w:t>
      </w:r>
      <w:r w:rsidR="0069652B">
        <w:rPr>
          <w:lang w:eastAsia="ja-JP"/>
        </w:rPr>
        <w:noBreakHyphen/>
      </w:r>
      <w:r w:rsidRPr="00863131">
        <w:rPr>
          <w:lang w:eastAsia="ja-JP"/>
        </w:rPr>
        <w:t>value</w:t>
      </w:r>
      <w:r w:rsidR="0069652B">
        <w:rPr>
          <w:lang w:eastAsia="ja-JP"/>
        </w:rPr>
        <w:t> </w:t>
      </w:r>
      <w:r>
        <w:rPr>
          <w:lang w:eastAsia="ja-JP"/>
        </w:rPr>
        <w:t xml:space="preserve">= </w:t>
      </w:r>
      <w:r w:rsidRPr="00863131">
        <w:rPr>
          <w:lang w:eastAsia="ja-JP"/>
        </w:rPr>
        <w:t>0.816) with 32.1%</w:t>
      </w:r>
      <w:r>
        <w:rPr>
          <w:lang w:eastAsia="ja-JP"/>
        </w:rPr>
        <w:t xml:space="preserve"> (79/246</w:t>
      </w:r>
      <w:r w:rsidRPr="00863131">
        <w:rPr>
          <w:lang w:eastAsia="ja-JP"/>
        </w:rPr>
        <w:t>) patients in the SB5 group and 31.2%</w:t>
      </w:r>
      <w:r>
        <w:rPr>
          <w:lang w:eastAsia="ja-JP"/>
        </w:rPr>
        <w:t xml:space="preserve"> (81/260</w:t>
      </w:r>
      <w:r w:rsidRPr="00863131">
        <w:rPr>
          <w:lang w:eastAsia="ja-JP"/>
        </w:rPr>
        <w:t>)</w:t>
      </w:r>
      <w:r>
        <w:rPr>
          <w:lang w:eastAsia="ja-JP"/>
        </w:rPr>
        <w:t xml:space="preserve"> </w:t>
      </w:r>
      <w:r w:rsidRPr="00863131">
        <w:rPr>
          <w:lang w:eastAsia="ja-JP"/>
        </w:rPr>
        <w:t>patients in the Humira a</w:t>
      </w:r>
      <w:r>
        <w:rPr>
          <w:lang w:eastAsia="ja-JP"/>
        </w:rPr>
        <w:t>r</w:t>
      </w:r>
      <w:r w:rsidRPr="00863131">
        <w:rPr>
          <w:lang w:eastAsia="ja-JP"/>
        </w:rPr>
        <w:t>m with an overall ADA</w:t>
      </w:r>
      <w:r>
        <w:rPr>
          <w:lang w:eastAsia="ja-JP"/>
        </w:rPr>
        <w:t xml:space="preserve"> </w:t>
      </w:r>
      <w:r w:rsidRPr="00863131">
        <w:rPr>
          <w:lang w:eastAsia="ja-JP"/>
        </w:rPr>
        <w:t>positive result</w:t>
      </w:r>
      <w:r>
        <w:rPr>
          <w:lang w:eastAsia="ja-JP"/>
        </w:rPr>
        <w:t>.</w:t>
      </w:r>
      <w:r w:rsidRPr="00863131">
        <w:rPr>
          <w:lang w:eastAsia="ja-JP"/>
        </w:rPr>
        <w:t xml:space="preserve"> At </w:t>
      </w:r>
      <w:r>
        <w:rPr>
          <w:lang w:eastAsia="ja-JP"/>
        </w:rPr>
        <w:t>24 w</w:t>
      </w:r>
      <w:r w:rsidRPr="00863131">
        <w:rPr>
          <w:lang w:eastAsia="ja-JP"/>
        </w:rPr>
        <w:t>eek</w:t>
      </w:r>
      <w:r>
        <w:rPr>
          <w:lang w:eastAsia="ja-JP"/>
        </w:rPr>
        <w:t>s</w:t>
      </w:r>
      <w:r w:rsidRPr="00863131">
        <w:rPr>
          <w:lang w:eastAsia="ja-JP"/>
        </w:rPr>
        <w:t>, 32 patients in the SB5 group and</w:t>
      </w:r>
      <w:r>
        <w:rPr>
          <w:lang w:eastAsia="ja-JP"/>
        </w:rPr>
        <w:t xml:space="preserve"> </w:t>
      </w:r>
      <w:r w:rsidRPr="00863131">
        <w:rPr>
          <w:lang w:eastAsia="ja-JP"/>
        </w:rPr>
        <w:t>32 patients in the Humira a</w:t>
      </w:r>
      <w:r>
        <w:rPr>
          <w:lang w:eastAsia="ja-JP"/>
        </w:rPr>
        <w:t>r</w:t>
      </w:r>
      <w:r w:rsidRPr="00863131">
        <w:rPr>
          <w:lang w:eastAsia="ja-JP"/>
        </w:rPr>
        <w:t>m</w:t>
      </w:r>
      <w:r>
        <w:rPr>
          <w:lang w:eastAsia="ja-JP"/>
        </w:rPr>
        <w:t xml:space="preserve"> teste</w:t>
      </w:r>
      <w:r w:rsidRPr="00863131">
        <w:rPr>
          <w:lang w:eastAsia="ja-JP"/>
        </w:rPr>
        <w:t xml:space="preserve">d positive </w:t>
      </w:r>
      <w:r>
        <w:rPr>
          <w:lang w:eastAsia="ja-JP"/>
        </w:rPr>
        <w:t xml:space="preserve">for </w:t>
      </w:r>
      <w:proofErr w:type="spellStart"/>
      <w:r>
        <w:rPr>
          <w:lang w:eastAsia="ja-JP"/>
        </w:rPr>
        <w:t>NAbs</w:t>
      </w:r>
      <w:proofErr w:type="spellEnd"/>
      <w:r w:rsidRPr="00863131">
        <w:rPr>
          <w:lang w:eastAsia="ja-JP"/>
        </w:rPr>
        <w:t>.</w:t>
      </w:r>
      <w:r>
        <w:rPr>
          <w:lang w:eastAsia="ja-JP"/>
        </w:rPr>
        <w:t xml:space="preserve"> In Study SB5</w:t>
      </w:r>
      <w:r w:rsidR="004718B9">
        <w:rPr>
          <w:lang w:eastAsia="ja-JP"/>
        </w:rPr>
        <w:noBreakHyphen/>
      </w:r>
      <w:r>
        <w:rPr>
          <w:lang w:eastAsia="ja-JP"/>
        </w:rPr>
        <w:t xml:space="preserve">G31-RA, 5.0% (27/538) of all enrolled </w:t>
      </w:r>
      <w:r w:rsidRPr="00863131">
        <w:rPr>
          <w:lang w:eastAsia="ja-JP"/>
        </w:rPr>
        <w:t>patients had positive ADA results at baseline</w:t>
      </w:r>
      <w:r>
        <w:rPr>
          <w:lang w:eastAsia="ja-JP"/>
        </w:rPr>
        <w:t>. O</w:t>
      </w:r>
      <w:r w:rsidRPr="00863131">
        <w:rPr>
          <w:lang w:eastAsia="ja-JP"/>
        </w:rPr>
        <w:t xml:space="preserve">f the </w:t>
      </w:r>
      <w:r>
        <w:rPr>
          <w:lang w:eastAsia="ja-JP"/>
        </w:rPr>
        <w:t>19</w:t>
      </w:r>
      <w:r w:rsidRPr="00863131">
        <w:rPr>
          <w:lang w:eastAsia="ja-JP"/>
        </w:rPr>
        <w:t xml:space="preserve"> patients in the SB5 group with </w:t>
      </w:r>
      <w:r>
        <w:rPr>
          <w:lang w:eastAsia="ja-JP"/>
        </w:rPr>
        <w:t xml:space="preserve">positive </w:t>
      </w:r>
      <w:r w:rsidRPr="00863131">
        <w:rPr>
          <w:lang w:eastAsia="ja-JP"/>
        </w:rPr>
        <w:t>ADA</w:t>
      </w:r>
      <w:r>
        <w:rPr>
          <w:lang w:eastAsia="ja-JP"/>
        </w:rPr>
        <w:t xml:space="preserve"> </w:t>
      </w:r>
      <w:r w:rsidRPr="00863131">
        <w:rPr>
          <w:lang w:eastAsia="ja-JP"/>
        </w:rPr>
        <w:t xml:space="preserve">at </w:t>
      </w:r>
      <w:r>
        <w:rPr>
          <w:lang w:eastAsia="ja-JP"/>
        </w:rPr>
        <w:t>Week</w:t>
      </w:r>
      <w:r w:rsidRPr="00863131">
        <w:rPr>
          <w:lang w:eastAsia="ja-JP"/>
        </w:rPr>
        <w:t xml:space="preserve"> 0</w:t>
      </w:r>
      <w:r>
        <w:rPr>
          <w:lang w:eastAsia="ja-JP"/>
        </w:rPr>
        <w:t xml:space="preserve"> (plus another subject had a missing result)</w:t>
      </w:r>
      <w:r w:rsidRPr="00863131">
        <w:rPr>
          <w:lang w:eastAsia="ja-JP"/>
        </w:rPr>
        <w:t>, 9 patients (45.0%) had treatment</w:t>
      </w:r>
      <w:r>
        <w:rPr>
          <w:lang w:eastAsia="ja-JP"/>
        </w:rPr>
        <w:t xml:space="preserve"> </w:t>
      </w:r>
      <w:r w:rsidRPr="00863131">
        <w:rPr>
          <w:lang w:eastAsia="ja-JP"/>
        </w:rPr>
        <w:t>boosted</w:t>
      </w:r>
      <w:r>
        <w:rPr>
          <w:lang w:eastAsia="ja-JP"/>
        </w:rPr>
        <w:t xml:space="preserve"> </w:t>
      </w:r>
      <w:r w:rsidRPr="00863131">
        <w:rPr>
          <w:lang w:eastAsia="ja-JP"/>
        </w:rPr>
        <w:t>ADA (</w:t>
      </w:r>
      <w:r>
        <w:rPr>
          <w:lang w:eastAsia="ja-JP"/>
        </w:rPr>
        <w:t>that is the ADA titre</w:t>
      </w:r>
      <w:r w:rsidRPr="00863131">
        <w:rPr>
          <w:lang w:eastAsia="ja-JP"/>
        </w:rPr>
        <w:t xml:space="preserve"> increased at any time post-baseline compared with the baseline titre),</w:t>
      </w:r>
      <w:r>
        <w:rPr>
          <w:lang w:eastAsia="ja-JP"/>
        </w:rPr>
        <w:t xml:space="preserve"> </w:t>
      </w:r>
      <w:r w:rsidRPr="00863131">
        <w:rPr>
          <w:lang w:eastAsia="ja-JP"/>
        </w:rPr>
        <w:t>9 patients (45.0%) had posi</w:t>
      </w:r>
      <w:r>
        <w:rPr>
          <w:lang w:eastAsia="ja-JP"/>
        </w:rPr>
        <w:t>tive ADA where the titre remained</w:t>
      </w:r>
      <w:r w:rsidRPr="00863131">
        <w:rPr>
          <w:lang w:eastAsia="ja-JP"/>
        </w:rPr>
        <w:t xml:space="preserve"> </w:t>
      </w:r>
      <w:r>
        <w:rPr>
          <w:lang w:eastAsia="ja-JP"/>
        </w:rPr>
        <w:t xml:space="preserve">either </w:t>
      </w:r>
      <w:r w:rsidRPr="00863131">
        <w:rPr>
          <w:lang w:eastAsia="ja-JP"/>
        </w:rPr>
        <w:t>the same or decreased compared with</w:t>
      </w:r>
      <w:r>
        <w:rPr>
          <w:lang w:eastAsia="ja-JP"/>
        </w:rPr>
        <w:t xml:space="preserve"> </w:t>
      </w:r>
      <w:r w:rsidRPr="00863131">
        <w:rPr>
          <w:lang w:eastAsia="ja-JP"/>
        </w:rPr>
        <w:t>the</w:t>
      </w:r>
      <w:r>
        <w:rPr>
          <w:lang w:eastAsia="ja-JP"/>
        </w:rPr>
        <w:t>ir baseline titre</w:t>
      </w:r>
      <w:r w:rsidRPr="00863131">
        <w:rPr>
          <w:lang w:eastAsia="ja-JP"/>
        </w:rPr>
        <w:t xml:space="preserve"> and </w:t>
      </w:r>
      <w:r>
        <w:rPr>
          <w:lang w:eastAsia="ja-JP"/>
        </w:rPr>
        <w:t xml:space="preserve">the other </w:t>
      </w:r>
      <w:r w:rsidRPr="00863131">
        <w:rPr>
          <w:lang w:eastAsia="ja-JP"/>
        </w:rPr>
        <w:t>2 patients (10.0%) had</w:t>
      </w:r>
      <w:r>
        <w:rPr>
          <w:lang w:eastAsia="ja-JP"/>
        </w:rPr>
        <w:t xml:space="preserve"> negative ADA results at all visits after study drug</w:t>
      </w:r>
      <w:r w:rsidRPr="00863131">
        <w:rPr>
          <w:lang w:eastAsia="ja-JP"/>
        </w:rPr>
        <w:t xml:space="preserve"> administration. Of the 9 patients in the Humira</w:t>
      </w:r>
      <w:r>
        <w:rPr>
          <w:lang w:eastAsia="ja-JP"/>
        </w:rPr>
        <w:t xml:space="preserve"> arm with positive ADA or missing result at Week</w:t>
      </w:r>
      <w:r w:rsidRPr="00863131">
        <w:rPr>
          <w:lang w:eastAsia="ja-JP"/>
        </w:rPr>
        <w:t xml:space="preserve"> 0, 5 patients (55.6%) had</w:t>
      </w:r>
      <w:r>
        <w:rPr>
          <w:lang w:eastAsia="ja-JP"/>
        </w:rPr>
        <w:t xml:space="preserve"> treatment boosted ADA (including </w:t>
      </w:r>
      <w:r>
        <w:rPr>
          <w:lang w:eastAsia="ja-JP"/>
        </w:rPr>
        <w:lastRenderedPageBreak/>
        <w:t>1</w:t>
      </w:r>
      <w:r w:rsidR="004718B9">
        <w:rPr>
          <w:lang w:eastAsia="ja-JP"/>
        </w:rPr>
        <w:t> </w:t>
      </w:r>
      <w:r>
        <w:rPr>
          <w:lang w:eastAsia="ja-JP"/>
        </w:rPr>
        <w:t>subject with a missing value at baseline and positive result post-baseline), 1 patient (11.1%) had persistent positive ADA of the same or lower titre and 3 subjects (33.3%) had negative ADA at all visits after receiving Humira.</w:t>
      </w:r>
    </w:p>
    <w:p w14:paraId="3CFA0276" w14:textId="77777777" w:rsidR="00630211" w:rsidRDefault="00630211" w:rsidP="006F6ADA">
      <w:pPr>
        <w:pStyle w:val="Tabletitle0"/>
        <w:rPr>
          <w:lang w:eastAsia="ja-JP"/>
        </w:rPr>
      </w:pPr>
      <w:r>
        <w:rPr>
          <w:lang w:eastAsia="ja-JP"/>
        </w:rPr>
        <w:t xml:space="preserve">Table </w:t>
      </w:r>
      <w:r w:rsidR="003B5224">
        <w:rPr>
          <w:lang w:eastAsia="ja-JP"/>
        </w:rPr>
        <w:t>4</w:t>
      </w:r>
      <w:r>
        <w:rPr>
          <w:lang w:eastAsia="ja-JP"/>
        </w:rPr>
        <w:t xml:space="preserve">: Incidence of ADA and </w:t>
      </w:r>
      <w:proofErr w:type="spellStart"/>
      <w:r>
        <w:rPr>
          <w:lang w:eastAsia="ja-JP"/>
        </w:rPr>
        <w:t>NAb</w:t>
      </w:r>
      <w:proofErr w:type="spellEnd"/>
      <w:r>
        <w:rPr>
          <w:lang w:eastAsia="ja-JP"/>
        </w:rPr>
        <w:t xml:space="preserve"> up to Week 24 in Study SB5-G31-RA</w:t>
      </w:r>
    </w:p>
    <w:p w14:paraId="5E3D4122" w14:textId="77777777" w:rsidR="00500337" w:rsidRDefault="00630211" w:rsidP="006F6ADA">
      <w:r>
        <w:rPr>
          <w:noProof/>
          <w:lang w:eastAsia="en-AU"/>
        </w:rPr>
        <w:drawing>
          <wp:inline distT="0" distB="0" distL="0" distR="0" wp14:anchorId="5A887A9F" wp14:editId="40D51122">
            <wp:extent cx="4655284" cy="6978701"/>
            <wp:effectExtent l="0" t="0" r="0" b="0"/>
            <wp:docPr id="3" name="Picture 3" descr="Table 4: Incidence of ADA and NAb up to Week 24 in Study SB5-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53211" cy="6975593"/>
                    </a:xfrm>
                    <a:prstGeom prst="rect">
                      <a:avLst/>
                    </a:prstGeom>
                  </pic:spPr>
                </pic:pic>
              </a:graphicData>
            </a:graphic>
          </wp:inline>
        </w:drawing>
      </w:r>
    </w:p>
    <w:p w14:paraId="6EF88E24" w14:textId="77777777" w:rsidR="00575517" w:rsidRDefault="00575517" w:rsidP="006F6ADA">
      <w:pPr>
        <w:rPr>
          <w:lang w:eastAsia="ja-JP"/>
        </w:rPr>
      </w:pPr>
      <w:r>
        <w:rPr>
          <w:lang w:eastAsia="ja-JP"/>
        </w:rPr>
        <w:t xml:space="preserve">The percentages of subjects who experienced any AE and the types of AEs most commonly reported were comparable between the </w:t>
      </w:r>
      <w:r w:rsidR="00321955">
        <w:rPr>
          <w:lang w:eastAsia="ja-JP"/>
        </w:rPr>
        <w:t>Hadlima</w:t>
      </w:r>
      <w:r>
        <w:rPr>
          <w:lang w:eastAsia="ja-JP"/>
        </w:rPr>
        <w:t xml:space="preserve"> and Humira treatment groups in subjects with negative and positive ADA results at Week 24.</w:t>
      </w:r>
    </w:p>
    <w:p w14:paraId="5071DE48" w14:textId="2B32C97E" w:rsidR="00575517" w:rsidRDefault="00575517" w:rsidP="006F6ADA">
      <w:pPr>
        <w:rPr>
          <w:lang w:eastAsia="ja-JP"/>
        </w:rPr>
      </w:pPr>
      <w:r w:rsidRPr="00414530">
        <w:rPr>
          <w:lang w:eastAsia="ja-JP"/>
        </w:rPr>
        <w:t xml:space="preserve">The incidence of ADA and </w:t>
      </w:r>
      <w:proofErr w:type="spellStart"/>
      <w:r w:rsidRPr="00414530">
        <w:rPr>
          <w:lang w:eastAsia="ja-JP"/>
        </w:rPr>
        <w:t>NAb</w:t>
      </w:r>
      <w:proofErr w:type="spellEnd"/>
      <w:r w:rsidRPr="00414530">
        <w:rPr>
          <w:lang w:eastAsia="ja-JP"/>
        </w:rPr>
        <w:t xml:space="preserve"> </w:t>
      </w:r>
      <w:r>
        <w:rPr>
          <w:lang w:eastAsia="ja-JP"/>
        </w:rPr>
        <w:t xml:space="preserve">up to Week 52 </w:t>
      </w:r>
      <w:r w:rsidRPr="00414530">
        <w:rPr>
          <w:lang w:eastAsia="ja-JP"/>
        </w:rPr>
        <w:t>in Study SB5-G31-RA is presented in</w:t>
      </w:r>
      <w:r>
        <w:rPr>
          <w:lang w:eastAsia="ja-JP"/>
        </w:rPr>
        <w:t xml:space="preserve"> </w:t>
      </w:r>
      <w:r w:rsidR="003B5224">
        <w:rPr>
          <w:lang w:eastAsia="ja-JP"/>
        </w:rPr>
        <w:t>Table 5</w:t>
      </w:r>
      <w:r w:rsidRPr="00414530">
        <w:rPr>
          <w:lang w:eastAsia="ja-JP"/>
        </w:rPr>
        <w:t>.</w:t>
      </w:r>
      <w:r>
        <w:rPr>
          <w:lang w:eastAsia="ja-JP"/>
        </w:rPr>
        <w:t xml:space="preserve"> </w:t>
      </w:r>
      <w:r w:rsidR="00C571FF">
        <w:rPr>
          <w:lang w:eastAsia="ja-JP"/>
        </w:rPr>
        <w:t>Up to</w:t>
      </w:r>
      <w:r w:rsidRPr="00863131">
        <w:rPr>
          <w:lang w:eastAsia="ja-JP"/>
        </w:rPr>
        <w:t xml:space="preserve"> </w:t>
      </w:r>
      <w:r>
        <w:rPr>
          <w:lang w:eastAsia="ja-JP"/>
        </w:rPr>
        <w:t>52 weeks in the SAF2 cohort</w:t>
      </w:r>
      <w:r w:rsidRPr="00863131">
        <w:rPr>
          <w:lang w:eastAsia="ja-JP"/>
        </w:rPr>
        <w:t>, there was no statistically significant difference between</w:t>
      </w:r>
      <w:r>
        <w:rPr>
          <w:lang w:eastAsia="ja-JP"/>
        </w:rPr>
        <w:t xml:space="preserve"> the 2</w:t>
      </w:r>
      <w:r w:rsidRPr="00863131">
        <w:rPr>
          <w:lang w:eastAsia="ja-JP"/>
        </w:rPr>
        <w:t xml:space="preserve"> </w:t>
      </w:r>
      <w:r>
        <w:rPr>
          <w:lang w:eastAsia="ja-JP"/>
        </w:rPr>
        <w:t xml:space="preserve">continuous </w:t>
      </w:r>
      <w:r w:rsidRPr="00863131">
        <w:rPr>
          <w:lang w:eastAsia="ja-JP"/>
        </w:rPr>
        <w:t xml:space="preserve">treatment groups in </w:t>
      </w:r>
      <w:r>
        <w:rPr>
          <w:lang w:eastAsia="ja-JP"/>
        </w:rPr>
        <w:t xml:space="preserve">the proportion of subjects testing at least </w:t>
      </w:r>
      <w:r>
        <w:rPr>
          <w:lang w:eastAsia="ja-JP"/>
        </w:rPr>
        <w:lastRenderedPageBreak/>
        <w:t xml:space="preserve">once positive for </w:t>
      </w:r>
      <w:r w:rsidRPr="00863131">
        <w:rPr>
          <w:lang w:eastAsia="ja-JP"/>
        </w:rPr>
        <w:t>ADA</w:t>
      </w:r>
      <w:r>
        <w:rPr>
          <w:lang w:eastAsia="ja-JP"/>
        </w:rPr>
        <w:t xml:space="preserve"> (p-value = 0.796) with 36.0</w:t>
      </w:r>
      <w:r w:rsidRPr="00863131">
        <w:rPr>
          <w:lang w:eastAsia="ja-JP"/>
        </w:rPr>
        <w:t>%</w:t>
      </w:r>
      <w:r>
        <w:rPr>
          <w:lang w:eastAsia="ja-JP"/>
        </w:rPr>
        <w:t xml:space="preserve"> (85/236) patients in the continuous </w:t>
      </w:r>
      <w:r w:rsidR="00321955">
        <w:rPr>
          <w:lang w:eastAsia="ja-JP"/>
        </w:rPr>
        <w:t>Hadlima</w:t>
      </w:r>
      <w:r>
        <w:rPr>
          <w:lang w:eastAsia="ja-JP"/>
        </w:rPr>
        <w:t xml:space="preserve"> group and </w:t>
      </w:r>
      <w:r w:rsidR="00C571FF">
        <w:rPr>
          <w:lang w:eastAsia="ja-JP"/>
        </w:rPr>
        <w:t>37.4% (46/123)</w:t>
      </w:r>
      <w:r>
        <w:rPr>
          <w:lang w:eastAsia="ja-JP"/>
        </w:rPr>
        <w:t xml:space="preserve"> </w:t>
      </w:r>
      <w:r w:rsidRPr="00863131">
        <w:rPr>
          <w:lang w:eastAsia="ja-JP"/>
        </w:rPr>
        <w:t>patients in the Humira a</w:t>
      </w:r>
      <w:r>
        <w:rPr>
          <w:lang w:eastAsia="ja-JP"/>
        </w:rPr>
        <w:t>rm recording a</w:t>
      </w:r>
      <w:r w:rsidRPr="00863131">
        <w:rPr>
          <w:lang w:eastAsia="ja-JP"/>
        </w:rPr>
        <w:t xml:space="preserve"> </w:t>
      </w:r>
      <w:r>
        <w:rPr>
          <w:lang w:eastAsia="ja-JP"/>
        </w:rPr>
        <w:t>positive</w:t>
      </w:r>
      <w:r w:rsidRPr="00863131">
        <w:rPr>
          <w:lang w:eastAsia="ja-JP"/>
        </w:rPr>
        <w:t xml:space="preserve"> ADA result</w:t>
      </w:r>
      <w:r>
        <w:rPr>
          <w:lang w:eastAsia="ja-JP"/>
        </w:rPr>
        <w:t>.</w:t>
      </w:r>
      <w:r w:rsidRPr="00863131">
        <w:rPr>
          <w:lang w:eastAsia="ja-JP"/>
        </w:rPr>
        <w:t xml:space="preserve"> At </w:t>
      </w:r>
      <w:r>
        <w:rPr>
          <w:lang w:eastAsia="ja-JP"/>
        </w:rPr>
        <w:t>52 w</w:t>
      </w:r>
      <w:r w:rsidRPr="00863131">
        <w:rPr>
          <w:lang w:eastAsia="ja-JP"/>
        </w:rPr>
        <w:t>eek</w:t>
      </w:r>
      <w:r>
        <w:rPr>
          <w:lang w:eastAsia="ja-JP"/>
        </w:rPr>
        <w:t>s</w:t>
      </w:r>
      <w:r w:rsidRPr="00863131">
        <w:rPr>
          <w:lang w:eastAsia="ja-JP"/>
        </w:rPr>
        <w:t xml:space="preserve">, </w:t>
      </w:r>
      <w:r>
        <w:rPr>
          <w:lang w:eastAsia="ja-JP"/>
        </w:rPr>
        <w:t xml:space="preserve">the Humira to </w:t>
      </w:r>
      <w:r w:rsidR="00321955">
        <w:rPr>
          <w:lang w:eastAsia="ja-JP"/>
        </w:rPr>
        <w:t>Hadlima</w:t>
      </w:r>
      <w:r>
        <w:rPr>
          <w:lang w:eastAsia="ja-JP"/>
        </w:rPr>
        <w:t xml:space="preserve"> treatment switch</w:t>
      </w:r>
      <w:r w:rsidRPr="00863131">
        <w:rPr>
          <w:lang w:eastAsia="ja-JP"/>
        </w:rPr>
        <w:t xml:space="preserve"> </w:t>
      </w:r>
      <w:r>
        <w:rPr>
          <w:lang w:eastAsia="ja-JP"/>
        </w:rPr>
        <w:t xml:space="preserve">group of </w:t>
      </w:r>
      <w:r w:rsidRPr="00863131">
        <w:rPr>
          <w:lang w:eastAsia="ja-JP"/>
        </w:rPr>
        <w:t xml:space="preserve">patients </w:t>
      </w:r>
      <w:r>
        <w:rPr>
          <w:lang w:eastAsia="ja-JP"/>
        </w:rPr>
        <w:t>had a s</w:t>
      </w:r>
      <w:r w:rsidRPr="00863131">
        <w:rPr>
          <w:lang w:eastAsia="ja-JP"/>
        </w:rPr>
        <w:t>i</w:t>
      </w:r>
      <w:r>
        <w:rPr>
          <w:lang w:eastAsia="ja-JP"/>
        </w:rPr>
        <w:t>milar rate of ADA positivity (38.5%; 47/122) to</w:t>
      </w:r>
      <w:r w:rsidRPr="00863131">
        <w:rPr>
          <w:lang w:eastAsia="ja-JP"/>
        </w:rPr>
        <w:t xml:space="preserve"> the </w:t>
      </w:r>
      <w:r>
        <w:rPr>
          <w:lang w:eastAsia="ja-JP"/>
        </w:rPr>
        <w:t>2 continuous treatment</w:t>
      </w:r>
      <w:r w:rsidRPr="00863131">
        <w:rPr>
          <w:lang w:eastAsia="ja-JP"/>
        </w:rPr>
        <w:t xml:space="preserve"> group</w:t>
      </w:r>
      <w:r>
        <w:rPr>
          <w:lang w:eastAsia="ja-JP"/>
        </w:rPr>
        <w:t>s</w:t>
      </w:r>
      <w:r w:rsidRPr="00863131">
        <w:rPr>
          <w:lang w:eastAsia="ja-JP"/>
        </w:rPr>
        <w:t>.</w:t>
      </w:r>
      <w:r>
        <w:rPr>
          <w:lang w:eastAsia="ja-JP"/>
        </w:rPr>
        <w:t xml:space="preserve"> Between Weeks 24 and 52, there was no statistically significant difference (p</w:t>
      </w:r>
      <w:r w:rsidR="007C4788">
        <w:rPr>
          <w:lang w:eastAsia="ja-JP"/>
        </w:rPr>
        <w:noBreakHyphen/>
      </w:r>
      <w:r>
        <w:rPr>
          <w:lang w:eastAsia="ja-JP"/>
        </w:rPr>
        <w:t>value</w:t>
      </w:r>
      <w:r w:rsidR="007C4788">
        <w:rPr>
          <w:lang w:eastAsia="ja-JP"/>
        </w:rPr>
        <w:t> </w:t>
      </w:r>
      <w:r>
        <w:rPr>
          <w:lang w:eastAsia="ja-JP"/>
        </w:rPr>
        <w:t>=</w:t>
      </w:r>
      <w:r w:rsidR="007C4788">
        <w:rPr>
          <w:lang w:eastAsia="ja-JP"/>
        </w:rPr>
        <w:t> </w:t>
      </w:r>
      <w:r>
        <w:rPr>
          <w:lang w:eastAsia="ja-JP"/>
        </w:rPr>
        <w:t xml:space="preserve">0.161) between Humira to </w:t>
      </w:r>
      <w:r w:rsidR="00321955">
        <w:rPr>
          <w:lang w:eastAsia="ja-JP"/>
        </w:rPr>
        <w:t>Hadlima</w:t>
      </w:r>
      <w:r>
        <w:rPr>
          <w:lang w:eastAsia="ja-JP"/>
        </w:rPr>
        <w:t xml:space="preserve"> switch group (6.3%; 5/80) and continuous Humira treatment groups (12.6%; 11/87) for the proportion of subjects developing a new positive ADA result (SAF2 cohort).</w:t>
      </w:r>
    </w:p>
    <w:p w14:paraId="3B695CE1" w14:textId="5668A231" w:rsidR="00575517" w:rsidRDefault="00575517" w:rsidP="006F6ADA">
      <w:pPr>
        <w:rPr>
          <w:lang w:eastAsia="ja-JP"/>
        </w:rPr>
      </w:pPr>
      <w:r>
        <w:rPr>
          <w:lang w:eastAsia="ja-JP"/>
        </w:rPr>
        <w:t xml:space="preserve">Among </w:t>
      </w:r>
      <w:r w:rsidRPr="00863131">
        <w:rPr>
          <w:lang w:eastAsia="ja-JP"/>
        </w:rPr>
        <w:t xml:space="preserve">the </w:t>
      </w:r>
      <w:r>
        <w:rPr>
          <w:lang w:eastAsia="ja-JP"/>
        </w:rPr>
        <w:t>45</w:t>
      </w:r>
      <w:r w:rsidRPr="00863131">
        <w:rPr>
          <w:lang w:eastAsia="ja-JP"/>
        </w:rPr>
        <w:t xml:space="preserve"> patients in the </w:t>
      </w:r>
      <w:r>
        <w:rPr>
          <w:lang w:eastAsia="ja-JP"/>
        </w:rPr>
        <w:t xml:space="preserve">Humira to </w:t>
      </w:r>
      <w:r w:rsidR="00321955">
        <w:rPr>
          <w:lang w:eastAsia="ja-JP"/>
        </w:rPr>
        <w:t>Hadlima</w:t>
      </w:r>
      <w:r w:rsidRPr="00863131">
        <w:rPr>
          <w:lang w:eastAsia="ja-JP"/>
        </w:rPr>
        <w:t xml:space="preserve"> group with </w:t>
      </w:r>
      <w:r>
        <w:rPr>
          <w:lang w:eastAsia="ja-JP"/>
        </w:rPr>
        <w:t xml:space="preserve">positive </w:t>
      </w:r>
      <w:r w:rsidRPr="00863131">
        <w:rPr>
          <w:lang w:eastAsia="ja-JP"/>
        </w:rPr>
        <w:t>ADA</w:t>
      </w:r>
      <w:r>
        <w:rPr>
          <w:lang w:eastAsia="ja-JP"/>
        </w:rPr>
        <w:t xml:space="preserve"> </w:t>
      </w:r>
      <w:r w:rsidRPr="00863131">
        <w:rPr>
          <w:lang w:eastAsia="ja-JP"/>
        </w:rPr>
        <w:t xml:space="preserve">at </w:t>
      </w:r>
      <w:r>
        <w:rPr>
          <w:lang w:eastAsia="ja-JP"/>
        </w:rPr>
        <w:t>Week 24, 16 patients (35.6%) recorde</w:t>
      </w:r>
      <w:r w:rsidRPr="00863131">
        <w:rPr>
          <w:lang w:eastAsia="ja-JP"/>
        </w:rPr>
        <w:t>d treatment</w:t>
      </w:r>
      <w:r>
        <w:rPr>
          <w:lang w:eastAsia="ja-JP"/>
        </w:rPr>
        <w:t xml:space="preserve"> </w:t>
      </w:r>
      <w:r w:rsidRPr="00863131">
        <w:rPr>
          <w:lang w:eastAsia="ja-JP"/>
        </w:rPr>
        <w:t>boosted</w:t>
      </w:r>
      <w:r>
        <w:rPr>
          <w:lang w:eastAsia="ja-JP"/>
        </w:rPr>
        <w:t xml:space="preserve"> positive ADA results between Weeks 24 and 52 upon transitioning of treatme</w:t>
      </w:r>
      <w:r w:rsidRPr="00863131">
        <w:rPr>
          <w:lang w:eastAsia="ja-JP"/>
        </w:rPr>
        <w:t>n</w:t>
      </w:r>
      <w:r>
        <w:rPr>
          <w:lang w:eastAsia="ja-JP"/>
        </w:rPr>
        <w:t>t</w:t>
      </w:r>
      <w:r w:rsidRPr="00863131">
        <w:rPr>
          <w:lang w:eastAsia="ja-JP"/>
        </w:rPr>
        <w:t>,</w:t>
      </w:r>
      <w:r>
        <w:rPr>
          <w:lang w:eastAsia="ja-JP"/>
        </w:rPr>
        <w:t xml:space="preserve"> 22 patients (48.9</w:t>
      </w:r>
      <w:r w:rsidRPr="00863131">
        <w:rPr>
          <w:lang w:eastAsia="ja-JP"/>
        </w:rPr>
        <w:t xml:space="preserve">%) had </w:t>
      </w:r>
      <w:r>
        <w:rPr>
          <w:lang w:eastAsia="ja-JP"/>
        </w:rPr>
        <w:t xml:space="preserve">persistent </w:t>
      </w:r>
      <w:r w:rsidRPr="00863131">
        <w:rPr>
          <w:lang w:eastAsia="ja-JP"/>
        </w:rPr>
        <w:t>posi</w:t>
      </w:r>
      <w:r>
        <w:rPr>
          <w:lang w:eastAsia="ja-JP"/>
        </w:rPr>
        <w:t>tive ADA where the titre remained</w:t>
      </w:r>
      <w:r w:rsidRPr="00863131">
        <w:rPr>
          <w:lang w:eastAsia="ja-JP"/>
        </w:rPr>
        <w:t xml:space="preserve"> </w:t>
      </w:r>
      <w:r>
        <w:rPr>
          <w:lang w:eastAsia="ja-JP"/>
        </w:rPr>
        <w:t xml:space="preserve">either </w:t>
      </w:r>
      <w:r w:rsidRPr="00863131">
        <w:rPr>
          <w:lang w:eastAsia="ja-JP"/>
        </w:rPr>
        <w:t>the same or decreased compared with</w:t>
      </w:r>
      <w:r>
        <w:rPr>
          <w:lang w:eastAsia="ja-JP"/>
        </w:rPr>
        <w:t xml:space="preserve"> </w:t>
      </w:r>
      <w:r w:rsidRPr="00863131">
        <w:rPr>
          <w:lang w:eastAsia="ja-JP"/>
        </w:rPr>
        <w:t>the</w:t>
      </w:r>
      <w:r>
        <w:rPr>
          <w:lang w:eastAsia="ja-JP"/>
        </w:rPr>
        <w:t>ir baseline titre</w:t>
      </w:r>
      <w:r w:rsidRPr="00863131">
        <w:rPr>
          <w:lang w:eastAsia="ja-JP"/>
        </w:rPr>
        <w:t xml:space="preserve"> and </w:t>
      </w:r>
      <w:r>
        <w:rPr>
          <w:lang w:eastAsia="ja-JP"/>
        </w:rPr>
        <w:t>the other 7 patients (15.6</w:t>
      </w:r>
      <w:r w:rsidRPr="00863131">
        <w:rPr>
          <w:lang w:eastAsia="ja-JP"/>
        </w:rPr>
        <w:t>%) had</w:t>
      </w:r>
      <w:r>
        <w:rPr>
          <w:lang w:eastAsia="ja-JP"/>
        </w:rPr>
        <w:t xml:space="preserve"> negative ADA results at all subsequent visits. Of the 39</w:t>
      </w:r>
      <w:r w:rsidRPr="00863131">
        <w:rPr>
          <w:lang w:eastAsia="ja-JP"/>
        </w:rPr>
        <w:t xml:space="preserve"> patients in the </w:t>
      </w:r>
      <w:r>
        <w:rPr>
          <w:lang w:eastAsia="ja-JP"/>
        </w:rPr>
        <w:t xml:space="preserve">continuous </w:t>
      </w:r>
      <w:r w:rsidRPr="00863131">
        <w:rPr>
          <w:lang w:eastAsia="ja-JP"/>
        </w:rPr>
        <w:t>Humira</w:t>
      </w:r>
      <w:r>
        <w:rPr>
          <w:lang w:eastAsia="ja-JP"/>
        </w:rPr>
        <w:t xml:space="preserve"> arm with positive ADA or missing results at Week</w:t>
      </w:r>
      <w:r w:rsidR="007C4788">
        <w:rPr>
          <w:lang w:eastAsia="ja-JP"/>
        </w:rPr>
        <w:t> </w:t>
      </w:r>
      <w:r>
        <w:rPr>
          <w:lang w:eastAsia="ja-JP"/>
        </w:rPr>
        <w:t>24, 12 patients (30.8</w:t>
      </w:r>
      <w:r w:rsidRPr="00863131">
        <w:rPr>
          <w:lang w:eastAsia="ja-JP"/>
        </w:rPr>
        <w:t>%) had</w:t>
      </w:r>
      <w:r>
        <w:rPr>
          <w:lang w:eastAsia="ja-JP"/>
        </w:rPr>
        <w:t xml:space="preserve"> treatment boosted ADA, 23 patients (59.0%) had persistent positive ADA of the same or lower titre and 4 subjects (10.3%) had negative ADA at all visits after Week 24 despite continuing to receive Humira.</w:t>
      </w:r>
    </w:p>
    <w:p w14:paraId="541CECB8" w14:textId="77777777" w:rsidR="00575517" w:rsidRDefault="00575517" w:rsidP="00575517">
      <w:pPr>
        <w:rPr>
          <w:lang w:eastAsia="ja-JP"/>
        </w:rPr>
      </w:pPr>
      <w:r w:rsidRPr="00863131">
        <w:rPr>
          <w:lang w:eastAsia="ja-JP"/>
        </w:rPr>
        <w:t xml:space="preserve">At </w:t>
      </w:r>
      <w:r>
        <w:rPr>
          <w:lang w:eastAsia="ja-JP"/>
        </w:rPr>
        <w:t>52 w</w:t>
      </w:r>
      <w:r w:rsidRPr="00863131">
        <w:rPr>
          <w:lang w:eastAsia="ja-JP"/>
        </w:rPr>
        <w:t>eek</w:t>
      </w:r>
      <w:r>
        <w:rPr>
          <w:lang w:eastAsia="ja-JP"/>
        </w:rPr>
        <w:t>s</w:t>
      </w:r>
      <w:r w:rsidRPr="00863131">
        <w:rPr>
          <w:lang w:eastAsia="ja-JP"/>
        </w:rPr>
        <w:t>, 32 patients</w:t>
      </w:r>
      <w:r>
        <w:rPr>
          <w:lang w:eastAsia="ja-JP"/>
        </w:rPr>
        <w:t xml:space="preserve"> (50% of 64)</w:t>
      </w:r>
      <w:r w:rsidRPr="00863131">
        <w:rPr>
          <w:lang w:eastAsia="ja-JP"/>
        </w:rPr>
        <w:t xml:space="preserve"> in the </w:t>
      </w:r>
      <w:r w:rsidR="00321955">
        <w:rPr>
          <w:lang w:eastAsia="ja-JP"/>
        </w:rPr>
        <w:t>Hadlima</w:t>
      </w:r>
      <w:r w:rsidRPr="00863131">
        <w:rPr>
          <w:lang w:eastAsia="ja-JP"/>
        </w:rPr>
        <w:t xml:space="preserve"> group</w:t>
      </w:r>
      <w:r>
        <w:rPr>
          <w:lang w:eastAsia="ja-JP"/>
        </w:rPr>
        <w:t xml:space="preserve"> </w:t>
      </w:r>
      <w:r w:rsidRPr="00863131">
        <w:rPr>
          <w:lang w:eastAsia="ja-JP"/>
        </w:rPr>
        <w:t>and</w:t>
      </w:r>
      <w:r>
        <w:rPr>
          <w:lang w:eastAsia="ja-JP"/>
        </w:rPr>
        <w:t xml:space="preserve"> 41</w:t>
      </w:r>
      <w:r w:rsidRPr="00863131">
        <w:rPr>
          <w:lang w:eastAsia="ja-JP"/>
        </w:rPr>
        <w:t xml:space="preserve"> patients </w:t>
      </w:r>
      <w:r>
        <w:rPr>
          <w:lang w:eastAsia="ja-JP"/>
        </w:rPr>
        <w:t xml:space="preserve">(54.7% of 75) </w:t>
      </w:r>
      <w:r w:rsidRPr="00863131">
        <w:rPr>
          <w:lang w:eastAsia="ja-JP"/>
        </w:rPr>
        <w:t xml:space="preserve">in the </w:t>
      </w:r>
      <w:r>
        <w:rPr>
          <w:lang w:eastAsia="ja-JP"/>
        </w:rPr>
        <w:t>overall Humira cohort teste</w:t>
      </w:r>
      <w:r w:rsidRPr="00863131">
        <w:rPr>
          <w:lang w:eastAsia="ja-JP"/>
        </w:rPr>
        <w:t xml:space="preserve">d positive </w:t>
      </w:r>
      <w:r>
        <w:rPr>
          <w:lang w:eastAsia="ja-JP"/>
        </w:rPr>
        <w:t xml:space="preserve">for </w:t>
      </w:r>
      <w:proofErr w:type="spellStart"/>
      <w:r>
        <w:rPr>
          <w:lang w:eastAsia="ja-JP"/>
        </w:rPr>
        <w:t>NAbs</w:t>
      </w:r>
      <w:proofErr w:type="spellEnd"/>
      <w:r>
        <w:rPr>
          <w:lang w:eastAsia="ja-JP"/>
        </w:rPr>
        <w:t>.</w:t>
      </w:r>
    </w:p>
    <w:p w14:paraId="74B22588" w14:textId="77777777" w:rsidR="00575517" w:rsidRDefault="00575517" w:rsidP="006F6ADA">
      <w:pPr>
        <w:rPr>
          <w:lang w:eastAsia="ja-JP"/>
        </w:rPr>
      </w:pPr>
      <w:r>
        <w:rPr>
          <w:lang w:eastAsia="ja-JP"/>
        </w:rPr>
        <w:t xml:space="preserve">The percentages of subjects who experienced any AE and the types of AEs most commonly reported (including ISRs) were comparable between the continuous </w:t>
      </w:r>
      <w:r w:rsidR="00321955">
        <w:rPr>
          <w:lang w:eastAsia="ja-JP"/>
        </w:rPr>
        <w:t>Hadlima</w:t>
      </w:r>
      <w:r>
        <w:rPr>
          <w:lang w:eastAsia="ja-JP"/>
        </w:rPr>
        <w:t xml:space="preserve"> and Humira treatment groups, as well as the Humira to </w:t>
      </w:r>
      <w:r w:rsidR="00321955">
        <w:rPr>
          <w:lang w:eastAsia="ja-JP"/>
        </w:rPr>
        <w:t>Hadlima</w:t>
      </w:r>
      <w:r>
        <w:rPr>
          <w:lang w:eastAsia="ja-JP"/>
        </w:rPr>
        <w:t xml:space="preserve"> treatment switch arm after Week 24, in subjects with negative and positive ADA results anytime up to Week 52.</w:t>
      </w:r>
    </w:p>
    <w:p w14:paraId="7156D8AD" w14:textId="3F517656" w:rsidR="00575517" w:rsidRDefault="00575517" w:rsidP="006F6ADA">
      <w:pPr>
        <w:rPr>
          <w:lang w:eastAsia="ja-JP"/>
        </w:rPr>
      </w:pPr>
      <w:r>
        <w:rPr>
          <w:lang w:eastAsia="ja-JP"/>
        </w:rPr>
        <w:t>At baseline in Study SB5-G31-RA, the majority of subjects in the SB5 (95.1%; 254/</w:t>
      </w:r>
      <w:r w:rsidR="00C571FF">
        <w:rPr>
          <w:lang w:eastAsia="ja-JP"/>
        </w:rPr>
        <w:t>267</w:t>
      </w:r>
      <w:r>
        <w:rPr>
          <w:lang w:eastAsia="ja-JP"/>
        </w:rPr>
        <w:t>) and the Humira (94.9%; 258/</w:t>
      </w:r>
      <w:r w:rsidR="00C571FF">
        <w:rPr>
          <w:lang w:eastAsia="ja-JP"/>
        </w:rPr>
        <w:t>272</w:t>
      </w:r>
      <w:r>
        <w:rPr>
          <w:lang w:eastAsia="ja-JP"/>
        </w:rPr>
        <w:t xml:space="preserve">) treatment groups had negative ANA (anti-nuclear antibody) tests. At Week 24, </w:t>
      </w:r>
      <w:r w:rsidRPr="00F24D18">
        <w:rPr>
          <w:lang w:eastAsia="ja-JP"/>
        </w:rPr>
        <w:t xml:space="preserve">12 (4.6%) subjects </w:t>
      </w:r>
      <w:r>
        <w:rPr>
          <w:lang w:eastAsia="ja-JP"/>
        </w:rPr>
        <w:t xml:space="preserve">in the SB5 group </w:t>
      </w:r>
      <w:r w:rsidRPr="00F24D18">
        <w:rPr>
          <w:lang w:eastAsia="ja-JP"/>
        </w:rPr>
        <w:t xml:space="preserve">and 13 (5.0%) subjects </w:t>
      </w:r>
      <w:r>
        <w:rPr>
          <w:lang w:eastAsia="ja-JP"/>
        </w:rPr>
        <w:t>in the Humira arm recorded new post-baseline posi</w:t>
      </w:r>
      <w:r w:rsidRPr="00F24D18">
        <w:rPr>
          <w:lang w:eastAsia="ja-JP"/>
        </w:rPr>
        <w:t xml:space="preserve">tive ANA </w:t>
      </w:r>
      <w:r>
        <w:rPr>
          <w:lang w:eastAsia="ja-JP"/>
        </w:rPr>
        <w:t>results</w:t>
      </w:r>
      <w:r w:rsidRPr="00F24D18">
        <w:rPr>
          <w:lang w:eastAsia="ja-JP"/>
        </w:rPr>
        <w:t>. At Week</w:t>
      </w:r>
      <w:r>
        <w:rPr>
          <w:lang w:eastAsia="ja-JP"/>
        </w:rPr>
        <w:t xml:space="preserve"> </w:t>
      </w:r>
      <w:r w:rsidRPr="00F24D18">
        <w:rPr>
          <w:lang w:eastAsia="ja-JP"/>
        </w:rPr>
        <w:t xml:space="preserve">52, </w:t>
      </w:r>
      <w:r>
        <w:rPr>
          <w:lang w:eastAsia="ja-JP"/>
        </w:rPr>
        <w:t>s</w:t>
      </w:r>
      <w:r w:rsidRPr="00F24D18">
        <w:rPr>
          <w:lang w:eastAsia="ja-JP"/>
        </w:rPr>
        <w:t>hifts from negative ANA at</w:t>
      </w:r>
      <w:r>
        <w:rPr>
          <w:lang w:eastAsia="ja-JP"/>
        </w:rPr>
        <w:t xml:space="preserve"> </w:t>
      </w:r>
      <w:r w:rsidRPr="00F24D18">
        <w:rPr>
          <w:lang w:eastAsia="ja-JP"/>
        </w:rPr>
        <w:t xml:space="preserve">baseline to positive </w:t>
      </w:r>
      <w:r>
        <w:rPr>
          <w:lang w:eastAsia="ja-JP"/>
        </w:rPr>
        <w:t>results</w:t>
      </w:r>
      <w:r w:rsidRPr="00F24D18">
        <w:rPr>
          <w:lang w:eastAsia="ja-JP"/>
        </w:rPr>
        <w:t xml:space="preserve"> was reported in 21 </w:t>
      </w:r>
      <w:r>
        <w:rPr>
          <w:lang w:eastAsia="ja-JP"/>
        </w:rPr>
        <w:t>(8.4%) SB5 treated subjects and</w:t>
      </w:r>
      <w:r w:rsidRPr="00F24D18">
        <w:rPr>
          <w:lang w:eastAsia="ja-JP"/>
        </w:rPr>
        <w:t xml:space="preserve"> 25 (10.0%) </w:t>
      </w:r>
      <w:r>
        <w:rPr>
          <w:lang w:eastAsia="ja-JP"/>
        </w:rPr>
        <w:t>patients in the o</w:t>
      </w:r>
      <w:r w:rsidRPr="00F24D18">
        <w:rPr>
          <w:lang w:eastAsia="ja-JP"/>
        </w:rPr>
        <w:t>v</w:t>
      </w:r>
      <w:r>
        <w:rPr>
          <w:lang w:eastAsia="ja-JP"/>
        </w:rPr>
        <w:t>erall Humira cohort (</w:t>
      </w:r>
      <w:r w:rsidRPr="00F24D18">
        <w:rPr>
          <w:lang w:eastAsia="ja-JP"/>
        </w:rPr>
        <w:t xml:space="preserve">14 </w:t>
      </w:r>
      <w:r>
        <w:rPr>
          <w:lang w:eastAsia="ja-JP"/>
        </w:rPr>
        <w:t>subjects (</w:t>
      </w:r>
      <w:r w:rsidRPr="00F24D18">
        <w:rPr>
          <w:lang w:eastAsia="ja-JP"/>
        </w:rPr>
        <w:t>11.4%</w:t>
      </w:r>
      <w:r>
        <w:rPr>
          <w:lang w:eastAsia="ja-JP"/>
        </w:rPr>
        <w:t>)</w:t>
      </w:r>
      <w:r w:rsidRPr="00F24D18">
        <w:rPr>
          <w:lang w:eastAsia="ja-JP"/>
        </w:rPr>
        <w:t xml:space="preserve"> </w:t>
      </w:r>
      <w:r>
        <w:rPr>
          <w:lang w:eastAsia="ja-JP"/>
        </w:rPr>
        <w:t>in the Humira</w:t>
      </w:r>
      <w:r>
        <w:sym w:font="Symbol" w:char="F0AE"/>
      </w:r>
      <w:r>
        <w:rPr>
          <w:lang w:eastAsia="ja-JP"/>
        </w:rPr>
        <w:t xml:space="preserve">SB5 group and </w:t>
      </w:r>
      <w:r w:rsidRPr="00F24D18">
        <w:rPr>
          <w:lang w:eastAsia="ja-JP"/>
        </w:rPr>
        <w:t xml:space="preserve">11 </w:t>
      </w:r>
      <w:r>
        <w:rPr>
          <w:lang w:eastAsia="ja-JP"/>
        </w:rPr>
        <w:t>patients (</w:t>
      </w:r>
      <w:r w:rsidRPr="00F24D18">
        <w:rPr>
          <w:lang w:eastAsia="ja-JP"/>
        </w:rPr>
        <w:t>8.8%</w:t>
      </w:r>
      <w:r>
        <w:rPr>
          <w:lang w:eastAsia="ja-JP"/>
        </w:rPr>
        <w:t>) in th</w:t>
      </w:r>
      <w:r w:rsidRPr="00F24D18">
        <w:rPr>
          <w:lang w:eastAsia="ja-JP"/>
        </w:rPr>
        <w:t>e</w:t>
      </w:r>
      <w:r>
        <w:rPr>
          <w:lang w:eastAsia="ja-JP"/>
        </w:rPr>
        <w:t xml:space="preserve"> </w:t>
      </w:r>
      <w:r w:rsidRPr="00F24D18">
        <w:rPr>
          <w:lang w:eastAsia="ja-JP"/>
        </w:rPr>
        <w:t>c</w:t>
      </w:r>
      <w:r>
        <w:rPr>
          <w:lang w:eastAsia="ja-JP"/>
        </w:rPr>
        <w:t>on</w:t>
      </w:r>
      <w:r w:rsidRPr="00F24D18">
        <w:rPr>
          <w:lang w:eastAsia="ja-JP"/>
        </w:rPr>
        <w:t>ti</w:t>
      </w:r>
      <w:r>
        <w:rPr>
          <w:lang w:eastAsia="ja-JP"/>
        </w:rPr>
        <w:t>nuous Humira subgroup)</w:t>
      </w:r>
      <w:r w:rsidRPr="00F24D18">
        <w:rPr>
          <w:lang w:eastAsia="ja-JP"/>
        </w:rPr>
        <w:t>.</w:t>
      </w:r>
      <w:r>
        <w:rPr>
          <w:lang w:eastAsia="ja-JP"/>
        </w:rPr>
        <w:t xml:space="preserve"> </w:t>
      </w:r>
      <w:r w:rsidRPr="00F24D18">
        <w:rPr>
          <w:lang w:eastAsia="ja-JP"/>
        </w:rPr>
        <w:t xml:space="preserve">At </w:t>
      </w:r>
      <w:r>
        <w:rPr>
          <w:lang w:eastAsia="ja-JP"/>
        </w:rPr>
        <w:t>Week</w:t>
      </w:r>
      <w:r w:rsidRPr="00F24D18">
        <w:rPr>
          <w:lang w:eastAsia="ja-JP"/>
        </w:rPr>
        <w:t xml:space="preserve"> 24, a total of 3 and 5 subjects in the SB5 and Humira treatment groups,</w:t>
      </w:r>
      <w:r>
        <w:rPr>
          <w:lang w:eastAsia="ja-JP"/>
        </w:rPr>
        <w:t xml:space="preserve"> </w:t>
      </w:r>
      <w:r w:rsidRPr="00F24D18">
        <w:rPr>
          <w:lang w:eastAsia="ja-JP"/>
        </w:rPr>
        <w:t xml:space="preserve">respectively, tested positive for anti-dsDNA antibodies. At </w:t>
      </w:r>
      <w:r>
        <w:rPr>
          <w:lang w:eastAsia="ja-JP"/>
        </w:rPr>
        <w:t>Week</w:t>
      </w:r>
      <w:r w:rsidRPr="00F24D18">
        <w:rPr>
          <w:lang w:eastAsia="ja-JP"/>
        </w:rPr>
        <w:t xml:space="preserve"> 52, 6 subjects in the SB5</w:t>
      </w:r>
      <w:r>
        <w:rPr>
          <w:lang w:eastAsia="ja-JP"/>
        </w:rPr>
        <w:t xml:space="preserve"> arm and</w:t>
      </w:r>
      <w:r w:rsidRPr="00F24D18">
        <w:rPr>
          <w:lang w:eastAsia="ja-JP"/>
        </w:rPr>
        <w:t xml:space="preserve"> 2</w:t>
      </w:r>
      <w:r>
        <w:rPr>
          <w:lang w:eastAsia="ja-JP"/>
        </w:rPr>
        <w:t xml:space="preserve"> </w:t>
      </w:r>
      <w:r w:rsidRPr="00F24D18">
        <w:rPr>
          <w:lang w:eastAsia="ja-JP"/>
        </w:rPr>
        <w:t xml:space="preserve">in the </w:t>
      </w:r>
      <w:r>
        <w:rPr>
          <w:lang w:eastAsia="ja-JP"/>
        </w:rPr>
        <w:t xml:space="preserve">overall </w:t>
      </w:r>
      <w:r w:rsidRPr="00F24D18">
        <w:rPr>
          <w:lang w:eastAsia="ja-JP"/>
        </w:rPr>
        <w:t>Humira</w:t>
      </w:r>
      <w:r>
        <w:rPr>
          <w:lang w:eastAsia="ja-JP"/>
        </w:rPr>
        <w:t xml:space="preserve"> cohort</w:t>
      </w:r>
      <w:r w:rsidRPr="00F24D18">
        <w:rPr>
          <w:lang w:eastAsia="ja-JP"/>
        </w:rPr>
        <w:t xml:space="preserve"> </w:t>
      </w:r>
      <w:r>
        <w:rPr>
          <w:lang w:eastAsia="ja-JP"/>
        </w:rPr>
        <w:t xml:space="preserve">(including </w:t>
      </w:r>
      <w:r w:rsidRPr="00F24D18">
        <w:rPr>
          <w:lang w:eastAsia="ja-JP"/>
        </w:rPr>
        <w:t xml:space="preserve">1 </w:t>
      </w:r>
      <w:r>
        <w:rPr>
          <w:lang w:eastAsia="ja-JP"/>
        </w:rPr>
        <w:t xml:space="preserve">subject </w:t>
      </w:r>
      <w:r w:rsidRPr="00F24D18">
        <w:rPr>
          <w:lang w:eastAsia="ja-JP"/>
        </w:rPr>
        <w:t>in e</w:t>
      </w:r>
      <w:r>
        <w:rPr>
          <w:lang w:eastAsia="ja-JP"/>
        </w:rPr>
        <w:t>ach of the s</w:t>
      </w:r>
      <w:r w:rsidRPr="00F24D18">
        <w:rPr>
          <w:lang w:eastAsia="ja-JP"/>
        </w:rPr>
        <w:t>u</w:t>
      </w:r>
      <w:r>
        <w:rPr>
          <w:lang w:eastAsia="ja-JP"/>
        </w:rPr>
        <w:t>b</w:t>
      </w:r>
      <w:r w:rsidRPr="00F24D18">
        <w:rPr>
          <w:lang w:eastAsia="ja-JP"/>
        </w:rPr>
        <w:t>groups</w:t>
      </w:r>
      <w:r>
        <w:rPr>
          <w:lang w:eastAsia="ja-JP"/>
        </w:rPr>
        <w:t>)</w:t>
      </w:r>
      <w:r w:rsidRPr="00F24D18">
        <w:rPr>
          <w:lang w:eastAsia="ja-JP"/>
        </w:rPr>
        <w:t xml:space="preserve"> tested positive</w:t>
      </w:r>
      <w:r>
        <w:rPr>
          <w:lang w:eastAsia="ja-JP"/>
        </w:rPr>
        <w:t xml:space="preserve"> for anti-dsDNA antibodies. Despite the rates of positive ANA and anti-dsDNA serology (within expectations for anti-TNF therapy treated subjects with RA), no subject in Study</w:t>
      </w:r>
      <w:r w:rsidR="007C4788">
        <w:rPr>
          <w:lang w:eastAsia="ja-JP"/>
        </w:rPr>
        <w:t> </w:t>
      </w:r>
      <w:r>
        <w:rPr>
          <w:lang w:eastAsia="ja-JP"/>
        </w:rPr>
        <w:t>SB5</w:t>
      </w:r>
      <w:r w:rsidR="007C4788">
        <w:rPr>
          <w:lang w:eastAsia="ja-JP"/>
        </w:rPr>
        <w:noBreakHyphen/>
      </w:r>
      <w:r>
        <w:rPr>
          <w:lang w:eastAsia="ja-JP"/>
        </w:rPr>
        <w:t>G31</w:t>
      </w:r>
      <w:r w:rsidR="007C4788">
        <w:rPr>
          <w:lang w:eastAsia="ja-JP"/>
        </w:rPr>
        <w:noBreakHyphen/>
      </w:r>
      <w:r>
        <w:rPr>
          <w:lang w:eastAsia="ja-JP"/>
        </w:rPr>
        <w:t>RA developed a lupus like clinical illness.</w:t>
      </w:r>
    </w:p>
    <w:p w14:paraId="2BC351DF" w14:textId="77777777" w:rsidR="00575517" w:rsidRDefault="00575517" w:rsidP="006F6ADA">
      <w:pPr>
        <w:pStyle w:val="Tabletitle0"/>
        <w:rPr>
          <w:lang w:eastAsia="ja-JP"/>
        </w:rPr>
      </w:pPr>
      <w:r>
        <w:rPr>
          <w:lang w:eastAsia="ja-JP"/>
        </w:rPr>
        <w:lastRenderedPageBreak/>
        <w:t xml:space="preserve">Table </w:t>
      </w:r>
      <w:r w:rsidR="003B5224">
        <w:rPr>
          <w:lang w:eastAsia="ja-JP"/>
        </w:rPr>
        <w:t>5</w:t>
      </w:r>
      <w:r>
        <w:rPr>
          <w:lang w:eastAsia="ja-JP"/>
        </w:rPr>
        <w:t xml:space="preserve">: Incidence of ADA and </w:t>
      </w:r>
      <w:proofErr w:type="spellStart"/>
      <w:r>
        <w:rPr>
          <w:lang w:eastAsia="ja-JP"/>
        </w:rPr>
        <w:t>NAb</w:t>
      </w:r>
      <w:proofErr w:type="spellEnd"/>
      <w:r>
        <w:rPr>
          <w:lang w:eastAsia="ja-JP"/>
        </w:rPr>
        <w:t xml:space="preserve"> up to Week 52 in Study SB5-G31-RA</w:t>
      </w:r>
    </w:p>
    <w:p w14:paraId="7F289693" w14:textId="77777777" w:rsidR="00575517" w:rsidRDefault="00575517" w:rsidP="006F6ADA">
      <w:r>
        <w:rPr>
          <w:noProof/>
          <w:lang w:eastAsia="en-AU"/>
        </w:rPr>
        <w:drawing>
          <wp:inline distT="0" distB="0" distL="0" distR="0" wp14:anchorId="48FF2A5B" wp14:editId="0008B935">
            <wp:extent cx="4695825" cy="8229600"/>
            <wp:effectExtent l="0" t="0" r="9525" b="0"/>
            <wp:docPr id="4" name="Picture 4" descr="Table 5: Incidence of ADA and NAb up to Week 52 in Study SB5-G31-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5825" cy="8229600"/>
                    </a:xfrm>
                    <a:prstGeom prst="rect">
                      <a:avLst/>
                    </a:prstGeom>
                  </pic:spPr>
                </pic:pic>
              </a:graphicData>
            </a:graphic>
          </wp:inline>
        </w:drawing>
      </w:r>
    </w:p>
    <w:p w14:paraId="532578F1" w14:textId="77777777" w:rsidR="00575517" w:rsidRPr="00C2074B" w:rsidRDefault="00575517" w:rsidP="00575517">
      <w:pPr>
        <w:pStyle w:val="Heading6"/>
      </w:pPr>
      <w:r>
        <w:lastRenderedPageBreak/>
        <w:t>S</w:t>
      </w:r>
      <w:r w:rsidRPr="00C2074B">
        <w:t>tudy</w:t>
      </w:r>
      <w:r>
        <w:t xml:space="preserve"> SB5-G11-NHV</w:t>
      </w:r>
    </w:p>
    <w:p w14:paraId="5F9D92FC" w14:textId="3335A8DE" w:rsidR="00575517" w:rsidRDefault="00575517" w:rsidP="006F6ADA">
      <w:pPr>
        <w:rPr>
          <w:lang w:eastAsia="ja-JP"/>
        </w:rPr>
      </w:pPr>
      <w:r w:rsidRPr="00F86005">
        <w:rPr>
          <w:lang w:eastAsia="ja-JP"/>
        </w:rPr>
        <w:t xml:space="preserve">A total of 189 healthy subjects </w:t>
      </w:r>
      <w:r>
        <w:rPr>
          <w:lang w:eastAsia="ja-JP"/>
        </w:rPr>
        <w:t xml:space="preserve">aged 18 to 55 years </w:t>
      </w:r>
      <w:r w:rsidRPr="00F86005">
        <w:rPr>
          <w:lang w:eastAsia="ja-JP"/>
        </w:rPr>
        <w:t>were enrolled and randomised int</w:t>
      </w:r>
      <w:r>
        <w:rPr>
          <w:lang w:eastAsia="ja-JP"/>
        </w:rPr>
        <w:t>o this</w:t>
      </w:r>
      <w:r w:rsidRPr="00F86005">
        <w:rPr>
          <w:lang w:eastAsia="ja-JP"/>
        </w:rPr>
        <w:t xml:space="preserve"> </w:t>
      </w:r>
      <w:r>
        <w:rPr>
          <w:lang w:eastAsia="ja-JP"/>
        </w:rPr>
        <w:t>Phase I</w:t>
      </w:r>
      <w:r w:rsidRPr="00F86005">
        <w:rPr>
          <w:lang w:eastAsia="ja-JP"/>
        </w:rPr>
        <w:t xml:space="preserve"> study </w:t>
      </w:r>
      <w:r>
        <w:rPr>
          <w:lang w:eastAsia="ja-JP"/>
        </w:rPr>
        <w:t>(</w:t>
      </w:r>
      <w:r w:rsidRPr="00F86005">
        <w:rPr>
          <w:lang w:eastAsia="ja-JP"/>
        </w:rPr>
        <w:t>63</w:t>
      </w:r>
      <w:r>
        <w:rPr>
          <w:lang w:eastAsia="ja-JP"/>
        </w:rPr>
        <w:t xml:space="preserve"> </w:t>
      </w:r>
      <w:r w:rsidRPr="00F86005">
        <w:rPr>
          <w:lang w:eastAsia="ja-JP"/>
        </w:rPr>
        <w:t>subjects in each group</w:t>
      </w:r>
      <w:r>
        <w:rPr>
          <w:lang w:eastAsia="ja-JP"/>
        </w:rPr>
        <w:t>)</w:t>
      </w:r>
      <w:r w:rsidRPr="00F86005">
        <w:rPr>
          <w:lang w:eastAsia="ja-JP"/>
        </w:rPr>
        <w:t xml:space="preserve">. Blood samples were collected pre-dose, </w:t>
      </w:r>
      <w:r>
        <w:rPr>
          <w:lang w:eastAsia="ja-JP"/>
        </w:rPr>
        <w:t>and Days</w:t>
      </w:r>
      <w:r w:rsidRPr="00F86005">
        <w:rPr>
          <w:lang w:eastAsia="ja-JP"/>
        </w:rPr>
        <w:t xml:space="preserve"> 15 and </w:t>
      </w:r>
      <w:r>
        <w:rPr>
          <w:lang w:eastAsia="ja-JP"/>
        </w:rPr>
        <w:t>7</w:t>
      </w:r>
      <w:r w:rsidRPr="00F86005">
        <w:rPr>
          <w:lang w:eastAsia="ja-JP"/>
        </w:rPr>
        <w:t>1 to determine</w:t>
      </w:r>
      <w:r>
        <w:rPr>
          <w:lang w:eastAsia="ja-JP"/>
        </w:rPr>
        <w:t xml:space="preserve"> </w:t>
      </w:r>
      <w:r w:rsidRPr="00F86005">
        <w:rPr>
          <w:lang w:eastAsia="ja-JP"/>
        </w:rPr>
        <w:t xml:space="preserve">ADA and </w:t>
      </w:r>
      <w:proofErr w:type="spellStart"/>
      <w:r w:rsidRPr="00F86005">
        <w:rPr>
          <w:lang w:eastAsia="ja-JP"/>
        </w:rPr>
        <w:t>NAb</w:t>
      </w:r>
      <w:proofErr w:type="spellEnd"/>
      <w:r w:rsidRPr="00F86005">
        <w:rPr>
          <w:lang w:eastAsia="ja-JP"/>
        </w:rPr>
        <w:t xml:space="preserve"> to adalimumab following a single dose of</w:t>
      </w:r>
      <w:r>
        <w:rPr>
          <w:lang w:eastAsia="ja-JP"/>
        </w:rPr>
        <w:t xml:space="preserve"> </w:t>
      </w:r>
      <w:r w:rsidRPr="00F86005">
        <w:rPr>
          <w:lang w:eastAsia="ja-JP"/>
        </w:rPr>
        <w:t>SB5, EU Humira or</w:t>
      </w:r>
      <w:r>
        <w:rPr>
          <w:lang w:eastAsia="ja-JP"/>
        </w:rPr>
        <w:t xml:space="preserve"> </w:t>
      </w:r>
      <w:r w:rsidRPr="00F86005">
        <w:rPr>
          <w:lang w:eastAsia="ja-JP"/>
        </w:rPr>
        <w:t>US Humira.</w:t>
      </w:r>
      <w:r>
        <w:rPr>
          <w:lang w:eastAsia="ja-JP"/>
        </w:rPr>
        <w:t xml:space="preserve"> At baseline p</w:t>
      </w:r>
      <w:r w:rsidRPr="00F86005">
        <w:rPr>
          <w:lang w:eastAsia="ja-JP"/>
        </w:rPr>
        <w:t>re-dose, 12 subjects were positive for ADA</w:t>
      </w:r>
      <w:r>
        <w:rPr>
          <w:lang w:eastAsia="ja-JP"/>
        </w:rPr>
        <w:t xml:space="preserve">: </w:t>
      </w:r>
      <w:r w:rsidRPr="00F86005">
        <w:rPr>
          <w:lang w:eastAsia="ja-JP"/>
        </w:rPr>
        <w:t>5</w:t>
      </w:r>
      <w:r w:rsidR="007C4788">
        <w:rPr>
          <w:lang w:eastAsia="ja-JP"/>
        </w:rPr>
        <w:t> </w:t>
      </w:r>
      <w:r w:rsidRPr="00F86005">
        <w:rPr>
          <w:lang w:eastAsia="ja-JP"/>
        </w:rPr>
        <w:t>subjects in the SB5</w:t>
      </w:r>
      <w:r>
        <w:rPr>
          <w:lang w:eastAsia="ja-JP"/>
        </w:rPr>
        <w:t xml:space="preserve"> g</w:t>
      </w:r>
      <w:r w:rsidRPr="00F86005">
        <w:rPr>
          <w:lang w:eastAsia="ja-JP"/>
        </w:rPr>
        <w:t>roup, 2 in the EU Humira</w:t>
      </w:r>
      <w:r>
        <w:rPr>
          <w:lang w:eastAsia="ja-JP"/>
        </w:rPr>
        <w:t xml:space="preserve"> </w:t>
      </w:r>
      <w:r w:rsidRPr="00F86005">
        <w:rPr>
          <w:lang w:eastAsia="ja-JP"/>
        </w:rPr>
        <w:t>a</w:t>
      </w:r>
      <w:r>
        <w:rPr>
          <w:lang w:eastAsia="ja-JP"/>
        </w:rPr>
        <w:t>r</w:t>
      </w:r>
      <w:r w:rsidRPr="00F86005">
        <w:rPr>
          <w:lang w:eastAsia="ja-JP"/>
        </w:rPr>
        <w:t>m and 5 subjects in the US Humira</w:t>
      </w:r>
      <w:r>
        <w:rPr>
          <w:lang w:eastAsia="ja-JP"/>
        </w:rPr>
        <w:t xml:space="preserve"> </w:t>
      </w:r>
      <w:r w:rsidRPr="00F86005">
        <w:rPr>
          <w:lang w:eastAsia="ja-JP"/>
        </w:rPr>
        <w:t>group</w:t>
      </w:r>
      <w:r>
        <w:rPr>
          <w:lang w:eastAsia="ja-JP"/>
        </w:rPr>
        <w:t>.</w:t>
      </w:r>
    </w:p>
    <w:p w14:paraId="3B1CBACB" w14:textId="77777777" w:rsidR="00575517" w:rsidRDefault="00575517" w:rsidP="006F6ADA">
      <w:pPr>
        <w:rPr>
          <w:lang w:eastAsia="ja-JP"/>
        </w:rPr>
      </w:pPr>
      <w:r>
        <w:rPr>
          <w:lang w:eastAsia="ja-JP"/>
        </w:rPr>
        <w:t xml:space="preserve">As summarised in Table </w:t>
      </w:r>
      <w:r w:rsidR="003B5224">
        <w:rPr>
          <w:lang w:eastAsia="ja-JP"/>
        </w:rPr>
        <w:t>6</w:t>
      </w:r>
      <w:r>
        <w:rPr>
          <w:lang w:eastAsia="ja-JP"/>
        </w:rPr>
        <w:t xml:space="preserve">, the majority of subjects (&gt; 95% in each of the 3 treatment groups) developed ADA post dose with no statistical differences between the arms for the incidence of ADA. </w:t>
      </w:r>
      <w:r w:rsidRPr="00F86005">
        <w:rPr>
          <w:lang w:eastAsia="ja-JP"/>
        </w:rPr>
        <w:t xml:space="preserve">The incidence of </w:t>
      </w:r>
      <w:r>
        <w:rPr>
          <w:lang w:eastAsia="ja-JP"/>
        </w:rPr>
        <w:t>post dose</w:t>
      </w:r>
      <w:r w:rsidRPr="00F86005">
        <w:rPr>
          <w:lang w:eastAsia="ja-JP"/>
        </w:rPr>
        <w:t xml:space="preserve"> </w:t>
      </w:r>
      <w:proofErr w:type="spellStart"/>
      <w:r w:rsidRPr="00F86005">
        <w:rPr>
          <w:lang w:eastAsia="ja-JP"/>
        </w:rPr>
        <w:t>NAbs</w:t>
      </w:r>
      <w:proofErr w:type="spellEnd"/>
      <w:r w:rsidRPr="00F86005">
        <w:rPr>
          <w:lang w:eastAsia="ja-JP"/>
        </w:rPr>
        <w:t xml:space="preserve"> was </w:t>
      </w:r>
      <w:r>
        <w:rPr>
          <w:lang w:eastAsia="ja-JP"/>
        </w:rPr>
        <w:t xml:space="preserve">also high </w:t>
      </w:r>
      <w:r w:rsidRPr="00F86005">
        <w:rPr>
          <w:lang w:eastAsia="ja-JP"/>
        </w:rPr>
        <w:t>in e</w:t>
      </w:r>
      <w:r>
        <w:rPr>
          <w:lang w:eastAsia="ja-JP"/>
        </w:rPr>
        <w:t>ach of the</w:t>
      </w:r>
      <w:r w:rsidRPr="00F86005">
        <w:rPr>
          <w:lang w:eastAsia="ja-JP"/>
        </w:rPr>
        <w:t xml:space="preserve"> treatment groups </w:t>
      </w:r>
      <w:r>
        <w:rPr>
          <w:lang w:eastAsia="ja-JP"/>
        </w:rPr>
        <w:t xml:space="preserve">with no statistically significant differences between the </w:t>
      </w:r>
      <w:r w:rsidRPr="00F86005">
        <w:rPr>
          <w:lang w:eastAsia="ja-JP"/>
        </w:rPr>
        <w:t>a</w:t>
      </w:r>
      <w:r>
        <w:rPr>
          <w:lang w:eastAsia="ja-JP"/>
        </w:rPr>
        <w:t>rms</w:t>
      </w:r>
      <w:r w:rsidRPr="00F86005">
        <w:rPr>
          <w:lang w:eastAsia="ja-JP"/>
        </w:rPr>
        <w:t>. In the SB5 group, 79.0%</w:t>
      </w:r>
      <w:r>
        <w:rPr>
          <w:lang w:eastAsia="ja-JP"/>
        </w:rPr>
        <w:t xml:space="preserve"> (49/62) of</w:t>
      </w:r>
      <w:r w:rsidRPr="00F86005">
        <w:rPr>
          <w:lang w:eastAsia="ja-JP"/>
        </w:rPr>
        <w:t xml:space="preserve"> subjects had a positive result for </w:t>
      </w:r>
      <w:proofErr w:type="spellStart"/>
      <w:r w:rsidRPr="00F86005">
        <w:rPr>
          <w:lang w:eastAsia="ja-JP"/>
        </w:rPr>
        <w:t>NAb</w:t>
      </w:r>
      <w:proofErr w:type="spellEnd"/>
      <w:r>
        <w:rPr>
          <w:lang w:eastAsia="ja-JP"/>
        </w:rPr>
        <w:t>, which was numerically slightly</w:t>
      </w:r>
      <w:r w:rsidRPr="00F86005">
        <w:rPr>
          <w:lang w:eastAsia="ja-JP"/>
        </w:rPr>
        <w:t xml:space="preserve"> </w:t>
      </w:r>
      <w:r>
        <w:rPr>
          <w:lang w:eastAsia="ja-JP"/>
        </w:rPr>
        <w:t>l</w:t>
      </w:r>
      <w:r w:rsidRPr="00F86005">
        <w:rPr>
          <w:lang w:eastAsia="ja-JP"/>
        </w:rPr>
        <w:t>o</w:t>
      </w:r>
      <w:r>
        <w:rPr>
          <w:lang w:eastAsia="ja-JP"/>
        </w:rPr>
        <w:t>w</w:t>
      </w:r>
      <w:r w:rsidRPr="00F86005">
        <w:rPr>
          <w:lang w:eastAsia="ja-JP"/>
        </w:rPr>
        <w:t>er</w:t>
      </w:r>
      <w:r>
        <w:rPr>
          <w:lang w:eastAsia="ja-JP"/>
        </w:rPr>
        <w:t xml:space="preserve"> than that reported for the 2 </w:t>
      </w:r>
      <w:r w:rsidRPr="00F86005">
        <w:rPr>
          <w:lang w:eastAsia="ja-JP"/>
        </w:rPr>
        <w:t xml:space="preserve">Humira groups </w:t>
      </w:r>
      <w:r>
        <w:rPr>
          <w:lang w:eastAsia="ja-JP"/>
        </w:rPr>
        <w:t>(80.0% (48/60) for EU Humira a</w:t>
      </w:r>
      <w:r w:rsidRPr="00F86005">
        <w:rPr>
          <w:lang w:eastAsia="ja-JP"/>
        </w:rPr>
        <w:t>n</w:t>
      </w:r>
      <w:r>
        <w:rPr>
          <w:lang w:eastAsia="ja-JP"/>
        </w:rPr>
        <w:t xml:space="preserve">d </w:t>
      </w:r>
      <w:r w:rsidRPr="00F86005">
        <w:rPr>
          <w:lang w:eastAsia="ja-JP"/>
        </w:rPr>
        <w:t>82.5%</w:t>
      </w:r>
      <w:r>
        <w:rPr>
          <w:lang w:eastAsia="ja-JP"/>
        </w:rPr>
        <w:t xml:space="preserve"> (52/63) fo</w:t>
      </w:r>
      <w:r w:rsidRPr="00F86005">
        <w:rPr>
          <w:lang w:eastAsia="ja-JP"/>
        </w:rPr>
        <w:t>r</w:t>
      </w:r>
      <w:r>
        <w:rPr>
          <w:lang w:eastAsia="ja-JP"/>
        </w:rPr>
        <w:t xml:space="preserve"> US sourced Humira)</w:t>
      </w:r>
      <w:r w:rsidRPr="00F86005">
        <w:rPr>
          <w:lang w:eastAsia="ja-JP"/>
        </w:rPr>
        <w:t>.</w:t>
      </w:r>
    </w:p>
    <w:p w14:paraId="5836D124" w14:textId="6AA60A3B" w:rsidR="00575517" w:rsidRDefault="00575517" w:rsidP="006F6ADA">
      <w:pPr>
        <w:rPr>
          <w:lang w:eastAsia="ja-JP"/>
        </w:rPr>
      </w:pPr>
      <w:r>
        <w:rPr>
          <w:lang w:eastAsia="ja-JP"/>
        </w:rPr>
        <w:t>Overall, 176 AEs were reported in 103 (</w:t>
      </w:r>
      <w:r w:rsidR="00C571FF">
        <w:rPr>
          <w:lang w:eastAsia="ja-JP"/>
        </w:rPr>
        <w:t>54.5% of 189</w:t>
      </w:r>
      <w:r>
        <w:rPr>
          <w:lang w:eastAsia="ja-JP"/>
        </w:rPr>
        <w:t>) ADA positive subjects compared to 3 AEs recorded in 1 (</w:t>
      </w:r>
      <w:r w:rsidR="00C571FF">
        <w:rPr>
          <w:lang w:eastAsia="ja-JP"/>
        </w:rPr>
        <w:t>0.5% of 189</w:t>
      </w:r>
      <w:r>
        <w:rPr>
          <w:lang w:eastAsia="ja-JP"/>
        </w:rPr>
        <w:t xml:space="preserve">) ADA negative subjects. Like the overall study cohort, the 2 most common types of AEs by </w:t>
      </w:r>
      <w:r w:rsidR="004718B9">
        <w:t>Preferred T</w:t>
      </w:r>
      <w:r w:rsidR="005A0780">
        <w:t>erm</w:t>
      </w:r>
      <w:r w:rsidR="005A0780">
        <w:rPr>
          <w:lang w:eastAsia="ja-JP"/>
        </w:rPr>
        <w:t xml:space="preserve"> (</w:t>
      </w:r>
      <w:r>
        <w:rPr>
          <w:lang w:eastAsia="ja-JP"/>
        </w:rPr>
        <w:t>PT</w:t>
      </w:r>
      <w:r w:rsidR="005A0780">
        <w:rPr>
          <w:lang w:eastAsia="ja-JP"/>
        </w:rPr>
        <w:t>)</w:t>
      </w:r>
      <w:r>
        <w:rPr>
          <w:lang w:eastAsia="ja-JP"/>
        </w:rPr>
        <w:t xml:space="preserve"> reported in ADA positive subjects were nasopharyngitis (30 AEs in 30 subjects) and headache (26 AEs in 22 subjects).</w:t>
      </w:r>
    </w:p>
    <w:p w14:paraId="4A023249" w14:textId="77777777" w:rsidR="00575517" w:rsidRDefault="00575517" w:rsidP="006F6ADA">
      <w:pPr>
        <w:pStyle w:val="Tabletitle0"/>
        <w:rPr>
          <w:lang w:eastAsia="ja-JP"/>
        </w:rPr>
      </w:pPr>
      <w:r>
        <w:rPr>
          <w:lang w:eastAsia="ja-JP"/>
        </w:rPr>
        <w:t xml:space="preserve">Table </w:t>
      </w:r>
      <w:r w:rsidR="003B5224">
        <w:rPr>
          <w:lang w:eastAsia="ja-JP"/>
        </w:rPr>
        <w:t>6</w:t>
      </w:r>
      <w:r>
        <w:rPr>
          <w:lang w:eastAsia="ja-JP"/>
        </w:rPr>
        <w:t xml:space="preserve">: </w:t>
      </w:r>
      <w:r w:rsidRPr="006F6ADA">
        <w:t>Incidence</w:t>
      </w:r>
      <w:r>
        <w:rPr>
          <w:lang w:eastAsia="ja-JP"/>
        </w:rPr>
        <w:t xml:space="preserve"> of ADA and </w:t>
      </w:r>
      <w:proofErr w:type="spellStart"/>
      <w:r>
        <w:rPr>
          <w:lang w:eastAsia="ja-JP"/>
        </w:rPr>
        <w:t>NAb</w:t>
      </w:r>
      <w:proofErr w:type="spellEnd"/>
      <w:r>
        <w:rPr>
          <w:lang w:eastAsia="ja-JP"/>
        </w:rPr>
        <w:t xml:space="preserve"> at each tested time point in Study SB5-G11-NHV</w:t>
      </w:r>
    </w:p>
    <w:p w14:paraId="514FFD0D" w14:textId="77777777" w:rsidR="00575517" w:rsidRDefault="00575517" w:rsidP="006F6ADA">
      <w:r>
        <w:rPr>
          <w:noProof/>
          <w:lang w:eastAsia="en-AU"/>
        </w:rPr>
        <w:drawing>
          <wp:inline distT="0" distB="0" distL="0" distR="0" wp14:anchorId="69B5D90E" wp14:editId="0054CDC6">
            <wp:extent cx="5086634" cy="3920947"/>
            <wp:effectExtent l="0" t="0" r="0" b="3810"/>
            <wp:docPr id="5" name="Picture 5" descr="Table 6: Incidence of ADA and NAb at each tested time point in Study SB5-G11-N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87975" cy="3921981"/>
                    </a:xfrm>
                    <a:prstGeom prst="rect">
                      <a:avLst/>
                    </a:prstGeom>
                  </pic:spPr>
                </pic:pic>
              </a:graphicData>
            </a:graphic>
          </wp:inline>
        </w:drawing>
      </w:r>
    </w:p>
    <w:p w14:paraId="04ABB019" w14:textId="77777777" w:rsidR="00575517" w:rsidRPr="007E05E6" w:rsidRDefault="00575517" w:rsidP="006F6ADA">
      <w:pPr>
        <w:pStyle w:val="Heading4"/>
      </w:pPr>
      <w:bookmarkStart w:id="172" w:name="_Toc272414686"/>
      <w:bookmarkStart w:id="173" w:name="_Ref273005527"/>
      <w:bookmarkStart w:id="174" w:name="_Toc290888550"/>
      <w:bookmarkStart w:id="175" w:name="_Toc416353765"/>
      <w:bookmarkStart w:id="176" w:name="_Toc421005308"/>
      <w:bookmarkStart w:id="177" w:name="_Toc432079179"/>
      <w:bookmarkStart w:id="178" w:name="_Toc432080752"/>
      <w:bookmarkStart w:id="179" w:name="_Toc493594534"/>
      <w:r w:rsidRPr="007E05E6">
        <w:t xml:space="preserve">Other safety </w:t>
      </w:r>
      <w:r w:rsidRPr="006F6ADA">
        <w:t>issues</w:t>
      </w:r>
      <w:bookmarkEnd w:id="172"/>
      <w:bookmarkEnd w:id="173"/>
      <w:bookmarkEnd w:id="174"/>
      <w:bookmarkEnd w:id="175"/>
      <w:bookmarkEnd w:id="176"/>
      <w:bookmarkEnd w:id="177"/>
      <w:bookmarkEnd w:id="178"/>
      <w:bookmarkEnd w:id="179"/>
    </w:p>
    <w:p w14:paraId="498F506D" w14:textId="77777777" w:rsidR="00575517" w:rsidRPr="007E05E6" w:rsidRDefault="00575517" w:rsidP="00575517">
      <w:pPr>
        <w:pStyle w:val="Heading5"/>
      </w:pPr>
      <w:bookmarkStart w:id="180" w:name="_Toc241374322"/>
      <w:bookmarkStart w:id="181" w:name="_Ref272331212"/>
      <w:bookmarkStart w:id="182" w:name="_Toc272414687"/>
      <w:bookmarkStart w:id="183" w:name="_Toc290888551"/>
      <w:bookmarkStart w:id="184" w:name="_Toc416353766"/>
      <w:bookmarkStart w:id="185" w:name="_Toc421005309"/>
      <w:bookmarkStart w:id="186" w:name="_Toc432079180"/>
      <w:bookmarkStart w:id="187" w:name="_Toc432080753"/>
      <w:r w:rsidRPr="007E05E6">
        <w:t>Safety in special populations</w:t>
      </w:r>
      <w:bookmarkEnd w:id="180"/>
      <w:bookmarkEnd w:id="181"/>
      <w:bookmarkEnd w:id="182"/>
      <w:bookmarkEnd w:id="183"/>
      <w:bookmarkEnd w:id="184"/>
      <w:bookmarkEnd w:id="185"/>
      <w:bookmarkEnd w:id="186"/>
      <w:bookmarkEnd w:id="187"/>
    </w:p>
    <w:p w14:paraId="1A0D38EC" w14:textId="7EE359B7" w:rsidR="00575517" w:rsidRDefault="00575517" w:rsidP="006F6ADA">
      <w:bookmarkStart w:id="188" w:name="_Toc241374324"/>
      <w:bookmarkStart w:id="189" w:name="_Ref272331214"/>
      <w:bookmarkStart w:id="190" w:name="_Toc272414688"/>
      <w:bookmarkStart w:id="191" w:name="_Toc290888552"/>
      <w:bookmarkStart w:id="192" w:name="_Toc416353767"/>
      <w:bookmarkStart w:id="193" w:name="_Toc421005310"/>
      <w:bookmarkStart w:id="194" w:name="_Toc432079181"/>
      <w:bookmarkStart w:id="195" w:name="_Toc432080754"/>
      <w:r w:rsidRPr="007E05E6">
        <w:t xml:space="preserve">No pregnancies were reported during the clinical </w:t>
      </w:r>
      <w:r>
        <w:t>Phase I</w:t>
      </w:r>
      <w:r w:rsidRPr="007E05E6">
        <w:t xml:space="preserve"> </w:t>
      </w:r>
      <w:r>
        <w:t>and III</w:t>
      </w:r>
      <w:r w:rsidRPr="007E05E6">
        <w:t xml:space="preserve"> studies with </w:t>
      </w:r>
      <w:r w:rsidR="00321955">
        <w:t>Hadlima</w:t>
      </w:r>
      <w:r w:rsidRPr="007E05E6">
        <w:t>, and the proposed PI is consistent with the reference drug (Humira) in recommending that women of childbearing potential use adequate contraception during and for at least 5</w:t>
      </w:r>
      <w:r w:rsidR="007C4788">
        <w:t> </w:t>
      </w:r>
      <w:r w:rsidRPr="007E05E6">
        <w:t>months after their last adalimumab injection</w:t>
      </w:r>
      <w:r>
        <w:t>.</w:t>
      </w:r>
    </w:p>
    <w:p w14:paraId="084D689D" w14:textId="77777777" w:rsidR="00575517" w:rsidRDefault="00575517" w:rsidP="006F6ADA">
      <w:r w:rsidRPr="007E05E6">
        <w:lastRenderedPageBreak/>
        <w:t xml:space="preserve">There is no available information on the safety of adalimumab in the setting of administration of live vaccines and the sponsor has acknowledged this in the submission and the proposed PI. There is also limited safety experience in patients undergoing surgical procedures (including elective joint arthroplasty). Study SB5-G31-RA excluded subjects with a history of an infected joint prosthesis, which has not been removed or replaced. Patients with known hypersensitivity to adalimumab or other components of Humira were not included in the clinical studies for </w:t>
      </w:r>
      <w:r w:rsidR="00321955">
        <w:t>Hadlima</w:t>
      </w:r>
      <w:r w:rsidRPr="007E05E6">
        <w:t xml:space="preserve"> as the prior use of any biologic DMARD (including Humira) was an exclusion criterion</w:t>
      </w:r>
      <w:r>
        <w:t>.</w:t>
      </w:r>
    </w:p>
    <w:p w14:paraId="1CB30F53" w14:textId="0437AE74" w:rsidR="00575517" w:rsidRPr="007E05E6" w:rsidRDefault="00575517" w:rsidP="00575517">
      <w:r w:rsidRPr="007E05E6">
        <w:t>Subgroup analysis of overall treatment emergent AEs in the safety population in Study SB5-G31-RA (up to 52 weeks of drug exposure) has not revealed any potential risk factors for overall AEs. Howe</w:t>
      </w:r>
      <w:r w:rsidRPr="006F6ADA">
        <w:t>v</w:t>
      </w:r>
      <w:r w:rsidRPr="007E05E6">
        <w:t xml:space="preserve">er, there is a slightly higher incidence of AEs in the </w:t>
      </w:r>
      <w:r w:rsidR="004718B9">
        <w:t>System Organ Class</w:t>
      </w:r>
      <w:r w:rsidR="004718B9" w:rsidRPr="007E05E6">
        <w:t xml:space="preserve"> </w:t>
      </w:r>
      <w:r w:rsidR="005A0780">
        <w:t>(</w:t>
      </w:r>
      <w:r w:rsidRPr="007E05E6">
        <w:t>SOC</w:t>
      </w:r>
      <w:r w:rsidR="005A0780">
        <w:t>)</w:t>
      </w:r>
      <w:r w:rsidRPr="007E05E6">
        <w:t xml:space="preserve"> of infection for older patients (age </w:t>
      </w:r>
      <w:r>
        <w:t xml:space="preserve">&gt; </w:t>
      </w:r>
      <w:r w:rsidRPr="007E05E6">
        <w:t xml:space="preserve">65 years versus </w:t>
      </w:r>
      <w:r>
        <w:t xml:space="preserve">&lt; </w:t>
      </w:r>
      <w:r w:rsidRPr="007E05E6">
        <w:t>65 years), which is an expected finding regardless of therapy for RA.</w:t>
      </w:r>
    </w:p>
    <w:p w14:paraId="1C5FB726" w14:textId="77777777" w:rsidR="00575517" w:rsidRPr="007E05E6" w:rsidRDefault="00575517" w:rsidP="006F6ADA">
      <w:pPr>
        <w:pStyle w:val="Heading5"/>
      </w:pPr>
      <w:r w:rsidRPr="007E05E6">
        <w:t xml:space="preserve">Safety related </w:t>
      </w:r>
      <w:r w:rsidRPr="006F6ADA">
        <w:t>to</w:t>
      </w:r>
      <w:r w:rsidRPr="007E05E6">
        <w:t xml:space="preserve"> drug-drug interactions and other interactions</w:t>
      </w:r>
      <w:bookmarkEnd w:id="188"/>
      <w:bookmarkEnd w:id="189"/>
      <w:bookmarkEnd w:id="190"/>
      <w:bookmarkEnd w:id="191"/>
      <w:bookmarkEnd w:id="192"/>
      <w:bookmarkEnd w:id="193"/>
      <w:bookmarkEnd w:id="194"/>
      <w:bookmarkEnd w:id="195"/>
    </w:p>
    <w:p w14:paraId="1F01F809" w14:textId="672C58A7" w:rsidR="00575517" w:rsidRPr="00500337" w:rsidRDefault="00575517" w:rsidP="00500337">
      <w:r w:rsidRPr="007E05E6">
        <w:t xml:space="preserve">Consistent with the EMA guideline on biosimilar medicines, the sponsor has not conducted any specific drug-drug interaction studies with </w:t>
      </w:r>
      <w:r w:rsidR="00321955">
        <w:t>Hadlima</w:t>
      </w:r>
      <w:r w:rsidRPr="007E05E6">
        <w:t>. In the proposed PI and CMI, the sponsor has included the warning recommendati</w:t>
      </w:r>
      <w:r w:rsidRPr="006F6ADA">
        <w:t>o</w:t>
      </w:r>
      <w:r w:rsidRPr="007E05E6">
        <w:t xml:space="preserve">n of the </w:t>
      </w:r>
      <w:proofErr w:type="spellStart"/>
      <w:r w:rsidRPr="007E05E6">
        <w:t>Humira</w:t>
      </w:r>
      <w:proofErr w:type="spellEnd"/>
      <w:r w:rsidRPr="007E05E6">
        <w:t xml:space="preserve"> PI stating that concurrent administration of adalimumab with other biologic DMARDs (in particular, anti</w:t>
      </w:r>
      <w:r w:rsidR="00186C65">
        <w:noBreakHyphen/>
      </w:r>
      <w:r w:rsidRPr="007E05E6">
        <w:t xml:space="preserve">TNF drugs and </w:t>
      </w:r>
      <w:proofErr w:type="spellStart"/>
      <w:r w:rsidRPr="007E05E6">
        <w:t>anakinra</w:t>
      </w:r>
      <w:proofErr w:type="spellEnd"/>
      <w:r w:rsidRPr="007E05E6">
        <w:t>) is not recommended as studies have shown an increased risk of serious infection with no added clinical benefit</w:t>
      </w:r>
      <w:r>
        <w:t>.</w:t>
      </w:r>
    </w:p>
    <w:p w14:paraId="299532D5" w14:textId="4F82803B" w:rsidR="00605AD4" w:rsidRDefault="00605AD4" w:rsidP="006F6ADA">
      <w:pPr>
        <w:pStyle w:val="Heading4"/>
      </w:pPr>
      <w:r w:rsidRPr="00605AD4">
        <w:t>Post</w:t>
      </w:r>
      <w:r w:rsidR="00227092">
        <w:t>-</w:t>
      </w:r>
      <w:r w:rsidRPr="006F6ADA">
        <w:t>marketing</w:t>
      </w:r>
      <w:r w:rsidRPr="00605AD4">
        <w:t xml:space="preserve"> data</w:t>
      </w:r>
    </w:p>
    <w:p w14:paraId="5BCBECBE" w14:textId="77777777" w:rsidR="00500337" w:rsidRPr="00500337" w:rsidRDefault="00575517" w:rsidP="006F6ADA">
      <w:r w:rsidRPr="007E05E6">
        <w:t xml:space="preserve">Not applicable as </w:t>
      </w:r>
      <w:r w:rsidR="00321955">
        <w:t>Hadlima</w:t>
      </w:r>
      <w:r w:rsidRPr="007E05E6">
        <w:t xml:space="preserve"> has not been approved or marketed in any country as of yet. However, there is a large volume of long-term clinical experience with Humira in the requested treatment indications to indicate that if </w:t>
      </w:r>
      <w:r w:rsidR="00321955">
        <w:t>Hadlima</w:t>
      </w:r>
      <w:r w:rsidRPr="007E05E6">
        <w:t xml:space="preserve"> meets the criteria for biosimilarity with Humira (reference product), then a predictable positive benefit: risk assessment can be concluded</w:t>
      </w:r>
      <w:r>
        <w:t>.</w:t>
      </w:r>
    </w:p>
    <w:p w14:paraId="39462D49" w14:textId="77777777" w:rsidR="00605AD4" w:rsidRPr="00605AD4" w:rsidRDefault="00605AD4" w:rsidP="00605AD4">
      <w:pPr>
        <w:pStyle w:val="Heading4"/>
      </w:pPr>
      <w:r w:rsidRPr="00605AD4">
        <w:t>Evaluator’s conclusions on safety</w:t>
      </w:r>
    </w:p>
    <w:p w14:paraId="54441173" w14:textId="2B51E792" w:rsidR="00575517" w:rsidRDefault="00575517" w:rsidP="006F6ADA">
      <w:r w:rsidRPr="00EB246B">
        <w:t xml:space="preserve">The safety profile of </w:t>
      </w:r>
      <w:r>
        <w:t>anti-</w:t>
      </w:r>
      <w:r w:rsidRPr="00EB246B">
        <w:t xml:space="preserve">TNF </w:t>
      </w:r>
      <w:r>
        <w:t>d</w:t>
      </w:r>
      <w:r w:rsidRPr="00EB246B">
        <w:t>r</w:t>
      </w:r>
      <w:r>
        <w:t>ug</w:t>
      </w:r>
      <w:r w:rsidRPr="00EB246B">
        <w:t>s</w:t>
      </w:r>
      <w:r>
        <w:t>, including adalimumab, is well characterised</w:t>
      </w:r>
      <w:r w:rsidRPr="00EB246B">
        <w:t xml:space="preserve"> in the published literature</w:t>
      </w:r>
      <w:r>
        <w:t>.</w:t>
      </w:r>
      <w:r w:rsidRPr="00EB246B">
        <w:t xml:space="preserve"> </w:t>
      </w:r>
      <w:r>
        <w:t xml:space="preserve">In this submission for the registration of </w:t>
      </w:r>
      <w:r w:rsidR="00321955">
        <w:t>Hadlima</w:t>
      </w:r>
      <w:r>
        <w:t xml:space="preserve"> </w:t>
      </w:r>
      <w:r w:rsidR="00321955">
        <w:t xml:space="preserve">(SB5) </w:t>
      </w:r>
      <w:r>
        <w:t>(biosimilar medicine of Humira), t</w:t>
      </w:r>
      <w:r w:rsidRPr="00E10B66">
        <w:t xml:space="preserve">he </w:t>
      </w:r>
      <w:r>
        <w:t xml:space="preserve">principal </w:t>
      </w:r>
      <w:r w:rsidRPr="00E10B66">
        <w:t>sa</w:t>
      </w:r>
      <w:r>
        <w:t>fety population consisted of 541</w:t>
      </w:r>
      <w:r w:rsidRPr="00E10B66">
        <w:t xml:space="preserve"> </w:t>
      </w:r>
      <w:r>
        <w:t xml:space="preserve">adult </w:t>
      </w:r>
      <w:r w:rsidRPr="00E10B66">
        <w:t xml:space="preserve">patients </w:t>
      </w:r>
      <w:r>
        <w:t xml:space="preserve">with active RA who </w:t>
      </w:r>
      <w:r w:rsidRPr="00E10B66">
        <w:t>re</w:t>
      </w:r>
      <w:r>
        <w:t>ceived at least 1 dose of either SB5 or EU sourced Humira during the Phase III clinical trial SB5-G31-RA</w:t>
      </w:r>
      <w:r w:rsidRPr="00E10B66">
        <w:t xml:space="preserve">. </w:t>
      </w:r>
      <w:r>
        <w:t>Of t</w:t>
      </w:r>
      <w:r w:rsidRPr="00E10B66">
        <w:t xml:space="preserve">hese </w:t>
      </w:r>
      <w:r>
        <w:t xml:space="preserve">patients, 268 received </w:t>
      </w:r>
      <w:r w:rsidRPr="00E10B66">
        <w:t>treat</w:t>
      </w:r>
      <w:r>
        <w:t>ment with SB5 for a mean duration of 334 days (11 months) and 273 subjects were given Humira for a mean duration of 325 days (10.5 months). In addition, 379 healthy subjects aged between 18 and 55 years w</w:t>
      </w:r>
      <w:r w:rsidRPr="00E10B66">
        <w:t>ere</w:t>
      </w:r>
      <w:r>
        <w:t xml:space="preserve"> evaluated in the 2, single dose, Phase I studies (SB5-G11-NHV and SB5</w:t>
      </w:r>
      <w:r w:rsidR="007C4788">
        <w:noBreakHyphen/>
      </w:r>
      <w:r>
        <w:t>G12-NHV) and 49 subjects with RA received up to 6 doses of 40 mg of SB5 fortnightly. Overall, the size of the</w:t>
      </w:r>
      <w:r w:rsidRPr="00E10B66">
        <w:t xml:space="preserve"> safety population</w:t>
      </w:r>
      <w:r>
        <w:t xml:space="preserve"> </w:t>
      </w:r>
      <w:r w:rsidRPr="00E10B66">
        <w:t>and the durati</w:t>
      </w:r>
      <w:r>
        <w:t>on of exposure to SB5 meet</w:t>
      </w:r>
      <w:r w:rsidRPr="00E10B66">
        <w:t xml:space="preserve"> </w:t>
      </w:r>
      <w:r>
        <w:t>the regulatory</w:t>
      </w:r>
      <w:r w:rsidRPr="00E10B66">
        <w:t xml:space="preserve"> guidelines (CPMP/EWP/556/95rev1/FINAL)</w:t>
      </w:r>
      <w:r>
        <w:t xml:space="preserve"> for presenting a safety population</w:t>
      </w:r>
      <w:r w:rsidRPr="00E10B66">
        <w:t xml:space="preserve"> of sufficient size and </w:t>
      </w:r>
      <w:r>
        <w:t xml:space="preserve">follow-up duration to </w:t>
      </w:r>
      <w:r w:rsidRPr="00E10B66">
        <w:t>a</w:t>
      </w:r>
      <w:r>
        <w:t xml:space="preserve">ssess </w:t>
      </w:r>
      <w:r w:rsidRPr="00E10B66">
        <w:t>f</w:t>
      </w:r>
      <w:r>
        <w:t>or possible registration.</w:t>
      </w:r>
    </w:p>
    <w:p w14:paraId="525E5100" w14:textId="002D8AE8" w:rsidR="00575517" w:rsidRDefault="00575517" w:rsidP="006F6ADA">
      <w:r>
        <w:t xml:space="preserve">The most frequently reported treatment emergent </w:t>
      </w:r>
      <w:r w:rsidRPr="00E10B66">
        <w:t>AE</w:t>
      </w:r>
      <w:r>
        <w:t>s</w:t>
      </w:r>
      <w:r w:rsidRPr="00E10B66">
        <w:t xml:space="preserve"> </w:t>
      </w:r>
      <w:r>
        <w:t>(</w:t>
      </w:r>
      <w:r w:rsidRPr="00E10B66">
        <w:t xml:space="preserve">experienced by </w:t>
      </w:r>
      <w:r w:rsidR="00C05C12">
        <w:t xml:space="preserve">≥ </w:t>
      </w:r>
      <w:r>
        <w:t>5</w:t>
      </w:r>
      <w:r w:rsidRPr="00E10B66">
        <w:t>% of patients</w:t>
      </w:r>
      <w:r>
        <w:t>)</w:t>
      </w:r>
      <w:r w:rsidRPr="00E10B66">
        <w:t xml:space="preserve"> </w:t>
      </w:r>
      <w:r>
        <w:t xml:space="preserve">in Study SB5-G31-RA </w:t>
      </w:r>
      <w:r w:rsidRPr="00E10B66">
        <w:t xml:space="preserve">were </w:t>
      </w:r>
      <w:r>
        <w:t xml:space="preserve">in </w:t>
      </w:r>
      <w:r w:rsidRPr="00E10B66">
        <w:t xml:space="preserve">the SOCs </w:t>
      </w:r>
      <w:r>
        <w:t>of infection, musculoskeletal disorders, nervous system disorders,</w:t>
      </w:r>
      <w:r w:rsidRPr="00C35BAA">
        <w:t xml:space="preserve"> </w:t>
      </w:r>
      <w:r w:rsidRPr="00E10B66">
        <w:t>a</w:t>
      </w:r>
      <w:r>
        <w:t>bnormal</w:t>
      </w:r>
      <w:r w:rsidRPr="00E10B66">
        <w:t xml:space="preserve"> </w:t>
      </w:r>
      <w:r>
        <w:t>i</w:t>
      </w:r>
      <w:r w:rsidRPr="00E10B66">
        <w:t>nvestigation</w:t>
      </w:r>
      <w:r>
        <w:t>s (for example raised liver enzymes and</w:t>
      </w:r>
      <w:r w:rsidRPr="00E10B66">
        <w:t xml:space="preserve"> </w:t>
      </w:r>
      <w:r>
        <w:t xml:space="preserve">various </w:t>
      </w:r>
      <w:r w:rsidRPr="00E10B66">
        <w:t>haematological abnormalities)</w:t>
      </w:r>
      <w:r>
        <w:t xml:space="preserve"> and general disorders and administration site conditions (mainly, injection site reactions). </w:t>
      </w:r>
      <w:r w:rsidRPr="00E10B66">
        <w:t>The frequency</w:t>
      </w:r>
      <w:r>
        <w:t xml:space="preserve"> and severity of treatment emergent AEs in Study SB5-G31-RA was </w:t>
      </w:r>
      <w:r w:rsidRPr="00E10B66">
        <w:t xml:space="preserve">comparable between </w:t>
      </w:r>
      <w:r>
        <w:t>the SB5 and Humira treatment groups apart from a higher incidence of nasopharyngitis with EU sourced Humira (9.2%) versus SB5</w:t>
      </w:r>
      <w:r w:rsidR="007C4788">
        <w:t> </w:t>
      </w:r>
      <w:r>
        <w:t>(4.9%)</w:t>
      </w:r>
      <w:r w:rsidR="00C571FF">
        <w:t xml:space="preserve"> up to Week 24</w:t>
      </w:r>
      <w:r w:rsidRPr="00E10B66">
        <w:t>.</w:t>
      </w:r>
      <w:r>
        <w:t xml:space="preserve"> In the 3 supporting studies, in particular Study SB5-G11-NHV, a similar pattern of the most commonly reported treatment emergent AEs was </w:t>
      </w:r>
      <w:r w:rsidRPr="00E10B66">
        <w:t xml:space="preserve">observed in </w:t>
      </w:r>
      <w:r>
        <w:t>all treatment groups (SB5 therapy, EU sourced and U</w:t>
      </w:r>
      <w:r w:rsidRPr="00E10B66">
        <w:t xml:space="preserve">S </w:t>
      </w:r>
      <w:r>
        <w:t>sourced Humira)</w:t>
      </w:r>
      <w:r w:rsidRPr="00E10B66">
        <w:t>.</w:t>
      </w:r>
      <w:r>
        <w:t xml:space="preserve"> The most </w:t>
      </w:r>
      <w:r>
        <w:lastRenderedPageBreak/>
        <w:t>common treatment emergent AEs by PT in healthy volunteers were nasopharyngitis, headache, oral herpes infection and rhinitis. In Study SB5-G31-RA, injection site reactions and erythema were the 2 most frequent types of treatment related AEs at the PT level up to Week 24 and occurred at an approximate 3 fold increased incidence in the Humira group (1.5% incidence for both AEs) compared with SB5 (≤ 0.4% incidence).</w:t>
      </w:r>
    </w:p>
    <w:p w14:paraId="0756603E" w14:textId="6E36A8F7" w:rsidR="00575517" w:rsidRDefault="00575517" w:rsidP="006F6ADA">
      <w:r w:rsidRPr="00E10B66">
        <w:t>Given</w:t>
      </w:r>
      <w:r>
        <w:t xml:space="preserve"> </w:t>
      </w:r>
      <w:r w:rsidRPr="00E10B66">
        <w:t>t</w:t>
      </w:r>
      <w:r>
        <w:t>he</w:t>
      </w:r>
      <w:r w:rsidRPr="00E10B66">
        <w:t xml:space="preserve"> mechanism of action</w:t>
      </w:r>
      <w:r>
        <w:t xml:space="preserve"> of adalimumab</w:t>
      </w:r>
      <w:r w:rsidRPr="00E10B66">
        <w:t xml:space="preserve">, </w:t>
      </w:r>
      <w:r>
        <w:t xml:space="preserve">infection is </w:t>
      </w:r>
      <w:r w:rsidRPr="00E10B66">
        <w:t>a</w:t>
      </w:r>
      <w:r>
        <w:t xml:space="preserve">n </w:t>
      </w:r>
      <w:r w:rsidRPr="00E10B66">
        <w:t>AE of special interest.</w:t>
      </w:r>
      <w:r>
        <w:t xml:space="preserve"> </w:t>
      </w:r>
      <w:r w:rsidRPr="00E10B66">
        <w:t>The</w:t>
      </w:r>
      <w:r>
        <w:t xml:space="preserve"> overall number of subjects experiencing infection related AEs (17.2 to 18.3%)</w:t>
      </w:r>
      <w:r w:rsidRPr="00E10B66">
        <w:t xml:space="preserve"> was comparable between the </w:t>
      </w:r>
      <w:r>
        <w:t xml:space="preserve">2 </w:t>
      </w:r>
      <w:r w:rsidRPr="00E10B66">
        <w:t>treatment groups</w:t>
      </w:r>
      <w:r>
        <w:t xml:space="preserve"> in Study SB5-G31-RA</w:t>
      </w:r>
      <w:r w:rsidRPr="00E10B66">
        <w:t xml:space="preserve">. </w:t>
      </w:r>
      <w:r>
        <w:t xml:space="preserve">In addition, the number of infection related </w:t>
      </w:r>
      <w:r w:rsidR="005A0780">
        <w:t>serious adverse events (SAE</w:t>
      </w:r>
      <w:r>
        <w:t>s</w:t>
      </w:r>
      <w:r w:rsidR="005A0780">
        <w:t>)</w:t>
      </w:r>
      <w:r>
        <w:t xml:space="preserve"> was similar between the 2</w:t>
      </w:r>
      <w:r w:rsidR="00186C65">
        <w:t> </w:t>
      </w:r>
      <w:r>
        <w:t>treatment groups. Up to Week 52 in Study SB5-G31-RA, 4 subjects in each treatment group developed lat</w:t>
      </w:r>
      <w:r w:rsidRPr="00B06B02">
        <w:t>e</w:t>
      </w:r>
      <w:r>
        <w:t>nt TB (even after careful screening at baseline for latent TB reactivation). I</w:t>
      </w:r>
      <w:r w:rsidRPr="00B06B02">
        <w:t>n</w:t>
      </w:r>
      <w:r>
        <w:t xml:space="preserve"> supporting st</w:t>
      </w:r>
      <w:r w:rsidRPr="00B06B02">
        <w:t>ud</w:t>
      </w:r>
      <w:r>
        <w:t xml:space="preserve">ies, </w:t>
      </w:r>
      <w:r w:rsidRPr="00B06B02">
        <w:t>in</w:t>
      </w:r>
      <w:r>
        <w:t>fection related AEs affected &gt; 20% of all subjects with no clear discernible differences in the pattern and type of infection observed in healthy volunteers treated with the various formulations of adalimumab and the mode of administration.</w:t>
      </w:r>
    </w:p>
    <w:p w14:paraId="17B6EBF0" w14:textId="3921CE2E" w:rsidR="00575517" w:rsidRDefault="00575517" w:rsidP="00575517">
      <w:r>
        <w:t>Two patients treated with Humira di</w:t>
      </w:r>
      <w:r w:rsidRPr="00EB246B">
        <w:t>e</w:t>
      </w:r>
      <w:r>
        <w:t>d in Study SB5-G31-RA (cardiac arrest and pulmonary embolism), but neither fatality was</w:t>
      </w:r>
      <w:r w:rsidRPr="00EB246B">
        <w:t xml:space="preserve"> considered by the </w:t>
      </w:r>
      <w:r>
        <w:t>site investigators to be related to Humira</w:t>
      </w:r>
      <w:r w:rsidRPr="00EB246B">
        <w:t>.</w:t>
      </w:r>
      <w:r>
        <w:t xml:space="preserve"> Malignant neoplasms were reported in </w:t>
      </w:r>
      <w:r w:rsidR="005A0034">
        <w:t xml:space="preserve">4 </w:t>
      </w:r>
      <w:r w:rsidR="009D3303">
        <w:t>(0.</w:t>
      </w:r>
      <w:r w:rsidR="005A0034">
        <w:t>8</w:t>
      </w:r>
      <w:r w:rsidR="009D3303">
        <w:t xml:space="preserve">%) </w:t>
      </w:r>
      <w:r>
        <w:t xml:space="preserve">patients </w:t>
      </w:r>
      <w:r w:rsidR="009D3303">
        <w:t xml:space="preserve">after Week 24; </w:t>
      </w:r>
      <w:r w:rsidR="00C94AA3">
        <w:t>(2</w:t>
      </w:r>
      <w:r w:rsidR="005A0034">
        <w:t xml:space="preserve"> subjects in the </w:t>
      </w:r>
      <w:r w:rsidR="00C94AA3">
        <w:t>Humira</w:t>
      </w:r>
      <w:r w:rsidR="005A0034">
        <w:t xml:space="preserve">/ Humira treatment group, </w:t>
      </w:r>
      <w:r w:rsidR="00C94AA3">
        <w:t xml:space="preserve">1 subject </w:t>
      </w:r>
      <w:r w:rsidR="005A0034">
        <w:t xml:space="preserve">in the Humira/ SB5 treatment group </w:t>
      </w:r>
      <w:r w:rsidR="00F521AB">
        <w:t>( considered to be undetermined, as a lag time window overlapped with pre transition IP (Humira) exposure time period) and 1 subject in the SB5/SB5 treatment group)</w:t>
      </w:r>
      <w:r>
        <w:t>in Study SB5-G31-RA. T</w:t>
      </w:r>
      <w:r w:rsidRPr="00EB246B">
        <w:t xml:space="preserve">he observed </w:t>
      </w:r>
      <w:r>
        <w:t xml:space="preserve">rate and pattern of </w:t>
      </w:r>
      <w:r w:rsidRPr="00EB246B">
        <w:t>drug-related</w:t>
      </w:r>
      <w:r>
        <w:t>, treatment-emergent SAEs was similar</w:t>
      </w:r>
      <w:r w:rsidRPr="00EB246B">
        <w:t xml:space="preserve"> for both treatment groups</w:t>
      </w:r>
      <w:r>
        <w:t xml:space="preserve"> in Study SB5-G31-RA.</w:t>
      </w:r>
    </w:p>
    <w:p w14:paraId="5F861F9E" w14:textId="77777777" w:rsidR="00575517" w:rsidRDefault="00575517" w:rsidP="006F6ADA">
      <w:r>
        <w:t xml:space="preserve">In the pivotal Phase III clinical trial, the frequency of </w:t>
      </w:r>
      <w:r w:rsidRPr="00EB246B">
        <w:t xml:space="preserve">patients who were discontinued due to drug-related AEs was </w:t>
      </w:r>
      <w:r>
        <w:t xml:space="preserve">low and </w:t>
      </w:r>
      <w:r w:rsidRPr="00EB246B">
        <w:t>similar b</w:t>
      </w:r>
      <w:r>
        <w:t>e</w:t>
      </w:r>
      <w:r w:rsidRPr="00EB246B">
        <w:t>t</w:t>
      </w:r>
      <w:r>
        <w:t>ween</w:t>
      </w:r>
      <w:r w:rsidRPr="00EB246B">
        <w:t xml:space="preserve"> </w:t>
      </w:r>
      <w:r>
        <w:t xml:space="preserve">the 2 </w:t>
      </w:r>
      <w:r w:rsidRPr="00EB246B">
        <w:t>treatment groups</w:t>
      </w:r>
      <w:r>
        <w:t xml:space="preserve"> (up to 5.5% at 52 weeks in Study SB5-G31-RA). The </w:t>
      </w:r>
      <w:r w:rsidRPr="00EB246B">
        <w:t xml:space="preserve">most frequent </w:t>
      </w:r>
      <w:r>
        <w:t>type of AE</w:t>
      </w:r>
      <w:r w:rsidRPr="00EB246B">
        <w:t xml:space="preserve"> leading to permanent study treatment discontinuation </w:t>
      </w:r>
      <w:r>
        <w:t>in Study SB5-G31-RA was skin ra</w:t>
      </w:r>
      <w:r w:rsidRPr="00EB246B">
        <w:t>s</w:t>
      </w:r>
      <w:r>
        <w:t>h. However, other reasons for discontinuation from adalimumab in Study SB5-G31-RA included i</w:t>
      </w:r>
      <w:r w:rsidRPr="00EB246B">
        <w:t>n</w:t>
      </w:r>
      <w:r>
        <w:t>fection, hypersensitivity reactions, ISRs and positive QuantiFERON Gold tests for TB.</w:t>
      </w:r>
    </w:p>
    <w:p w14:paraId="3777CA8A" w14:textId="77777777" w:rsidR="00575517" w:rsidRDefault="00575517" w:rsidP="006F6ADA">
      <w:r>
        <w:t>Injection site reactions</w:t>
      </w:r>
      <w:r w:rsidRPr="00EB246B">
        <w:t xml:space="preserve"> </w:t>
      </w:r>
      <w:r>
        <w:t xml:space="preserve">were </w:t>
      </w:r>
      <w:r w:rsidRPr="00EB246B">
        <w:t>r</w:t>
      </w:r>
      <w:r>
        <w:t>eport</w:t>
      </w:r>
      <w:r w:rsidRPr="00EB246B">
        <w:t xml:space="preserve">ed in </w:t>
      </w:r>
      <w:r>
        <w:t>all clinical s</w:t>
      </w:r>
      <w:r w:rsidRPr="00EB246B">
        <w:t>tud</w:t>
      </w:r>
      <w:r>
        <w:t>ies</w:t>
      </w:r>
      <w:r w:rsidRPr="00EB246B">
        <w:t xml:space="preserve"> (</w:t>
      </w:r>
      <w:r>
        <w:t>all</w:t>
      </w:r>
      <w:r w:rsidRPr="00EB246B">
        <w:t xml:space="preserve"> treatment groups).</w:t>
      </w:r>
      <w:r>
        <w:t xml:space="preserve"> Up to Week 52 in Study SB5-G31-RA, a total of 54 injection site AEs were recorded at a similar frequency among the </w:t>
      </w:r>
      <w:r w:rsidRPr="00746A42">
        <w:t>treatment group</w:t>
      </w:r>
      <w:r>
        <w:t>s</w:t>
      </w:r>
      <w:r w:rsidRPr="00746A42">
        <w:t xml:space="preserve"> </w:t>
      </w:r>
      <w:r>
        <w:t xml:space="preserve">(2.9 to 3.1% of </w:t>
      </w:r>
      <w:r w:rsidRPr="00746A42">
        <w:t>subjects in e</w:t>
      </w:r>
      <w:r>
        <w:t>ach arm were affected).</w:t>
      </w:r>
      <w:r w:rsidRPr="00746A42">
        <w:t xml:space="preserve"> The most commonly reported </w:t>
      </w:r>
      <w:r>
        <w:t>types of ISR</w:t>
      </w:r>
      <w:r w:rsidRPr="00746A42">
        <w:t>s at the PT level were</w:t>
      </w:r>
      <w:r>
        <w:t xml:space="preserve"> </w:t>
      </w:r>
      <w:r w:rsidRPr="00746A42">
        <w:t>i</w:t>
      </w:r>
      <w:r>
        <w:t>njection site reactions and injection site erythema. In Study SB5-G11-NHV, only 1 treatment related ISR was reported in a subject who received US sourced Humira. Study SB5-G21-RA also showed a similar rate of ISR with SB5 administered by either AID or PFS.</w:t>
      </w:r>
    </w:p>
    <w:p w14:paraId="09A1D751" w14:textId="77777777" w:rsidR="00575517" w:rsidRDefault="00575517" w:rsidP="00575517">
      <w:r>
        <w:t xml:space="preserve">In Study SB5-G31-RA, 3.7-6.4% </w:t>
      </w:r>
      <w:r w:rsidRPr="00EB246B">
        <w:t xml:space="preserve">of </w:t>
      </w:r>
      <w:r>
        <w:t xml:space="preserve">subjects developed </w:t>
      </w:r>
      <w:r w:rsidR="00C05C12">
        <w:t xml:space="preserve">≥ </w:t>
      </w:r>
      <w:r>
        <w:t>2 fold increases in</w:t>
      </w:r>
      <w:r w:rsidRPr="00EB246B">
        <w:t xml:space="preserve"> ser</w:t>
      </w:r>
      <w:r>
        <w:t>um transaminases at a slightly higher incidence with Humira therapy versus SB5. The majority of these AEs were not treatment related and probably do not reflect a true safety difference between the 2 formulations of adalimumab. I</w:t>
      </w:r>
      <w:r w:rsidRPr="00EB246B">
        <w:t>n</w:t>
      </w:r>
      <w:r>
        <w:t xml:space="preserve"> </w:t>
      </w:r>
      <w:r w:rsidRPr="00EB246B">
        <w:t>ad</w:t>
      </w:r>
      <w:r>
        <w:t xml:space="preserve">dition, there were a few significant cases of </w:t>
      </w:r>
      <w:r w:rsidRPr="00EB246B">
        <w:t>neutropenia</w:t>
      </w:r>
      <w:r>
        <w:t xml:space="preserve"> and thrombocytopenia recorded in both adalimumab treatment groups of Study SB5-G31-RA. </w:t>
      </w:r>
      <w:r w:rsidRPr="00EB246B">
        <w:t xml:space="preserve">These cases are </w:t>
      </w:r>
      <w:r>
        <w:t>consistent</w:t>
      </w:r>
      <w:r w:rsidRPr="00EB246B">
        <w:t xml:space="preserve"> with the </w:t>
      </w:r>
      <w:r>
        <w:t xml:space="preserve">Australian </w:t>
      </w:r>
      <w:r w:rsidRPr="00EB246B">
        <w:t>P</w:t>
      </w:r>
      <w:r>
        <w:t>I</w:t>
      </w:r>
      <w:r w:rsidRPr="00EB246B">
        <w:t xml:space="preserve"> f</w:t>
      </w:r>
      <w:r>
        <w:t>or</w:t>
      </w:r>
      <w:r w:rsidRPr="00EB246B">
        <w:t xml:space="preserve"> </w:t>
      </w:r>
      <w:r>
        <w:t>Humira</w:t>
      </w:r>
      <w:r w:rsidRPr="00EB246B">
        <w:t xml:space="preserve"> and published literature</w:t>
      </w:r>
      <w:r>
        <w:t>.</w:t>
      </w:r>
    </w:p>
    <w:p w14:paraId="20CE0755" w14:textId="77777777" w:rsidR="00575517" w:rsidRDefault="00575517" w:rsidP="006F6ADA">
      <w:r>
        <w:t xml:space="preserve">The incidence of subjects developing anti-ADA antibodies was comparable between </w:t>
      </w:r>
      <w:r w:rsidR="00321955">
        <w:t>Hadlima</w:t>
      </w:r>
      <w:r>
        <w:t xml:space="preserve"> and Humira, and the clinical relevance of ADA is yet to be fully defined with no discernible link to the risk of infection, injection site related reactions or any other significant safety concern. By Week 52 in Study SB5-G31-RA, there was a statistically equivalent rate of positive ADA results in the overall Humira group (38.0%; 93/245) compared to </w:t>
      </w:r>
      <w:r w:rsidR="00321955">
        <w:t>Hadlima</w:t>
      </w:r>
      <w:r>
        <w:t xml:space="preserve"> therapy (36.0%; 85/236). About half of all subjects who were ADA positive also tested positive for neutralising antibodies. The majority of patients (in both treatment groups) who tested positive for ADA did so at Week 16 of therapy, and ADA </w:t>
      </w:r>
      <w:r>
        <w:lastRenderedPageBreak/>
        <w:t xml:space="preserve">positivity persisted throughout the trial. By Day 71 in Study SB5-G11-NHV, &gt; 95% of </w:t>
      </w:r>
      <w:r w:rsidRPr="00E16684">
        <w:t>subject</w:t>
      </w:r>
      <w:r>
        <w:t>s in each of the 3 treatment groups (SB5, EU sourced Humira and US sourced Humira)</w:t>
      </w:r>
      <w:r w:rsidRPr="00E16684">
        <w:t xml:space="preserve"> </w:t>
      </w:r>
      <w:r>
        <w:t>t</w:t>
      </w:r>
      <w:r w:rsidRPr="00E16684">
        <w:t>e</w:t>
      </w:r>
      <w:r>
        <w:t>sted</w:t>
      </w:r>
      <w:r w:rsidRPr="00E16684">
        <w:t xml:space="preserve"> positive for ADA, </w:t>
      </w:r>
      <w:r>
        <w:t xml:space="preserve">and the majority of </w:t>
      </w:r>
      <w:r w:rsidRPr="00E16684">
        <w:t>ADA</w:t>
      </w:r>
      <w:r>
        <w:t xml:space="preserve"> positive subjects also tested positive for </w:t>
      </w:r>
      <w:proofErr w:type="spellStart"/>
      <w:r>
        <w:t>NAb</w:t>
      </w:r>
      <w:proofErr w:type="spellEnd"/>
      <w:r>
        <w:t>.</w:t>
      </w:r>
    </w:p>
    <w:p w14:paraId="1AFC179B" w14:textId="77777777" w:rsidR="00575517" w:rsidRDefault="00575517" w:rsidP="006F6ADA">
      <w:r w:rsidRPr="00EB246B">
        <w:t xml:space="preserve">In </w:t>
      </w:r>
      <w:r>
        <w:t>Study SB5-G31-RA,</w:t>
      </w:r>
      <w:r w:rsidRPr="00EB246B">
        <w:t xml:space="preserve"> </w:t>
      </w:r>
      <w:r>
        <w:t>a total of 3</w:t>
      </w:r>
      <w:r w:rsidRPr="00EB246B">
        <w:t xml:space="preserve"> malignan</w:t>
      </w:r>
      <w:r>
        <w:t>t</w:t>
      </w:r>
      <w:r w:rsidRPr="00EB246B">
        <w:t xml:space="preserve"> </w:t>
      </w:r>
      <w:r>
        <w:t xml:space="preserve">neoplasms </w:t>
      </w:r>
      <w:r w:rsidRPr="00EB246B">
        <w:t>were reported</w:t>
      </w:r>
      <w:r>
        <w:t>: 2 in Humira treated patients (lymphoma with spinal metastases, and papillary thyroid cancer) and 1 in a treatment switch subject (glioblastoma multiforme)</w:t>
      </w:r>
      <w:r w:rsidRPr="00EB246B">
        <w:t xml:space="preserve">. </w:t>
      </w:r>
      <w:r>
        <w:t>Another Humira treated subject developed seminoma on study Day 313 which required orchiectomy. Only 1</w:t>
      </w:r>
      <w:r w:rsidRPr="00EB246B">
        <w:t xml:space="preserve"> lymphoproliferative disorder w</w:t>
      </w:r>
      <w:r>
        <w:t>as</w:t>
      </w:r>
      <w:r w:rsidRPr="00EB246B">
        <w:t xml:space="preserve"> reported</w:t>
      </w:r>
      <w:r>
        <w:t xml:space="preserve"> in this submission although this is a potential identified risk</w:t>
      </w:r>
      <w:r w:rsidRPr="00EB246B">
        <w:t xml:space="preserve"> for </w:t>
      </w:r>
      <w:r>
        <w:t xml:space="preserve">anti-TNF therapy that is outlined in the </w:t>
      </w:r>
      <w:r w:rsidRPr="00EB246B">
        <w:t>R</w:t>
      </w:r>
      <w:r>
        <w:t xml:space="preserve">MP and the proposed Australian </w:t>
      </w:r>
      <w:r w:rsidRPr="00EB246B">
        <w:t>P</w:t>
      </w:r>
      <w:r>
        <w:t>I</w:t>
      </w:r>
      <w:r w:rsidRPr="00EB246B">
        <w:t xml:space="preserve">. Other </w:t>
      </w:r>
      <w:r>
        <w:t xml:space="preserve">previously identified safety concerns with adalimumab </w:t>
      </w:r>
      <w:r w:rsidRPr="00EB246B">
        <w:t>such as lupus-like syndrome</w:t>
      </w:r>
      <w:r>
        <w:t>s</w:t>
      </w:r>
      <w:r w:rsidRPr="00EB246B">
        <w:t xml:space="preserve"> and demyelinating disorders were not reported</w:t>
      </w:r>
      <w:r>
        <w:t xml:space="preserve"> in any of the studies in the SB5 trial program.</w:t>
      </w:r>
    </w:p>
    <w:p w14:paraId="542252F9" w14:textId="77777777" w:rsidR="00605AD4" w:rsidRPr="00605AD4" w:rsidRDefault="00575517" w:rsidP="006F6ADA">
      <w:r>
        <w:t xml:space="preserve">The analysis of </w:t>
      </w:r>
      <w:r w:rsidRPr="00EB246B">
        <w:t>AEs repor</w:t>
      </w:r>
      <w:r>
        <w:t xml:space="preserve">ted during treatment with </w:t>
      </w:r>
      <w:r w:rsidR="00321955">
        <w:t>Hadlima</w:t>
      </w:r>
      <w:r w:rsidRPr="00EB246B">
        <w:t xml:space="preserve"> an</w:t>
      </w:r>
      <w:r>
        <w:t>d the reference product Humira</w:t>
      </w:r>
      <w:r w:rsidRPr="00EB246B">
        <w:t xml:space="preserve"> </w:t>
      </w:r>
      <w:r>
        <w:t xml:space="preserve">in Studies SB5-G31-RA, SB5-G12-RA, SB5-G11-NHV and SB5-G12-NHV </w:t>
      </w:r>
      <w:r w:rsidRPr="00EB246B">
        <w:t>ha</w:t>
      </w:r>
      <w:r>
        <w:t>s</w:t>
      </w:r>
      <w:r w:rsidRPr="00EB246B">
        <w:t xml:space="preserve"> not revealed any </w:t>
      </w:r>
      <w:r>
        <w:t xml:space="preserve">significant </w:t>
      </w:r>
      <w:r w:rsidRPr="00EB246B">
        <w:t>differences</w:t>
      </w:r>
      <w:r>
        <w:t xml:space="preserve"> in the incidence and type of AEs</w:t>
      </w:r>
      <w:r w:rsidRPr="00EB246B">
        <w:t xml:space="preserve">. </w:t>
      </w:r>
      <w:r>
        <w:t xml:space="preserve">Moreover, no new safety </w:t>
      </w:r>
      <w:r w:rsidRPr="00EB246B">
        <w:t>s</w:t>
      </w:r>
      <w:r>
        <w:t>ignals have emerged from the submitted dataset</w:t>
      </w:r>
      <w:r w:rsidRPr="00EB246B">
        <w:t xml:space="preserve"> </w:t>
      </w:r>
      <w:r>
        <w:t>to indicate the known risk profile of adalimumab has altered</w:t>
      </w:r>
      <w:r w:rsidRPr="00EB246B">
        <w:t xml:space="preserve">. </w:t>
      </w:r>
      <w:r>
        <w:t xml:space="preserve">The current safety dataset for </w:t>
      </w:r>
      <w:r w:rsidR="00321955">
        <w:t>Hadlima</w:t>
      </w:r>
      <w:r>
        <w:t xml:space="preserve"> is limited to 60 weeks of treatment follow-up and it would be important to continue collecting data beyond this time frame as part of post-marketing pharmacovigilance if approval was granted. Nonetheless, the safety data for Humira exceeds 18 years of treatment follow-up and it is likely that </w:t>
      </w:r>
      <w:r w:rsidR="00321955">
        <w:t>Hadlima</w:t>
      </w:r>
      <w:r>
        <w:t xml:space="preserve"> will demonstrate a similar safety profile over longer term follow-up based on the similar short term safety experience between the 2 formulations of adalimumab. However, as Study SB5-G31-RA recruited subjects with active RA who </w:t>
      </w:r>
      <w:proofErr w:type="gramStart"/>
      <w:r>
        <w:t>were</w:t>
      </w:r>
      <w:proofErr w:type="gramEnd"/>
      <w:r>
        <w:t xml:space="preserve"> meticulously screened for risks of immunosuppression, it is unclear if both formulations of adalimumab will demonstrate a similar safety profile in all of the patient populations for which Humira is currently approved.</w:t>
      </w:r>
    </w:p>
    <w:p w14:paraId="43D6071A" w14:textId="2BC43A08" w:rsidR="00605AD4" w:rsidRPr="00605AD4" w:rsidRDefault="00605AD4" w:rsidP="006F6ADA">
      <w:pPr>
        <w:pStyle w:val="Heading3"/>
        <w:rPr>
          <w:rFonts w:eastAsia="Cambria"/>
        </w:rPr>
      </w:pPr>
      <w:bookmarkStart w:id="196" w:name="_Toc8816497"/>
      <w:r w:rsidRPr="00605AD4">
        <w:rPr>
          <w:rFonts w:eastAsia="Cambria"/>
        </w:rPr>
        <w:t xml:space="preserve">First </w:t>
      </w:r>
      <w:r w:rsidR="006F6ADA">
        <w:rPr>
          <w:rFonts w:eastAsia="Cambria"/>
        </w:rPr>
        <w:t>r</w:t>
      </w:r>
      <w:r w:rsidRPr="00605AD4">
        <w:rPr>
          <w:rFonts w:eastAsia="Cambria"/>
        </w:rPr>
        <w:t xml:space="preserve">ound </w:t>
      </w:r>
      <w:r w:rsidR="006F6ADA">
        <w:rPr>
          <w:rFonts w:eastAsia="Cambria"/>
        </w:rPr>
        <w:t>b</w:t>
      </w:r>
      <w:r w:rsidRPr="00605AD4">
        <w:rPr>
          <w:rFonts w:eastAsia="Cambria"/>
        </w:rPr>
        <w:t>enefit-</w:t>
      </w:r>
      <w:r w:rsidR="006F6ADA">
        <w:rPr>
          <w:rFonts w:eastAsia="Cambria"/>
        </w:rPr>
        <w:t>r</w:t>
      </w:r>
      <w:r w:rsidRPr="00605AD4">
        <w:rPr>
          <w:rFonts w:eastAsia="Cambria"/>
        </w:rPr>
        <w:t xml:space="preserve">isk </w:t>
      </w:r>
      <w:r w:rsidR="006F6ADA" w:rsidRPr="006F6ADA">
        <w:rPr>
          <w:rFonts w:eastAsia="Cambria"/>
        </w:rPr>
        <w:t>a</w:t>
      </w:r>
      <w:r w:rsidRPr="006F6ADA">
        <w:rPr>
          <w:rFonts w:eastAsia="Cambria"/>
        </w:rPr>
        <w:t>ssessment</w:t>
      </w:r>
      <w:bookmarkEnd w:id="196"/>
    </w:p>
    <w:p w14:paraId="04DB58D3" w14:textId="77777777" w:rsidR="00605AD4" w:rsidRDefault="00605AD4" w:rsidP="006F6ADA">
      <w:pPr>
        <w:pStyle w:val="Heading4"/>
      </w:pPr>
      <w:r w:rsidRPr="00605AD4">
        <w:t xml:space="preserve">First round </w:t>
      </w:r>
      <w:r w:rsidRPr="006F6ADA">
        <w:t>assessment</w:t>
      </w:r>
      <w:r w:rsidRPr="00605AD4">
        <w:t xml:space="preserve"> of benefits</w:t>
      </w:r>
    </w:p>
    <w:p w14:paraId="433E2561" w14:textId="422CD02E" w:rsidR="00186C65" w:rsidRPr="00186C65" w:rsidRDefault="00186C65" w:rsidP="006F6ADA">
      <w:r>
        <w:t>Table 7 summarises the assessment of benefits at the first round.</w:t>
      </w:r>
    </w:p>
    <w:p w14:paraId="6DEB4B1A" w14:textId="77777777" w:rsidR="00575517" w:rsidRPr="00171ED3" w:rsidRDefault="00575517" w:rsidP="006F6ADA">
      <w:pPr>
        <w:pStyle w:val="Tabletitle0"/>
        <w:rPr>
          <w:lang w:eastAsia="ja-JP"/>
        </w:rPr>
      </w:pPr>
      <w:r>
        <w:rPr>
          <w:lang w:eastAsia="ja-JP"/>
        </w:rPr>
        <w:t xml:space="preserve">Table </w:t>
      </w:r>
      <w:r w:rsidR="003B5224">
        <w:rPr>
          <w:lang w:eastAsia="ja-JP"/>
        </w:rPr>
        <w:t>7</w:t>
      </w:r>
      <w:r>
        <w:rPr>
          <w:lang w:eastAsia="ja-JP"/>
        </w:rPr>
        <w:t xml:space="preserve">: First round </w:t>
      </w:r>
      <w:r w:rsidRPr="006F6ADA">
        <w:t>assessment</w:t>
      </w:r>
      <w:r>
        <w:rPr>
          <w:lang w:eastAsia="ja-JP"/>
        </w:rPr>
        <w:t xml:space="preserve"> of benefits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8"/>
        <w:gridCol w:w="4194"/>
      </w:tblGrid>
      <w:tr w:rsidR="00575517" w:rsidRPr="00C37A1D" w14:paraId="667E7E6F" w14:textId="77777777" w:rsidTr="0082450F">
        <w:trPr>
          <w:tblHeader/>
        </w:trPr>
        <w:tc>
          <w:tcPr>
            <w:tcW w:w="8612" w:type="dxa"/>
            <w:gridSpan w:val="2"/>
            <w:shd w:val="clear" w:color="auto" w:fill="006DA7"/>
          </w:tcPr>
          <w:p w14:paraId="76AD03FA" w14:textId="6DF063C4" w:rsidR="00575517" w:rsidRPr="00166DF5" w:rsidRDefault="00575517" w:rsidP="00575517">
            <w:pPr>
              <w:rPr>
                <w:b/>
                <w:color w:val="FFFFFF"/>
                <w:lang w:eastAsia="en-AU"/>
              </w:rPr>
            </w:pPr>
            <w:r w:rsidRPr="00166DF5">
              <w:rPr>
                <w:b/>
                <w:color w:val="FFFFFF"/>
                <w:lang w:eastAsia="en-AU"/>
              </w:rPr>
              <w:t>Indication</w:t>
            </w:r>
            <w:r>
              <w:rPr>
                <w:b/>
                <w:color w:val="FFFFFF"/>
                <w:lang w:eastAsia="en-AU"/>
              </w:rPr>
              <w:t>: RA</w:t>
            </w:r>
          </w:p>
        </w:tc>
      </w:tr>
      <w:tr w:rsidR="00575517" w:rsidRPr="00C37A1D" w14:paraId="4CD1F16F" w14:textId="77777777" w:rsidTr="0082450F">
        <w:trPr>
          <w:tblHeader/>
        </w:trPr>
        <w:tc>
          <w:tcPr>
            <w:tcW w:w="4418" w:type="dxa"/>
            <w:shd w:val="clear" w:color="auto" w:fill="00517D"/>
          </w:tcPr>
          <w:p w14:paraId="1DC568D4" w14:textId="77777777" w:rsidR="00575517" w:rsidRPr="00166DF5" w:rsidRDefault="00575517" w:rsidP="00575517">
            <w:pPr>
              <w:rPr>
                <w:b/>
                <w:color w:val="FFFFFF"/>
                <w:lang w:eastAsia="en-AU"/>
              </w:rPr>
            </w:pPr>
            <w:r w:rsidRPr="00166DF5">
              <w:rPr>
                <w:b/>
                <w:color w:val="FFFFFF"/>
                <w:lang w:eastAsia="en-AU"/>
              </w:rPr>
              <w:t>Benefits</w:t>
            </w:r>
          </w:p>
        </w:tc>
        <w:tc>
          <w:tcPr>
            <w:tcW w:w="4194" w:type="dxa"/>
            <w:shd w:val="clear" w:color="auto" w:fill="00517D"/>
          </w:tcPr>
          <w:p w14:paraId="39535433" w14:textId="77777777" w:rsidR="00575517" w:rsidRPr="00166DF5" w:rsidRDefault="00575517" w:rsidP="00575517">
            <w:pPr>
              <w:rPr>
                <w:b/>
                <w:color w:val="FFFFFF"/>
                <w:lang w:eastAsia="en-AU"/>
              </w:rPr>
            </w:pPr>
            <w:r w:rsidRPr="00166DF5">
              <w:rPr>
                <w:b/>
                <w:color w:val="FFFFFF"/>
                <w:lang w:eastAsia="en-AU"/>
              </w:rPr>
              <w:t>Strengths and Uncertainties</w:t>
            </w:r>
          </w:p>
        </w:tc>
      </w:tr>
      <w:tr w:rsidR="00575517" w:rsidRPr="00C37A1D" w14:paraId="5A3BE99C" w14:textId="77777777" w:rsidTr="0082450F">
        <w:tc>
          <w:tcPr>
            <w:tcW w:w="4418" w:type="dxa"/>
          </w:tcPr>
          <w:p w14:paraId="2D27FF0D" w14:textId="77777777" w:rsidR="00575517" w:rsidRPr="00A8423B" w:rsidRDefault="00321955" w:rsidP="00575517">
            <w:pPr>
              <w:rPr>
                <w:rFonts w:cs="Cambria"/>
                <w:lang w:eastAsia="en-AU"/>
              </w:rPr>
            </w:pPr>
            <w:r>
              <w:rPr>
                <w:rFonts w:cs="Cambria"/>
                <w:lang w:eastAsia="en-AU"/>
              </w:rPr>
              <w:t>Hadlima</w:t>
            </w:r>
            <w:r w:rsidR="00575517">
              <w:rPr>
                <w:rFonts w:cs="Cambria"/>
                <w:lang w:eastAsia="en-AU"/>
              </w:rPr>
              <w:t xml:space="preserve"> produces improvements in the symptoms and signs of active RA (as per the ACR clinical response criteria) that is comparable to Humira.</w:t>
            </w:r>
          </w:p>
        </w:tc>
        <w:tc>
          <w:tcPr>
            <w:tcW w:w="4194" w:type="dxa"/>
          </w:tcPr>
          <w:p w14:paraId="72705363" w14:textId="77777777" w:rsidR="00575517" w:rsidRPr="00A8423B"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Observ</w:t>
            </w:r>
            <w:r w:rsidR="0069652B">
              <w:rPr>
                <w:rFonts w:cs="Cambria"/>
                <w:lang w:eastAsia="en-AU"/>
              </w:rPr>
              <w:t>ed data in the Phase III trial;</w:t>
            </w:r>
            <w:r>
              <w:rPr>
                <w:rFonts w:cs="Cambria"/>
                <w:lang w:eastAsia="en-AU"/>
              </w:rPr>
              <w:t xml:space="preserve"> Study SB5-G31-RA. About 70% of RA patients achieve ACR20 response (that is the minimal clinically detectable improvement) at Week 24, which is consistent with other approved biologic DMARD therapies.</w:t>
            </w:r>
          </w:p>
        </w:tc>
      </w:tr>
      <w:tr w:rsidR="00575517" w:rsidRPr="00C37A1D" w14:paraId="2552D44D" w14:textId="77777777" w:rsidTr="0082450F">
        <w:tc>
          <w:tcPr>
            <w:tcW w:w="4418" w:type="dxa"/>
          </w:tcPr>
          <w:p w14:paraId="477DEE32" w14:textId="77777777" w:rsidR="00575517" w:rsidRPr="00A25BBE" w:rsidRDefault="00321955" w:rsidP="00575517">
            <w:pPr>
              <w:rPr>
                <w:rFonts w:cs="Cambria"/>
                <w:i/>
                <w:lang w:eastAsia="en-AU"/>
              </w:rPr>
            </w:pPr>
            <w:r>
              <w:rPr>
                <w:rFonts w:cs="Cambria"/>
                <w:lang w:eastAsia="en-AU"/>
              </w:rPr>
              <w:t>Hadlima</w:t>
            </w:r>
            <w:r w:rsidR="00575517">
              <w:rPr>
                <w:rFonts w:cs="Cambria"/>
                <w:lang w:eastAsia="en-AU"/>
              </w:rPr>
              <w:t xml:space="preserve"> results in improved physical function in patients with active RA (as per HAQ-DI responses) that is comparable to Humira.</w:t>
            </w:r>
          </w:p>
        </w:tc>
        <w:tc>
          <w:tcPr>
            <w:tcW w:w="4194" w:type="dxa"/>
          </w:tcPr>
          <w:p w14:paraId="4527DCEA" w14:textId="77777777" w:rsidR="00575517" w:rsidRPr="00C61900"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Observ</w:t>
            </w:r>
            <w:r w:rsidR="0069652B">
              <w:rPr>
                <w:rFonts w:cs="Cambria"/>
                <w:lang w:eastAsia="en-AU"/>
              </w:rPr>
              <w:t>ed data in the Phase III trial;</w:t>
            </w:r>
            <w:r>
              <w:rPr>
                <w:rFonts w:cs="Cambria"/>
                <w:lang w:eastAsia="en-AU"/>
              </w:rPr>
              <w:t xml:space="preserve"> Study SB5-G31-RA. The magnitude of benefit is clinically meaningful and consistent with other biologic DMARD therapies.</w:t>
            </w:r>
          </w:p>
        </w:tc>
      </w:tr>
      <w:tr w:rsidR="00575517" w:rsidRPr="00C37A1D" w14:paraId="195D4F06" w14:textId="77777777" w:rsidTr="0082450F">
        <w:tc>
          <w:tcPr>
            <w:tcW w:w="4418" w:type="dxa"/>
          </w:tcPr>
          <w:p w14:paraId="75A758E6" w14:textId="77777777" w:rsidR="00575517" w:rsidRDefault="00321955" w:rsidP="00575517">
            <w:pPr>
              <w:rPr>
                <w:rFonts w:cs="Cambria"/>
                <w:i/>
                <w:lang w:eastAsia="en-AU"/>
              </w:rPr>
            </w:pPr>
            <w:r>
              <w:rPr>
                <w:rFonts w:cs="Cambria"/>
                <w:lang w:eastAsia="en-AU"/>
              </w:rPr>
              <w:lastRenderedPageBreak/>
              <w:t>Hadlima</w:t>
            </w:r>
            <w:r w:rsidR="00575517">
              <w:rPr>
                <w:rFonts w:cs="Cambria"/>
                <w:lang w:eastAsia="en-AU"/>
              </w:rPr>
              <w:t xml:space="preserve"> and Humira result in statistically equivalent lower rates of structural RA disease progression at 52 weeks versus expected rates of X-ray progression in historical cohorts.</w:t>
            </w:r>
          </w:p>
        </w:tc>
        <w:tc>
          <w:tcPr>
            <w:tcW w:w="4194" w:type="dxa"/>
          </w:tcPr>
          <w:p w14:paraId="300A61F9" w14:textId="77777777" w:rsidR="00575517" w:rsidRPr="00C61900"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 xml:space="preserve">Observed data in the Phase III trial; Study SB5-G31-RA. Although the small increases from baseline in </w:t>
            </w:r>
            <w:proofErr w:type="spellStart"/>
            <w:r>
              <w:rPr>
                <w:rFonts w:cs="Cambria"/>
                <w:lang w:eastAsia="en-AU"/>
              </w:rPr>
              <w:t>mTSS</w:t>
            </w:r>
            <w:proofErr w:type="spellEnd"/>
            <w:r>
              <w:rPr>
                <w:rFonts w:cs="Cambria"/>
                <w:lang w:eastAsia="en-AU"/>
              </w:rPr>
              <w:t xml:space="preserve"> reflect statistical inhibition of X-ray progression, the clinical significance of this finding is unclear.</w:t>
            </w:r>
          </w:p>
        </w:tc>
      </w:tr>
      <w:tr w:rsidR="00575517" w:rsidRPr="00C37A1D" w14:paraId="54C21E63" w14:textId="77777777" w:rsidTr="0082450F">
        <w:tc>
          <w:tcPr>
            <w:tcW w:w="4418" w:type="dxa"/>
          </w:tcPr>
          <w:p w14:paraId="2BAD4A2F" w14:textId="3A304C71" w:rsidR="00575517" w:rsidRDefault="00575517" w:rsidP="00575517">
            <w:pPr>
              <w:rPr>
                <w:rFonts w:cs="Cambria"/>
                <w:i/>
                <w:lang w:eastAsia="en-AU"/>
              </w:rPr>
            </w:pPr>
            <w:r>
              <w:rPr>
                <w:rFonts w:cs="Cambria"/>
                <w:lang w:eastAsia="en-AU"/>
              </w:rPr>
              <w:t xml:space="preserve">Persistence of clinical response for up to 52 weeks in the subgroup of RA patients who are tolerating and responding to </w:t>
            </w:r>
            <w:r w:rsidR="00321955">
              <w:rPr>
                <w:rFonts w:cs="Cambria"/>
                <w:lang w:eastAsia="en-AU"/>
              </w:rPr>
              <w:t>Hadlima</w:t>
            </w:r>
            <w:r>
              <w:rPr>
                <w:rFonts w:cs="Cambria"/>
                <w:lang w:eastAsia="en-AU"/>
              </w:rPr>
              <w:t xml:space="preserve"> 40</w:t>
            </w:r>
            <w:r w:rsidR="007C4788">
              <w:rPr>
                <w:rFonts w:cs="Cambria"/>
                <w:lang w:eastAsia="en-AU"/>
              </w:rPr>
              <w:t> </w:t>
            </w:r>
            <w:r>
              <w:rPr>
                <w:rFonts w:cs="Cambria"/>
                <w:lang w:eastAsia="en-AU"/>
              </w:rPr>
              <w:t>mg SC fortnightly (for example ACR20 response rate of 76.9% and ACR50 response &gt; 50% at 52 weeks).</w:t>
            </w:r>
          </w:p>
        </w:tc>
        <w:tc>
          <w:tcPr>
            <w:tcW w:w="4194" w:type="dxa"/>
          </w:tcPr>
          <w:p w14:paraId="3203BEF9" w14:textId="77777777" w:rsidR="00575517" w:rsidRPr="00C61900"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Observed data in the Phase III trial; Study SB5-G31-RA. No ongoing long term trial data has been provided or offered in the future. Follow-up to 52 weeks of treatment provides medium term experience but multi-year (</w:t>
            </w:r>
            <w:r w:rsidR="00C05C12">
              <w:rPr>
                <w:rFonts w:cs="Cambria"/>
                <w:lang w:eastAsia="en-AU"/>
              </w:rPr>
              <w:t xml:space="preserve">≥ </w:t>
            </w:r>
            <w:r>
              <w:rPr>
                <w:rFonts w:cs="Cambria"/>
                <w:lang w:eastAsia="en-AU"/>
              </w:rPr>
              <w:t>2 years) follow-up is better.</w:t>
            </w:r>
          </w:p>
        </w:tc>
      </w:tr>
      <w:tr w:rsidR="00575517" w:rsidRPr="00C37A1D" w14:paraId="7E18AC9F" w14:textId="77777777" w:rsidTr="0082450F">
        <w:tc>
          <w:tcPr>
            <w:tcW w:w="4418" w:type="dxa"/>
          </w:tcPr>
          <w:p w14:paraId="3614A431" w14:textId="77777777" w:rsidR="00575517" w:rsidRDefault="00575517" w:rsidP="00575517">
            <w:pPr>
              <w:rPr>
                <w:rFonts w:cs="Cambria"/>
                <w:i/>
                <w:lang w:eastAsia="en-AU"/>
              </w:rPr>
            </w:pPr>
            <w:r>
              <w:rPr>
                <w:rFonts w:cs="Cambria"/>
                <w:lang w:eastAsia="en-AU"/>
              </w:rPr>
              <w:t>Convenient schedule and administration mode (SC injection fortnightly) with choi</w:t>
            </w:r>
            <w:r w:rsidR="0069652B">
              <w:rPr>
                <w:rFonts w:cs="Cambria"/>
                <w:lang w:eastAsia="en-AU"/>
              </w:rPr>
              <w:t>ce of 2 administration devices;</w:t>
            </w:r>
            <w:r>
              <w:rPr>
                <w:rFonts w:cs="Cambria"/>
                <w:lang w:eastAsia="en-AU"/>
              </w:rPr>
              <w:t xml:space="preserve"> PFS and AID.</w:t>
            </w:r>
          </w:p>
        </w:tc>
        <w:tc>
          <w:tcPr>
            <w:tcW w:w="4194" w:type="dxa"/>
          </w:tcPr>
          <w:p w14:paraId="50EBB8AD" w14:textId="77777777" w:rsidR="00575517" w:rsidRPr="00C61900"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Supported by PK data for both devices. Alternative biologic DMARD therapy may require IV drug administration.</w:t>
            </w:r>
          </w:p>
        </w:tc>
      </w:tr>
      <w:tr w:rsidR="00575517" w:rsidRPr="00C37A1D" w14:paraId="79241AC0" w14:textId="77777777" w:rsidTr="0082450F">
        <w:tc>
          <w:tcPr>
            <w:tcW w:w="4418" w:type="dxa"/>
          </w:tcPr>
          <w:p w14:paraId="13A33F8F" w14:textId="77777777" w:rsidR="00575517" w:rsidRDefault="00575517" w:rsidP="00575517">
            <w:pPr>
              <w:rPr>
                <w:rFonts w:cs="Cambria"/>
                <w:i/>
                <w:lang w:eastAsia="en-AU"/>
              </w:rPr>
            </w:pPr>
            <w:r>
              <w:rPr>
                <w:rFonts w:cs="Cambria"/>
                <w:lang w:eastAsia="en-AU"/>
              </w:rPr>
              <w:t xml:space="preserve">High rates of patient satisfaction and preference plus usability responses with </w:t>
            </w:r>
            <w:r w:rsidR="00321955">
              <w:rPr>
                <w:rFonts w:cs="Cambria"/>
                <w:lang w:eastAsia="en-AU"/>
              </w:rPr>
              <w:t>Hadlima</w:t>
            </w:r>
            <w:r>
              <w:rPr>
                <w:rFonts w:cs="Cambria"/>
                <w:lang w:eastAsia="en-AU"/>
              </w:rPr>
              <w:t xml:space="preserve"> therapy given by AID versus PFS.</w:t>
            </w:r>
          </w:p>
        </w:tc>
        <w:tc>
          <w:tcPr>
            <w:tcW w:w="4194" w:type="dxa"/>
          </w:tcPr>
          <w:p w14:paraId="78CA04B9" w14:textId="77777777" w:rsidR="00575517" w:rsidRPr="0077151E" w:rsidRDefault="00575517" w:rsidP="00575517">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lang w:eastAsia="en-AU"/>
              </w:rPr>
            </w:pPr>
            <w:r>
              <w:rPr>
                <w:rFonts w:cs="Cambria"/>
                <w:lang w:eastAsia="en-AU"/>
              </w:rPr>
              <w:t>Supported by the Phase II clinical study SB5-G21-RA.</w:t>
            </w:r>
          </w:p>
        </w:tc>
      </w:tr>
    </w:tbl>
    <w:p w14:paraId="2EEE707E" w14:textId="77777777" w:rsidR="00605AD4" w:rsidRDefault="00605AD4" w:rsidP="006F6ADA">
      <w:pPr>
        <w:pStyle w:val="Heading4"/>
      </w:pPr>
      <w:r w:rsidRPr="00605AD4">
        <w:t xml:space="preserve">First round </w:t>
      </w:r>
      <w:r w:rsidRPr="006F6ADA">
        <w:t>assessment</w:t>
      </w:r>
      <w:r w:rsidRPr="00605AD4">
        <w:t xml:space="preserve"> of risks</w:t>
      </w:r>
    </w:p>
    <w:p w14:paraId="1C385244" w14:textId="37B8B573" w:rsidR="00186C65" w:rsidRPr="00186C65" w:rsidRDefault="00186C65" w:rsidP="006F6ADA">
      <w:r>
        <w:t>Table 8 summarises the first round assessment of risks at the first round.</w:t>
      </w:r>
    </w:p>
    <w:p w14:paraId="0C5E4E2B" w14:textId="77777777" w:rsidR="00D62A99" w:rsidRPr="00171ED3" w:rsidRDefault="00D62A99" w:rsidP="006F6ADA">
      <w:pPr>
        <w:pStyle w:val="Tabletitle0"/>
        <w:rPr>
          <w:lang w:eastAsia="ja-JP"/>
        </w:rPr>
      </w:pPr>
      <w:r>
        <w:rPr>
          <w:lang w:eastAsia="ja-JP"/>
        </w:rPr>
        <w:t xml:space="preserve">Table </w:t>
      </w:r>
      <w:r w:rsidR="003B5224">
        <w:rPr>
          <w:lang w:eastAsia="ja-JP"/>
        </w:rPr>
        <w:t>8</w:t>
      </w:r>
      <w:r>
        <w:rPr>
          <w:lang w:eastAsia="ja-JP"/>
        </w:rPr>
        <w:t xml:space="preserve">: </w:t>
      </w:r>
      <w:r w:rsidRPr="006F6ADA">
        <w:t>First</w:t>
      </w:r>
      <w:r>
        <w:rPr>
          <w:lang w:eastAsia="ja-JP"/>
        </w:rPr>
        <w:t xml:space="preserve"> round assessment of risks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3"/>
        <w:gridCol w:w="4299"/>
      </w:tblGrid>
      <w:tr w:rsidR="00D62A99" w:rsidRPr="00C37A1D" w14:paraId="5657DDFA" w14:textId="77777777" w:rsidTr="0082450F">
        <w:trPr>
          <w:tblHeader/>
        </w:trPr>
        <w:tc>
          <w:tcPr>
            <w:tcW w:w="4313" w:type="dxa"/>
            <w:shd w:val="clear" w:color="auto" w:fill="006DA7"/>
          </w:tcPr>
          <w:p w14:paraId="18E98A89" w14:textId="77777777" w:rsidR="00D62A99" w:rsidRPr="00166DF5" w:rsidRDefault="00D62A99" w:rsidP="009C1291">
            <w:pPr>
              <w:keepNext/>
              <w:rPr>
                <w:b/>
                <w:color w:val="FFFFFF"/>
                <w:lang w:eastAsia="en-AU"/>
              </w:rPr>
            </w:pPr>
            <w:r w:rsidRPr="00166DF5">
              <w:rPr>
                <w:b/>
                <w:color w:val="FFFFFF"/>
                <w:lang w:eastAsia="en-AU"/>
              </w:rPr>
              <w:t>Risks</w:t>
            </w:r>
          </w:p>
        </w:tc>
        <w:tc>
          <w:tcPr>
            <w:tcW w:w="4299" w:type="dxa"/>
            <w:shd w:val="clear" w:color="auto" w:fill="006DA7"/>
          </w:tcPr>
          <w:p w14:paraId="5274651D" w14:textId="77777777" w:rsidR="00D62A99" w:rsidRPr="00166DF5" w:rsidRDefault="00D62A99" w:rsidP="009C1291">
            <w:pPr>
              <w:rPr>
                <w:b/>
                <w:color w:val="FFFFFF"/>
                <w:lang w:eastAsia="en-AU"/>
              </w:rPr>
            </w:pPr>
            <w:r w:rsidRPr="00166DF5">
              <w:rPr>
                <w:b/>
                <w:color w:val="FFFFFF"/>
                <w:lang w:eastAsia="en-AU"/>
              </w:rPr>
              <w:t>Strengths and Uncertainties</w:t>
            </w:r>
          </w:p>
        </w:tc>
      </w:tr>
      <w:tr w:rsidR="00D62A99" w:rsidRPr="00C37A1D" w14:paraId="2A311DE1" w14:textId="77777777" w:rsidTr="0082450F">
        <w:tc>
          <w:tcPr>
            <w:tcW w:w="4313" w:type="dxa"/>
          </w:tcPr>
          <w:p w14:paraId="03EBB4DD" w14:textId="77777777" w:rsidR="00D62A99" w:rsidRPr="00A8423B" w:rsidRDefault="00D62A99" w:rsidP="009C1291">
            <w:pPr>
              <w:rPr>
                <w:lang w:eastAsia="en-AU"/>
              </w:rPr>
            </w:pPr>
            <w:r>
              <w:rPr>
                <w:lang w:eastAsia="en-AU"/>
              </w:rPr>
              <w:t xml:space="preserve">Increased incidence of serious and opportunistic infection, including latent TB with </w:t>
            </w:r>
            <w:r w:rsidR="00321955">
              <w:rPr>
                <w:lang w:eastAsia="en-AU"/>
              </w:rPr>
              <w:t>Hadlima</w:t>
            </w:r>
            <w:r>
              <w:rPr>
                <w:lang w:eastAsia="en-AU"/>
              </w:rPr>
              <w:t xml:space="preserve"> which is comparable to that observed with Humira.</w:t>
            </w:r>
          </w:p>
        </w:tc>
        <w:tc>
          <w:tcPr>
            <w:tcW w:w="4299" w:type="dxa"/>
          </w:tcPr>
          <w:p w14:paraId="04862B20" w14:textId="77777777" w:rsidR="00D62A99" w:rsidRPr="00A8423B" w:rsidRDefault="00D62A99" w:rsidP="009C1291">
            <w:pPr>
              <w:rPr>
                <w:rFonts w:cs="Cambria"/>
                <w:lang w:eastAsia="en-AU"/>
              </w:rPr>
            </w:pPr>
            <w:r>
              <w:rPr>
                <w:rFonts w:cs="Cambria"/>
                <w:lang w:eastAsia="en-AU"/>
              </w:rPr>
              <w:t xml:space="preserve">Observed </w:t>
            </w:r>
            <w:r w:rsidR="0069652B">
              <w:rPr>
                <w:rFonts w:cs="Cambria"/>
                <w:lang w:eastAsia="en-AU"/>
              </w:rPr>
              <w:t>data in the Phase III Study SB5</w:t>
            </w:r>
            <w:r w:rsidR="0069652B">
              <w:rPr>
                <w:rFonts w:cs="Cambria"/>
                <w:lang w:eastAsia="en-AU"/>
              </w:rPr>
              <w:noBreakHyphen/>
            </w:r>
            <w:r>
              <w:rPr>
                <w:rFonts w:cs="Cambria"/>
                <w:lang w:eastAsia="en-AU"/>
              </w:rPr>
              <w:t>G31-RA. Despite meticulous screening, several cases of latent TB were seen in both adalimumab treatment groups.</w:t>
            </w:r>
          </w:p>
        </w:tc>
      </w:tr>
      <w:tr w:rsidR="00D62A99" w:rsidRPr="00C37A1D" w14:paraId="06303181" w14:textId="77777777" w:rsidTr="0082450F">
        <w:tc>
          <w:tcPr>
            <w:tcW w:w="4313" w:type="dxa"/>
          </w:tcPr>
          <w:p w14:paraId="3953FD82" w14:textId="77777777" w:rsidR="00D62A99" w:rsidRPr="00A25BBE" w:rsidRDefault="00D62A99" w:rsidP="009C1291">
            <w:pPr>
              <w:rPr>
                <w:rFonts w:cs="Cambria"/>
                <w:i/>
                <w:lang w:eastAsia="en-AU"/>
              </w:rPr>
            </w:pPr>
            <w:r>
              <w:rPr>
                <w:rFonts w:cs="Cambria"/>
                <w:lang w:eastAsia="en-AU"/>
              </w:rPr>
              <w:t xml:space="preserve">Increased incidence of injection site reactions with </w:t>
            </w:r>
            <w:r w:rsidR="00321955">
              <w:rPr>
                <w:rFonts w:cs="Cambria"/>
                <w:lang w:eastAsia="en-AU"/>
              </w:rPr>
              <w:t>Hadlima</w:t>
            </w:r>
            <w:r>
              <w:rPr>
                <w:rFonts w:cs="Cambria"/>
                <w:lang w:eastAsia="en-AU"/>
              </w:rPr>
              <w:t xml:space="preserve"> that is comparable to (and possibly less frequent) than Humira</w:t>
            </w:r>
          </w:p>
        </w:tc>
        <w:tc>
          <w:tcPr>
            <w:tcW w:w="4299" w:type="dxa"/>
          </w:tcPr>
          <w:p w14:paraId="6631239D" w14:textId="77777777" w:rsidR="00D62A99" w:rsidRPr="00A8423B" w:rsidRDefault="00D62A99" w:rsidP="009C1291">
            <w:pPr>
              <w:rPr>
                <w:rFonts w:cs="Cambria"/>
                <w:lang w:eastAsia="en-AU"/>
              </w:rPr>
            </w:pPr>
            <w:r w:rsidRPr="00DF3C83">
              <w:rPr>
                <w:rFonts w:cs="Cambria"/>
                <w:lang w:eastAsia="en-AU"/>
              </w:rPr>
              <w:t xml:space="preserve">Observed data in the </w:t>
            </w:r>
            <w:r>
              <w:rPr>
                <w:rFonts w:cs="Cambria"/>
                <w:lang w:eastAsia="en-AU"/>
              </w:rPr>
              <w:t>Phase III</w:t>
            </w:r>
            <w:r w:rsidR="0069652B">
              <w:rPr>
                <w:rFonts w:cs="Cambria"/>
                <w:lang w:eastAsia="en-AU"/>
              </w:rPr>
              <w:t xml:space="preserve"> Study SB5</w:t>
            </w:r>
            <w:r w:rsidR="0069652B">
              <w:rPr>
                <w:rFonts w:cs="Cambria"/>
                <w:lang w:eastAsia="en-AU"/>
              </w:rPr>
              <w:noBreakHyphen/>
            </w:r>
            <w:r w:rsidRPr="00DF3C83">
              <w:rPr>
                <w:rFonts w:cs="Cambria"/>
                <w:lang w:eastAsia="en-AU"/>
              </w:rPr>
              <w:t>G31-RA</w:t>
            </w:r>
            <w:r>
              <w:rPr>
                <w:rFonts w:cs="Cambria"/>
                <w:lang w:eastAsia="en-AU"/>
              </w:rPr>
              <w:t xml:space="preserve"> plus 2 supporting studies (SB5-G21-RA and SB5-G11-NHV)</w:t>
            </w:r>
            <w:r w:rsidRPr="00DF3C83">
              <w:rPr>
                <w:rFonts w:cs="Cambria"/>
                <w:lang w:eastAsia="en-AU"/>
              </w:rPr>
              <w:t>.</w:t>
            </w:r>
          </w:p>
        </w:tc>
      </w:tr>
      <w:tr w:rsidR="00D62A99" w:rsidRPr="00C37A1D" w14:paraId="1D57D853" w14:textId="77777777" w:rsidTr="0082450F">
        <w:tc>
          <w:tcPr>
            <w:tcW w:w="4313" w:type="dxa"/>
          </w:tcPr>
          <w:p w14:paraId="01E7D1D2" w14:textId="77777777" w:rsidR="00D62A99" w:rsidRDefault="00D62A99" w:rsidP="0069652B">
            <w:pPr>
              <w:rPr>
                <w:rFonts w:cs="Cambria"/>
                <w:i/>
                <w:lang w:eastAsia="en-AU"/>
              </w:rPr>
            </w:pPr>
            <w:r>
              <w:rPr>
                <w:rFonts w:cs="Cambria"/>
                <w:lang w:eastAsia="en-AU"/>
              </w:rPr>
              <w:t xml:space="preserve">Increased incidence of permanent treatment discontinuations due to AEs with </w:t>
            </w:r>
            <w:r w:rsidR="00321955">
              <w:rPr>
                <w:rFonts w:cs="Cambria"/>
                <w:lang w:eastAsia="en-AU"/>
              </w:rPr>
              <w:t>Hadlima</w:t>
            </w:r>
            <w:r>
              <w:rPr>
                <w:rFonts w:cs="Cambria"/>
                <w:lang w:eastAsia="en-AU"/>
              </w:rPr>
              <w:t xml:space="preserve"> that is comparable (and possibly lower) </w:t>
            </w:r>
            <w:r w:rsidR="0069652B">
              <w:rPr>
                <w:rFonts w:cs="Cambria"/>
                <w:lang w:eastAsia="en-AU"/>
              </w:rPr>
              <w:t>versus</w:t>
            </w:r>
            <w:r>
              <w:rPr>
                <w:rFonts w:cs="Cambria"/>
                <w:lang w:eastAsia="en-AU"/>
              </w:rPr>
              <w:t xml:space="preserve"> Humira.</w:t>
            </w:r>
          </w:p>
        </w:tc>
        <w:tc>
          <w:tcPr>
            <w:tcW w:w="4299" w:type="dxa"/>
          </w:tcPr>
          <w:p w14:paraId="3569225B" w14:textId="77777777" w:rsidR="00D62A99" w:rsidRPr="00A8423B" w:rsidRDefault="00D62A99" w:rsidP="009C1291">
            <w:pPr>
              <w:rPr>
                <w:rFonts w:cs="Cambria"/>
                <w:lang w:eastAsia="en-AU"/>
              </w:rPr>
            </w:pPr>
            <w:r>
              <w:rPr>
                <w:rFonts w:cs="Cambria"/>
                <w:lang w:eastAsia="en-AU"/>
              </w:rPr>
              <w:t>This was observed in the Phase III clinical study.</w:t>
            </w:r>
          </w:p>
        </w:tc>
      </w:tr>
      <w:tr w:rsidR="00D62A99" w:rsidRPr="00C37A1D" w14:paraId="6D750E60" w14:textId="77777777" w:rsidTr="0082450F">
        <w:tc>
          <w:tcPr>
            <w:tcW w:w="4313" w:type="dxa"/>
          </w:tcPr>
          <w:p w14:paraId="4E12BBC6" w14:textId="77777777" w:rsidR="00D62A99" w:rsidRDefault="00D62A99" w:rsidP="009C1291">
            <w:pPr>
              <w:rPr>
                <w:rFonts w:cs="Cambria"/>
                <w:i/>
                <w:lang w:eastAsia="en-AU"/>
              </w:rPr>
            </w:pPr>
            <w:r>
              <w:rPr>
                <w:rFonts w:cs="Cambria"/>
                <w:lang w:eastAsia="en-AU"/>
              </w:rPr>
              <w:t xml:space="preserve">Increased incidence of haematological abnormalities such as neutropenia and thrombocytopenia with </w:t>
            </w:r>
            <w:r w:rsidR="00321955">
              <w:rPr>
                <w:rFonts w:cs="Cambria"/>
                <w:lang w:eastAsia="en-AU"/>
              </w:rPr>
              <w:t>Hadlima</w:t>
            </w:r>
            <w:r>
              <w:rPr>
                <w:rFonts w:cs="Cambria"/>
                <w:lang w:eastAsia="en-AU"/>
              </w:rPr>
              <w:t xml:space="preserve"> versus PBO, that is comparable to adalimumab.</w:t>
            </w:r>
          </w:p>
        </w:tc>
        <w:tc>
          <w:tcPr>
            <w:tcW w:w="4299" w:type="dxa"/>
          </w:tcPr>
          <w:p w14:paraId="3FBA69AE" w14:textId="77777777" w:rsidR="00D62A99" w:rsidRPr="00A8423B" w:rsidRDefault="00D62A99" w:rsidP="009C1291">
            <w:pPr>
              <w:rPr>
                <w:rFonts w:cs="Cambria"/>
                <w:lang w:eastAsia="en-AU"/>
              </w:rPr>
            </w:pPr>
            <w:r>
              <w:rPr>
                <w:rFonts w:cs="Cambria"/>
                <w:lang w:eastAsia="en-AU"/>
              </w:rPr>
              <w:t xml:space="preserve">Observed in Phase III clinical trial. This is known safety information which is included in the proposed PI and RMP for </w:t>
            </w:r>
            <w:r w:rsidR="00321955">
              <w:rPr>
                <w:rFonts w:cs="Cambria"/>
                <w:lang w:eastAsia="en-AU"/>
              </w:rPr>
              <w:t>Hadlima</w:t>
            </w:r>
            <w:r>
              <w:rPr>
                <w:rFonts w:cs="Cambria"/>
                <w:lang w:eastAsia="en-AU"/>
              </w:rPr>
              <w:t>.</w:t>
            </w:r>
          </w:p>
        </w:tc>
      </w:tr>
      <w:tr w:rsidR="00D62A99" w:rsidRPr="00C37A1D" w14:paraId="4AAF43CA" w14:textId="77777777" w:rsidTr="0082450F">
        <w:tc>
          <w:tcPr>
            <w:tcW w:w="4313" w:type="dxa"/>
          </w:tcPr>
          <w:p w14:paraId="3EB574BB" w14:textId="77777777" w:rsidR="00D62A99" w:rsidRDefault="00D62A99" w:rsidP="009C1291">
            <w:pPr>
              <w:rPr>
                <w:rFonts w:cs="Cambria"/>
                <w:i/>
                <w:lang w:eastAsia="en-AU"/>
              </w:rPr>
            </w:pPr>
            <w:r>
              <w:rPr>
                <w:rFonts w:cs="Cambria"/>
                <w:lang w:eastAsia="en-AU"/>
              </w:rPr>
              <w:lastRenderedPageBreak/>
              <w:t xml:space="preserve">Comparable (but relatively high) rates of anti-drug antibody formation with </w:t>
            </w:r>
            <w:r w:rsidR="00321955">
              <w:rPr>
                <w:rFonts w:cs="Cambria"/>
                <w:lang w:eastAsia="en-AU"/>
              </w:rPr>
              <w:t>Hadlima</w:t>
            </w:r>
            <w:r>
              <w:rPr>
                <w:rFonts w:cs="Cambria"/>
                <w:lang w:eastAsia="en-AU"/>
              </w:rPr>
              <w:t xml:space="preserve"> and Humira suggesting equivalence in immunogenicity.</w:t>
            </w:r>
          </w:p>
        </w:tc>
        <w:tc>
          <w:tcPr>
            <w:tcW w:w="4299" w:type="dxa"/>
          </w:tcPr>
          <w:p w14:paraId="524C0D83" w14:textId="77777777" w:rsidR="00D62A99" w:rsidRPr="00AF0D15" w:rsidRDefault="00D62A99" w:rsidP="009C1291">
            <w:pPr>
              <w:rPr>
                <w:rFonts w:cs="Cambria"/>
                <w:lang w:eastAsia="en-AU"/>
              </w:rPr>
            </w:pPr>
            <w:r>
              <w:rPr>
                <w:rFonts w:cs="Cambria"/>
                <w:lang w:eastAsia="en-AU"/>
              </w:rPr>
              <w:t>This was consistently observed in the Phase I and III clinical studies in which ADA was assessed. Study SB5-G31-RA had much lo</w:t>
            </w:r>
            <w:r w:rsidR="0069652B">
              <w:rPr>
                <w:rFonts w:cs="Cambria"/>
                <w:lang w:eastAsia="en-AU"/>
              </w:rPr>
              <w:t>wer rates of ADA than Study SB5</w:t>
            </w:r>
            <w:r w:rsidR="0069652B">
              <w:rPr>
                <w:rFonts w:cs="Cambria"/>
                <w:lang w:eastAsia="en-AU"/>
              </w:rPr>
              <w:noBreakHyphen/>
            </w:r>
            <w:r>
              <w:rPr>
                <w:rFonts w:cs="Cambria"/>
                <w:lang w:eastAsia="en-AU"/>
              </w:rPr>
              <w:t>G11-NHV suggesting concomitant MTX may reduce the incidence of ADA formation.</w:t>
            </w:r>
          </w:p>
        </w:tc>
      </w:tr>
      <w:tr w:rsidR="00D62A99" w:rsidRPr="00C37A1D" w14:paraId="2F556B51" w14:textId="77777777" w:rsidTr="0082450F">
        <w:tc>
          <w:tcPr>
            <w:tcW w:w="4313" w:type="dxa"/>
          </w:tcPr>
          <w:p w14:paraId="40C8771F" w14:textId="6A962912" w:rsidR="00D62A99" w:rsidRDefault="00D62A99" w:rsidP="009C1291">
            <w:pPr>
              <w:rPr>
                <w:rFonts w:cs="Cambria"/>
                <w:i/>
                <w:lang w:eastAsia="en-AU"/>
              </w:rPr>
            </w:pPr>
            <w:r>
              <w:rPr>
                <w:rFonts w:cs="Cambria"/>
                <w:lang w:eastAsia="en-AU"/>
              </w:rPr>
              <w:t>Potential for diminished clinical efficacy if patient develops medium to high titres of ADA as this has been shown to reduce trough drug levels.</w:t>
            </w:r>
            <w:r w:rsidR="00F17735">
              <w:rPr>
                <w:rFonts w:cs="Cambria"/>
                <w:lang w:eastAsia="en-AU"/>
              </w:rPr>
              <w:t xml:space="preserve"> Sponsor included information in to indicate trough drug level is an important determinant of clinical response.</w:t>
            </w:r>
          </w:p>
        </w:tc>
        <w:tc>
          <w:tcPr>
            <w:tcW w:w="4299" w:type="dxa"/>
          </w:tcPr>
          <w:p w14:paraId="658EB8D3" w14:textId="77777777" w:rsidR="00D62A99" w:rsidRPr="00AF0D15" w:rsidRDefault="00D62A99" w:rsidP="009C1291">
            <w:pPr>
              <w:rPr>
                <w:rFonts w:cs="Cambria"/>
                <w:lang w:eastAsia="en-AU"/>
              </w:rPr>
            </w:pPr>
            <w:r>
              <w:rPr>
                <w:rFonts w:cs="Cambria"/>
                <w:lang w:eastAsia="en-AU"/>
              </w:rPr>
              <w:t xml:space="preserve">The sponsor has conducted a post hoc analysis of ADA formation on the PK of </w:t>
            </w:r>
            <w:r w:rsidR="00321955">
              <w:rPr>
                <w:rFonts w:cs="Cambria"/>
                <w:lang w:eastAsia="en-AU"/>
              </w:rPr>
              <w:t>Hadlima</w:t>
            </w:r>
            <w:r>
              <w:rPr>
                <w:rFonts w:cs="Cambria"/>
                <w:lang w:eastAsia="en-AU"/>
              </w:rPr>
              <w:t xml:space="preserve"> and Humira using data from the Phase I and III clinical studies. The PI does not contain specific information on this issue.</w:t>
            </w:r>
          </w:p>
        </w:tc>
      </w:tr>
      <w:tr w:rsidR="00D62A99" w:rsidRPr="00C37A1D" w14:paraId="783C74D3" w14:textId="77777777" w:rsidTr="0082450F">
        <w:tc>
          <w:tcPr>
            <w:tcW w:w="4313" w:type="dxa"/>
          </w:tcPr>
          <w:p w14:paraId="7B563373" w14:textId="77777777" w:rsidR="00D62A99" w:rsidRDefault="00321955" w:rsidP="009C1291">
            <w:pPr>
              <w:rPr>
                <w:rFonts w:cs="Cambria"/>
                <w:i/>
                <w:lang w:eastAsia="en-AU"/>
              </w:rPr>
            </w:pPr>
            <w:r>
              <w:rPr>
                <w:rFonts w:cs="Cambria"/>
                <w:lang w:eastAsia="en-AU"/>
              </w:rPr>
              <w:t>Hadlima</w:t>
            </w:r>
            <w:r w:rsidR="00D62A99">
              <w:rPr>
                <w:rFonts w:cs="Cambria"/>
                <w:lang w:eastAsia="en-AU"/>
              </w:rPr>
              <w:t xml:space="preserve"> has not been studied in patients &lt; 18 years of age, in subjects with significant organ dysfunction, those with concurrent Hepatitis B or C virus or HIV, and in pregnant/lactating women.</w:t>
            </w:r>
          </w:p>
        </w:tc>
        <w:tc>
          <w:tcPr>
            <w:tcW w:w="4299" w:type="dxa"/>
          </w:tcPr>
          <w:p w14:paraId="3500BC16" w14:textId="77777777" w:rsidR="00D62A99" w:rsidRPr="009B04CC" w:rsidRDefault="00D62A99" w:rsidP="009C1291">
            <w:pPr>
              <w:rPr>
                <w:rFonts w:cs="Cambria"/>
                <w:lang w:eastAsia="en-AU"/>
              </w:rPr>
            </w:pPr>
            <w:r>
              <w:rPr>
                <w:rFonts w:cs="Cambria"/>
                <w:lang w:eastAsia="en-AU"/>
              </w:rPr>
              <w:t xml:space="preserve">The populations with inadequate clinical data regarding </w:t>
            </w:r>
            <w:r w:rsidR="00321955">
              <w:rPr>
                <w:rFonts w:cs="Cambria"/>
                <w:lang w:eastAsia="en-AU"/>
              </w:rPr>
              <w:t>Hadlima</w:t>
            </w:r>
            <w:r>
              <w:rPr>
                <w:rFonts w:cs="Cambria"/>
                <w:lang w:eastAsia="en-AU"/>
              </w:rPr>
              <w:t xml:space="preserve"> therapy are appropriately identified in the proposed RMP.</w:t>
            </w:r>
          </w:p>
        </w:tc>
      </w:tr>
    </w:tbl>
    <w:p w14:paraId="2F3FB9E4" w14:textId="77777777" w:rsidR="00605AD4" w:rsidRPr="00605AD4" w:rsidRDefault="00605AD4" w:rsidP="006F6ADA">
      <w:pPr>
        <w:pStyle w:val="Heading4"/>
      </w:pPr>
      <w:r w:rsidRPr="00605AD4">
        <w:t>First round assessment of benefit-risk balance</w:t>
      </w:r>
    </w:p>
    <w:p w14:paraId="3ACB249D" w14:textId="411F90BB" w:rsidR="00D62A99" w:rsidRDefault="00D62A99" w:rsidP="006F6ADA">
      <w:r>
        <w:t xml:space="preserve">The submission indicates that the benefit-risk balance of </w:t>
      </w:r>
      <w:r w:rsidR="00321955">
        <w:t>Hadlima</w:t>
      </w:r>
      <w:r>
        <w:t xml:space="preserve"> is favourable for the treatment of active RA in adult patients, who have had an inadequate response to treatment with MTX (Study SB5-G31-RA). The currently available dataset on the benefit-risk balance of </w:t>
      </w:r>
      <w:r w:rsidR="00321955">
        <w:t>Hadlima</w:t>
      </w:r>
      <w:r>
        <w:t xml:space="preserve"> in adult patients with RA is limited to 60 weeks of treatment follow-up (including 52 weeks of active drug treatment). This submission also contains a sufficient volume of data to support the claim that </w:t>
      </w:r>
      <w:r w:rsidR="00321955">
        <w:t>Hadlima</w:t>
      </w:r>
      <w:r>
        <w:t xml:space="preserve"> is pharmacokinetically equivalent to the reference product, Humira, in adult patients with active RA (Study</w:t>
      </w:r>
      <w:r w:rsidR="00186C65">
        <w:t> </w:t>
      </w:r>
      <w:r>
        <w:t>SB5</w:t>
      </w:r>
      <w:r w:rsidR="007C4788">
        <w:noBreakHyphen/>
      </w:r>
      <w:r>
        <w:t>G31-RA) and in healthy young-middle aged subjects (Studies SB5-G11-NHV and SB5</w:t>
      </w:r>
      <w:r w:rsidR="007C4788">
        <w:noBreakHyphen/>
      </w:r>
      <w:r>
        <w:t>G12-NHV).</w:t>
      </w:r>
    </w:p>
    <w:p w14:paraId="30C5C99E" w14:textId="24AF5499" w:rsidR="00D62A99" w:rsidRDefault="00D62A99" w:rsidP="009D3303">
      <w:r>
        <w:t xml:space="preserve">The sponsor has provided a review of the literature on the role of TNF in the disorders covered by the therapeutic indications of Humira, and the potential mechanisms by which adalimumab </w:t>
      </w:r>
      <w:proofErr w:type="gramStart"/>
      <w:r>
        <w:t>exerts</w:t>
      </w:r>
      <w:proofErr w:type="gramEnd"/>
      <w:r>
        <w:t xml:space="preserve"> its clinical efficacy. The mechanism of action of adalimumab is complex but the primary mode of action results from direct blocking of TNF receptor-mediated biological activities. Adalimumab is a recombinant monoclonal antibody that competitively inhibits TNF by binding to it, thereby blocking the interaction between TNF and TNF receptors. This is thought to prevent various pro-inflammatory cellular responses that are recognised to occur in autoimmune conditions ranging from RA to AS and PSOR.</w:t>
      </w:r>
      <w:r w:rsidR="001B7E12">
        <w:t xml:space="preserve"> </w:t>
      </w:r>
      <w:r w:rsidR="00F17735">
        <w:t>[Information redacted]</w:t>
      </w:r>
      <w:r w:rsidR="00227092">
        <w:t>.</w:t>
      </w:r>
    </w:p>
    <w:p w14:paraId="2ED47B9B" w14:textId="77777777" w:rsidR="00D62A99" w:rsidRDefault="00D62A99" w:rsidP="006F6ADA">
      <w:r>
        <w:t xml:space="preserve">On the safety aspect, there is an increased risk of infection (overall and serious) with </w:t>
      </w:r>
      <w:r w:rsidR="00321955">
        <w:t>Hadlima</w:t>
      </w:r>
      <w:r>
        <w:t xml:space="preserve">, which appears to be comparable to Humira. The submitted studies show a risk of injection site reactions with </w:t>
      </w:r>
      <w:r w:rsidR="00321955">
        <w:t>Hadlima</w:t>
      </w:r>
      <w:r>
        <w:t xml:space="preserve">, which is numerically lower than that observed with Humira therapy. There are limitations to the current dataset, which will require ongoing pharmacovigilance. The efficacy and safety of </w:t>
      </w:r>
      <w:r w:rsidR="00321955">
        <w:t>Hadlima</w:t>
      </w:r>
      <w:r>
        <w:t xml:space="preserve"> in patients at a high risk of infection is not established. In addition, there is limited information about the safety and efficacy of switching to </w:t>
      </w:r>
      <w:r w:rsidR="00321955">
        <w:t>Hadlima</w:t>
      </w:r>
      <w:r>
        <w:t xml:space="preserve"> from Humira, or vice versa. Multiple treatment switches between the 2 formulations of adalimumab is also an area of uncertainty, but there are at least theoretical concerns that such practice may increase the rates of immunogenicity. </w:t>
      </w:r>
      <w:r>
        <w:lastRenderedPageBreak/>
        <w:t xml:space="preserve">Furthermore, the current dataset has evaluated </w:t>
      </w:r>
      <w:r w:rsidR="00321955">
        <w:t>Hadlima</w:t>
      </w:r>
      <w:r>
        <w:t xml:space="preserve"> use in healthy volunteers and adult subjects with active RA and the submi</w:t>
      </w:r>
      <w:r w:rsidRPr="006F6ADA">
        <w:t>s</w:t>
      </w:r>
      <w:r>
        <w:t xml:space="preserve">sion included limited or no information (clinical and pharmacokinetic) on the use of </w:t>
      </w:r>
      <w:r w:rsidR="00321955">
        <w:t>Hadlima</w:t>
      </w:r>
      <w:r>
        <w:t xml:space="preserve"> in other adult treatment indications or in children and adolescents with inflammatory conditions where Humira is also approved for use.</w:t>
      </w:r>
    </w:p>
    <w:p w14:paraId="2896AE8B" w14:textId="31092C29" w:rsidR="00605AD4" w:rsidRPr="00605AD4" w:rsidRDefault="00605AD4" w:rsidP="006F6ADA">
      <w:pPr>
        <w:pStyle w:val="Heading3"/>
        <w:rPr>
          <w:rFonts w:eastAsia="Cambria"/>
        </w:rPr>
      </w:pPr>
      <w:bookmarkStart w:id="197" w:name="_Toc8816498"/>
      <w:r w:rsidRPr="00605AD4">
        <w:rPr>
          <w:rFonts w:eastAsia="Cambria"/>
        </w:rPr>
        <w:t xml:space="preserve">First </w:t>
      </w:r>
      <w:r w:rsidR="006F6ADA">
        <w:rPr>
          <w:rFonts w:eastAsia="Cambria"/>
        </w:rPr>
        <w:t>r</w:t>
      </w:r>
      <w:r w:rsidRPr="00605AD4">
        <w:rPr>
          <w:rFonts w:eastAsia="Cambria"/>
        </w:rPr>
        <w:t xml:space="preserve">ound </w:t>
      </w:r>
      <w:r w:rsidR="006F6ADA">
        <w:rPr>
          <w:rFonts w:eastAsia="Cambria"/>
        </w:rPr>
        <w:t>r</w:t>
      </w:r>
      <w:r w:rsidRPr="00605AD4">
        <w:rPr>
          <w:rFonts w:eastAsia="Cambria"/>
        </w:rPr>
        <w:t xml:space="preserve">ecommendation </w:t>
      </w:r>
      <w:r w:rsidR="006F6ADA">
        <w:rPr>
          <w:rFonts w:eastAsia="Cambria"/>
        </w:rPr>
        <w:t>r</w:t>
      </w:r>
      <w:r w:rsidRPr="00605AD4">
        <w:rPr>
          <w:rFonts w:eastAsia="Cambria"/>
        </w:rPr>
        <w:t xml:space="preserve">egarding </w:t>
      </w:r>
      <w:r w:rsidR="006F6ADA" w:rsidRPr="006F6ADA">
        <w:rPr>
          <w:rFonts w:eastAsia="Cambria"/>
        </w:rPr>
        <w:t>a</w:t>
      </w:r>
      <w:r w:rsidRPr="006F6ADA">
        <w:rPr>
          <w:rFonts w:eastAsia="Cambria"/>
        </w:rPr>
        <w:t>uthorisation</w:t>
      </w:r>
      <w:bookmarkEnd w:id="197"/>
    </w:p>
    <w:p w14:paraId="63FD13C7" w14:textId="04AB6ACB" w:rsidR="00D62A99" w:rsidRDefault="00D62A99" w:rsidP="006F6ADA">
      <w:r>
        <w:t xml:space="preserve">The clinical evaluator recommended acceptance of the sponsor’s proposed registration of </w:t>
      </w:r>
      <w:r w:rsidR="00321955">
        <w:t>Hadlima</w:t>
      </w:r>
      <w:r>
        <w:t xml:space="preserve"> to include RA as well as all of the current approved adult treatment indications for Humira. The current submission provides evidence that </w:t>
      </w:r>
      <w:r w:rsidR="00321955">
        <w:t>Hadlima</w:t>
      </w:r>
      <w:r>
        <w:t xml:space="preserve"> is therapeutically equivalent to Humira in improving the signs and symptoms, as well radiographic outcomes in adult patients with active RA that are inadequately responding to MTX. This target treatment population is consistent with the approved RA treatment population for Humira. </w:t>
      </w:r>
      <w:r w:rsidR="00F17735">
        <w:t>In addition, the applicant has provided data and a literature review assessment.</w:t>
      </w:r>
    </w:p>
    <w:p w14:paraId="7EEC9394" w14:textId="060F1CB3" w:rsidR="00605AD4" w:rsidRPr="00605AD4" w:rsidRDefault="00D62A99" w:rsidP="006F6ADA">
      <w:r>
        <w:t xml:space="preserve">Satisfactory response to the questions </w:t>
      </w:r>
      <w:r w:rsidR="00F17735">
        <w:t>raised</w:t>
      </w:r>
      <w:r>
        <w:t xml:space="preserve"> is a recommended condition prior to further consideration of the proposed registration of </w:t>
      </w:r>
      <w:r w:rsidR="00321955">
        <w:t>Hadlima</w:t>
      </w:r>
      <w:r>
        <w:t xml:space="preserve">. At present, the supporting dataset for </w:t>
      </w:r>
      <w:r w:rsidR="00321955">
        <w:t>Hadlima</w:t>
      </w:r>
      <w:r>
        <w:t xml:space="preserve"> is limited to patients with active RA and healthy adult volunteers. Moreover, there is no direct data with </w:t>
      </w:r>
      <w:r w:rsidR="00321955">
        <w:t>Hadlima</w:t>
      </w:r>
      <w:r>
        <w:t xml:space="preserve"> use in a paediatric population and the overseas paediatric plans are &gt; 5 years from reporting.</w:t>
      </w:r>
    </w:p>
    <w:p w14:paraId="148E8C7C" w14:textId="09217E63" w:rsidR="00605AD4" w:rsidRDefault="00605AD4" w:rsidP="006F6ADA">
      <w:pPr>
        <w:pStyle w:val="Heading3"/>
        <w:rPr>
          <w:rFonts w:eastAsia="Cambria"/>
        </w:rPr>
      </w:pPr>
      <w:bookmarkStart w:id="198" w:name="_Toc8816499"/>
      <w:r w:rsidRPr="00605AD4">
        <w:rPr>
          <w:rFonts w:eastAsia="Cambria"/>
        </w:rPr>
        <w:t xml:space="preserve">Second </w:t>
      </w:r>
      <w:r w:rsidR="006F6ADA">
        <w:rPr>
          <w:rFonts w:eastAsia="Cambria"/>
        </w:rPr>
        <w:t>r</w:t>
      </w:r>
      <w:r w:rsidRPr="00605AD4">
        <w:rPr>
          <w:rFonts w:eastAsia="Cambria"/>
        </w:rPr>
        <w:t xml:space="preserve">ound </w:t>
      </w:r>
      <w:r w:rsidR="006F6ADA">
        <w:rPr>
          <w:rFonts w:eastAsia="Cambria"/>
        </w:rPr>
        <w:t>b</w:t>
      </w:r>
      <w:r w:rsidRPr="00605AD4">
        <w:rPr>
          <w:rFonts w:eastAsia="Cambria"/>
        </w:rPr>
        <w:t>enefit-</w:t>
      </w:r>
      <w:r w:rsidR="006F6ADA">
        <w:rPr>
          <w:rFonts w:eastAsia="Cambria"/>
        </w:rPr>
        <w:t>r</w:t>
      </w:r>
      <w:r w:rsidRPr="00605AD4">
        <w:rPr>
          <w:rFonts w:eastAsia="Cambria"/>
        </w:rPr>
        <w:t xml:space="preserve">isk </w:t>
      </w:r>
      <w:r w:rsidR="006F6ADA" w:rsidRPr="006F6ADA">
        <w:rPr>
          <w:rFonts w:eastAsia="Cambria"/>
        </w:rPr>
        <w:t>a</w:t>
      </w:r>
      <w:r w:rsidRPr="006F6ADA">
        <w:rPr>
          <w:rFonts w:eastAsia="Cambria"/>
        </w:rPr>
        <w:t>ssessment</w:t>
      </w:r>
      <w:bookmarkEnd w:id="198"/>
    </w:p>
    <w:p w14:paraId="3BB027AC" w14:textId="77777777" w:rsidR="00C05C12" w:rsidRDefault="00C05C12" w:rsidP="006F6ADA">
      <w:r>
        <w:t>In the response, the sponsor requests a change in the indications claimed in the current submission for Hadlima. Registration is now only being sought for RA in Australia and the sponsor recommends removal of all other proposed treatment indications. The applicant states that the removal of the request to seek extrapolation to other treatment indications for Hadlima is based on potential legal actions relating to patent protection rather than clinical concerns.</w:t>
      </w:r>
    </w:p>
    <w:p w14:paraId="6FEEB4EB" w14:textId="77777777" w:rsidR="00C05C12" w:rsidRDefault="00C05C12" w:rsidP="00C05C12">
      <w:r>
        <w:t>The revised proposed indications are:</w:t>
      </w:r>
    </w:p>
    <w:p w14:paraId="339F877E" w14:textId="77777777" w:rsidR="00C05C12" w:rsidRPr="00CF05D4" w:rsidRDefault="00C05C12" w:rsidP="001B7E12">
      <w:pPr>
        <w:ind w:firstLine="720"/>
        <w:rPr>
          <w:i/>
        </w:rPr>
      </w:pPr>
      <w:r w:rsidRPr="00CF05D4">
        <w:rPr>
          <w:i/>
        </w:rPr>
        <w:t>Rheumatoid Arthritis</w:t>
      </w:r>
    </w:p>
    <w:p w14:paraId="0A1DCAD0" w14:textId="77777777" w:rsidR="00C05C12" w:rsidRPr="00CF05D4" w:rsidRDefault="00C05C12" w:rsidP="00C05C12">
      <w:pPr>
        <w:ind w:left="720"/>
        <w:rPr>
          <w:i/>
        </w:rPr>
      </w:pPr>
      <w:r w:rsidRPr="00CF05D4">
        <w:rPr>
          <w:i/>
        </w:rPr>
        <w:t>Hadlima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33FA3F77" w14:textId="77777777" w:rsidR="00C05C12" w:rsidRPr="00C05C12" w:rsidRDefault="00C05C12" w:rsidP="00C05C12">
      <w:pPr>
        <w:ind w:left="720"/>
        <w:rPr>
          <w:i/>
        </w:rPr>
      </w:pPr>
      <w:r w:rsidRPr="00CF05D4">
        <w:rPr>
          <w:i/>
        </w:rPr>
        <w:t>Hadlima can be used alone or in combination with methot</w:t>
      </w:r>
      <w:r>
        <w:rPr>
          <w:i/>
        </w:rPr>
        <w:t>rexate.</w:t>
      </w:r>
    </w:p>
    <w:p w14:paraId="22619106" w14:textId="77777777" w:rsidR="00D62A99" w:rsidRPr="00E45B70" w:rsidRDefault="00D62A99" w:rsidP="006F6ADA">
      <w:pPr>
        <w:pStyle w:val="Heading4"/>
      </w:pPr>
      <w:bookmarkStart w:id="199" w:name="_Toc272414709"/>
      <w:bookmarkStart w:id="200" w:name="_Toc290888575"/>
      <w:bookmarkStart w:id="201" w:name="_Toc416353792"/>
      <w:bookmarkStart w:id="202" w:name="_Toc421005334"/>
      <w:bookmarkStart w:id="203" w:name="_Toc432079207"/>
      <w:bookmarkStart w:id="204" w:name="_Toc432080780"/>
      <w:bookmarkStart w:id="205" w:name="_Toc493594555"/>
      <w:r w:rsidRPr="00E45B70">
        <w:t xml:space="preserve">Second round </w:t>
      </w:r>
      <w:r w:rsidRPr="006F6ADA">
        <w:t>assessment</w:t>
      </w:r>
      <w:r w:rsidRPr="00E45B70">
        <w:t xml:space="preserve"> of benefits</w:t>
      </w:r>
      <w:bookmarkEnd w:id="199"/>
      <w:bookmarkEnd w:id="200"/>
      <w:bookmarkEnd w:id="201"/>
      <w:bookmarkEnd w:id="202"/>
      <w:bookmarkEnd w:id="203"/>
      <w:bookmarkEnd w:id="204"/>
      <w:bookmarkEnd w:id="205"/>
    </w:p>
    <w:p w14:paraId="14055006" w14:textId="65AD7744" w:rsidR="00D62A99" w:rsidRDefault="00D62A99" w:rsidP="006F6ADA">
      <w:r>
        <w:t xml:space="preserve">After consideration of the responses to the clinical questions, the potential benefits of </w:t>
      </w:r>
      <w:r w:rsidR="00321955">
        <w:t>Hadlima</w:t>
      </w:r>
      <w:r>
        <w:t xml:space="preserve"> in the proposed usage are consistent with those detailed in the first round assessment of benefits. In particular, the sponsor has provided further details about the preceding and concomitant RA treatments for the population recruited into the single pivotal clinical efficacy trial (Study SB5-G31-RA). Although the enrolled cohort of Study SB5-G31-RA is consistent with the RA population approved to receive treatment with Humira, it can be argued that the adequacy of preceding DMARD therapy (namely, sub</w:t>
      </w:r>
      <w:r w:rsidR="007C4788">
        <w:noBreakHyphen/>
      </w:r>
      <w:r>
        <w:t>optimal MTX dosing and limited use of combination treatment strategies) was sub</w:t>
      </w:r>
      <w:r w:rsidR="00071331">
        <w:noBreakHyphen/>
      </w:r>
      <w:r>
        <w:t>optimal in many subjects regarding Australian clinical practice standards and international RA treatment guideline recommendations (for example EULAR endorsed). Hence, the external validity of the trial’s results has limitations.</w:t>
      </w:r>
    </w:p>
    <w:p w14:paraId="2ADBBC8A" w14:textId="4AC560BE" w:rsidR="00D62A99" w:rsidRDefault="00D62A99" w:rsidP="00D62A99">
      <w:r>
        <w:lastRenderedPageBreak/>
        <w:t>Additional analysis of the X-ray data obtained in Study SB</w:t>
      </w:r>
      <w:r w:rsidR="00936013">
        <w:t>5</w:t>
      </w:r>
      <w:r>
        <w:t xml:space="preserve">-G31-RA shows that </w:t>
      </w:r>
      <w:r w:rsidR="00321955">
        <w:t>Hadlima</w:t>
      </w:r>
      <w:r>
        <w:t xml:space="preserve"> exhibits comparable efficacy to Humira in slowing the rate of structural disease progression over 52 weeks of therapy. The applicant has also provided quality assurance data on X-ray reader reliability to confirm that the observations were scientifically robust. The sponsor has outlined in the response to questions sufficient justification for extrapolation of the results of Study SB5</w:t>
      </w:r>
      <w:r>
        <w:noBreakHyphen/>
        <w:t xml:space="preserve">G31-RA (in subjects with active RA) to the other Humira approved adult treatment indications. However, the sponsor is now no longer seeking registration in the non-RA indications for allegedly legal reasons. It remains unclear to the clinical evaluator how the current lack of alternative </w:t>
      </w:r>
      <w:r w:rsidR="00321955">
        <w:t>Hadlima</w:t>
      </w:r>
      <w:r>
        <w:t xml:space="preserve"> presentations to the 40 mg/0.8 mL vial may have impacted upon the registration of the three initially proposed paediatric treatment indications.</w:t>
      </w:r>
    </w:p>
    <w:p w14:paraId="4ADCC31D" w14:textId="77777777" w:rsidR="00D62A99" w:rsidRPr="00E45B70" w:rsidRDefault="00D62A99" w:rsidP="006F6ADA">
      <w:pPr>
        <w:pStyle w:val="Heading4"/>
      </w:pPr>
      <w:bookmarkStart w:id="206" w:name="_Toc272414710"/>
      <w:bookmarkStart w:id="207" w:name="_Toc290888576"/>
      <w:bookmarkStart w:id="208" w:name="_Toc416353793"/>
      <w:bookmarkStart w:id="209" w:name="_Toc421005335"/>
      <w:bookmarkStart w:id="210" w:name="_Toc432079208"/>
      <w:bookmarkStart w:id="211" w:name="_Toc432080781"/>
      <w:bookmarkStart w:id="212" w:name="_Toc493594556"/>
      <w:r w:rsidRPr="00E45B70">
        <w:t xml:space="preserve">Second round </w:t>
      </w:r>
      <w:r w:rsidRPr="006F6ADA">
        <w:t>assessment</w:t>
      </w:r>
      <w:r w:rsidRPr="00E45B70">
        <w:t xml:space="preserve"> of risks</w:t>
      </w:r>
      <w:bookmarkEnd w:id="206"/>
      <w:bookmarkEnd w:id="207"/>
      <w:bookmarkEnd w:id="208"/>
      <w:bookmarkEnd w:id="209"/>
      <w:bookmarkEnd w:id="210"/>
      <w:bookmarkEnd w:id="211"/>
      <w:bookmarkEnd w:id="212"/>
    </w:p>
    <w:p w14:paraId="1236063B" w14:textId="111D283A" w:rsidR="00D62A99" w:rsidRDefault="00D62A99" w:rsidP="006F6ADA">
      <w:r>
        <w:t xml:space="preserve">After consideration of the responses to the clinical questions (principally, </w:t>
      </w:r>
      <w:r w:rsidR="007C4788">
        <w:t>Q</w:t>
      </w:r>
      <w:r>
        <w:t xml:space="preserve">uestion 11), the risks of </w:t>
      </w:r>
      <w:r w:rsidR="00321955">
        <w:t>Hadlima</w:t>
      </w:r>
      <w:r>
        <w:t xml:space="preserve"> are unchanged from those identified in the first round assessment of risks. </w:t>
      </w:r>
      <w:r>
        <w:rPr>
          <w:lang w:eastAsia="ja-JP"/>
        </w:rPr>
        <w:t xml:space="preserve">Although it is disappointing that the sponsor is not proposing a specific post-marketing study or patient registry for </w:t>
      </w:r>
      <w:r w:rsidR="00321955">
        <w:rPr>
          <w:lang w:eastAsia="ja-JP"/>
        </w:rPr>
        <w:t>Hadlima</w:t>
      </w:r>
      <w:r>
        <w:rPr>
          <w:lang w:eastAsia="ja-JP"/>
        </w:rPr>
        <w:t xml:space="preserve"> therapy in Australia, the proposed pharmacovigilance strategies meet the minimum standards for consideration of registration. </w:t>
      </w:r>
      <w:r>
        <w:t xml:space="preserve">The increased rate of serious and opportunistic infection with adalimumab versus PBO; as well as the higher incidence of permanent treatment discontinuation due to AEs and </w:t>
      </w:r>
      <w:proofErr w:type="spellStart"/>
      <w:r>
        <w:t>cytopenias</w:t>
      </w:r>
      <w:proofErr w:type="spellEnd"/>
      <w:r>
        <w:t xml:space="preserve"> remain a consistent safety signal, which is comparable between the 2 adalimumab formulations (</w:t>
      </w:r>
      <w:r w:rsidR="00321955">
        <w:t>Hadlima</w:t>
      </w:r>
      <w:r>
        <w:t xml:space="preserve"> and Humira). Additionally, the lack of alternative </w:t>
      </w:r>
      <w:r w:rsidR="00321955">
        <w:t>Hadlima</w:t>
      </w:r>
      <w:r>
        <w:t xml:space="preserve"> presentations to the 40 mg/0.8 mL vial significantly increases the risk of off label </w:t>
      </w:r>
      <w:r w:rsidR="00321955">
        <w:t>Hadlima</w:t>
      </w:r>
      <w:r>
        <w:t xml:space="preserve"> use in Australia, particularly because the applicant has proposed withdrawing from seeking any other treatment indication approved for Humira other than the treatment of RA in adults.</w:t>
      </w:r>
    </w:p>
    <w:p w14:paraId="3D99BEFB" w14:textId="77777777" w:rsidR="00D62A99" w:rsidRPr="00E45B70" w:rsidRDefault="00D62A99" w:rsidP="006F6ADA">
      <w:pPr>
        <w:pStyle w:val="Heading4"/>
      </w:pPr>
      <w:bookmarkStart w:id="213" w:name="_Toc272414711"/>
      <w:bookmarkStart w:id="214" w:name="_Toc290888577"/>
      <w:bookmarkStart w:id="215" w:name="_Toc416353794"/>
      <w:bookmarkStart w:id="216" w:name="_Toc421005336"/>
      <w:bookmarkStart w:id="217" w:name="_Toc432079209"/>
      <w:bookmarkStart w:id="218" w:name="_Toc432080782"/>
      <w:bookmarkStart w:id="219" w:name="_Toc493594557"/>
      <w:r w:rsidRPr="00E45B70">
        <w:t xml:space="preserve">Second round </w:t>
      </w:r>
      <w:r w:rsidRPr="006F6ADA">
        <w:t>assessment</w:t>
      </w:r>
      <w:r w:rsidRPr="00E45B70">
        <w:t xml:space="preserve"> of benefit-risk </w:t>
      </w:r>
      <w:bookmarkEnd w:id="213"/>
      <w:bookmarkEnd w:id="214"/>
      <w:bookmarkEnd w:id="215"/>
      <w:bookmarkEnd w:id="216"/>
      <w:r w:rsidRPr="00E45B70">
        <w:t>balance</w:t>
      </w:r>
      <w:bookmarkEnd w:id="217"/>
      <w:bookmarkEnd w:id="218"/>
      <w:bookmarkEnd w:id="219"/>
    </w:p>
    <w:p w14:paraId="4E4069D7" w14:textId="77777777" w:rsidR="00D62A99" w:rsidRDefault="00D62A99" w:rsidP="006F6ADA">
      <w:r>
        <w:t xml:space="preserve">After consideration of the responses to the clinical questions, there is no change to the opinion expressed in the first round assessment of benefit-risk balance. On the basis of biosimilarity, the overall benefit-risk balance of </w:t>
      </w:r>
      <w:r w:rsidR="00321955">
        <w:t>Hadlima</w:t>
      </w:r>
      <w:r>
        <w:t xml:space="preserve"> treatment (alone or in combination with MTX) in the sole proposed treatment indication of active RA is favourable. Clinically relevant efficacy has been directly observed with </w:t>
      </w:r>
      <w:r w:rsidR="00321955">
        <w:t>Hadlima</w:t>
      </w:r>
      <w:r>
        <w:t xml:space="preserve"> therapy in the second line treatment RA population, but the external validity of the pivotal trial (Study SB5-G31-RA) results has some limitations to contemporary Australian practice and internationally accepted RA treatment guidelines (such as EULAR). The major risks with </w:t>
      </w:r>
      <w:r w:rsidR="00321955">
        <w:t>Hadlima</w:t>
      </w:r>
      <w:r>
        <w:t xml:space="preserve"> therapy (versus PBO) are similar to the reference drug (Humira), and include an increased risk of serious infection, injection site reactions, neutropenia and thrombocytopenia.</w:t>
      </w:r>
    </w:p>
    <w:p w14:paraId="182941F6" w14:textId="77777777" w:rsidR="00D62A99" w:rsidRDefault="00D62A99" w:rsidP="006F6ADA">
      <w:pPr>
        <w:pStyle w:val="Heading3"/>
      </w:pPr>
      <w:bookmarkStart w:id="220" w:name="_Toc513018279"/>
      <w:bookmarkStart w:id="221" w:name="_Toc8816500"/>
      <w:r>
        <w:t xml:space="preserve">Second round </w:t>
      </w:r>
      <w:r w:rsidRPr="006F6ADA">
        <w:t>recommendation</w:t>
      </w:r>
      <w:r>
        <w:t xml:space="preserve"> regarding authorisation</w:t>
      </w:r>
      <w:bookmarkEnd w:id="220"/>
      <w:bookmarkEnd w:id="221"/>
    </w:p>
    <w:p w14:paraId="01D44094" w14:textId="77777777" w:rsidR="00D62A99" w:rsidRDefault="00D62A99" w:rsidP="006F6ADA">
      <w:r>
        <w:t xml:space="preserve">The clinical evaluator recommended acceptance of the sponsor’s proposed registration of </w:t>
      </w:r>
      <w:r w:rsidR="00321955">
        <w:t>Hadlima</w:t>
      </w:r>
      <w:r>
        <w:t xml:space="preserve"> to include the treatment of active RA in adult patients. The submission provides evidence that </w:t>
      </w:r>
      <w:r w:rsidR="00321955">
        <w:t>Hadlima</w:t>
      </w:r>
      <w:r>
        <w:t xml:space="preserve"> is therapeutically equivalent to Humira in improving the signs and symptoms, as well radiographic outcomes in adult patients with active RA that are inadequately responding to MTX. This target treatment population is consistent with the main approved RA treatment population for Humira. In terms of safety, the 2 formulations of adalimumab appear to be clinically equivalent for the incidence and type of clinically significant safety concerns. The </w:t>
      </w:r>
      <w:r w:rsidR="00321955">
        <w:t>Hadlima</w:t>
      </w:r>
      <w:r>
        <w:t xml:space="preserve"> clinical study program shows a low incidence of injection site reactions, and comparable immunogenicity in RA patients treated with </w:t>
      </w:r>
      <w:r w:rsidR="00321955">
        <w:lastRenderedPageBreak/>
        <w:t>Hadlima</w:t>
      </w:r>
      <w:r>
        <w:t xml:space="preserve"> compared to Humira. Moreover, the safety profile (incidence and type) of </w:t>
      </w:r>
      <w:r w:rsidR="00321955">
        <w:t>Hadlima</w:t>
      </w:r>
      <w:r>
        <w:t xml:space="preserve"> is within historical expectations for Humira therapy in the target population.</w:t>
      </w:r>
    </w:p>
    <w:p w14:paraId="08306C24" w14:textId="2DE31E8A" w:rsidR="00D62A99" w:rsidRDefault="00D62A99" w:rsidP="006F6ADA">
      <w:r>
        <w:t xml:space="preserve">In the second round evaluation, the sponsor is no longer seeking registration for </w:t>
      </w:r>
      <w:r w:rsidR="00321955">
        <w:t>Hadlima</w:t>
      </w:r>
      <w:r>
        <w:t xml:space="preserve"> in any of the other 8 approved treatment indications for Humira. The applicant states this is due to legal (patent) concerns. However, there is significant concern for the implications that the applicant is not providing alternative </w:t>
      </w:r>
      <w:r w:rsidR="00321955">
        <w:t>Hadlima</w:t>
      </w:r>
      <w:r>
        <w:t xml:space="preserve"> presentations to the 40 mg/0.8 mL vial, which has the potential for prescribing and dispensing errors, as well as increases the risk of off label use occurring with the registration of 2 adalimumab formulations in Australia. This is compounded by the sponsor only seeking registration in 1 of the 9 approved Humira treatment indications.</w:t>
      </w:r>
    </w:p>
    <w:p w14:paraId="44B14A83" w14:textId="77777777" w:rsidR="00D62A99" w:rsidRDefault="00D62A99" w:rsidP="006F6ADA">
      <w:r>
        <w:t xml:space="preserve">The clinical evaluator recommended that approval of the sponsor’s proposed registration for </w:t>
      </w:r>
      <w:r w:rsidR="00321955">
        <w:t>Hadlima</w:t>
      </w:r>
      <w:r>
        <w:t xml:space="preserve"> be subject to regular periodic safety update reports.</w:t>
      </w:r>
    </w:p>
    <w:p w14:paraId="60846E96" w14:textId="77777777" w:rsidR="008E7846" w:rsidRPr="00E41208" w:rsidRDefault="008E7846" w:rsidP="006F6ADA">
      <w:pPr>
        <w:pStyle w:val="Heading2"/>
      </w:pPr>
      <w:bookmarkStart w:id="222" w:name="_Toc8816501"/>
      <w:r w:rsidRPr="00E41208">
        <w:t>V</w:t>
      </w:r>
      <w:r w:rsidR="00500337">
        <w:t>I</w:t>
      </w:r>
      <w:r w:rsidRPr="00E41208">
        <w:t xml:space="preserve">. </w:t>
      </w:r>
      <w:r w:rsidRPr="006F6ADA">
        <w:t>Pharmacovigilance</w:t>
      </w:r>
      <w:r w:rsidRPr="00E41208">
        <w:t xml:space="preserve"> </w:t>
      </w:r>
      <w:r>
        <w:t>f</w:t>
      </w:r>
      <w:r w:rsidRPr="00E41208">
        <w:t>indings</w:t>
      </w:r>
      <w:bookmarkEnd w:id="124"/>
      <w:bookmarkEnd w:id="125"/>
      <w:bookmarkEnd w:id="222"/>
    </w:p>
    <w:p w14:paraId="53935904" w14:textId="77777777" w:rsidR="004D15A2" w:rsidRDefault="004D15A2" w:rsidP="006F6ADA">
      <w:pPr>
        <w:pStyle w:val="Heading4"/>
      </w:pPr>
      <w:r>
        <w:rPr>
          <w:lang w:eastAsia="en-AU"/>
        </w:rPr>
        <w:t xml:space="preserve">Summary of </w:t>
      </w:r>
      <w:r w:rsidRPr="006F6ADA">
        <w:t>RMP</w:t>
      </w:r>
      <w:r>
        <w:rPr>
          <w:lang w:eastAsia="en-AU"/>
        </w:rPr>
        <w:t xml:space="preserve"> evaluation</w:t>
      </w:r>
      <w:r>
        <w:rPr>
          <w:rStyle w:val="FootnoteReference"/>
          <w:lang w:eastAsia="en-AU"/>
        </w:rPr>
        <w:footnoteReference w:id="18"/>
      </w:r>
    </w:p>
    <w:p w14:paraId="56CAD734" w14:textId="027C8290" w:rsidR="009C1291" w:rsidRPr="009C1291" w:rsidRDefault="009C1291" w:rsidP="006F6ADA">
      <w:pPr>
        <w:pStyle w:val="ListBullet"/>
      </w:pPr>
      <w:r w:rsidRPr="009C1291">
        <w:t xml:space="preserve">The sponsor has submitted EU-RMP version 1.2 dated 11 May 2017; </w:t>
      </w:r>
      <w:r w:rsidR="00373BB9" w:rsidRPr="009C1291">
        <w:t>d</w:t>
      </w:r>
      <w:r w:rsidR="00373BB9">
        <w:t xml:space="preserve">ata </w:t>
      </w:r>
      <w:r w:rsidR="00373BB9" w:rsidRPr="009C1291">
        <w:t>l</w:t>
      </w:r>
      <w:r w:rsidR="00373BB9">
        <w:t xml:space="preserve">ock </w:t>
      </w:r>
      <w:r w:rsidR="00373BB9" w:rsidRPr="009C1291">
        <w:t>p</w:t>
      </w:r>
      <w:r w:rsidR="00373BB9">
        <w:t>oint (DLP)</w:t>
      </w:r>
      <w:r w:rsidRPr="009C1291">
        <w:t xml:space="preserve"> 1</w:t>
      </w:r>
      <w:r w:rsidR="00373BB9">
        <w:t> </w:t>
      </w:r>
      <w:r w:rsidRPr="006F6ADA">
        <w:t>December</w:t>
      </w:r>
      <w:r w:rsidR="00373BB9">
        <w:t> </w:t>
      </w:r>
      <w:r w:rsidRPr="009C1291">
        <w:t xml:space="preserve">2015) and </w:t>
      </w:r>
      <w:r w:rsidR="00C05C12">
        <w:t>Australian Specific Annex (</w:t>
      </w:r>
      <w:r w:rsidRPr="009C1291">
        <w:t>ASA</w:t>
      </w:r>
      <w:r w:rsidR="00C05C12">
        <w:t>)</w:t>
      </w:r>
      <w:r w:rsidRPr="009C1291">
        <w:t xml:space="preserve"> version 3.0 dated 17</w:t>
      </w:r>
      <w:r w:rsidR="005D5CAB">
        <w:t> </w:t>
      </w:r>
      <w:r w:rsidRPr="009C1291">
        <w:t>October 2017.</w:t>
      </w:r>
    </w:p>
    <w:p w14:paraId="3EAEBD2F" w14:textId="7DA98B73" w:rsidR="009C1291" w:rsidRPr="009C1291" w:rsidRDefault="009C1291" w:rsidP="009C1291">
      <w:pPr>
        <w:pStyle w:val="ListBullet"/>
      </w:pPr>
      <w:r w:rsidRPr="009C1291">
        <w:t>The proposed Summary of Safety Concerns and their associated risk monitoring and mitigation strategies in Australia are summarised below</w:t>
      </w:r>
      <w:r w:rsidR="005D5CAB">
        <w:t xml:space="preserve"> in Table 9.</w:t>
      </w:r>
    </w:p>
    <w:p w14:paraId="509C7F00" w14:textId="77777777" w:rsidR="009C1291" w:rsidRPr="003B5224" w:rsidRDefault="009C1291" w:rsidP="006F6ADA">
      <w:pPr>
        <w:pStyle w:val="Tabletitle0"/>
      </w:pPr>
      <w:bookmarkStart w:id="223" w:name="_Ref483492779"/>
      <w:r w:rsidRPr="008875B3">
        <w:t xml:space="preserve">Table </w:t>
      </w:r>
      <w:r w:rsidR="003B5224">
        <w:t>9:</w:t>
      </w:r>
      <w:r w:rsidRPr="008875B3">
        <w:t xml:space="preserve"> Summary of risk </w:t>
      </w:r>
      <w:r w:rsidRPr="006F6ADA">
        <w:t>management</w:t>
      </w:r>
      <w:r w:rsidRPr="008875B3">
        <w:t xml:space="preserve"> plan</w:t>
      </w:r>
      <w:bookmarkEnd w:id="223"/>
    </w:p>
    <w:tbl>
      <w:tblPr>
        <w:tblStyle w:val="TableTGAblue"/>
        <w:tblW w:w="8593" w:type="dxa"/>
        <w:tblLayout w:type="fixed"/>
        <w:tblLook w:val="04A0" w:firstRow="1" w:lastRow="0" w:firstColumn="1" w:lastColumn="0" w:noHBand="0" w:noVBand="1"/>
      </w:tblPr>
      <w:tblGrid>
        <w:gridCol w:w="1384"/>
        <w:gridCol w:w="3544"/>
        <w:gridCol w:w="850"/>
        <w:gridCol w:w="993"/>
        <w:gridCol w:w="850"/>
        <w:gridCol w:w="972"/>
      </w:tblGrid>
      <w:tr w:rsidR="009C1291" w:rsidRPr="006F6ADA" w14:paraId="6875E661" w14:textId="77777777" w:rsidTr="00DA49C5">
        <w:trPr>
          <w:cnfStyle w:val="100000000000" w:firstRow="1" w:lastRow="0" w:firstColumn="0" w:lastColumn="0" w:oddVBand="0" w:evenVBand="0" w:oddHBand="0" w:evenHBand="0" w:firstRowFirstColumn="0" w:firstRowLastColumn="0" w:lastRowFirstColumn="0" w:lastRowLastColumn="0"/>
          <w:trHeight w:val="127"/>
        </w:trPr>
        <w:tc>
          <w:tcPr>
            <w:tcW w:w="4928" w:type="dxa"/>
            <w:gridSpan w:val="2"/>
            <w:vMerge w:val="restart"/>
          </w:tcPr>
          <w:p w14:paraId="1EC1156B" w14:textId="77777777" w:rsidR="009C1291" w:rsidRPr="006F6ADA" w:rsidRDefault="009C1291" w:rsidP="00FA3A5F">
            <w:pPr>
              <w:ind w:left="0" w:right="-5"/>
              <w:rPr>
                <w:b w:val="0"/>
                <w:sz w:val="19"/>
                <w:szCs w:val="19"/>
              </w:rPr>
            </w:pPr>
            <w:r w:rsidRPr="006F6ADA">
              <w:rPr>
                <w:sz w:val="19"/>
                <w:szCs w:val="19"/>
              </w:rPr>
              <w:t>Summary of safety concerns</w:t>
            </w:r>
          </w:p>
        </w:tc>
        <w:tc>
          <w:tcPr>
            <w:tcW w:w="1843" w:type="dxa"/>
            <w:gridSpan w:val="2"/>
          </w:tcPr>
          <w:p w14:paraId="705F6B5B" w14:textId="77777777" w:rsidR="009C1291" w:rsidRPr="006F6ADA" w:rsidRDefault="009C1291" w:rsidP="00FA3A5F">
            <w:pPr>
              <w:ind w:left="0" w:right="-108"/>
              <w:rPr>
                <w:b w:val="0"/>
                <w:sz w:val="19"/>
                <w:szCs w:val="19"/>
              </w:rPr>
            </w:pPr>
            <w:r w:rsidRPr="006F6ADA">
              <w:rPr>
                <w:sz w:val="19"/>
                <w:szCs w:val="19"/>
              </w:rPr>
              <w:t>Pharmacovigilance</w:t>
            </w:r>
          </w:p>
        </w:tc>
        <w:tc>
          <w:tcPr>
            <w:tcW w:w="1822" w:type="dxa"/>
            <w:gridSpan w:val="2"/>
          </w:tcPr>
          <w:p w14:paraId="17A678D3" w14:textId="77777777" w:rsidR="009C1291" w:rsidRPr="006F6ADA" w:rsidRDefault="009C1291" w:rsidP="00FA3A5F">
            <w:pPr>
              <w:ind w:left="33" w:right="-128"/>
              <w:rPr>
                <w:b w:val="0"/>
                <w:sz w:val="19"/>
                <w:szCs w:val="19"/>
              </w:rPr>
            </w:pPr>
            <w:r w:rsidRPr="006F6ADA">
              <w:rPr>
                <w:sz w:val="19"/>
                <w:szCs w:val="19"/>
              </w:rPr>
              <w:t>Risk Minimisation</w:t>
            </w:r>
          </w:p>
        </w:tc>
      </w:tr>
      <w:tr w:rsidR="009C1291" w:rsidRPr="00FA3A5F" w14:paraId="12A92DC0" w14:textId="77777777" w:rsidTr="00DA49C5">
        <w:trPr>
          <w:cnfStyle w:val="100000000000" w:firstRow="1" w:lastRow="0" w:firstColumn="0" w:lastColumn="0" w:oddVBand="0" w:evenVBand="0" w:oddHBand="0" w:evenHBand="0" w:firstRowFirstColumn="0" w:firstRowLastColumn="0" w:lastRowFirstColumn="0" w:lastRowLastColumn="0"/>
          <w:trHeight w:val="609"/>
        </w:trPr>
        <w:tc>
          <w:tcPr>
            <w:tcW w:w="4928" w:type="dxa"/>
            <w:gridSpan w:val="2"/>
            <w:vMerge/>
          </w:tcPr>
          <w:p w14:paraId="0E140C21" w14:textId="77777777" w:rsidR="009C1291" w:rsidRPr="006F6ADA" w:rsidRDefault="009C1291" w:rsidP="00FA3A5F">
            <w:pPr>
              <w:ind w:left="0" w:right="-5"/>
              <w:rPr>
                <w:b w:val="0"/>
                <w:sz w:val="19"/>
                <w:szCs w:val="19"/>
              </w:rPr>
            </w:pPr>
          </w:p>
        </w:tc>
        <w:tc>
          <w:tcPr>
            <w:tcW w:w="850" w:type="dxa"/>
          </w:tcPr>
          <w:p w14:paraId="32220F41" w14:textId="77777777" w:rsidR="009C1291" w:rsidRPr="00FA3A5F" w:rsidRDefault="009C1291" w:rsidP="00FA3A5F">
            <w:pPr>
              <w:ind w:left="34" w:right="0"/>
              <w:rPr>
                <w:sz w:val="16"/>
                <w:szCs w:val="16"/>
              </w:rPr>
            </w:pPr>
            <w:r w:rsidRPr="00FA3A5F">
              <w:rPr>
                <w:sz w:val="16"/>
                <w:szCs w:val="16"/>
              </w:rPr>
              <w:t>Routine</w:t>
            </w:r>
          </w:p>
        </w:tc>
        <w:tc>
          <w:tcPr>
            <w:tcW w:w="993" w:type="dxa"/>
          </w:tcPr>
          <w:p w14:paraId="5FAFEC1B" w14:textId="77777777" w:rsidR="009C1291" w:rsidRPr="00FA3A5F" w:rsidRDefault="009C1291" w:rsidP="00FA3A5F">
            <w:pPr>
              <w:ind w:left="0" w:right="-108"/>
              <w:rPr>
                <w:sz w:val="16"/>
                <w:szCs w:val="16"/>
              </w:rPr>
            </w:pPr>
            <w:r w:rsidRPr="00FA3A5F">
              <w:rPr>
                <w:sz w:val="16"/>
                <w:szCs w:val="16"/>
              </w:rPr>
              <w:t>Additional</w:t>
            </w:r>
          </w:p>
        </w:tc>
        <w:tc>
          <w:tcPr>
            <w:tcW w:w="850" w:type="dxa"/>
          </w:tcPr>
          <w:p w14:paraId="7B01AA30" w14:textId="77777777" w:rsidR="009C1291" w:rsidRPr="00FA3A5F" w:rsidRDefault="009C1291" w:rsidP="00FA3A5F">
            <w:pPr>
              <w:ind w:left="33" w:right="-87"/>
              <w:rPr>
                <w:sz w:val="16"/>
                <w:szCs w:val="16"/>
              </w:rPr>
            </w:pPr>
            <w:r w:rsidRPr="00FA3A5F">
              <w:rPr>
                <w:sz w:val="16"/>
                <w:szCs w:val="16"/>
              </w:rPr>
              <w:t>Routine</w:t>
            </w:r>
          </w:p>
        </w:tc>
        <w:tc>
          <w:tcPr>
            <w:tcW w:w="972" w:type="dxa"/>
          </w:tcPr>
          <w:p w14:paraId="09EAE03D" w14:textId="77777777" w:rsidR="009C1291" w:rsidRPr="00FA3A5F" w:rsidRDefault="009C1291" w:rsidP="00FA3A5F">
            <w:pPr>
              <w:ind w:left="13" w:right="-128"/>
              <w:rPr>
                <w:sz w:val="16"/>
                <w:szCs w:val="16"/>
              </w:rPr>
            </w:pPr>
            <w:r w:rsidRPr="00FA3A5F">
              <w:rPr>
                <w:sz w:val="16"/>
                <w:szCs w:val="16"/>
              </w:rPr>
              <w:t>Additional</w:t>
            </w:r>
          </w:p>
        </w:tc>
      </w:tr>
      <w:tr w:rsidR="009C1291" w:rsidRPr="006F6ADA" w14:paraId="5908B84C" w14:textId="77777777" w:rsidTr="00FA3A5F">
        <w:trPr>
          <w:trHeight w:val="133"/>
        </w:trPr>
        <w:tc>
          <w:tcPr>
            <w:tcW w:w="1384" w:type="dxa"/>
            <w:vMerge w:val="restart"/>
          </w:tcPr>
          <w:p w14:paraId="7F4CCAF4" w14:textId="77777777" w:rsidR="009C1291" w:rsidRPr="00FA3A5F" w:rsidRDefault="009C1291" w:rsidP="00FA3A5F">
            <w:pPr>
              <w:ind w:left="0" w:right="-5"/>
              <w:rPr>
                <w:b/>
                <w:sz w:val="19"/>
                <w:szCs w:val="19"/>
              </w:rPr>
            </w:pPr>
            <w:r w:rsidRPr="00FA3A5F">
              <w:rPr>
                <w:b/>
                <w:sz w:val="19"/>
                <w:szCs w:val="19"/>
              </w:rPr>
              <w:t>Important identified risks</w:t>
            </w:r>
          </w:p>
        </w:tc>
        <w:tc>
          <w:tcPr>
            <w:tcW w:w="3544" w:type="dxa"/>
          </w:tcPr>
          <w:p w14:paraId="4012F949" w14:textId="77777777" w:rsidR="009C1291" w:rsidRPr="006F6ADA" w:rsidRDefault="009C1291" w:rsidP="00FA3A5F">
            <w:pPr>
              <w:ind w:left="0" w:right="-5"/>
              <w:rPr>
                <w:sz w:val="19"/>
                <w:szCs w:val="19"/>
              </w:rPr>
            </w:pPr>
            <w:r w:rsidRPr="006F6ADA">
              <w:rPr>
                <w:sz w:val="19"/>
                <w:szCs w:val="19"/>
              </w:rPr>
              <w:t xml:space="preserve">infection, </w:t>
            </w:r>
            <w:r w:rsidR="00C05C12" w:rsidRPr="006F6ADA">
              <w:rPr>
                <w:sz w:val="19"/>
                <w:szCs w:val="19"/>
              </w:rPr>
              <w:t>for example</w:t>
            </w:r>
            <w:r w:rsidRPr="006F6ADA">
              <w:rPr>
                <w:sz w:val="19"/>
                <w:szCs w:val="19"/>
              </w:rPr>
              <w:t xml:space="preserve"> invasive fungal infections, parasitic infections, legionellosis and TB</w:t>
            </w:r>
          </w:p>
        </w:tc>
        <w:tc>
          <w:tcPr>
            <w:tcW w:w="850" w:type="dxa"/>
          </w:tcPr>
          <w:p w14:paraId="32F24F18"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14D122F0"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1, 2</w:t>
            </w:r>
          </w:p>
        </w:tc>
        <w:tc>
          <w:tcPr>
            <w:tcW w:w="850" w:type="dxa"/>
          </w:tcPr>
          <w:p w14:paraId="36361526"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53D622FA"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bookmarkStart w:id="224" w:name="_GoBack"/>
        <w:bookmarkEnd w:id="224"/>
      </w:tr>
      <w:tr w:rsidR="009C1291" w:rsidRPr="006F6ADA" w14:paraId="16F54447" w14:textId="77777777" w:rsidTr="00FA3A5F">
        <w:trPr>
          <w:trHeight w:val="91"/>
        </w:trPr>
        <w:tc>
          <w:tcPr>
            <w:tcW w:w="1384" w:type="dxa"/>
            <w:vMerge/>
          </w:tcPr>
          <w:p w14:paraId="3E930F88" w14:textId="77777777" w:rsidR="009C1291" w:rsidRPr="006F6ADA" w:rsidRDefault="009C1291" w:rsidP="00FA3A5F">
            <w:pPr>
              <w:ind w:left="0" w:right="-5"/>
              <w:rPr>
                <w:sz w:val="19"/>
                <w:szCs w:val="19"/>
              </w:rPr>
            </w:pPr>
          </w:p>
        </w:tc>
        <w:tc>
          <w:tcPr>
            <w:tcW w:w="3544" w:type="dxa"/>
          </w:tcPr>
          <w:p w14:paraId="2AC798AB" w14:textId="77777777" w:rsidR="009C1291" w:rsidRPr="006F6ADA" w:rsidRDefault="009C1291" w:rsidP="00FA3A5F">
            <w:pPr>
              <w:ind w:left="0" w:right="-5"/>
              <w:rPr>
                <w:sz w:val="19"/>
                <w:szCs w:val="19"/>
              </w:rPr>
            </w:pPr>
            <w:r w:rsidRPr="006F6ADA">
              <w:rPr>
                <w:sz w:val="19"/>
                <w:szCs w:val="19"/>
              </w:rPr>
              <w:t>Reactivation of hepatitis</w:t>
            </w:r>
            <w:r w:rsidRPr="006F6ADA">
              <w:rPr>
                <w:spacing w:val="40"/>
                <w:sz w:val="19"/>
                <w:szCs w:val="19"/>
              </w:rPr>
              <w:t xml:space="preserve"> </w:t>
            </w:r>
            <w:r w:rsidRPr="006F6ADA">
              <w:rPr>
                <w:sz w:val="19"/>
                <w:szCs w:val="19"/>
              </w:rPr>
              <w:t>B</w:t>
            </w:r>
          </w:p>
        </w:tc>
        <w:tc>
          <w:tcPr>
            <w:tcW w:w="850" w:type="dxa"/>
          </w:tcPr>
          <w:p w14:paraId="46389DCE"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050ABED5" w14:textId="77777777" w:rsidR="009C1291" w:rsidRPr="006F6ADA" w:rsidRDefault="009C1291" w:rsidP="00FA3A5F">
            <w:pPr>
              <w:jc w:val="center"/>
              <w:rPr>
                <w:sz w:val="19"/>
                <w:szCs w:val="19"/>
              </w:rPr>
            </w:pPr>
            <w:r w:rsidRPr="006F6ADA">
              <w:rPr>
                <w:sz w:val="19"/>
                <w:szCs w:val="19"/>
              </w:rPr>
              <w:t>–</w:t>
            </w:r>
          </w:p>
        </w:tc>
        <w:tc>
          <w:tcPr>
            <w:tcW w:w="850" w:type="dxa"/>
          </w:tcPr>
          <w:p w14:paraId="0847A070"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EE29EDC"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tr>
      <w:tr w:rsidR="009C1291" w:rsidRPr="006F6ADA" w14:paraId="7BFF9B6D" w14:textId="77777777" w:rsidTr="00FA3A5F">
        <w:trPr>
          <w:trHeight w:val="91"/>
        </w:trPr>
        <w:tc>
          <w:tcPr>
            <w:tcW w:w="1384" w:type="dxa"/>
            <w:vMerge/>
          </w:tcPr>
          <w:p w14:paraId="5A490FEA" w14:textId="77777777" w:rsidR="009C1291" w:rsidRPr="006F6ADA" w:rsidRDefault="009C1291" w:rsidP="00FA3A5F">
            <w:pPr>
              <w:ind w:left="0" w:right="-5"/>
              <w:rPr>
                <w:sz w:val="19"/>
                <w:szCs w:val="19"/>
              </w:rPr>
            </w:pPr>
          </w:p>
        </w:tc>
        <w:tc>
          <w:tcPr>
            <w:tcW w:w="3544" w:type="dxa"/>
          </w:tcPr>
          <w:p w14:paraId="3FF45FB8" w14:textId="77777777" w:rsidR="009C1291" w:rsidRPr="006F6ADA" w:rsidRDefault="009C1291" w:rsidP="00FA3A5F">
            <w:pPr>
              <w:ind w:left="0" w:right="-5"/>
              <w:rPr>
                <w:sz w:val="19"/>
                <w:szCs w:val="19"/>
              </w:rPr>
            </w:pPr>
            <w:r w:rsidRPr="006F6ADA">
              <w:rPr>
                <w:sz w:val="19"/>
                <w:szCs w:val="19"/>
              </w:rPr>
              <w:t>Pancreatitis</w:t>
            </w:r>
          </w:p>
        </w:tc>
        <w:tc>
          <w:tcPr>
            <w:tcW w:w="850" w:type="dxa"/>
          </w:tcPr>
          <w:p w14:paraId="1D08FC46"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7CC2C884" w14:textId="77777777" w:rsidR="009C1291" w:rsidRPr="006F6ADA" w:rsidRDefault="009C1291" w:rsidP="00FA3A5F">
            <w:pPr>
              <w:jc w:val="center"/>
              <w:rPr>
                <w:sz w:val="19"/>
                <w:szCs w:val="19"/>
              </w:rPr>
            </w:pPr>
            <w:r w:rsidRPr="006F6ADA">
              <w:rPr>
                <w:sz w:val="19"/>
                <w:szCs w:val="19"/>
              </w:rPr>
              <w:t>–</w:t>
            </w:r>
          </w:p>
        </w:tc>
        <w:tc>
          <w:tcPr>
            <w:tcW w:w="850" w:type="dxa"/>
          </w:tcPr>
          <w:p w14:paraId="57936DE8"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4DEC4428" w14:textId="77777777" w:rsidR="009C1291" w:rsidRPr="006F6ADA" w:rsidRDefault="009C1291" w:rsidP="00FA3A5F">
            <w:pPr>
              <w:jc w:val="center"/>
              <w:rPr>
                <w:sz w:val="19"/>
                <w:szCs w:val="19"/>
              </w:rPr>
            </w:pPr>
            <w:r w:rsidRPr="006F6ADA">
              <w:rPr>
                <w:sz w:val="19"/>
                <w:szCs w:val="19"/>
              </w:rPr>
              <w:t>–</w:t>
            </w:r>
          </w:p>
        </w:tc>
      </w:tr>
      <w:tr w:rsidR="009C1291" w:rsidRPr="006F6ADA" w14:paraId="006D0AA7" w14:textId="77777777" w:rsidTr="00FA3A5F">
        <w:trPr>
          <w:trHeight w:val="91"/>
        </w:trPr>
        <w:tc>
          <w:tcPr>
            <w:tcW w:w="1384" w:type="dxa"/>
            <w:vMerge/>
          </w:tcPr>
          <w:p w14:paraId="17FAB031" w14:textId="77777777" w:rsidR="009C1291" w:rsidRPr="006F6ADA" w:rsidRDefault="009C1291" w:rsidP="00FA3A5F">
            <w:pPr>
              <w:ind w:left="0" w:right="-5"/>
              <w:rPr>
                <w:sz w:val="19"/>
                <w:szCs w:val="19"/>
              </w:rPr>
            </w:pPr>
          </w:p>
        </w:tc>
        <w:tc>
          <w:tcPr>
            <w:tcW w:w="3544" w:type="dxa"/>
          </w:tcPr>
          <w:p w14:paraId="07460A91" w14:textId="77777777" w:rsidR="009C1291" w:rsidRPr="006F6ADA" w:rsidRDefault="009C1291" w:rsidP="00FA3A5F">
            <w:pPr>
              <w:ind w:left="0" w:right="-5"/>
              <w:rPr>
                <w:sz w:val="19"/>
                <w:szCs w:val="19"/>
              </w:rPr>
            </w:pPr>
            <w:r w:rsidRPr="006F6ADA">
              <w:rPr>
                <w:sz w:val="19"/>
                <w:szCs w:val="19"/>
              </w:rPr>
              <w:t>Lymphoma</w:t>
            </w:r>
          </w:p>
        </w:tc>
        <w:tc>
          <w:tcPr>
            <w:tcW w:w="850" w:type="dxa"/>
          </w:tcPr>
          <w:p w14:paraId="25100A16"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735FA450" w14:textId="77777777" w:rsidR="009C1291" w:rsidRPr="006F6ADA" w:rsidRDefault="009C1291" w:rsidP="00FA3A5F">
            <w:pPr>
              <w:jc w:val="center"/>
              <w:rPr>
                <w:sz w:val="19"/>
                <w:szCs w:val="19"/>
              </w:rPr>
            </w:pPr>
            <w:r w:rsidRPr="006F6ADA">
              <w:rPr>
                <w:sz w:val="19"/>
                <w:szCs w:val="19"/>
              </w:rPr>
              <w:t>–</w:t>
            </w:r>
          </w:p>
        </w:tc>
        <w:tc>
          <w:tcPr>
            <w:tcW w:w="850" w:type="dxa"/>
          </w:tcPr>
          <w:p w14:paraId="372F855A"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51BA3F0"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tr>
      <w:tr w:rsidR="009C1291" w:rsidRPr="006F6ADA" w14:paraId="6AC511FB" w14:textId="77777777" w:rsidTr="00FA3A5F">
        <w:trPr>
          <w:trHeight w:val="91"/>
        </w:trPr>
        <w:tc>
          <w:tcPr>
            <w:tcW w:w="1384" w:type="dxa"/>
            <w:vMerge/>
          </w:tcPr>
          <w:p w14:paraId="723E61B0" w14:textId="77777777" w:rsidR="009C1291" w:rsidRPr="006F6ADA" w:rsidRDefault="009C1291" w:rsidP="00FA3A5F">
            <w:pPr>
              <w:ind w:left="0" w:right="-5"/>
              <w:rPr>
                <w:sz w:val="19"/>
                <w:szCs w:val="19"/>
              </w:rPr>
            </w:pPr>
          </w:p>
        </w:tc>
        <w:tc>
          <w:tcPr>
            <w:tcW w:w="3544" w:type="dxa"/>
          </w:tcPr>
          <w:p w14:paraId="5E367F8B" w14:textId="77777777" w:rsidR="009C1291" w:rsidRPr="006F6ADA" w:rsidRDefault="009C1291" w:rsidP="00FA3A5F">
            <w:pPr>
              <w:ind w:left="0" w:right="-5"/>
              <w:rPr>
                <w:sz w:val="19"/>
                <w:szCs w:val="19"/>
              </w:rPr>
            </w:pPr>
            <w:r w:rsidRPr="006F6ADA">
              <w:rPr>
                <w:sz w:val="19"/>
                <w:szCs w:val="19"/>
              </w:rPr>
              <w:t>HSTCL</w:t>
            </w:r>
          </w:p>
        </w:tc>
        <w:tc>
          <w:tcPr>
            <w:tcW w:w="850" w:type="dxa"/>
          </w:tcPr>
          <w:p w14:paraId="6BC7DE5F"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DAACB69" w14:textId="77777777" w:rsidR="009C1291" w:rsidRPr="006F6ADA" w:rsidRDefault="009C1291" w:rsidP="00FA3A5F">
            <w:pPr>
              <w:jc w:val="center"/>
              <w:rPr>
                <w:sz w:val="19"/>
                <w:szCs w:val="19"/>
              </w:rPr>
            </w:pPr>
            <w:r w:rsidRPr="006F6ADA">
              <w:rPr>
                <w:sz w:val="19"/>
                <w:szCs w:val="19"/>
              </w:rPr>
              <w:t>–</w:t>
            </w:r>
          </w:p>
        </w:tc>
        <w:tc>
          <w:tcPr>
            <w:tcW w:w="850" w:type="dxa"/>
          </w:tcPr>
          <w:p w14:paraId="4C4A605F"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5C6005A2"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tr>
      <w:tr w:rsidR="009C1291" w:rsidRPr="006F6ADA" w14:paraId="240D4E1D" w14:textId="77777777" w:rsidTr="00FA3A5F">
        <w:trPr>
          <w:trHeight w:val="91"/>
        </w:trPr>
        <w:tc>
          <w:tcPr>
            <w:tcW w:w="1384" w:type="dxa"/>
            <w:vMerge/>
          </w:tcPr>
          <w:p w14:paraId="254FCD3C" w14:textId="77777777" w:rsidR="009C1291" w:rsidRPr="006F6ADA" w:rsidRDefault="009C1291" w:rsidP="00FA3A5F">
            <w:pPr>
              <w:ind w:left="0" w:right="-5"/>
              <w:rPr>
                <w:sz w:val="19"/>
                <w:szCs w:val="19"/>
              </w:rPr>
            </w:pPr>
          </w:p>
        </w:tc>
        <w:tc>
          <w:tcPr>
            <w:tcW w:w="3544" w:type="dxa"/>
          </w:tcPr>
          <w:p w14:paraId="018144CD" w14:textId="77777777" w:rsidR="009C1291" w:rsidRPr="006F6ADA" w:rsidRDefault="009C1291" w:rsidP="00FA3A5F">
            <w:pPr>
              <w:ind w:left="0" w:right="-5"/>
              <w:rPr>
                <w:sz w:val="19"/>
                <w:szCs w:val="19"/>
              </w:rPr>
            </w:pPr>
            <w:r w:rsidRPr="006F6ADA">
              <w:rPr>
                <w:sz w:val="19"/>
                <w:szCs w:val="19"/>
              </w:rPr>
              <w:t>Leukaemia</w:t>
            </w:r>
          </w:p>
        </w:tc>
        <w:tc>
          <w:tcPr>
            <w:tcW w:w="850" w:type="dxa"/>
          </w:tcPr>
          <w:p w14:paraId="57392352"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460CD921" w14:textId="77777777" w:rsidR="009C1291" w:rsidRPr="006F6ADA" w:rsidRDefault="009C1291" w:rsidP="00FA3A5F">
            <w:pPr>
              <w:jc w:val="center"/>
              <w:rPr>
                <w:sz w:val="19"/>
                <w:szCs w:val="19"/>
              </w:rPr>
            </w:pPr>
            <w:r w:rsidRPr="006F6ADA">
              <w:rPr>
                <w:sz w:val="19"/>
                <w:szCs w:val="19"/>
              </w:rPr>
              <w:t>–</w:t>
            </w:r>
          </w:p>
        </w:tc>
        <w:tc>
          <w:tcPr>
            <w:tcW w:w="850" w:type="dxa"/>
          </w:tcPr>
          <w:p w14:paraId="75F2B235"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7AAB98AE"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tr>
      <w:tr w:rsidR="009C1291" w:rsidRPr="006F6ADA" w14:paraId="2199045C" w14:textId="77777777" w:rsidTr="00FA3A5F">
        <w:trPr>
          <w:trHeight w:val="91"/>
        </w:trPr>
        <w:tc>
          <w:tcPr>
            <w:tcW w:w="1384" w:type="dxa"/>
            <w:vMerge/>
          </w:tcPr>
          <w:p w14:paraId="2D7A6E9A" w14:textId="77777777" w:rsidR="009C1291" w:rsidRPr="006F6ADA" w:rsidRDefault="009C1291" w:rsidP="00FA3A5F">
            <w:pPr>
              <w:ind w:left="0" w:right="-5"/>
              <w:rPr>
                <w:sz w:val="19"/>
                <w:szCs w:val="19"/>
              </w:rPr>
            </w:pPr>
          </w:p>
        </w:tc>
        <w:tc>
          <w:tcPr>
            <w:tcW w:w="3544" w:type="dxa"/>
          </w:tcPr>
          <w:p w14:paraId="4CF1C909" w14:textId="77777777" w:rsidR="009C1291" w:rsidRPr="006F6ADA" w:rsidRDefault="009C1291" w:rsidP="00FA3A5F">
            <w:pPr>
              <w:ind w:left="0" w:right="-5"/>
              <w:rPr>
                <w:sz w:val="19"/>
                <w:szCs w:val="19"/>
              </w:rPr>
            </w:pPr>
            <w:r w:rsidRPr="006F6ADA">
              <w:rPr>
                <w:sz w:val="19"/>
                <w:szCs w:val="19"/>
              </w:rPr>
              <w:t>NMSC</w:t>
            </w:r>
          </w:p>
        </w:tc>
        <w:tc>
          <w:tcPr>
            <w:tcW w:w="850" w:type="dxa"/>
          </w:tcPr>
          <w:p w14:paraId="72BA35DC"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CB11FB9" w14:textId="77777777" w:rsidR="009C1291" w:rsidRPr="006F6ADA" w:rsidRDefault="009C1291" w:rsidP="00FA3A5F">
            <w:pPr>
              <w:jc w:val="center"/>
              <w:rPr>
                <w:sz w:val="19"/>
                <w:szCs w:val="19"/>
              </w:rPr>
            </w:pPr>
            <w:r w:rsidRPr="006F6ADA">
              <w:rPr>
                <w:sz w:val="19"/>
                <w:szCs w:val="19"/>
              </w:rPr>
              <w:t>–</w:t>
            </w:r>
          </w:p>
        </w:tc>
        <w:tc>
          <w:tcPr>
            <w:tcW w:w="850" w:type="dxa"/>
          </w:tcPr>
          <w:p w14:paraId="621ADE23"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BC8CE24"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3, 4</w:t>
            </w:r>
          </w:p>
        </w:tc>
      </w:tr>
      <w:tr w:rsidR="009C1291" w:rsidRPr="006F6ADA" w14:paraId="0177F576" w14:textId="77777777" w:rsidTr="00FA3A5F">
        <w:trPr>
          <w:trHeight w:val="91"/>
        </w:trPr>
        <w:tc>
          <w:tcPr>
            <w:tcW w:w="1384" w:type="dxa"/>
            <w:vMerge/>
          </w:tcPr>
          <w:p w14:paraId="064909A1" w14:textId="77777777" w:rsidR="009C1291" w:rsidRPr="006F6ADA" w:rsidRDefault="009C1291" w:rsidP="00FA3A5F">
            <w:pPr>
              <w:ind w:left="0" w:right="-5"/>
              <w:rPr>
                <w:sz w:val="19"/>
                <w:szCs w:val="19"/>
              </w:rPr>
            </w:pPr>
          </w:p>
        </w:tc>
        <w:tc>
          <w:tcPr>
            <w:tcW w:w="3544" w:type="dxa"/>
          </w:tcPr>
          <w:p w14:paraId="3B030E8D" w14:textId="77777777" w:rsidR="009C1291" w:rsidRPr="006F6ADA" w:rsidRDefault="009C1291" w:rsidP="00FA3A5F">
            <w:pPr>
              <w:ind w:left="0" w:right="-5"/>
              <w:rPr>
                <w:sz w:val="19"/>
                <w:szCs w:val="19"/>
              </w:rPr>
            </w:pPr>
            <w:r w:rsidRPr="006F6ADA">
              <w:rPr>
                <w:sz w:val="19"/>
                <w:szCs w:val="19"/>
              </w:rPr>
              <w:t>Melanoma</w:t>
            </w:r>
          </w:p>
        </w:tc>
        <w:tc>
          <w:tcPr>
            <w:tcW w:w="850" w:type="dxa"/>
          </w:tcPr>
          <w:p w14:paraId="7F51FF60"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07BF0302" w14:textId="77777777" w:rsidR="009C1291" w:rsidRPr="006F6ADA" w:rsidRDefault="009C1291" w:rsidP="00FA3A5F">
            <w:pPr>
              <w:jc w:val="center"/>
              <w:rPr>
                <w:sz w:val="19"/>
                <w:szCs w:val="19"/>
              </w:rPr>
            </w:pPr>
            <w:r w:rsidRPr="006F6ADA">
              <w:rPr>
                <w:sz w:val="19"/>
                <w:szCs w:val="19"/>
              </w:rPr>
              <w:t>–</w:t>
            </w:r>
          </w:p>
        </w:tc>
        <w:tc>
          <w:tcPr>
            <w:tcW w:w="850" w:type="dxa"/>
          </w:tcPr>
          <w:p w14:paraId="45E32464"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5F7E0CD"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3, 4</w:t>
            </w:r>
          </w:p>
        </w:tc>
      </w:tr>
      <w:tr w:rsidR="009C1291" w:rsidRPr="006F6ADA" w14:paraId="4BCED336" w14:textId="77777777" w:rsidTr="00FA3A5F">
        <w:trPr>
          <w:trHeight w:val="91"/>
        </w:trPr>
        <w:tc>
          <w:tcPr>
            <w:tcW w:w="1384" w:type="dxa"/>
            <w:vMerge/>
          </w:tcPr>
          <w:p w14:paraId="7210734D" w14:textId="77777777" w:rsidR="009C1291" w:rsidRPr="006F6ADA" w:rsidRDefault="009C1291" w:rsidP="00FA3A5F">
            <w:pPr>
              <w:ind w:left="0" w:right="-5"/>
              <w:rPr>
                <w:sz w:val="19"/>
                <w:szCs w:val="19"/>
              </w:rPr>
            </w:pPr>
          </w:p>
        </w:tc>
        <w:tc>
          <w:tcPr>
            <w:tcW w:w="3544" w:type="dxa"/>
          </w:tcPr>
          <w:p w14:paraId="7C243D18" w14:textId="77777777" w:rsidR="009C1291" w:rsidRPr="006F6ADA" w:rsidRDefault="009C1291" w:rsidP="00FA3A5F">
            <w:pPr>
              <w:ind w:left="0" w:right="-5"/>
              <w:rPr>
                <w:sz w:val="19"/>
                <w:szCs w:val="19"/>
              </w:rPr>
            </w:pPr>
            <w:r w:rsidRPr="006F6ADA">
              <w:rPr>
                <w:sz w:val="19"/>
                <w:szCs w:val="19"/>
              </w:rPr>
              <w:t>Merkel Cell Carcinoma (Neuroendocrine carcinoma of the skin)</w:t>
            </w:r>
          </w:p>
        </w:tc>
        <w:tc>
          <w:tcPr>
            <w:tcW w:w="850" w:type="dxa"/>
          </w:tcPr>
          <w:p w14:paraId="1548AB4C"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1FE0338A"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1, 2</w:t>
            </w:r>
          </w:p>
        </w:tc>
        <w:tc>
          <w:tcPr>
            <w:tcW w:w="850" w:type="dxa"/>
          </w:tcPr>
          <w:p w14:paraId="7726000F"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07DD31DE"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3, 4</w:t>
            </w:r>
          </w:p>
        </w:tc>
      </w:tr>
      <w:tr w:rsidR="009C1291" w:rsidRPr="006F6ADA" w14:paraId="303E3693" w14:textId="77777777" w:rsidTr="00FA3A5F">
        <w:trPr>
          <w:trHeight w:val="91"/>
        </w:trPr>
        <w:tc>
          <w:tcPr>
            <w:tcW w:w="1384" w:type="dxa"/>
            <w:vMerge/>
          </w:tcPr>
          <w:p w14:paraId="588995FB" w14:textId="77777777" w:rsidR="009C1291" w:rsidRPr="006F6ADA" w:rsidRDefault="009C1291" w:rsidP="00FA3A5F">
            <w:pPr>
              <w:ind w:left="0" w:right="-5"/>
              <w:rPr>
                <w:sz w:val="19"/>
                <w:szCs w:val="19"/>
              </w:rPr>
            </w:pPr>
          </w:p>
        </w:tc>
        <w:tc>
          <w:tcPr>
            <w:tcW w:w="3544" w:type="dxa"/>
          </w:tcPr>
          <w:p w14:paraId="314BB672" w14:textId="77777777" w:rsidR="009C1291" w:rsidRPr="006F6ADA" w:rsidRDefault="009C1291" w:rsidP="00FA3A5F">
            <w:pPr>
              <w:ind w:left="0" w:right="-5"/>
              <w:rPr>
                <w:sz w:val="19"/>
                <w:szCs w:val="19"/>
              </w:rPr>
            </w:pPr>
            <w:r w:rsidRPr="006F6ADA">
              <w:rPr>
                <w:sz w:val="19"/>
                <w:szCs w:val="19"/>
              </w:rPr>
              <w:t>Demyelinating disorders (including MS, GBS and optic neuritis)</w:t>
            </w:r>
          </w:p>
        </w:tc>
        <w:tc>
          <w:tcPr>
            <w:tcW w:w="850" w:type="dxa"/>
          </w:tcPr>
          <w:p w14:paraId="40A2FB58"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47914732" w14:textId="77777777" w:rsidR="009C1291" w:rsidRPr="006F6ADA" w:rsidRDefault="009C1291" w:rsidP="00FA3A5F">
            <w:pPr>
              <w:jc w:val="center"/>
              <w:rPr>
                <w:sz w:val="19"/>
                <w:szCs w:val="19"/>
              </w:rPr>
            </w:pPr>
            <w:r w:rsidRPr="006F6ADA">
              <w:rPr>
                <w:sz w:val="19"/>
                <w:szCs w:val="19"/>
              </w:rPr>
              <w:t>–</w:t>
            </w:r>
          </w:p>
        </w:tc>
        <w:tc>
          <w:tcPr>
            <w:tcW w:w="850" w:type="dxa"/>
          </w:tcPr>
          <w:p w14:paraId="2B65160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00B6568"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3, 4</w:t>
            </w:r>
          </w:p>
        </w:tc>
      </w:tr>
      <w:tr w:rsidR="009C1291" w:rsidRPr="006F6ADA" w14:paraId="2A8AD5EB" w14:textId="77777777" w:rsidTr="00FA3A5F">
        <w:trPr>
          <w:trHeight w:val="91"/>
        </w:trPr>
        <w:tc>
          <w:tcPr>
            <w:tcW w:w="1384" w:type="dxa"/>
            <w:vMerge/>
          </w:tcPr>
          <w:p w14:paraId="5DC07F8A" w14:textId="77777777" w:rsidR="009C1291" w:rsidRPr="006F6ADA" w:rsidRDefault="009C1291" w:rsidP="00FA3A5F">
            <w:pPr>
              <w:ind w:left="0" w:right="-5"/>
              <w:rPr>
                <w:sz w:val="19"/>
                <w:szCs w:val="19"/>
              </w:rPr>
            </w:pPr>
          </w:p>
        </w:tc>
        <w:tc>
          <w:tcPr>
            <w:tcW w:w="3544" w:type="dxa"/>
          </w:tcPr>
          <w:p w14:paraId="3CE9BEAE" w14:textId="77777777" w:rsidR="009C1291" w:rsidRPr="006F6ADA" w:rsidRDefault="009C1291" w:rsidP="00FA3A5F">
            <w:pPr>
              <w:ind w:left="0" w:right="-5"/>
              <w:rPr>
                <w:sz w:val="19"/>
                <w:szCs w:val="19"/>
              </w:rPr>
            </w:pPr>
            <w:r w:rsidRPr="006F6ADA">
              <w:rPr>
                <w:sz w:val="19"/>
                <w:szCs w:val="19"/>
              </w:rPr>
              <w:t>Immune reactions (including lupus-like reactions and allergic reactions)</w:t>
            </w:r>
          </w:p>
        </w:tc>
        <w:tc>
          <w:tcPr>
            <w:tcW w:w="850" w:type="dxa"/>
          </w:tcPr>
          <w:p w14:paraId="6E44E21D"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3A3689F" w14:textId="77777777" w:rsidR="009C1291" w:rsidRPr="006F6ADA" w:rsidRDefault="009C1291" w:rsidP="00FA3A5F">
            <w:pPr>
              <w:jc w:val="center"/>
              <w:rPr>
                <w:sz w:val="19"/>
                <w:szCs w:val="19"/>
              </w:rPr>
            </w:pPr>
            <w:r w:rsidRPr="006F6ADA">
              <w:rPr>
                <w:sz w:val="19"/>
                <w:szCs w:val="19"/>
              </w:rPr>
              <w:t>–</w:t>
            </w:r>
          </w:p>
        </w:tc>
        <w:tc>
          <w:tcPr>
            <w:tcW w:w="850" w:type="dxa"/>
          </w:tcPr>
          <w:p w14:paraId="0EF17FC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1C05507" w14:textId="77777777" w:rsidR="009C1291" w:rsidRPr="006F6ADA" w:rsidRDefault="009C1291" w:rsidP="00FA3A5F">
            <w:pPr>
              <w:jc w:val="center"/>
              <w:rPr>
                <w:sz w:val="19"/>
                <w:szCs w:val="19"/>
              </w:rPr>
            </w:pPr>
            <w:r w:rsidRPr="006F6ADA">
              <w:rPr>
                <w:sz w:val="19"/>
                <w:szCs w:val="19"/>
              </w:rPr>
              <w:t>–</w:t>
            </w:r>
          </w:p>
        </w:tc>
      </w:tr>
      <w:tr w:rsidR="009C1291" w:rsidRPr="006F6ADA" w14:paraId="76537201" w14:textId="77777777" w:rsidTr="00FA3A5F">
        <w:trPr>
          <w:trHeight w:val="91"/>
        </w:trPr>
        <w:tc>
          <w:tcPr>
            <w:tcW w:w="1384" w:type="dxa"/>
            <w:vMerge/>
          </w:tcPr>
          <w:p w14:paraId="2B3D7330" w14:textId="77777777" w:rsidR="009C1291" w:rsidRPr="006F6ADA" w:rsidRDefault="009C1291" w:rsidP="00FA3A5F">
            <w:pPr>
              <w:ind w:left="0" w:right="-5"/>
              <w:rPr>
                <w:sz w:val="19"/>
                <w:szCs w:val="19"/>
              </w:rPr>
            </w:pPr>
          </w:p>
        </w:tc>
        <w:tc>
          <w:tcPr>
            <w:tcW w:w="3544" w:type="dxa"/>
          </w:tcPr>
          <w:p w14:paraId="6F78B19B" w14:textId="77777777" w:rsidR="009C1291" w:rsidRPr="006F6ADA" w:rsidRDefault="009C1291" w:rsidP="00FA3A5F">
            <w:pPr>
              <w:ind w:left="0" w:right="-5"/>
              <w:rPr>
                <w:sz w:val="19"/>
                <w:szCs w:val="19"/>
              </w:rPr>
            </w:pPr>
            <w:r w:rsidRPr="006F6ADA">
              <w:rPr>
                <w:sz w:val="19"/>
                <w:szCs w:val="19"/>
              </w:rPr>
              <w:t>Sarcoidosis</w:t>
            </w:r>
          </w:p>
        </w:tc>
        <w:tc>
          <w:tcPr>
            <w:tcW w:w="850" w:type="dxa"/>
          </w:tcPr>
          <w:p w14:paraId="044277DB"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04FCB972" w14:textId="77777777" w:rsidR="009C1291" w:rsidRPr="006F6ADA" w:rsidRDefault="009C1291" w:rsidP="00FA3A5F">
            <w:pPr>
              <w:jc w:val="center"/>
              <w:rPr>
                <w:sz w:val="19"/>
                <w:szCs w:val="19"/>
              </w:rPr>
            </w:pPr>
            <w:r w:rsidRPr="006F6ADA">
              <w:rPr>
                <w:sz w:val="19"/>
                <w:szCs w:val="19"/>
              </w:rPr>
              <w:t>–</w:t>
            </w:r>
          </w:p>
        </w:tc>
        <w:tc>
          <w:tcPr>
            <w:tcW w:w="850" w:type="dxa"/>
          </w:tcPr>
          <w:p w14:paraId="6E62F652"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590928F" w14:textId="77777777" w:rsidR="009C1291" w:rsidRPr="006F6ADA" w:rsidRDefault="009C1291" w:rsidP="00FA3A5F">
            <w:pPr>
              <w:jc w:val="center"/>
              <w:rPr>
                <w:sz w:val="19"/>
                <w:szCs w:val="19"/>
              </w:rPr>
            </w:pPr>
            <w:r w:rsidRPr="006F6ADA">
              <w:rPr>
                <w:sz w:val="19"/>
                <w:szCs w:val="19"/>
              </w:rPr>
              <w:t>–</w:t>
            </w:r>
          </w:p>
        </w:tc>
      </w:tr>
      <w:tr w:rsidR="009C1291" w:rsidRPr="006F6ADA" w14:paraId="224A953A" w14:textId="77777777" w:rsidTr="00FA3A5F">
        <w:trPr>
          <w:trHeight w:val="91"/>
        </w:trPr>
        <w:tc>
          <w:tcPr>
            <w:tcW w:w="1384" w:type="dxa"/>
            <w:vMerge/>
          </w:tcPr>
          <w:p w14:paraId="7A498C71" w14:textId="77777777" w:rsidR="009C1291" w:rsidRPr="006F6ADA" w:rsidRDefault="009C1291" w:rsidP="00FA3A5F">
            <w:pPr>
              <w:ind w:left="0" w:right="-5"/>
              <w:rPr>
                <w:sz w:val="19"/>
                <w:szCs w:val="19"/>
              </w:rPr>
            </w:pPr>
          </w:p>
        </w:tc>
        <w:tc>
          <w:tcPr>
            <w:tcW w:w="3544" w:type="dxa"/>
          </w:tcPr>
          <w:p w14:paraId="729DC375" w14:textId="77777777" w:rsidR="009C1291" w:rsidRPr="006F6ADA" w:rsidRDefault="009C1291" w:rsidP="00FA3A5F">
            <w:pPr>
              <w:ind w:left="0" w:right="-5"/>
              <w:rPr>
                <w:sz w:val="19"/>
                <w:szCs w:val="19"/>
              </w:rPr>
            </w:pPr>
            <w:r w:rsidRPr="006F6ADA">
              <w:rPr>
                <w:sz w:val="19"/>
                <w:szCs w:val="19"/>
              </w:rPr>
              <w:t>CHF</w:t>
            </w:r>
          </w:p>
        </w:tc>
        <w:tc>
          <w:tcPr>
            <w:tcW w:w="850" w:type="dxa"/>
          </w:tcPr>
          <w:p w14:paraId="29605BD0"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70AEFB39" w14:textId="77777777" w:rsidR="009C1291" w:rsidRPr="006F6ADA" w:rsidRDefault="009C1291" w:rsidP="00FA3A5F">
            <w:pPr>
              <w:jc w:val="center"/>
              <w:rPr>
                <w:sz w:val="19"/>
                <w:szCs w:val="19"/>
              </w:rPr>
            </w:pPr>
            <w:r w:rsidRPr="006F6ADA">
              <w:rPr>
                <w:sz w:val="19"/>
                <w:szCs w:val="19"/>
              </w:rPr>
              <w:t>–</w:t>
            </w:r>
          </w:p>
        </w:tc>
        <w:tc>
          <w:tcPr>
            <w:tcW w:w="850" w:type="dxa"/>
          </w:tcPr>
          <w:p w14:paraId="03E8B08C"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10C9A1A3"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3, 4</w:t>
            </w:r>
          </w:p>
        </w:tc>
      </w:tr>
      <w:tr w:rsidR="009C1291" w:rsidRPr="006F6ADA" w14:paraId="404D679D" w14:textId="77777777" w:rsidTr="00FA3A5F">
        <w:trPr>
          <w:trHeight w:val="91"/>
        </w:trPr>
        <w:tc>
          <w:tcPr>
            <w:tcW w:w="1384" w:type="dxa"/>
            <w:vMerge/>
          </w:tcPr>
          <w:p w14:paraId="224B8F97" w14:textId="77777777" w:rsidR="009C1291" w:rsidRPr="006F6ADA" w:rsidRDefault="009C1291" w:rsidP="00FA3A5F">
            <w:pPr>
              <w:ind w:left="0" w:right="-5"/>
              <w:rPr>
                <w:sz w:val="19"/>
                <w:szCs w:val="19"/>
              </w:rPr>
            </w:pPr>
          </w:p>
        </w:tc>
        <w:tc>
          <w:tcPr>
            <w:tcW w:w="3544" w:type="dxa"/>
          </w:tcPr>
          <w:p w14:paraId="47D04C34" w14:textId="77777777" w:rsidR="009C1291" w:rsidRPr="006F6ADA" w:rsidRDefault="009C1291" w:rsidP="00FA3A5F">
            <w:pPr>
              <w:ind w:left="0" w:right="-5"/>
              <w:rPr>
                <w:sz w:val="19"/>
                <w:szCs w:val="19"/>
              </w:rPr>
            </w:pPr>
            <w:r w:rsidRPr="006F6ADA">
              <w:rPr>
                <w:sz w:val="19"/>
                <w:szCs w:val="19"/>
              </w:rPr>
              <w:t>MI</w:t>
            </w:r>
          </w:p>
        </w:tc>
        <w:tc>
          <w:tcPr>
            <w:tcW w:w="850" w:type="dxa"/>
          </w:tcPr>
          <w:p w14:paraId="1D083126"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5E523281" w14:textId="77777777" w:rsidR="009C1291" w:rsidRPr="006F6ADA" w:rsidRDefault="009C1291" w:rsidP="00FA3A5F">
            <w:pPr>
              <w:jc w:val="center"/>
              <w:rPr>
                <w:sz w:val="19"/>
                <w:szCs w:val="19"/>
              </w:rPr>
            </w:pPr>
            <w:r w:rsidRPr="006F6ADA">
              <w:rPr>
                <w:sz w:val="19"/>
                <w:szCs w:val="19"/>
              </w:rPr>
              <w:t>–</w:t>
            </w:r>
          </w:p>
        </w:tc>
        <w:tc>
          <w:tcPr>
            <w:tcW w:w="850" w:type="dxa"/>
          </w:tcPr>
          <w:p w14:paraId="12686571"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4A086D14" w14:textId="77777777" w:rsidR="009C1291" w:rsidRPr="006F6ADA" w:rsidRDefault="009C1291" w:rsidP="00FA3A5F">
            <w:pPr>
              <w:jc w:val="center"/>
              <w:rPr>
                <w:sz w:val="19"/>
                <w:szCs w:val="19"/>
              </w:rPr>
            </w:pPr>
            <w:r w:rsidRPr="006F6ADA">
              <w:rPr>
                <w:sz w:val="19"/>
                <w:szCs w:val="19"/>
              </w:rPr>
              <w:t>–</w:t>
            </w:r>
          </w:p>
        </w:tc>
      </w:tr>
      <w:tr w:rsidR="009C1291" w:rsidRPr="006F6ADA" w14:paraId="610F3040" w14:textId="77777777" w:rsidTr="00FA3A5F">
        <w:trPr>
          <w:trHeight w:val="91"/>
        </w:trPr>
        <w:tc>
          <w:tcPr>
            <w:tcW w:w="1384" w:type="dxa"/>
            <w:vMerge/>
          </w:tcPr>
          <w:p w14:paraId="748CD995" w14:textId="77777777" w:rsidR="009C1291" w:rsidRPr="006F6ADA" w:rsidRDefault="009C1291" w:rsidP="00FA3A5F">
            <w:pPr>
              <w:ind w:left="0" w:right="-5"/>
              <w:rPr>
                <w:sz w:val="19"/>
                <w:szCs w:val="19"/>
              </w:rPr>
            </w:pPr>
          </w:p>
        </w:tc>
        <w:tc>
          <w:tcPr>
            <w:tcW w:w="3544" w:type="dxa"/>
          </w:tcPr>
          <w:p w14:paraId="5A842A61" w14:textId="77777777" w:rsidR="009C1291" w:rsidRPr="006F6ADA" w:rsidRDefault="009C1291" w:rsidP="00FA3A5F">
            <w:pPr>
              <w:ind w:left="0" w:right="-5"/>
              <w:rPr>
                <w:sz w:val="19"/>
                <w:szCs w:val="19"/>
              </w:rPr>
            </w:pPr>
            <w:r w:rsidRPr="006F6ADA">
              <w:rPr>
                <w:sz w:val="19"/>
                <w:szCs w:val="19"/>
              </w:rPr>
              <w:t>CVA</w:t>
            </w:r>
          </w:p>
        </w:tc>
        <w:tc>
          <w:tcPr>
            <w:tcW w:w="850" w:type="dxa"/>
          </w:tcPr>
          <w:p w14:paraId="1B5AB1D1"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01646BF5" w14:textId="77777777" w:rsidR="009C1291" w:rsidRPr="006F6ADA" w:rsidRDefault="009C1291" w:rsidP="00FA3A5F">
            <w:pPr>
              <w:jc w:val="center"/>
              <w:rPr>
                <w:sz w:val="19"/>
                <w:szCs w:val="19"/>
              </w:rPr>
            </w:pPr>
            <w:r w:rsidRPr="006F6ADA">
              <w:rPr>
                <w:sz w:val="19"/>
                <w:szCs w:val="19"/>
              </w:rPr>
              <w:t>–</w:t>
            </w:r>
          </w:p>
        </w:tc>
        <w:tc>
          <w:tcPr>
            <w:tcW w:w="850" w:type="dxa"/>
          </w:tcPr>
          <w:p w14:paraId="048E3EFE"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0135776" w14:textId="77777777" w:rsidR="009C1291" w:rsidRPr="006F6ADA" w:rsidRDefault="009C1291" w:rsidP="00FA3A5F">
            <w:pPr>
              <w:jc w:val="center"/>
              <w:rPr>
                <w:sz w:val="19"/>
                <w:szCs w:val="19"/>
              </w:rPr>
            </w:pPr>
            <w:r w:rsidRPr="006F6ADA">
              <w:rPr>
                <w:sz w:val="19"/>
                <w:szCs w:val="19"/>
              </w:rPr>
              <w:t>–</w:t>
            </w:r>
          </w:p>
        </w:tc>
      </w:tr>
      <w:tr w:rsidR="009C1291" w:rsidRPr="006F6ADA" w14:paraId="3A3FDBDB" w14:textId="77777777" w:rsidTr="00FA3A5F">
        <w:trPr>
          <w:trHeight w:val="91"/>
        </w:trPr>
        <w:tc>
          <w:tcPr>
            <w:tcW w:w="1384" w:type="dxa"/>
            <w:vMerge/>
          </w:tcPr>
          <w:p w14:paraId="1EBAF4CC" w14:textId="77777777" w:rsidR="009C1291" w:rsidRPr="006F6ADA" w:rsidRDefault="009C1291" w:rsidP="00FA3A5F">
            <w:pPr>
              <w:ind w:left="0" w:right="-5"/>
              <w:rPr>
                <w:sz w:val="19"/>
                <w:szCs w:val="19"/>
              </w:rPr>
            </w:pPr>
          </w:p>
        </w:tc>
        <w:tc>
          <w:tcPr>
            <w:tcW w:w="3544" w:type="dxa"/>
          </w:tcPr>
          <w:p w14:paraId="054DFF05" w14:textId="77777777" w:rsidR="009C1291" w:rsidRPr="006F6ADA" w:rsidRDefault="009C1291" w:rsidP="00FA3A5F">
            <w:pPr>
              <w:ind w:left="0" w:right="-5"/>
              <w:rPr>
                <w:sz w:val="19"/>
                <w:szCs w:val="19"/>
              </w:rPr>
            </w:pPr>
            <w:r w:rsidRPr="006F6ADA">
              <w:rPr>
                <w:sz w:val="19"/>
                <w:szCs w:val="19"/>
              </w:rPr>
              <w:t>ILD</w:t>
            </w:r>
          </w:p>
        </w:tc>
        <w:tc>
          <w:tcPr>
            <w:tcW w:w="850" w:type="dxa"/>
          </w:tcPr>
          <w:p w14:paraId="1C3D0C2E"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D08FE60" w14:textId="77777777" w:rsidR="009C1291" w:rsidRPr="006F6ADA" w:rsidRDefault="009C1291" w:rsidP="00FA3A5F">
            <w:pPr>
              <w:jc w:val="center"/>
              <w:rPr>
                <w:sz w:val="19"/>
                <w:szCs w:val="19"/>
              </w:rPr>
            </w:pPr>
            <w:r w:rsidRPr="006F6ADA">
              <w:rPr>
                <w:sz w:val="19"/>
                <w:szCs w:val="19"/>
              </w:rPr>
              <w:t>–</w:t>
            </w:r>
          </w:p>
        </w:tc>
        <w:tc>
          <w:tcPr>
            <w:tcW w:w="850" w:type="dxa"/>
          </w:tcPr>
          <w:p w14:paraId="0D139586"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435BF7D7" w14:textId="77777777" w:rsidR="009C1291" w:rsidRPr="006F6ADA" w:rsidRDefault="009C1291" w:rsidP="00FA3A5F">
            <w:pPr>
              <w:jc w:val="center"/>
              <w:rPr>
                <w:sz w:val="19"/>
                <w:szCs w:val="19"/>
              </w:rPr>
            </w:pPr>
            <w:r w:rsidRPr="006F6ADA">
              <w:rPr>
                <w:sz w:val="19"/>
                <w:szCs w:val="19"/>
              </w:rPr>
              <w:t>–</w:t>
            </w:r>
          </w:p>
        </w:tc>
      </w:tr>
      <w:tr w:rsidR="009C1291" w:rsidRPr="006F6ADA" w14:paraId="659A16F4" w14:textId="77777777" w:rsidTr="00FA3A5F">
        <w:trPr>
          <w:trHeight w:val="91"/>
        </w:trPr>
        <w:tc>
          <w:tcPr>
            <w:tcW w:w="1384" w:type="dxa"/>
            <w:vMerge/>
          </w:tcPr>
          <w:p w14:paraId="3EE237DA" w14:textId="77777777" w:rsidR="009C1291" w:rsidRPr="006F6ADA" w:rsidRDefault="009C1291" w:rsidP="00FA3A5F">
            <w:pPr>
              <w:ind w:left="0" w:right="-5"/>
              <w:rPr>
                <w:sz w:val="19"/>
                <w:szCs w:val="19"/>
              </w:rPr>
            </w:pPr>
          </w:p>
        </w:tc>
        <w:tc>
          <w:tcPr>
            <w:tcW w:w="3544" w:type="dxa"/>
          </w:tcPr>
          <w:p w14:paraId="07857121" w14:textId="77777777" w:rsidR="009C1291" w:rsidRPr="006F6ADA" w:rsidRDefault="009C1291" w:rsidP="00FA3A5F">
            <w:pPr>
              <w:ind w:left="0" w:right="-5"/>
              <w:rPr>
                <w:sz w:val="19"/>
                <w:szCs w:val="19"/>
              </w:rPr>
            </w:pPr>
            <w:r w:rsidRPr="006F6ADA">
              <w:rPr>
                <w:sz w:val="19"/>
                <w:szCs w:val="19"/>
              </w:rPr>
              <w:t>Pulmonary</w:t>
            </w:r>
            <w:r w:rsidRPr="006F6ADA">
              <w:rPr>
                <w:spacing w:val="30"/>
                <w:sz w:val="19"/>
                <w:szCs w:val="19"/>
              </w:rPr>
              <w:t xml:space="preserve"> </w:t>
            </w:r>
            <w:r w:rsidRPr="006F6ADA">
              <w:rPr>
                <w:sz w:val="19"/>
                <w:szCs w:val="19"/>
              </w:rPr>
              <w:t>embolism</w:t>
            </w:r>
          </w:p>
        </w:tc>
        <w:tc>
          <w:tcPr>
            <w:tcW w:w="850" w:type="dxa"/>
          </w:tcPr>
          <w:p w14:paraId="2551A4AE"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482768B3" w14:textId="77777777" w:rsidR="009C1291" w:rsidRPr="006F6ADA" w:rsidRDefault="009C1291" w:rsidP="00FA3A5F">
            <w:pPr>
              <w:jc w:val="center"/>
              <w:rPr>
                <w:sz w:val="19"/>
                <w:szCs w:val="19"/>
              </w:rPr>
            </w:pPr>
            <w:r w:rsidRPr="006F6ADA">
              <w:rPr>
                <w:sz w:val="19"/>
                <w:szCs w:val="19"/>
              </w:rPr>
              <w:t>–</w:t>
            </w:r>
          </w:p>
        </w:tc>
        <w:tc>
          <w:tcPr>
            <w:tcW w:w="850" w:type="dxa"/>
          </w:tcPr>
          <w:p w14:paraId="2AE86B6D"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16E0A9E" w14:textId="77777777" w:rsidR="009C1291" w:rsidRPr="006F6ADA" w:rsidRDefault="009C1291" w:rsidP="00FA3A5F">
            <w:pPr>
              <w:jc w:val="center"/>
              <w:rPr>
                <w:sz w:val="19"/>
                <w:szCs w:val="19"/>
              </w:rPr>
            </w:pPr>
            <w:r w:rsidRPr="006F6ADA">
              <w:rPr>
                <w:sz w:val="19"/>
                <w:szCs w:val="19"/>
              </w:rPr>
              <w:t>–</w:t>
            </w:r>
          </w:p>
        </w:tc>
      </w:tr>
      <w:tr w:rsidR="009C1291" w:rsidRPr="006F6ADA" w14:paraId="0924FB11" w14:textId="77777777" w:rsidTr="00FA3A5F">
        <w:trPr>
          <w:trHeight w:val="91"/>
        </w:trPr>
        <w:tc>
          <w:tcPr>
            <w:tcW w:w="1384" w:type="dxa"/>
            <w:vMerge/>
          </w:tcPr>
          <w:p w14:paraId="636F7A63" w14:textId="77777777" w:rsidR="009C1291" w:rsidRPr="006F6ADA" w:rsidRDefault="009C1291" w:rsidP="00FA3A5F">
            <w:pPr>
              <w:ind w:left="0" w:right="-5"/>
              <w:rPr>
                <w:sz w:val="19"/>
                <w:szCs w:val="19"/>
              </w:rPr>
            </w:pPr>
          </w:p>
        </w:tc>
        <w:tc>
          <w:tcPr>
            <w:tcW w:w="3544" w:type="dxa"/>
          </w:tcPr>
          <w:p w14:paraId="46B70972" w14:textId="77777777" w:rsidR="009C1291" w:rsidRPr="006F6ADA" w:rsidRDefault="009C1291" w:rsidP="00FA3A5F">
            <w:pPr>
              <w:ind w:left="0" w:right="-5"/>
              <w:rPr>
                <w:sz w:val="19"/>
                <w:szCs w:val="19"/>
              </w:rPr>
            </w:pPr>
            <w:r w:rsidRPr="006F6ADA">
              <w:rPr>
                <w:sz w:val="19"/>
                <w:szCs w:val="19"/>
              </w:rPr>
              <w:t>Cutaneous</w:t>
            </w:r>
            <w:r w:rsidRPr="006F6ADA">
              <w:rPr>
                <w:spacing w:val="29"/>
                <w:sz w:val="19"/>
                <w:szCs w:val="19"/>
              </w:rPr>
              <w:t xml:space="preserve"> </w:t>
            </w:r>
            <w:r w:rsidRPr="006F6ADA">
              <w:rPr>
                <w:sz w:val="19"/>
                <w:szCs w:val="19"/>
              </w:rPr>
              <w:t>vasculitis</w:t>
            </w:r>
          </w:p>
        </w:tc>
        <w:tc>
          <w:tcPr>
            <w:tcW w:w="850" w:type="dxa"/>
          </w:tcPr>
          <w:p w14:paraId="76F24050"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469A3E77" w14:textId="77777777" w:rsidR="009C1291" w:rsidRPr="006F6ADA" w:rsidRDefault="009C1291" w:rsidP="00FA3A5F">
            <w:pPr>
              <w:jc w:val="center"/>
              <w:rPr>
                <w:sz w:val="19"/>
                <w:szCs w:val="19"/>
              </w:rPr>
            </w:pPr>
            <w:r w:rsidRPr="006F6ADA">
              <w:rPr>
                <w:sz w:val="19"/>
                <w:szCs w:val="19"/>
              </w:rPr>
              <w:t>–</w:t>
            </w:r>
          </w:p>
        </w:tc>
        <w:tc>
          <w:tcPr>
            <w:tcW w:w="850" w:type="dxa"/>
          </w:tcPr>
          <w:p w14:paraId="265B2962"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124F5964" w14:textId="77777777" w:rsidR="009C1291" w:rsidRPr="006F6ADA" w:rsidRDefault="009C1291" w:rsidP="00FA3A5F">
            <w:pPr>
              <w:jc w:val="center"/>
              <w:rPr>
                <w:sz w:val="19"/>
                <w:szCs w:val="19"/>
              </w:rPr>
            </w:pPr>
            <w:r w:rsidRPr="006F6ADA">
              <w:rPr>
                <w:sz w:val="19"/>
                <w:szCs w:val="19"/>
              </w:rPr>
              <w:t>–</w:t>
            </w:r>
          </w:p>
        </w:tc>
      </w:tr>
      <w:tr w:rsidR="009C1291" w:rsidRPr="006F6ADA" w14:paraId="541DB472" w14:textId="77777777" w:rsidTr="00FA3A5F">
        <w:trPr>
          <w:trHeight w:val="91"/>
        </w:trPr>
        <w:tc>
          <w:tcPr>
            <w:tcW w:w="1384" w:type="dxa"/>
            <w:vMerge/>
          </w:tcPr>
          <w:p w14:paraId="6AC07551" w14:textId="77777777" w:rsidR="009C1291" w:rsidRPr="006F6ADA" w:rsidRDefault="009C1291" w:rsidP="00FA3A5F">
            <w:pPr>
              <w:ind w:left="0" w:right="-5"/>
              <w:rPr>
                <w:sz w:val="19"/>
                <w:szCs w:val="19"/>
              </w:rPr>
            </w:pPr>
          </w:p>
        </w:tc>
        <w:tc>
          <w:tcPr>
            <w:tcW w:w="3544" w:type="dxa"/>
          </w:tcPr>
          <w:p w14:paraId="7461A2D4" w14:textId="77777777" w:rsidR="009C1291" w:rsidRPr="006F6ADA" w:rsidRDefault="009C1291" w:rsidP="00FA3A5F">
            <w:pPr>
              <w:ind w:left="0" w:right="-5"/>
              <w:rPr>
                <w:sz w:val="19"/>
                <w:szCs w:val="19"/>
              </w:rPr>
            </w:pPr>
            <w:r w:rsidRPr="006F6ADA">
              <w:rPr>
                <w:sz w:val="19"/>
                <w:szCs w:val="19"/>
              </w:rPr>
              <w:t>SJS and erythema</w:t>
            </w:r>
            <w:r w:rsidRPr="006F6ADA">
              <w:rPr>
                <w:spacing w:val="42"/>
                <w:sz w:val="19"/>
                <w:szCs w:val="19"/>
              </w:rPr>
              <w:t xml:space="preserve"> </w:t>
            </w:r>
            <w:r w:rsidRPr="006F6ADA">
              <w:rPr>
                <w:sz w:val="19"/>
                <w:szCs w:val="19"/>
              </w:rPr>
              <w:t>multiforme</w:t>
            </w:r>
          </w:p>
        </w:tc>
        <w:tc>
          <w:tcPr>
            <w:tcW w:w="850" w:type="dxa"/>
          </w:tcPr>
          <w:p w14:paraId="60B08943"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F8EBF0E" w14:textId="77777777" w:rsidR="009C1291" w:rsidRPr="006F6ADA" w:rsidRDefault="009C1291" w:rsidP="00FA3A5F">
            <w:pPr>
              <w:jc w:val="center"/>
              <w:rPr>
                <w:sz w:val="19"/>
                <w:szCs w:val="19"/>
              </w:rPr>
            </w:pPr>
            <w:r w:rsidRPr="006F6ADA">
              <w:rPr>
                <w:sz w:val="19"/>
                <w:szCs w:val="19"/>
              </w:rPr>
              <w:t>–</w:t>
            </w:r>
          </w:p>
        </w:tc>
        <w:tc>
          <w:tcPr>
            <w:tcW w:w="850" w:type="dxa"/>
          </w:tcPr>
          <w:p w14:paraId="5244759E"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27612037" w14:textId="77777777" w:rsidR="009C1291" w:rsidRPr="006F6ADA" w:rsidRDefault="009C1291" w:rsidP="00FA3A5F">
            <w:pPr>
              <w:jc w:val="center"/>
              <w:rPr>
                <w:sz w:val="19"/>
                <w:szCs w:val="19"/>
              </w:rPr>
            </w:pPr>
            <w:r w:rsidRPr="006F6ADA">
              <w:rPr>
                <w:sz w:val="19"/>
                <w:szCs w:val="19"/>
              </w:rPr>
              <w:t>–</w:t>
            </w:r>
          </w:p>
        </w:tc>
      </w:tr>
      <w:tr w:rsidR="009C1291" w:rsidRPr="006F6ADA" w14:paraId="21E57DE0" w14:textId="77777777" w:rsidTr="00FA3A5F">
        <w:trPr>
          <w:trHeight w:val="91"/>
        </w:trPr>
        <w:tc>
          <w:tcPr>
            <w:tcW w:w="1384" w:type="dxa"/>
            <w:vMerge/>
          </w:tcPr>
          <w:p w14:paraId="12A06AC9" w14:textId="77777777" w:rsidR="009C1291" w:rsidRPr="006F6ADA" w:rsidRDefault="009C1291" w:rsidP="00FA3A5F">
            <w:pPr>
              <w:ind w:left="0" w:right="-5"/>
              <w:rPr>
                <w:sz w:val="19"/>
                <w:szCs w:val="19"/>
              </w:rPr>
            </w:pPr>
          </w:p>
        </w:tc>
        <w:tc>
          <w:tcPr>
            <w:tcW w:w="3544" w:type="dxa"/>
          </w:tcPr>
          <w:p w14:paraId="2F2D4DAE" w14:textId="77777777" w:rsidR="009C1291" w:rsidRPr="006F6ADA" w:rsidRDefault="009C1291" w:rsidP="00FA3A5F">
            <w:pPr>
              <w:ind w:left="0" w:right="-5"/>
              <w:rPr>
                <w:sz w:val="19"/>
                <w:szCs w:val="19"/>
              </w:rPr>
            </w:pPr>
            <w:r w:rsidRPr="006F6ADA">
              <w:rPr>
                <w:sz w:val="19"/>
                <w:szCs w:val="19"/>
              </w:rPr>
              <w:t xml:space="preserve">Worsening and new onset of </w:t>
            </w:r>
            <w:proofErr w:type="spellStart"/>
            <w:r w:rsidRPr="006F6ADA">
              <w:rPr>
                <w:sz w:val="19"/>
                <w:szCs w:val="19"/>
              </w:rPr>
              <w:t>PsO</w:t>
            </w:r>
            <w:proofErr w:type="spellEnd"/>
          </w:p>
        </w:tc>
        <w:tc>
          <w:tcPr>
            <w:tcW w:w="850" w:type="dxa"/>
          </w:tcPr>
          <w:p w14:paraId="7809C993"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2A87038A" w14:textId="77777777" w:rsidR="009C1291" w:rsidRPr="006F6ADA" w:rsidRDefault="009C1291" w:rsidP="00FA3A5F">
            <w:pPr>
              <w:jc w:val="center"/>
              <w:rPr>
                <w:sz w:val="19"/>
                <w:szCs w:val="19"/>
              </w:rPr>
            </w:pPr>
            <w:r w:rsidRPr="006F6ADA">
              <w:rPr>
                <w:sz w:val="19"/>
                <w:szCs w:val="19"/>
              </w:rPr>
              <w:t>–</w:t>
            </w:r>
          </w:p>
        </w:tc>
        <w:tc>
          <w:tcPr>
            <w:tcW w:w="850" w:type="dxa"/>
          </w:tcPr>
          <w:p w14:paraId="189F97C8"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D8E948B" w14:textId="77777777" w:rsidR="009C1291" w:rsidRPr="006F6ADA" w:rsidRDefault="009C1291" w:rsidP="00FA3A5F">
            <w:pPr>
              <w:jc w:val="center"/>
              <w:rPr>
                <w:sz w:val="19"/>
                <w:szCs w:val="19"/>
              </w:rPr>
            </w:pPr>
            <w:r w:rsidRPr="006F6ADA">
              <w:rPr>
                <w:sz w:val="19"/>
                <w:szCs w:val="19"/>
              </w:rPr>
              <w:t>–</w:t>
            </w:r>
          </w:p>
        </w:tc>
      </w:tr>
      <w:tr w:rsidR="009C1291" w:rsidRPr="006F6ADA" w14:paraId="128C6E4A" w14:textId="77777777" w:rsidTr="00FA3A5F">
        <w:trPr>
          <w:trHeight w:val="91"/>
        </w:trPr>
        <w:tc>
          <w:tcPr>
            <w:tcW w:w="1384" w:type="dxa"/>
            <w:vMerge/>
          </w:tcPr>
          <w:p w14:paraId="7C1ACAFF" w14:textId="77777777" w:rsidR="009C1291" w:rsidRPr="006F6ADA" w:rsidRDefault="009C1291" w:rsidP="00FA3A5F">
            <w:pPr>
              <w:ind w:left="0" w:right="-5"/>
              <w:rPr>
                <w:sz w:val="19"/>
                <w:szCs w:val="19"/>
              </w:rPr>
            </w:pPr>
          </w:p>
        </w:tc>
        <w:tc>
          <w:tcPr>
            <w:tcW w:w="3544" w:type="dxa"/>
          </w:tcPr>
          <w:p w14:paraId="2AEA8390" w14:textId="77777777" w:rsidR="009C1291" w:rsidRPr="006F6ADA" w:rsidRDefault="009C1291" w:rsidP="00FA3A5F">
            <w:pPr>
              <w:ind w:left="0" w:right="-5"/>
              <w:rPr>
                <w:sz w:val="19"/>
                <w:szCs w:val="19"/>
              </w:rPr>
            </w:pPr>
            <w:r w:rsidRPr="006F6ADA">
              <w:rPr>
                <w:sz w:val="19"/>
                <w:szCs w:val="19"/>
              </w:rPr>
              <w:t>Haematologic disorders</w:t>
            </w:r>
          </w:p>
        </w:tc>
        <w:tc>
          <w:tcPr>
            <w:tcW w:w="850" w:type="dxa"/>
          </w:tcPr>
          <w:p w14:paraId="01C5E696"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202BAF9B" w14:textId="77777777" w:rsidR="009C1291" w:rsidRPr="006F6ADA" w:rsidRDefault="009C1291" w:rsidP="00FA3A5F">
            <w:pPr>
              <w:jc w:val="center"/>
              <w:rPr>
                <w:sz w:val="19"/>
                <w:szCs w:val="19"/>
              </w:rPr>
            </w:pPr>
            <w:r w:rsidRPr="006F6ADA">
              <w:rPr>
                <w:sz w:val="19"/>
                <w:szCs w:val="19"/>
              </w:rPr>
              <w:t>–</w:t>
            </w:r>
          </w:p>
        </w:tc>
        <w:tc>
          <w:tcPr>
            <w:tcW w:w="850" w:type="dxa"/>
          </w:tcPr>
          <w:p w14:paraId="46FCA01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49711A2" w14:textId="77777777" w:rsidR="009C1291" w:rsidRPr="006F6ADA" w:rsidRDefault="009C1291" w:rsidP="00FA3A5F">
            <w:pPr>
              <w:jc w:val="center"/>
              <w:rPr>
                <w:sz w:val="19"/>
                <w:szCs w:val="19"/>
              </w:rPr>
            </w:pPr>
            <w:r w:rsidRPr="006F6ADA">
              <w:rPr>
                <w:sz w:val="19"/>
                <w:szCs w:val="19"/>
              </w:rPr>
              <w:t>–</w:t>
            </w:r>
          </w:p>
        </w:tc>
      </w:tr>
      <w:tr w:rsidR="009C1291" w:rsidRPr="006F6ADA" w14:paraId="688F0179" w14:textId="77777777" w:rsidTr="00FA3A5F">
        <w:trPr>
          <w:trHeight w:val="91"/>
        </w:trPr>
        <w:tc>
          <w:tcPr>
            <w:tcW w:w="1384" w:type="dxa"/>
            <w:vMerge/>
          </w:tcPr>
          <w:p w14:paraId="306FB8B8" w14:textId="77777777" w:rsidR="009C1291" w:rsidRPr="006F6ADA" w:rsidRDefault="009C1291" w:rsidP="00FA3A5F">
            <w:pPr>
              <w:ind w:left="0" w:right="-5"/>
              <w:rPr>
                <w:sz w:val="19"/>
                <w:szCs w:val="19"/>
              </w:rPr>
            </w:pPr>
          </w:p>
        </w:tc>
        <w:tc>
          <w:tcPr>
            <w:tcW w:w="3544" w:type="dxa"/>
          </w:tcPr>
          <w:p w14:paraId="490E2849" w14:textId="77777777" w:rsidR="009C1291" w:rsidRPr="006F6ADA" w:rsidRDefault="009C1291" w:rsidP="00FA3A5F">
            <w:pPr>
              <w:ind w:left="0" w:right="-5"/>
              <w:rPr>
                <w:sz w:val="19"/>
                <w:szCs w:val="19"/>
              </w:rPr>
            </w:pPr>
            <w:r w:rsidRPr="006F6ADA">
              <w:rPr>
                <w:sz w:val="19"/>
                <w:szCs w:val="19"/>
              </w:rPr>
              <w:t>Intestinal perforation</w:t>
            </w:r>
          </w:p>
        </w:tc>
        <w:tc>
          <w:tcPr>
            <w:tcW w:w="850" w:type="dxa"/>
          </w:tcPr>
          <w:p w14:paraId="3F2C5043"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220FE8B8" w14:textId="77777777" w:rsidR="009C1291" w:rsidRPr="006F6ADA" w:rsidRDefault="009C1291" w:rsidP="00FA3A5F">
            <w:pPr>
              <w:jc w:val="center"/>
              <w:rPr>
                <w:sz w:val="19"/>
                <w:szCs w:val="19"/>
              </w:rPr>
            </w:pPr>
            <w:r w:rsidRPr="006F6ADA">
              <w:rPr>
                <w:sz w:val="19"/>
                <w:szCs w:val="19"/>
              </w:rPr>
              <w:t>–</w:t>
            </w:r>
          </w:p>
        </w:tc>
        <w:tc>
          <w:tcPr>
            <w:tcW w:w="850" w:type="dxa"/>
          </w:tcPr>
          <w:p w14:paraId="575F8E2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07DDF1B9" w14:textId="77777777" w:rsidR="009C1291" w:rsidRPr="006F6ADA" w:rsidRDefault="009C1291" w:rsidP="00FA3A5F">
            <w:pPr>
              <w:jc w:val="center"/>
              <w:rPr>
                <w:sz w:val="19"/>
                <w:szCs w:val="19"/>
              </w:rPr>
            </w:pPr>
            <w:r w:rsidRPr="006F6ADA">
              <w:rPr>
                <w:sz w:val="19"/>
                <w:szCs w:val="19"/>
              </w:rPr>
              <w:t>–</w:t>
            </w:r>
          </w:p>
        </w:tc>
      </w:tr>
      <w:tr w:rsidR="009C1291" w:rsidRPr="006F6ADA" w14:paraId="6995E9C3" w14:textId="77777777" w:rsidTr="00FA3A5F">
        <w:trPr>
          <w:trHeight w:val="91"/>
        </w:trPr>
        <w:tc>
          <w:tcPr>
            <w:tcW w:w="1384" w:type="dxa"/>
            <w:vMerge/>
          </w:tcPr>
          <w:p w14:paraId="513872CC" w14:textId="77777777" w:rsidR="009C1291" w:rsidRPr="006F6ADA" w:rsidRDefault="009C1291" w:rsidP="00FA3A5F">
            <w:pPr>
              <w:ind w:left="0" w:right="-5"/>
              <w:rPr>
                <w:sz w:val="19"/>
                <w:szCs w:val="19"/>
              </w:rPr>
            </w:pPr>
          </w:p>
        </w:tc>
        <w:tc>
          <w:tcPr>
            <w:tcW w:w="3544" w:type="dxa"/>
          </w:tcPr>
          <w:p w14:paraId="7D98CEE7" w14:textId="77777777" w:rsidR="009C1291" w:rsidRPr="006F6ADA" w:rsidRDefault="009C1291" w:rsidP="00FA3A5F">
            <w:pPr>
              <w:ind w:left="0" w:right="-5"/>
              <w:rPr>
                <w:sz w:val="19"/>
                <w:szCs w:val="19"/>
              </w:rPr>
            </w:pPr>
            <w:r w:rsidRPr="006F6ADA">
              <w:rPr>
                <w:sz w:val="19"/>
                <w:szCs w:val="19"/>
              </w:rPr>
              <w:t>Liver failure and Other Liver</w:t>
            </w:r>
            <w:r w:rsidR="0069652B" w:rsidRPr="006F6ADA">
              <w:rPr>
                <w:sz w:val="19"/>
                <w:szCs w:val="19"/>
              </w:rPr>
              <w:t xml:space="preserve"> </w:t>
            </w:r>
            <w:r w:rsidRPr="006F6ADA">
              <w:rPr>
                <w:sz w:val="19"/>
                <w:szCs w:val="19"/>
              </w:rPr>
              <w:t>Events</w:t>
            </w:r>
          </w:p>
        </w:tc>
        <w:tc>
          <w:tcPr>
            <w:tcW w:w="850" w:type="dxa"/>
          </w:tcPr>
          <w:p w14:paraId="6A46691B"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2A3B0DF2" w14:textId="77777777" w:rsidR="009C1291" w:rsidRPr="006F6ADA" w:rsidRDefault="009C1291" w:rsidP="00FA3A5F">
            <w:pPr>
              <w:jc w:val="center"/>
              <w:rPr>
                <w:sz w:val="19"/>
                <w:szCs w:val="19"/>
              </w:rPr>
            </w:pPr>
            <w:r w:rsidRPr="006F6ADA">
              <w:rPr>
                <w:sz w:val="19"/>
                <w:szCs w:val="19"/>
              </w:rPr>
              <w:t>–</w:t>
            </w:r>
          </w:p>
        </w:tc>
        <w:tc>
          <w:tcPr>
            <w:tcW w:w="850" w:type="dxa"/>
          </w:tcPr>
          <w:p w14:paraId="3692CE49"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900AA66" w14:textId="77777777" w:rsidR="009C1291" w:rsidRPr="006F6ADA" w:rsidRDefault="009C1291" w:rsidP="00FA3A5F">
            <w:pPr>
              <w:jc w:val="center"/>
              <w:rPr>
                <w:sz w:val="19"/>
                <w:szCs w:val="19"/>
              </w:rPr>
            </w:pPr>
            <w:r w:rsidRPr="006F6ADA">
              <w:rPr>
                <w:sz w:val="19"/>
                <w:szCs w:val="19"/>
              </w:rPr>
              <w:t>–</w:t>
            </w:r>
          </w:p>
        </w:tc>
      </w:tr>
      <w:tr w:rsidR="009C1291" w:rsidRPr="006F6ADA" w14:paraId="73598731" w14:textId="77777777" w:rsidTr="00FA3A5F">
        <w:trPr>
          <w:trHeight w:val="91"/>
        </w:trPr>
        <w:tc>
          <w:tcPr>
            <w:tcW w:w="1384" w:type="dxa"/>
            <w:vMerge/>
          </w:tcPr>
          <w:p w14:paraId="3735CE75" w14:textId="77777777" w:rsidR="009C1291" w:rsidRPr="006F6ADA" w:rsidRDefault="009C1291" w:rsidP="00FA3A5F">
            <w:pPr>
              <w:ind w:left="0" w:right="-5"/>
              <w:rPr>
                <w:sz w:val="19"/>
                <w:szCs w:val="19"/>
              </w:rPr>
            </w:pPr>
          </w:p>
        </w:tc>
        <w:tc>
          <w:tcPr>
            <w:tcW w:w="3544" w:type="dxa"/>
          </w:tcPr>
          <w:p w14:paraId="263E3892" w14:textId="77777777" w:rsidR="009C1291" w:rsidRPr="006F6ADA" w:rsidRDefault="009C1291" w:rsidP="00FA3A5F">
            <w:pPr>
              <w:ind w:left="0" w:right="-5"/>
              <w:rPr>
                <w:sz w:val="19"/>
                <w:szCs w:val="19"/>
              </w:rPr>
            </w:pPr>
            <w:r w:rsidRPr="006F6ADA">
              <w:rPr>
                <w:sz w:val="19"/>
                <w:szCs w:val="19"/>
              </w:rPr>
              <w:t>Elevated ALT levels</w:t>
            </w:r>
          </w:p>
        </w:tc>
        <w:tc>
          <w:tcPr>
            <w:tcW w:w="850" w:type="dxa"/>
          </w:tcPr>
          <w:p w14:paraId="3C0CF941"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58C2FFA3"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1, 2</w:t>
            </w:r>
          </w:p>
        </w:tc>
        <w:tc>
          <w:tcPr>
            <w:tcW w:w="850" w:type="dxa"/>
          </w:tcPr>
          <w:p w14:paraId="4BD605ED"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CAE3CA5" w14:textId="77777777" w:rsidR="009C1291" w:rsidRPr="006F6ADA" w:rsidRDefault="009C1291" w:rsidP="00FA3A5F">
            <w:pPr>
              <w:jc w:val="center"/>
              <w:rPr>
                <w:sz w:val="19"/>
                <w:szCs w:val="19"/>
              </w:rPr>
            </w:pPr>
            <w:r w:rsidRPr="006F6ADA">
              <w:rPr>
                <w:sz w:val="19"/>
                <w:szCs w:val="19"/>
              </w:rPr>
              <w:t>–</w:t>
            </w:r>
          </w:p>
        </w:tc>
      </w:tr>
      <w:tr w:rsidR="009C1291" w:rsidRPr="006F6ADA" w14:paraId="3CCD5B43" w14:textId="77777777" w:rsidTr="00FA3A5F">
        <w:trPr>
          <w:trHeight w:val="91"/>
        </w:trPr>
        <w:tc>
          <w:tcPr>
            <w:tcW w:w="1384" w:type="dxa"/>
            <w:vMerge/>
          </w:tcPr>
          <w:p w14:paraId="4CA44961" w14:textId="77777777" w:rsidR="009C1291" w:rsidRPr="006F6ADA" w:rsidRDefault="009C1291" w:rsidP="00FA3A5F">
            <w:pPr>
              <w:ind w:left="0" w:right="-5"/>
              <w:rPr>
                <w:sz w:val="19"/>
                <w:szCs w:val="19"/>
              </w:rPr>
            </w:pPr>
          </w:p>
        </w:tc>
        <w:tc>
          <w:tcPr>
            <w:tcW w:w="3544" w:type="dxa"/>
          </w:tcPr>
          <w:p w14:paraId="559FDB57" w14:textId="77777777" w:rsidR="009C1291" w:rsidRPr="006F6ADA" w:rsidRDefault="009C1291" w:rsidP="00FA3A5F">
            <w:pPr>
              <w:ind w:left="0" w:right="-5"/>
              <w:rPr>
                <w:sz w:val="19"/>
                <w:szCs w:val="19"/>
              </w:rPr>
            </w:pPr>
            <w:r w:rsidRPr="006F6ADA">
              <w:rPr>
                <w:sz w:val="19"/>
                <w:szCs w:val="19"/>
              </w:rPr>
              <w:t>Autoimmune Hepatitis</w:t>
            </w:r>
          </w:p>
        </w:tc>
        <w:tc>
          <w:tcPr>
            <w:tcW w:w="850" w:type="dxa"/>
          </w:tcPr>
          <w:p w14:paraId="70AE6EEC"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EE23729"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1, 2</w:t>
            </w:r>
          </w:p>
        </w:tc>
        <w:tc>
          <w:tcPr>
            <w:tcW w:w="850" w:type="dxa"/>
          </w:tcPr>
          <w:p w14:paraId="776B2198"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3F4AE3E" w14:textId="77777777" w:rsidR="009C1291" w:rsidRPr="006F6ADA" w:rsidRDefault="009C1291" w:rsidP="00FA3A5F">
            <w:pPr>
              <w:jc w:val="center"/>
              <w:rPr>
                <w:sz w:val="19"/>
                <w:szCs w:val="19"/>
              </w:rPr>
            </w:pPr>
            <w:r w:rsidRPr="006F6ADA">
              <w:rPr>
                <w:sz w:val="19"/>
                <w:szCs w:val="19"/>
              </w:rPr>
              <w:t>–</w:t>
            </w:r>
          </w:p>
        </w:tc>
      </w:tr>
      <w:tr w:rsidR="009C1291" w:rsidRPr="006F6ADA" w14:paraId="3C2DCF01" w14:textId="77777777" w:rsidTr="00FA3A5F">
        <w:trPr>
          <w:trHeight w:val="91"/>
        </w:trPr>
        <w:tc>
          <w:tcPr>
            <w:tcW w:w="1384" w:type="dxa"/>
            <w:vMerge/>
          </w:tcPr>
          <w:p w14:paraId="2D32F1E8" w14:textId="77777777" w:rsidR="009C1291" w:rsidRPr="006F6ADA" w:rsidRDefault="009C1291" w:rsidP="00FA3A5F">
            <w:pPr>
              <w:ind w:left="0" w:right="-5"/>
              <w:rPr>
                <w:sz w:val="19"/>
                <w:szCs w:val="19"/>
              </w:rPr>
            </w:pPr>
          </w:p>
        </w:tc>
        <w:tc>
          <w:tcPr>
            <w:tcW w:w="3544" w:type="dxa"/>
          </w:tcPr>
          <w:p w14:paraId="16771F96" w14:textId="77777777" w:rsidR="009C1291" w:rsidRPr="006F6ADA" w:rsidRDefault="009C1291" w:rsidP="00FA3A5F">
            <w:pPr>
              <w:ind w:left="0" w:right="-5"/>
              <w:rPr>
                <w:sz w:val="19"/>
                <w:szCs w:val="19"/>
              </w:rPr>
            </w:pPr>
            <w:r w:rsidRPr="006F6ADA">
              <w:rPr>
                <w:sz w:val="19"/>
                <w:szCs w:val="19"/>
              </w:rPr>
              <w:t>Medication errors and maladministration.</w:t>
            </w:r>
          </w:p>
        </w:tc>
        <w:tc>
          <w:tcPr>
            <w:tcW w:w="850" w:type="dxa"/>
          </w:tcPr>
          <w:p w14:paraId="730369D9"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500980D" w14:textId="77777777" w:rsidR="009C1291" w:rsidRPr="006F6ADA" w:rsidRDefault="009C1291" w:rsidP="00FA3A5F">
            <w:pPr>
              <w:jc w:val="center"/>
              <w:rPr>
                <w:sz w:val="19"/>
                <w:szCs w:val="19"/>
              </w:rPr>
            </w:pPr>
            <w:r w:rsidRPr="006F6ADA">
              <w:rPr>
                <w:sz w:val="19"/>
                <w:szCs w:val="19"/>
              </w:rPr>
              <w:t>–</w:t>
            </w:r>
          </w:p>
        </w:tc>
        <w:tc>
          <w:tcPr>
            <w:tcW w:w="850" w:type="dxa"/>
          </w:tcPr>
          <w:p w14:paraId="62D60C0D" w14:textId="77777777" w:rsidR="009C1291" w:rsidRPr="006F6ADA" w:rsidRDefault="009C1291" w:rsidP="00FA3A5F">
            <w:pPr>
              <w:jc w:val="center"/>
              <w:rPr>
                <w:sz w:val="19"/>
                <w:szCs w:val="19"/>
              </w:rPr>
            </w:pPr>
            <w:r w:rsidRPr="006F6ADA">
              <w:rPr>
                <w:sz w:val="19"/>
                <w:szCs w:val="19"/>
              </w:rPr>
              <w:t>–</w:t>
            </w:r>
          </w:p>
        </w:tc>
        <w:tc>
          <w:tcPr>
            <w:tcW w:w="972" w:type="dxa"/>
          </w:tcPr>
          <w:p w14:paraId="48994D0D" w14:textId="77777777" w:rsidR="009C1291" w:rsidRPr="006F6ADA" w:rsidRDefault="009C1291" w:rsidP="00FA3A5F">
            <w:pPr>
              <w:jc w:val="center"/>
              <w:rPr>
                <w:sz w:val="19"/>
                <w:szCs w:val="19"/>
              </w:rPr>
            </w:pPr>
            <w:r w:rsidRPr="006F6ADA">
              <w:rPr>
                <w:sz w:val="19"/>
                <w:szCs w:val="19"/>
              </w:rPr>
              <w:t>–</w:t>
            </w:r>
          </w:p>
        </w:tc>
      </w:tr>
      <w:tr w:rsidR="009C1291" w:rsidRPr="006F6ADA" w14:paraId="21A6586C" w14:textId="77777777" w:rsidTr="00FA3A5F">
        <w:trPr>
          <w:trHeight w:val="155"/>
        </w:trPr>
        <w:tc>
          <w:tcPr>
            <w:tcW w:w="1384" w:type="dxa"/>
            <w:vMerge w:val="restart"/>
          </w:tcPr>
          <w:p w14:paraId="446B26B0" w14:textId="77777777" w:rsidR="009C1291" w:rsidRPr="00FA3A5F" w:rsidRDefault="009C1291" w:rsidP="00FA3A5F">
            <w:pPr>
              <w:ind w:left="0" w:right="-5"/>
              <w:rPr>
                <w:b/>
                <w:sz w:val="19"/>
                <w:szCs w:val="19"/>
              </w:rPr>
            </w:pPr>
            <w:r w:rsidRPr="00FA3A5F">
              <w:rPr>
                <w:b/>
                <w:sz w:val="19"/>
                <w:szCs w:val="19"/>
              </w:rPr>
              <w:t>Important potential risks</w:t>
            </w:r>
          </w:p>
        </w:tc>
        <w:tc>
          <w:tcPr>
            <w:tcW w:w="3544" w:type="dxa"/>
          </w:tcPr>
          <w:p w14:paraId="5DB81929" w14:textId="77777777" w:rsidR="009C1291" w:rsidRPr="006F6ADA" w:rsidRDefault="009C1291" w:rsidP="00FA3A5F">
            <w:pPr>
              <w:ind w:left="0" w:right="-5"/>
              <w:rPr>
                <w:sz w:val="19"/>
                <w:szCs w:val="19"/>
              </w:rPr>
            </w:pPr>
            <w:r w:rsidRPr="006F6ADA">
              <w:rPr>
                <w:sz w:val="19"/>
                <w:szCs w:val="19"/>
              </w:rPr>
              <w:t>Other malignancies (except lymphoma, HSTCL, leukaemia, NMSC, and melanoma)</w:t>
            </w:r>
          </w:p>
        </w:tc>
        <w:tc>
          <w:tcPr>
            <w:tcW w:w="850" w:type="dxa"/>
          </w:tcPr>
          <w:p w14:paraId="7AAA10F5"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95989C0" w14:textId="77777777" w:rsidR="009C1291" w:rsidRPr="006F6ADA" w:rsidRDefault="009C1291" w:rsidP="00FA3A5F">
            <w:pPr>
              <w:jc w:val="center"/>
              <w:rPr>
                <w:sz w:val="19"/>
                <w:szCs w:val="19"/>
              </w:rPr>
            </w:pPr>
            <w:r w:rsidRPr="006F6ADA">
              <w:rPr>
                <w:sz w:val="19"/>
                <w:szCs w:val="19"/>
              </w:rPr>
              <w:t>–</w:t>
            </w:r>
          </w:p>
        </w:tc>
        <w:tc>
          <w:tcPr>
            <w:tcW w:w="850" w:type="dxa"/>
          </w:tcPr>
          <w:p w14:paraId="2B06899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4D9C6A4" w14:textId="77777777" w:rsidR="009C1291" w:rsidRPr="006F6ADA" w:rsidRDefault="009C1291" w:rsidP="00FA3A5F">
            <w:pPr>
              <w:jc w:val="center"/>
              <w:rPr>
                <w:sz w:val="19"/>
                <w:szCs w:val="19"/>
              </w:rPr>
            </w:pPr>
            <w:r w:rsidRPr="006F6ADA">
              <w:rPr>
                <w:sz w:val="19"/>
                <w:szCs w:val="19"/>
              </w:rPr>
              <w:sym w:font="Wingdings" w:char="F0FC"/>
            </w:r>
            <w:r w:rsidRPr="006F6ADA">
              <w:rPr>
                <w:sz w:val="19"/>
                <w:szCs w:val="19"/>
                <w:vertAlign w:val="superscript"/>
              </w:rPr>
              <w:t>3, 4</w:t>
            </w:r>
          </w:p>
        </w:tc>
      </w:tr>
      <w:tr w:rsidR="009C1291" w:rsidRPr="006F6ADA" w14:paraId="10D8AD43" w14:textId="77777777" w:rsidTr="00FA3A5F">
        <w:trPr>
          <w:trHeight w:val="119"/>
        </w:trPr>
        <w:tc>
          <w:tcPr>
            <w:tcW w:w="1384" w:type="dxa"/>
            <w:vMerge/>
          </w:tcPr>
          <w:p w14:paraId="059AEEB8" w14:textId="77777777" w:rsidR="009C1291" w:rsidRPr="006F6ADA" w:rsidRDefault="009C1291" w:rsidP="00FA3A5F">
            <w:pPr>
              <w:ind w:left="0" w:right="-5"/>
              <w:rPr>
                <w:sz w:val="19"/>
                <w:szCs w:val="19"/>
              </w:rPr>
            </w:pPr>
          </w:p>
        </w:tc>
        <w:tc>
          <w:tcPr>
            <w:tcW w:w="3544" w:type="dxa"/>
          </w:tcPr>
          <w:p w14:paraId="23C4C743" w14:textId="77777777" w:rsidR="009C1291" w:rsidRPr="006F6ADA" w:rsidRDefault="009C1291" w:rsidP="00FA3A5F">
            <w:pPr>
              <w:ind w:left="0" w:right="-5"/>
              <w:rPr>
                <w:sz w:val="19"/>
                <w:szCs w:val="19"/>
              </w:rPr>
            </w:pPr>
            <w:r w:rsidRPr="006F6ADA">
              <w:rPr>
                <w:sz w:val="19"/>
                <w:szCs w:val="19"/>
              </w:rPr>
              <w:t>Vasculitis</w:t>
            </w:r>
            <w:r w:rsidRPr="006F6ADA">
              <w:rPr>
                <w:spacing w:val="37"/>
                <w:sz w:val="19"/>
                <w:szCs w:val="19"/>
              </w:rPr>
              <w:t xml:space="preserve"> </w:t>
            </w:r>
            <w:r w:rsidRPr="006F6ADA">
              <w:rPr>
                <w:sz w:val="19"/>
                <w:szCs w:val="19"/>
              </w:rPr>
              <w:t>(non-cutaneous)</w:t>
            </w:r>
          </w:p>
        </w:tc>
        <w:tc>
          <w:tcPr>
            <w:tcW w:w="850" w:type="dxa"/>
          </w:tcPr>
          <w:p w14:paraId="4F1D1494"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29AB574C" w14:textId="77777777" w:rsidR="009C1291" w:rsidRPr="006F6ADA" w:rsidRDefault="009C1291" w:rsidP="00FA3A5F">
            <w:pPr>
              <w:jc w:val="center"/>
              <w:rPr>
                <w:sz w:val="19"/>
                <w:szCs w:val="19"/>
              </w:rPr>
            </w:pPr>
            <w:r w:rsidRPr="006F6ADA">
              <w:rPr>
                <w:sz w:val="19"/>
                <w:szCs w:val="19"/>
              </w:rPr>
              <w:t>–</w:t>
            </w:r>
          </w:p>
        </w:tc>
        <w:tc>
          <w:tcPr>
            <w:tcW w:w="850" w:type="dxa"/>
          </w:tcPr>
          <w:p w14:paraId="2D40B6CF" w14:textId="77777777" w:rsidR="009C1291" w:rsidRPr="006F6ADA" w:rsidRDefault="009C1291" w:rsidP="00FA3A5F">
            <w:pPr>
              <w:jc w:val="center"/>
              <w:rPr>
                <w:sz w:val="19"/>
                <w:szCs w:val="19"/>
              </w:rPr>
            </w:pPr>
            <w:r w:rsidRPr="006F6ADA">
              <w:rPr>
                <w:sz w:val="19"/>
                <w:szCs w:val="19"/>
              </w:rPr>
              <w:t>–</w:t>
            </w:r>
          </w:p>
        </w:tc>
        <w:tc>
          <w:tcPr>
            <w:tcW w:w="972" w:type="dxa"/>
          </w:tcPr>
          <w:p w14:paraId="26B1DF85" w14:textId="77777777" w:rsidR="009C1291" w:rsidRPr="006F6ADA" w:rsidRDefault="009C1291" w:rsidP="00FA3A5F">
            <w:pPr>
              <w:jc w:val="center"/>
              <w:rPr>
                <w:sz w:val="19"/>
                <w:szCs w:val="19"/>
              </w:rPr>
            </w:pPr>
            <w:r w:rsidRPr="006F6ADA">
              <w:rPr>
                <w:sz w:val="19"/>
                <w:szCs w:val="19"/>
              </w:rPr>
              <w:t>–</w:t>
            </w:r>
          </w:p>
        </w:tc>
      </w:tr>
      <w:tr w:rsidR="009C1291" w:rsidRPr="006F6ADA" w14:paraId="20FE8B3E" w14:textId="77777777" w:rsidTr="00FA3A5F">
        <w:trPr>
          <w:trHeight w:val="119"/>
        </w:trPr>
        <w:tc>
          <w:tcPr>
            <w:tcW w:w="1384" w:type="dxa"/>
            <w:vMerge/>
          </w:tcPr>
          <w:p w14:paraId="637BA2CD" w14:textId="77777777" w:rsidR="009C1291" w:rsidRPr="006F6ADA" w:rsidRDefault="009C1291" w:rsidP="00FA3A5F">
            <w:pPr>
              <w:ind w:left="0" w:right="-5"/>
              <w:rPr>
                <w:sz w:val="19"/>
                <w:szCs w:val="19"/>
              </w:rPr>
            </w:pPr>
          </w:p>
        </w:tc>
        <w:tc>
          <w:tcPr>
            <w:tcW w:w="3544" w:type="dxa"/>
          </w:tcPr>
          <w:p w14:paraId="19218CE8" w14:textId="77777777" w:rsidR="009C1291" w:rsidRPr="006F6ADA" w:rsidRDefault="009C1291" w:rsidP="00FA3A5F">
            <w:pPr>
              <w:ind w:left="0" w:right="-5"/>
              <w:rPr>
                <w:sz w:val="19"/>
                <w:szCs w:val="19"/>
              </w:rPr>
            </w:pPr>
            <w:r w:rsidRPr="006F6ADA">
              <w:rPr>
                <w:sz w:val="19"/>
                <w:szCs w:val="19"/>
              </w:rPr>
              <w:t>PML</w:t>
            </w:r>
          </w:p>
        </w:tc>
        <w:tc>
          <w:tcPr>
            <w:tcW w:w="850" w:type="dxa"/>
          </w:tcPr>
          <w:p w14:paraId="3727727A"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7F5F961F" w14:textId="77777777" w:rsidR="009C1291" w:rsidRPr="006F6ADA" w:rsidRDefault="009C1291" w:rsidP="00FA3A5F">
            <w:pPr>
              <w:jc w:val="center"/>
              <w:rPr>
                <w:sz w:val="19"/>
                <w:szCs w:val="19"/>
              </w:rPr>
            </w:pPr>
            <w:r w:rsidRPr="006F6ADA">
              <w:rPr>
                <w:sz w:val="19"/>
                <w:szCs w:val="19"/>
              </w:rPr>
              <w:t>–</w:t>
            </w:r>
          </w:p>
        </w:tc>
        <w:tc>
          <w:tcPr>
            <w:tcW w:w="850" w:type="dxa"/>
          </w:tcPr>
          <w:p w14:paraId="110F215F" w14:textId="77777777" w:rsidR="009C1291" w:rsidRPr="006F6ADA" w:rsidRDefault="009C1291" w:rsidP="00FA3A5F">
            <w:pPr>
              <w:jc w:val="center"/>
              <w:rPr>
                <w:sz w:val="19"/>
                <w:szCs w:val="19"/>
              </w:rPr>
            </w:pPr>
            <w:r w:rsidRPr="006F6ADA">
              <w:rPr>
                <w:sz w:val="19"/>
                <w:szCs w:val="19"/>
              </w:rPr>
              <w:t>–</w:t>
            </w:r>
          </w:p>
        </w:tc>
        <w:tc>
          <w:tcPr>
            <w:tcW w:w="972" w:type="dxa"/>
          </w:tcPr>
          <w:p w14:paraId="0C7FE19A" w14:textId="77777777" w:rsidR="009C1291" w:rsidRPr="006F6ADA" w:rsidRDefault="009C1291" w:rsidP="00FA3A5F">
            <w:pPr>
              <w:jc w:val="center"/>
              <w:rPr>
                <w:sz w:val="19"/>
                <w:szCs w:val="19"/>
              </w:rPr>
            </w:pPr>
            <w:r w:rsidRPr="006F6ADA">
              <w:rPr>
                <w:sz w:val="19"/>
                <w:szCs w:val="19"/>
              </w:rPr>
              <w:t>–</w:t>
            </w:r>
          </w:p>
        </w:tc>
      </w:tr>
      <w:tr w:rsidR="009C1291" w:rsidRPr="006F6ADA" w14:paraId="4A40D644" w14:textId="77777777" w:rsidTr="00FA3A5F">
        <w:trPr>
          <w:trHeight w:val="119"/>
        </w:trPr>
        <w:tc>
          <w:tcPr>
            <w:tcW w:w="1384" w:type="dxa"/>
            <w:vMerge/>
          </w:tcPr>
          <w:p w14:paraId="60308923" w14:textId="77777777" w:rsidR="009C1291" w:rsidRPr="006F6ADA" w:rsidRDefault="009C1291" w:rsidP="00FA3A5F">
            <w:pPr>
              <w:ind w:left="0" w:right="-5"/>
              <w:rPr>
                <w:sz w:val="19"/>
                <w:szCs w:val="19"/>
              </w:rPr>
            </w:pPr>
          </w:p>
        </w:tc>
        <w:tc>
          <w:tcPr>
            <w:tcW w:w="3544" w:type="dxa"/>
          </w:tcPr>
          <w:p w14:paraId="4109E5B9" w14:textId="77777777" w:rsidR="009C1291" w:rsidRPr="006F6ADA" w:rsidRDefault="009C1291" w:rsidP="00FA3A5F">
            <w:pPr>
              <w:ind w:left="0" w:right="-5"/>
              <w:rPr>
                <w:sz w:val="19"/>
                <w:szCs w:val="19"/>
              </w:rPr>
            </w:pPr>
            <w:r w:rsidRPr="006F6ADA">
              <w:rPr>
                <w:sz w:val="19"/>
                <w:szCs w:val="19"/>
              </w:rPr>
              <w:t>RPLS</w:t>
            </w:r>
          </w:p>
        </w:tc>
        <w:tc>
          <w:tcPr>
            <w:tcW w:w="850" w:type="dxa"/>
          </w:tcPr>
          <w:p w14:paraId="33BEB42A"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36126D73" w14:textId="77777777" w:rsidR="009C1291" w:rsidRPr="006F6ADA" w:rsidRDefault="009C1291" w:rsidP="00FA3A5F">
            <w:pPr>
              <w:jc w:val="center"/>
              <w:rPr>
                <w:sz w:val="19"/>
                <w:szCs w:val="19"/>
              </w:rPr>
            </w:pPr>
            <w:r w:rsidRPr="006F6ADA">
              <w:rPr>
                <w:sz w:val="19"/>
                <w:szCs w:val="19"/>
              </w:rPr>
              <w:t>–</w:t>
            </w:r>
          </w:p>
        </w:tc>
        <w:tc>
          <w:tcPr>
            <w:tcW w:w="850" w:type="dxa"/>
          </w:tcPr>
          <w:p w14:paraId="7BFDA579" w14:textId="77777777" w:rsidR="009C1291" w:rsidRPr="006F6ADA" w:rsidRDefault="009C1291" w:rsidP="00FA3A5F">
            <w:pPr>
              <w:jc w:val="center"/>
              <w:rPr>
                <w:sz w:val="19"/>
                <w:szCs w:val="19"/>
              </w:rPr>
            </w:pPr>
            <w:r w:rsidRPr="006F6ADA">
              <w:rPr>
                <w:sz w:val="19"/>
                <w:szCs w:val="19"/>
              </w:rPr>
              <w:t>–</w:t>
            </w:r>
          </w:p>
        </w:tc>
        <w:tc>
          <w:tcPr>
            <w:tcW w:w="972" w:type="dxa"/>
          </w:tcPr>
          <w:p w14:paraId="4CC204D9" w14:textId="77777777" w:rsidR="009C1291" w:rsidRPr="006F6ADA" w:rsidRDefault="009C1291" w:rsidP="00FA3A5F">
            <w:pPr>
              <w:jc w:val="center"/>
              <w:rPr>
                <w:sz w:val="19"/>
                <w:szCs w:val="19"/>
              </w:rPr>
            </w:pPr>
            <w:r w:rsidRPr="006F6ADA">
              <w:rPr>
                <w:sz w:val="19"/>
                <w:szCs w:val="19"/>
              </w:rPr>
              <w:t>–</w:t>
            </w:r>
          </w:p>
        </w:tc>
      </w:tr>
      <w:tr w:rsidR="009C1291" w:rsidRPr="006F6ADA" w14:paraId="6734F5D2" w14:textId="77777777" w:rsidTr="00FA3A5F">
        <w:trPr>
          <w:trHeight w:val="119"/>
        </w:trPr>
        <w:tc>
          <w:tcPr>
            <w:tcW w:w="1384" w:type="dxa"/>
            <w:vMerge/>
          </w:tcPr>
          <w:p w14:paraId="3468DBF3" w14:textId="77777777" w:rsidR="009C1291" w:rsidRPr="006F6ADA" w:rsidRDefault="009C1291" w:rsidP="00FA3A5F">
            <w:pPr>
              <w:ind w:left="0" w:right="-5"/>
              <w:rPr>
                <w:sz w:val="19"/>
                <w:szCs w:val="19"/>
              </w:rPr>
            </w:pPr>
          </w:p>
        </w:tc>
        <w:tc>
          <w:tcPr>
            <w:tcW w:w="3544" w:type="dxa"/>
          </w:tcPr>
          <w:p w14:paraId="35CACCAC" w14:textId="77777777" w:rsidR="009C1291" w:rsidRPr="006F6ADA" w:rsidRDefault="009C1291" w:rsidP="00FA3A5F">
            <w:pPr>
              <w:ind w:left="0" w:right="-5"/>
              <w:rPr>
                <w:sz w:val="19"/>
                <w:szCs w:val="19"/>
              </w:rPr>
            </w:pPr>
            <w:r w:rsidRPr="006F6ADA">
              <w:rPr>
                <w:sz w:val="19"/>
                <w:szCs w:val="19"/>
              </w:rPr>
              <w:t>ALS</w:t>
            </w:r>
          </w:p>
        </w:tc>
        <w:tc>
          <w:tcPr>
            <w:tcW w:w="850" w:type="dxa"/>
          </w:tcPr>
          <w:p w14:paraId="401AC2B1"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5DABE2D4" w14:textId="77777777" w:rsidR="009C1291" w:rsidRPr="006F6ADA" w:rsidRDefault="009C1291" w:rsidP="00FA3A5F">
            <w:pPr>
              <w:jc w:val="center"/>
              <w:rPr>
                <w:sz w:val="19"/>
                <w:szCs w:val="19"/>
              </w:rPr>
            </w:pPr>
            <w:r w:rsidRPr="006F6ADA">
              <w:rPr>
                <w:sz w:val="19"/>
                <w:szCs w:val="19"/>
              </w:rPr>
              <w:t>–</w:t>
            </w:r>
          </w:p>
        </w:tc>
        <w:tc>
          <w:tcPr>
            <w:tcW w:w="850" w:type="dxa"/>
          </w:tcPr>
          <w:p w14:paraId="2629D9C0" w14:textId="77777777" w:rsidR="009C1291" w:rsidRPr="006F6ADA" w:rsidRDefault="009C1291" w:rsidP="00FA3A5F">
            <w:pPr>
              <w:jc w:val="center"/>
              <w:rPr>
                <w:sz w:val="19"/>
                <w:szCs w:val="19"/>
              </w:rPr>
            </w:pPr>
            <w:r w:rsidRPr="006F6ADA">
              <w:rPr>
                <w:sz w:val="19"/>
                <w:szCs w:val="19"/>
              </w:rPr>
              <w:t>–</w:t>
            </w:r>
          </w:p>
        </w:tc>
        <w:tc>
          <w:tcPr>
            <w:tcW w:w="972" w:type="dxa"/>
          </w:tcPr>
          <w:p w14:paraId="2E936275" w14:textId="77777777" w:rsidR="009C1291" w:rsidRPr="006F6ADA" w:rsidRDefault="009C1291" w:rsidP="00FA3A5F">
            <w:pPr>
              <w:jc w:val="center"/>
              <w:rPr>
                <w:sz w:val="19"/>
                <w:szCs w:val="19"/>
              </w:rPr>
            </w:pPr>
            <w:r w:rsidRPr="006F6ADA">
              <w:rPr>
                <w:sz w:val="19"/>
                <w:szCs w:val="19"/>
              </w:rPr>
              <w:t>–</w:t>
            </w:r>
          </w:p>
        </w:tc>
      </w:tr>
      <w:tr w:rsidR="009C1291" w:rsidRPr="006F6ADA" w14:paraId="622B3C66" w14:textId="77777777" w:rsidTr="00FA3A5F">
        <w:trPr>
          <w:trHeight w:val="119"/>
        </w:trPr>
        <w:tc>
          <w:tcPr>
            <w:tcW w:w="1384" w:type="dxa"/>
            <w:vMerge/>
          </w:tcPr>
          <w:p w14:paraId="75C778E4" w14:textId="77777777" w:rsidR="009C1291" w:rsidRPr="006F6ADA" w:rsidRDefault="009C1291" w:rsidP="00FA3A5F">
            <w:pPr>
              <w:ind w:left="0" w:right="-5"/>
              <w:rPr>
                <w:sz w:val="19"/>
                <w:szCs w:val="19"/>
              </w:rPr>
            </w:pPr>
          </w:p>
        </w:tc>
        <w:tc>
          <w:tcPr>
            <w:tcW w:w="3544" w:type="dxa"/>
          </w:tcPr>
          <w:p w14:paraId="0075A97C" w14:textId="77777777" w:rsidR="009C1291" w:rsidRPr="006F6ADA" w:rsidRDefault="009C1291" w:rsidP="00FA3A5F">
            <w:pPr>
              <w:ind w:left="0" w:right="-5"/>
              <w:rPr>
                <w:sz w:val="19"/>
                <w:szCs w:val="19"/>
              </w:rPr>
            </w:pPr>
            <w:r w:rsidRPr="006F6ADA">
              <w:rPr>
                <w:sz w:val="19"/>
                <w:szCs w:val="19"/>
              </w:rPr>
              <w:t>Infections in infants exposed to adalimumab in</w:t>
            </w:r>
            <w:r w:rsidRPr="006F6ADA">
              <w:rPr>
                <w:spacing w:val="27"/>
                <w:sz w:val="19"/>
                <w:szCs w:val="19"/>
              </w:rPr>
              <w:t xml:space="preserve"> </w:t>
            </w:r>
            <w:r w:rsidRPr="006F6ADA">
              <w:rPr>
                <w:sz w:val="19"/>
                <w:szCs w:val="19"/>
              </w:rPr>
              <w:t>utero</w:t>
            </w:r>
          </w:p>
        </w:tc>
        <w:tc>
          <w:tcPr>
            <w:tcW w:w="850" w:type="dxa"/>
          </w:tcPr>
          <w:p w14:paraId="3CF3A7D4"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6A7A492E" w14:textId="77777777" w:rsidR="009C1291" w:rsidRPr="006F6ADA" w:rsidRDefault="009C1291" w:rsidP="00FA3A5F">
            <w:pPr>
              <w:jc w:val="center"/>
              <w:rPr>
                <w:sz w:val="19"/>
                <w:szCs w:val="19"/>
              </w:rPr>
            </w:pPr>
            <w:r w:rsidRPr="006F6ADA">
              <w:rPr>
                <w:sz w:val="19"/>
                <w:szCs w:val="19"/>
              </w:rPr>
              <w:t>–</w:t>
            </w:r>
          </w:p>
        </w:tc>
        <w:tc>
          <w:tcPr>
            <w:tcW w:w="850" w:type="dxa"/>
          </w:tcPr>
          <w:p w14:paraId="705654DB"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3B024C05" w14:textId="77777777" w:rsidR="009C1291" w:rsidRPr="006F6ADA" w:rsidRDefault="009C1291" w:rsidP="00FA3A5F">
            <w:pPr>
              <w:jc w:val="center"/>
              <w:rPr>
                <w:sz w:val="19"/>
                <w:szCs w:val="19"/>
              </w:rPr>
            </w:pPr>
            <w:r w:rsidRPr="006F6ADA">
              <w:rPr>
                <w:sz w:val="19"/>
                <w:szCs w:val="19"/>
              </w:rPr>
              <w:t>–</w:t>
            </w:r>
          </w:p>
        </w:tc>
      </w:tr>
      <w:tr w:rsidR="009C1291" w:rsidRPr="006F6ADA" w14:paraId="5C8D3744" w14:textId="77777777" w:rsidTr="00FA3A5F">
        <w:trPr>
          <w:trHeight w:val="119"/>
        </w:trPr>
        <w:tc>
          <w:tcPr>
            <w:tcW w:w="1384" w:type="dxa"/>
            <w:vMerge/>
          </w:tcPr>
          <w:p w14:paraId="2FB8F411" w14:textId="77777777" w:rsidR="009C1291" w:rsidRPr="006F6ADA" w:rsidRDefault="009C1291" w:rsidP="00FA3A5F">
            <w:pPr>
              <w:ind w:left="0" w:right="-5"/>
              <w:rPr>
                <w:sz w:val="19"/>
                <w:szCs w:val="19"/>
              </w:rPr>
            </w:pPr>
          </w:p>
        </w:tc>
        <w:tc>
          <w:tcPr>
            <w:tcW w:w="3544" w:type="dxa"/>
          </w:tcPr>
          <w:p w14:paraId="6577EFF0" w14:textId="77777777" w:rsidR="009C1291" w:rsidRPr="006F6ADA" w:rsidRDefault="009C1291" w:rsidP="00FA3A5F">
            <w:pPr>
              <w:ind w:left="0" w:right="-5"/>
              <w:rPr>
                <w:sz w:val="19"/>
                <w:szCs w:val="19"/>
                <w:lang w:val="en-US"/>
              </w:rPr>
            </w:pPr>
            <w:r w:rsidRPr="006F6ADA">
              <w:rPr>
                <w:sz w:val="19"/>
                <w:szCs w:val="19"/>
              </w:rPr>
              <w:t>Off-label use</w:t>
            </w:r>
          </w:p>
        </w:tc>
        <w:tc>
          <w:tcPr>
            <w:tcW w:w="850" w:type="dxa"/>
          </w:tcPr>
          <w:p w14:paraId="453CBA21"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45BD6C10" w14:textId="77777777" w:rsidR="009C1291" w:rsidRPr="006F6ADA" w:rsidRDefault="009C1291" w:rsidP="00FA3A5F">
            <w:pPr>
              <w:jc w:val="center"/>
              <w:rPr>
                <w:sz w:val="19"/>
                <w:szCs w:val="19"/>
              </w:rPr>
            </w:pPr>
            <w:r w:rsidRPr="006F6ADA">
              <w:rPr>
                <w:sz w:val="19"/>
                <w:szCs w:val="19"/>
              </w:rPr>
              <w:t>–</w:t>
            </w:r>
          </w:p>
        </w:tc>
        <w:tc>
          <w:tcPr>
            <w:tcW w:w="850" w:type="dxa"/>
          </w:tcPr>
          <w:p w14:paraId="0EE7871E" w14:textId="77777777" w:rsidR="009C1291" w:rsidRPr="006F6ADA" w:rsidRDefault="009C1291" w:rsidP="00FA3A5F">
            <w:pPr>
              <w:jc w:val="center"/>
              <w:rPr>
                <w:sz w:val="19"/>
                <w:szCs w:val="19"/>
              </w:rPr>
            </w:pPr>
            <w:r w:rsidRPr="006F6ADA">
              <w:rPr>
                <w:sz w:val="19"/>
                <w:szCs w:val="19"/>
              </w:rPr>
              <w:t>–</w:t>
            </w:r>
          </w:p>
        </w:tc>
        <w:tc>
          <w:tcPr>
            <w:tcW w:w="972" w:type="dxa"/>
          </w:tcPr>
          <w:p w14:paraId="6337538D" w14:textId="77777777" w:rsidR="009C1291" w:rsidRPr="006F6ADA" w:rsidRDefault="009C1291" w:rsidP="00FA3A5F">
            <w:pPr>
              <w:jc w:val="center"/>
              <w:rPr>
                <w:sz w:val="19"/>
                <w:szCs w:val="19"/>
              </w:rPr>
            </w:pPr>
            <w:r w:rsidRPr="006F6ADA">
              <w:rPr>
                <w:sz w:val="19"/>
                <w:szCs w:val="19"/>
              </w:rPr>
              <w:t>–</w:t>
            </w:r>
          </w:p>
        </w:tc>
      </w:tr>
      <w:tr w:rsidR="009C1291" w:rsidRPr="006F6ADA" w14:paraId="115B11F6" w14:textId="77777777" w:rsidTr="00FA3A5F">
        <w:trPr>
          <w:trHeight w:val="1913"/>
        </w:trPr>
        <w:tc>
          <w:tcPr>
            <w:tcW w:w="1384" w:type="dxa"/>
            <w:vMerge w:val="restart"/>
          </w:tcPr>
          <w:p w14:paraId="308E0CE3" w14:textId="77777777" w:rsidR="009C1291" w:rsidRPr="00FA3A5F" w:rsidRDefault="009C1291" w:rsidP="00FA3A5F">
            <w:pPr>
              <w:ind w:left="0" w:right="-5"/>
              <w:rPr>
                <w:b/>
                <w:sz w:val="19"/>
                <w:szCs w:val="19"/>
              </w:rPr>
            </w:pPr>
            <w:r w:rsidRPr="00FA3A5F">
              <w:rPr>
                <w:b/>
                <w:sz w:val="19"/>
                <w:szCs w:val="19"/>
              </w:rPr>
              <w:t>Missing information</w:t>
            </w:r>
          </w:p>
        </w:tc>
        <w:tc>
          <w:tcPr>
            <w:tcW w:w="3544" w:type="dxa"/>
          </w:tcPr>
          <w:p w14:paraId="54912A7E" w14:textId="77777777" w:rsidR="009C1291" w:rsidRPr="006F6ADA" w:rsidRDefault="009C1291" w:rsidP="00FA3A5F">
            <w:pPr>
              <w:ind w:left="0" w:right="-5"/>
              <w:rPr>
                <w:sz w:val="19"/>
                <w:szCs w:val="19"/>
              </w:rPr>
            </w:pPr>
            <w:r w:rsidRPr="006F6ADA">
              <w:rPr>
                <w:sz w:val="19"/>
                <w:szCs w:val="19"/>
              </w:rPr>
              <w:t>Subjects with immune-compromised conditions either due to underlying conditions (</w:t>
            </w:r>
            <w:r w:rsidR="00C05C12" w:rsidRPr="006F6ADA">
              <w:rPr>
                <w:sz w:val="19"/>
                <w:szCs w:val="19"/>
              </w:rPr>
              <w:t>that is</w:t>
            </w:r>
            <w:r w:rsidRPr="006F6ADA">
              <w:rPr>
                <w:sz w:val="19"/>
                <w:szCs w:val="19"/>
              </w:rPr>
              <w:t>, diabetes, renal or liver failure,</w:t>
            </w:r>
            <w:r w:rsidR="0069652B" w:rsidRPr="006F6ADA">
              <w:rPr>
                <w:sz w:val="19"/>
                <w:szCs w:val="19"/>
              </w:rPr>
              <w:t xml:space="preserve"> </w:t>
            </w:r>
            <w:r w:rsidRPr="006F6ADA">
              <w:rPr>
                <w:sz w:val="19"/>
                <w:szCs w:val="19"/>
              </w:rPr>
              <w:t xml:space="preserve">HIV infection, alcohol or illicit drug abuse) or due to medications (post cancer chemotherapy, anti-rejection drugs for organ transplant) may have increased known risks </w:t>
            </w:r>
            <w:r w:rsidRPr="006F6ADA">
              <w:rPr>
                <w:spacing w:val="3"/>
                <w:sz w:val="19"/>
                <w:szCs w:val="19"/>
              </w:rPr>
              <w:t xml:space="preserve">of </w:t>
            </w:r>
            <w:r w:rsidRPr="006F6ADA">
              <w:rPr>
                <w:sz w:val="19"/>
                <w:szCs w:val="19"/>
              </w:rPr>
              <w:t>infection or other unknown risks related to the condition or to the concomitant</w:t>
            </w:r>
            <w:r w:rsidRPr="006F6ADA">
              <w:rPr>
                <w:spacing w:val="41"/>
                <w:sz w:val="19"/>
                <w:szCs w:val="19"/>
              </w:rPr>
              <w:t xml:space="preserve"> </w:t>
            </w:r>
            <w:r w:rsidRPr="006F6ADA">
              <w:rPr>
                <w:sz w:val="19"/>
                <w:szCs w:val="19"/>
              </w:rPr>
              <w:t>medications</w:t>
            </w:r>
          </w:p>
        </w:tc>
        <w:tc>
          <w:tcPr>
            <w:tcW w:w="850" w:type="dxa"/>
          </w:tcPr>
          <w:p w14:paraId="60180F4B"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160FA330" w14:textId="77777777" w:rsidR="009C1291" w:rsidRPr="006F6ADA" w:rsidRDefault="009C1291" w:rsidP="00FA3A5F">
            <w:pPr>
              <w:jc w:val="center"/>
              <w:rPr>
                <w:sz w:val="19"/>
                <w:szCs w:val="19"/>
              </w:rPr>
            </w:pPr>
            <w:r w:rsidRPr="006F6ADA">
              <w:rPr>
                <w:sz w:val="19"/>
                <w:szCs w:val="19"/>
              </w:rPr>
              <w:t>–</w:t>
            </w:r>
          </w:p>
        </w:tc>
        <w:tc>
          <w:tcPr>
            <w:tcW w:w="850" w:type="dxa"/>
          </w:tcPr>
          <w:p w14:paraId="70F43456"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6388C784" w14:textId="77777777" w:rsidR="009C1291" w:rsidRPr="006F6ADA" w:rsidRDefault="009C1291" w:rsidP="00FA3A5F">
            <w:pPr>
              <w:jc w:val="center"/>
              <w:rPr>
                <w:sz w:val="19"/>
                <w:szCs w:val="19"/>
              </w:rPr>
            </w:pPr>
            <w:r w:rsidRPr="006F6ADA">
              <w:rPr>
                <w:sz w:val="19"/>
                <w:szCs w:val="19"/>
              </w:rPr>
              <w:t>–</w:t>
            </w:r>
          </w:p>
        </w:tc>
      </w:tr>
      <w:tr w:rsidR="009C1291" w:rsidRPr="006F6ADA" w14:paraId="32F8204A" w14:textId="77777777" w:rsidTr="00FA3A5F">
        <w:trPr>
          <w:trHeight w:val="100"/>
        </w:trPr>
        <w:tc>
          <w:tcPr>
            <w:tcW w:w="1384" w:type="dxa"/>
            <w:vMerge/>
          </w:tcPr>
          <w:p w14:paraId="6DCCB945" w14:textId="77777777" w:rsidR="009C1291" w:rsidRPr="006F6ADA" w:rsidRDefault="009C1291" w:rsidP="00FA3A5F">
            <w:pPr>
              <w:ind w:left="0" w:right="-5"/>
              <w:rPr>
                <w:sz w:val="19"/>
                <w:szCs w:val="19"/>
              </w:rPr>
            </w:pPr>
          </w:p>
        </w:tc>
        <w:tc>
          <w:tcPr>
            <w:tcW w:w="3544" w:type="dxa"/>
          </w:tcPr>
          <w:p w14:paraId="61EC8107" w14:textId="77777777" w:rsidR="009C1291" w:rsidRPr="006F6ADA" w:rsidRDefault="009C1291" w:rsidP="00FA3A5F">
            <w:pPr>
              <w:ind w:left="0" w:right="-5"/>
              <w:rPr>
                <w:sz w:val="19"/>
                <w:szCs w:val="19"/>
              </w:rPr>
            </w:pPr>
            <w:r w:rsidRPr="006F6ADA">
              <w:rPr>
                <w:sz w:val="19"/>
                <w:szCs w:val="19"/>
              </w:rPr>
              <w:t>Pregnant and lactating</w:t>
            </w:r>
            <w:r w:rsidRPr="006F6ADA">
              <w:rPr>
                <w:spacing w:val="43"/>
                <w:sz w:val="19"/>
                <w:szCs w:val="19"/>
              </w:rPr>
              <w:t xml:space="preserve"> </w:t>
            </w:r>
            <w:r w:rsidRPr="006F6ADA">
              <w:rPr>
                <w:sz w:val="19"/>
                <w:szCs w:val="19"/>
              </w:rPr>
              <w:t>women</w:t>
            </w:r>
          </w:p>
        </w:tc>
        <w:tc>
          <w:tcPr>
            <w:tcW w:w="850" w:type="dxa"/>
          </w:tcPr>
          <w:p w14:paraId="491ED836" w14:textId="77777777" w:rsidR="009C1291" w:rsidRPr="006F6ADA" w:rsidRDefault="009C1291" w:rsidP="00FA3A5F">
            <w:pPr>
              <w:jc w:val="center"/>
              <w:rPr>
                <w:sz w:val="19"/>
                <w:szCs w:val="19"/>
              </w:rPr>
            </w:pPr>
            <w:r w:rsidRPr="006F6ADA">
              <w:rPr>
                <w:sz w:val="19"/>
                <w:szCs w:val="19"/>
              </w:rPr>
              <w:sym w:font="Wingdings" w:char="F0FC"/>
            </w:r>
          </w:p>
        </w:tc>
        <w:tc>
          <w:tcPr>
            <w:tcW w:w="993" w:type="dxa"/>
          </w:tcPr>
          <w:p w14:paraId="3F597452" w14:textId="77777777" w:rsidR="009C1291" w:rsidRPr="006F6ADA" w:rsidRDefault="009C1291" w:rsidP="00FA3A5F">
            <w:pPr>
              <w:jc w:val="center"/>
              <w:rPr>
                <w:sz w:val="19"/>
                <w:szCs w:val="19"/>
                <w:vertAlign w:val="superscript"/>
              </w:rPr>
            </w:pPr>
            <w:r w:rsidRPr="006F6ADA">
              <w:rPr>
                <w:sz w:val="19"/>
                <w:szCs w:val="19"/>
              </w:rPr>
              <w:sym w:font="Wingdings" w:char="F0FC"/>
            </w:r>
            <w:r w:rsidRPr="006F6ADA">
              <w:rPr>
                <w:sz w:val="19"/>
                <w:szCs w:val="19"/>
                <w:vertAlign w:val="superscript"/>
              </w:rPr>
              <w:t>1, 2</w:t>
            </w:r>
          </w:p>
        </w:tc>
        <w:tc>
          <w:tcPr>
            <w:tcW w:w="850" w:type="dxa"/>
          </w:tcPr>
          <w:p w14:paraId="65D04C6C" w14:textId="77777777" w:rsidR="009C1291" w:rsidRPr="006F6ADA" w:rsidRDefault="009C1291" w:rsidP="00FA3A5F">
            <w:pPr>
              <w:jc w:val="center"/>
              <w:rPr>
                <w:sz w:val="19"/>
                <w:szCs w:val="19"/>
              </w:rPr>
            </w:pPr>
            <w:r w:rsidRPr="006F6ADA">
              <w:rPr>
                <w:sz w:val="19"/>
                <w:szCs w:val="19"/>
              </w:rPr>
              <w:sym w:font="Wingdings" w:char="F0FC"/>
            </w:r>
          </w:p>
        </w:tc>
        <w:tc>
          <w:tcPr>
            <w:tcW w:w="972" w:type="dxa"/>
          </w:tcPr>
          <w:p w14:paraId="0310B4E3" w14:textId="77777777" w:rsidR="009C1291" w:rsidRPr="006F6ADA" w:rsidRDefault="009C1291" w:rsidP="00FA3A5F">
            <w:pPr>
              <w:jc w:val="center"/>
              <w:rPr>
                <w:sz w:val="19"/>
                <w:szCs w:val="19"/>
              </w:rPr>
            </w:pPr>
            <w:r w:rsidRPr="006F6ADA">
              <w:rPr>
                <w:sz w:val="19"/>
                <w:szCs w:val="19"/>
              </w:rPr>
              <w:t>–</w:t>
            </w:r>
          </w:p>
        </w:tc>
      </w:tr>
    </w:tbl>
    <w:p w14:paraId="73FB76B9" w14:textId="6C57C35F" w:rsidR="009C1291" w:rsidRPr="00A05057" w:rsidRDefault="009C1291" w:rsidP="009C1291">
      <w:pPr>
        <w:pStyle w:val="TableDescription"/>
      </w:pPr>
      <w:r w:rsidRPr="001B7E12">
        <w:t>1</w:t>
      </w:r>
      <w:r w:rsidR="005D5CAB">
        <w:t xml:space="preserve">) </w:t>
      </w:r>
      <w:r w:rsidRPr="001447F4">
        <w:t>Prospective cohort study</w:t>
      </w:r>
      <w:r w:rsidR="005D5CAB">
        <w:t>;</w:t>
      </w:r>
      <w:r>
        <w:t xml:space="preserve"> </w:t>
      </w:r>
      <w:r w:rsidRPr="001B7E12">
        <w:t>2</w:t>
      </w:r>
      <w:r w:rsidR="005D5CAB">
        <w:t xml:space="preserve">) </w:t>
      </w:r>
      <w:r w:rsidRPr="001447F4">
        <w:t>Rheumatic disease registry</w:t>
      </w:r>
      <w:r w:rsidR="005D5CAB">
        <w:t>;</w:t>
      </w:r>
      <w:r w:rsidRPr="001447F4">
        <w:t xml:space="preserve"> </w:t>
      </w:r>
      <w:r w:rsidRPr="001B7E12">
        <w:t>3</w:t>
      </w:r>
      <w:r w:rsidR="005D5CAB">
        <w:t xml:space="preserve">) </w:t>
      </w:r>
      <w:r w:rsidRPr="001447F4">
        <w:t>Patient alert card</w:t>
      </w:r>
      <w:r w:rsidR="005D5CAB">
        <w:t>;</w:t>
      </w:r>
      <w:r>
        <w:t xml:space="preserve"> </w:t>
      </w:r>
      <w:r w:rsidRPr="001B7E12">
        <w:t>4</w:t>
      </w:r>
      <w:r w:rsidR="005D5CAB">
        <w:t>)</w:t>
      </w:r>
      <w:r w:rsidR="005D5CAB" w:rsidRPr="001B7E12">
        <w:t xml:space="preserve"> </w:t>
      </w:r>
      <w:r>
        <w:t>E</w:t>
      </w:r>
      <w:r w:rsidRPr="001447F4">
        <w:t>ducational program</w:t>
      </w:r>
      <w:r>
        <w:t xml:space="preserve"> for healthcare professionals and patients</w:t>
      </w:r>
      <w:r w:rsidR="005D5CAB">
        <w:t>; 5)</w:t>
      </w:r>
      <w:r>
        <w:t xml:space="preserve"> EU specific safety concern</w:t>
      </w:r>
    </w:p>
    <w:p w14:paraId="11067EC3" w14:textId="77777777" w:rsidR="009C1291" w:rsidRPr="009C1291" w:rsidRDefault="009C1291" w:rsidP="00FA3A5F">
      <w:pPr>
        <w:pStyle w:val="ListBullet"/>
      </w:pPr>
      <w:r w:rsidRPr="00FA3A5F">
        <w:t>Routine</w:t>
      </w:r>
      <w:r w:rsidRPr="009C1291">
        <w:t xml:space="preserve"> and additional pharmacovigilance activities have been proposed. Routine pharmacovigilance includes a pregnancy follow-up form.</w:t>
      </w:r>
    </w:p>
    <w:p w14:paraId="4139B384" w14:textId="77777777" w:rsidR="009C1291" w:rsidRPr="009C1291" w:rsidRDefault="009C1291" w:rsidP="009C1291">
      <w:pPr>
        <w:pStyle w:val="ListBullet"/>
      </w:pPr>
      <w:r w:rsidRPr="009C1291">
        <w:t>Routine and additional risk minimisation activities have been proposed. The safety monograph for healthcare professionals and patient brochure are materials for general user support rather than required additional risk minimisation activities that target s</w:t>
      </w:r>
      <w:r>
        <w:t>pecific safety concerns.</w:t>
      </w:r>
    </w:p>
    <w:p w14:paraId="5DA89D07" w14:textId="77777777" w:rsidR="009C1291" w:rsidRPr="009C1291" w:rsidRDefault="004D15A2" w:rsidP="00FA3A5F">
      <w:pPr>
        <w:pStyle w:val="Heading4"/>
      </w:pPr>
      <w:bookmarkStart w:id="225" w:name="_Toc493060822"/>
      <w:r>
        <w:t xml:space="preserve">New </w:t>
      </w:r>
      <w:r w:rsidRPr="00FA3A5F">
        <w:t>and</w:t>
      </w:r>
      <w:r>
        <w:t xml:space="preserve"> </w:t>
      </w:r>
      <w:r w:rsidRPr="00FA3A5F">
        <w:t>outstanding</w:t>
      </w:r>
      <w:r>
        <w:t xml:space="preserve"> recommendations from </w:t>
      </w:r>
      <w:r w:rsidR="00C05C12">
        <w:t>c</w:t>
      </w:r>
      <w:r w:rsidR="009C1291" w:rsidRPr="009C1291">
        <w:t xml:space="preserve">onclusions </w:t>
      </w:r>
      <w:r>
        <w:t>from</w:t>
      </w:r>
      <w:r w:rsidR="009C1291" w:rsidRPr="009C1291">
        <w:t xml:space="preserve"> </w:t>
      </w:r>
      <w:r w:rsidR="00C05C12">
        <w:t>third r</w:t>
      </w:r>
      <w:r w:rsidR="009C1291" w:rsidRPr="009C1291">
        <w:t>ound</w:t>
      </w:r>
      <w:bookmarkEnd w:id="225"/>
    </w:p>
    <w:p w14:paraId="289CF9B9" w14:textId="77777777" w:rsidR="009C1291" w:rsidRPr="009C1291" w:rsidRDefault="009C1291" w:rsidP="00FA3A5F">
      <w:r w:rsidRPr="009C1291">
        <w:t xml:space="preserve">The </w:t>
      </w:r>
      <w:r w:rsidR="00C05C12">
        <w:t>RMP</w:t>
      </w:r>
      <w:r w:rsidRPr="009C1291">
        <w:t xml:space="preserve"> is acceptable. The recommendations made in the </w:t>
      </w:r>
      <w:r w:rsidR="00C05C12">
        <w:t xml:space="preserve">second round </w:t>
      </w:r>
      <w:r w:rsidRPr="009C1291">
        <w:t xml:space="preserve">evaluation, along with consideration of the </w:t>
      </w:r>
      <w:r w:rsidR="00683EFD">
        <w:t>sponsor</w:t>
      </w:r>
      <w:r w:rsidRPr="009C1291">
        <w:t xml:space="preserve"> response</w:t>
      </w:r>
      <w:r w:rsidR="004D15A2">
        <w:t xml:space="preserve"> were provided.</w:t>
      </w:r>
    </w:p>
    <w:p w14:paraId="2925026E" w14:textId="77777777" w:rsidR="009C1291" w:rsidRPr="009C1291" w:rsidRDefault="009C1291" w:rsidP="00FA3A5F">
      <w:pPr>
        <w:pStyle w:val="Heading5"/>
      </w:pPr>
      <w:r w:rsidRPr="00FA3A5F">
        <w:t>There</w:t>
      </w:r>
      <w:r w:rsidRPr="009C1291">
        <w:t xml:space="preserve"> is one critical </w:t>
      </w:r>
      <w:r w:rsidRPr="00FA3A5F">
        <w:t>outstanding</w:t>
      </w:r>
      <w:r w:rsidRPr="009C1291">
        <w:t xml:space="preserve"> recommendation:</w:t>
      </w:r>
    </w:p>
    <w:p w14:paraId="0BDAEFBC" w14:textId="77777777" w:rsidR="00EB0AAA" w:rsidRDefault="009C1291" w:rsidP="00FA3A5F">
      <w:r w:rsidRPr="009C1291">
        <w:t xml:space="preserve">The Patient Alert Card should be </w:t>
      </w:r>
      <w:r w:rsidR="00C05C12">
        <w:t>revised to address the patient;</w:t>
      </w:r>
      <w:r w:rsidRPr="009C1291">
        <w:t xml:space="preserve"> rather</w:t>
      </w:r>
      <w:r w:rsidR="00C05C12">
        <w:t xml:space="preserve"> than healthcare professionals;</w:t>
      </w:r>
      <w:r w:rsidRPr="009C1291">
        <w:t xml:space="preserve"> and to include additional safety concerns and more information to enable the patient to recognise important signs/symptoms and take appropriate action</w:t>
      </w:r>
      <w:r w:rsidR="00EB0AAA">
        <w:t>.</w:t>
      </w:r>
    </w:p>
    <w:p w14:paraId="692BB47E" w14:textId="0EAFED98" w:rsidR="009C1291" w:rsidRPr="009C1291" w:rsidRDefault="009C1291" w:rsidP="00FA3A5F">
      <w:r w:rsidRPr="009C1291">
        <w:t xml:space="preserve">The sponsor has committed to developing and implementing the ‘safety monograph’ and </w:t>
      </w:r>
      <w:r w:rsidR="0042126B">
        <w:t>‘</w:t>
      </w:r>
      <w:r w:rsidRPr="009C1291">
        <w:t>Tuberculosis (TB) screening and checklist broc</w:t>
      </w:r>
      <w:r w:rsidRPr="00FA3A5F">
        <w:t>h</w:t>
      </w:r>
      <w:r w:rsidRPr="009C1291">
        <w:t xml:space="preserve">ure for adalimumab’ which are additional risk minimisation activities for </w:t>
      </w:r>
      <w:r w:rsidR="0042126B">
        <w:t>Healthcare Professionals (</w:t>
      </w:r>
      <w:r w:rsidRPr="009C1291">
        <w:t>HCP</w:t>
      </w:r>
      <w:r w:rsidR="0042126B">
        <w:t>)</w:t>
      </w:r>
      <w:r w:rsidRPr="009C1291">
        <w:t>. As requested, these activities are listed in ASA v</w:t>
      </w:r>
      <w:r w:rsidR="0042126B">
        <w:t xml:space="preserve">ersion </w:t>
      </w:r>
      <w:r w:rsidRPr="009C1291">
        <w:t>3.0. However, these are for general user support rather than required additional risk minimisation activities for specific safety concerns.</w:t>
      </w:r>
    </w:p>
    <w:p w14:paraId="4CB844A0" w14:textId="77777777" w:rsidR="009C1291" w:rsidRPr="009C1291" w:rsidRDefault="009C1291" w:rsidP="00FA3A5F">
      <w:r w:rsidRPr="009C1291">
        <w:t>The sponsor should focus on developing the patient directed risk minimisation tool, as this is considered important to ensure safe use.</w:t>
      </w:r>
    </w:p>
    <w:p w14:paraId="542D9BD2" w14:textId="77777777" w:rsidR="004D15A2" w:rsidRPr="00BB4B51" w:rsidRDefault="004D15A2" w:rsidP="00FA3A5F">
      <w:pPr>
        <w:pStyle w:val="Heading4"/>
      </w:pPr>
      <w:bookmarkStart w:id="226" w:name="_Toc477354124"/>
      <w:r>
        <w:lastRenderedPageBreak/>
        <w:t xml:space="preserve">Proposed wording for </w:t>
      </w:r>
      <w:r w:rsidRPr="00FA3A5F">
        <w:t>conditions</w:t>
      </w:r>
      <w:r>
        <w:t xml:space="preserve"> of registration</w:t>
      </w:r>
      <w:bookmarkEnd w:id="226"/>
    </w:p>
    <w:p w14:paraId="74BF9E21" w14:textId="77777777" w:rsidR="00EB0AAA" w:rsidRDefault="004D15A2" w:rsidP="00FA3A5F">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rsidR="00EB0AAA">
        <w:t>.</w:t>
      </w:r>
    </w:p>
    <w:p w14:paraId="762245D5" w14:textId="77777777" w:rsidR="00C05C12" w:rsidRDefault="00C05C12" w:rsidP="004D15A2">
      <w:r>
        <w:t xml:space="preserve">The proposed </w:t>
      </w:r>
      <w:proofErr w:type="gramStart"/>
      <w:r>
        <w:t>wording for the conditions of registration are</w:t>
      </w:r>
      <w:proofErr w:type="gramEnd"/>
      <w:r>
        <w:t>:</w:t>
      </w:r>
    </w:p>
    <w:p w14:paraId="1BDDE14F" w14:textId="4076BADE" w:rsidR="00EB0AAA" w:rsidRDefault="004D15A2" w:rsidP="00C05C12">
      <w:pPr>
        <w:ind w:left="720"/>
      </w:pPr>
      <w:r>
        <w:t>Implement EU-RMP version 1.0 (dated 13 June 2016; DLP 1 December 2015) and ASA version 3.0 (dated 17 Oct</w:t>
      </w:r>
      <w:r w:rsidR="00373BB9">
        <w:t>ober</w:t>
      </w:r>
      <w:r>
        <w:t xml:space="preserve"> 2017), which must be updated with revised patient-directed risk minimisation tools (see below), and any future updates as a condition of registration</w:t>
      </w:r>
      <w:r w:rsidR="00EB0AAA">
        <w:t>.</w:t>
      </w:r>
    </w:p>
    <w:p w14:paraId="2A1960F4" w14:textId="77777777" w:rsidR="004D15A2" w:rsidRDefault="004D15A2" w:rsidP="00C05C12">
      <w:pPr>
        <w:ind w:left="720"/>
      </w:pPr>
      <w:r>
        <w:t>The Patient Alert Card or an equivalent patient-directed risk minimisation tool must be implemented to the satisfaction of the TGA.</w:t>
      </w:r>
      <w:r w:rsidR="0069652B">
        <w:t xml:space="preserve"> </w:t>
      </w:r>
      <w:r>
        <w:t>Draft materials must be provided to the T</w:t>
      </w:r>
      <w:r w:rsidR="00C05C12">
        <w:t>GA for review prior to launch.</w:t>
      </w:r>
    </w:p>
    <w:p w14:paraId="2AA92E88" w14:textId="77777777" w:rsidR="004D15A2" w:rsidRDefault="004D15A2" w:rsidP="00FA3A5F">
      <w:pPr>
        <w:pStyle w:val="Heading5"/>
      </w:pPr>
      <w:r>
        <w:t xml:space="preserve">Other advice to the </w:t>
      </w:r>
      <w:r w:rsidR="00397016">
        <w:t>Delegate</w:t>
      </w:r>
    </w:p>
    <w:p w14:paraId="376AF298" w14:textId="77777777" w:rsidR="004D15A2" w:rsidRDefault="004D15A2" w:rsidP="00FA3A5F">
      <w:r>
        <w:t>T</w:t>
      </w:r>
      <w:r w:rsidRPr="00936B66">
        <w:t xml:space="preserve">he sponsor has </w:t>
      </w:r>
      <w:r>
        <w:t xml:space="preserve">amended the draft </w:t>
      </w:r>
      <w:r w:rsidR="00C05C12">
        <w:t>PI</w:t>
      </w:r>
      <w:r>
        <w:t xml:space="preserve"> to address RMP recommendations to re</w:t>
      </w:r>
      <w:r w:rsidR="00C05C12">
        <w:t>duce off-label use, as follows:</w:t>
      </w:r>
    </w:p>
    <w:p w14:paraId="1CE98D3C" w14:textId="665AAFE7" w:rsidR="004D15A2" w:rsidRPr="00C05C12" w:rsidRDefault="00373BB9" w:rsidP="004D15A2">
      <w:pPr>
        <w:ind w:left="720"/>
      </w:pPr>
      <w:r>
        <w:t>Indications</w:t>
      </w:r>
      <w:r w:rsidR="00C05C12">
        <w:t xml:space="preserve">; </w:t>
      </w:r>
      <w:r w:rsidR="004D15A2" w:rsidRPr="00C05C12">
        <w:t xml:space="preserve">added </w:t>
      </w:r>
      <w:r w:rsidR="00EC177F">
        <w:t>‘</w:t>
      </w:r>
      <w:r w:rsidR="004D15A2" w:rsidRPr="00C05C12">
        <w:t>Hadlima is indicated for treatment of rheuma</w:t>
      </w:r>
      <w:r w:rsidR="00C05C12">
        <w:t>toid arthritis in adults only.</w:t>
      </w:r>
      <w:r w:rsidR="00EC177F">
        <w:t>’</w:t>
      </w:r>
    </w:p>
    <w:p w14:paraId="46DBEC5F" w14:textId="01B81F7F" w:rsidR="00456765" w:rsidRPr="00C05C12" w:rsidRDefault="00373BB9" w:rsidP="004D15A2">
      <w:pPr>
        <w:ind w:left="720"/>
      </w:pPr>
      <w:r>
        <w:t>Dosage and administration</w:t>
      </w:r>
      <w:r w:rsidR="00C05C12">
        <w:t>;</w:t>
      </w:r>
      <w:r w:rsidR="004D15A2" w:rsidRPr="00C05C12">
        <w:t xml:space="preserve"> added </w:t>
      </w:r>
      <w:r w:rsidR="00EC177F">
        <w:t>‘</w:t>
      </w:r>
      <w:r w:rsidR="004D15A2" w:rsidRPr="00C05C12">
        <w:t>Hadlima is only available as 40 mg pre-fil</w:t>
      </w:r>
      <w:r w:rsidR="00C05C12">
        <w:t xml:space="preserve">led syringe and 40 mg </w:t>
      </w:r>
      <w:proofErr w:type="spellStart"/>
      <w:r w:rsidR="00C05C12">
        <w:t>PushTouch</w:t>
      </w:r>
      <w:proofErr w:type="spellEnd"/>
      <w:r w:rsidR="004D15A2" w:rsidRPr="00C05C12">
        <w:t xml:space="preserve"> auto-injector. It is not possible to administer less than a full 40 mg dose. If an alternate dose is required, other adalimumab products offering such an option should be used.</w:t>
      </w:r>
      <w:bookmarkStart w:id="227" w:name="_Toc247691527"/>
      <w:bookmarkStart w:id="228" w:name="_Toc314842510"/>
      <w:r w:rsidR="00EC177F">
        <w:t>’</w:t>
      </w:r>
    </w:p>
    <w:p w14:paraId="7E07CD7A" w14:textId="77777777" w:rsidR="008E7846" w:rsidRPr="00792A32" w:rsidRDefault="008E7846" w:rsidP="00FA3A5F">
      <w:pPr>
        <w:pStyle w:val="Heading2"/>
      </w:pPr>
      <w:bookmarkStart w:id="229" w:name="_Toc8816502"/>
      <w:r>
        <w:t>V</w:t>
      </w:r>
      <w:r w:rsidR="00456765">
        <w:t>I</w:t>
      </w:r>
      <w:r>
        <w:t xml:space="preserve">I. </w:t>
      </w:r>
      <w:r w:rsidRPr="00FA3A5F">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126"/>
      <w:bookmarkEnd w:id="227"/>
      <w:bookmarkEnd w:id="228"/>
      <w:bookmarkEnd w:id="229"/>
    </w:p>
    <w:p w14:paraId="0C62C0C7" w14:textId="0F9CF639" w:rsidR="008E7846" w:rsidRDefault="008E7846" w:rsidP="00FA3A5F">
      <w:bookmarkStart w:id="230" w:name="_Toc247691528"/>
      <w:r>
        <w:t xml:space="preserve">The submission was summarised in the following </w:t>
      </w:r>
      <w:r w:rsidR="00397016">
        <w:t>Delegate</w:t>
      </w:r>
      <w:r w:rsidRPr="00EF5C48">
        <w:t xml:space="preserve">’s </w:t>
      </w:r>
      <w:r>
        <w:t>overview</w:t>
      </w:r>
      <w:r w:rsidRPr="00EF5C48">
        <w:t xml:space="preserve"> and recommendation</w:t>
      </w:r>
      <w:r>
        <w:t>s</w:t>
      </w:r>
      <w:r w:rsidR="0042126B">
        <w:t>.</w:t>
      </w:r>
    </w:p>
    <w:p w14:paraId="438A44B8" w14:textId="77777777" w:rsidR="00CB1249" w:rsidRDefault="00CB1249" w:rsidP="00FA3A5F">
      <w:pPr>
        <w:pStyle w:val="Heading3"/>
      </w:pPr>
      <w:bookmarkStart w:id="231" w:name="_Toc8816503"/>
      <w:r w:rsidRPr="00FA3A5F">
        <w:t>Background</w:t>
      </w:r>
      <w:bookmarkEnd w:id="231"/>
    </w:p>
    <w:p w14:paraId="2A7B2A0D" w14:textId="77777777" w:rsidR="00CB1249" w:rsidRDefault="00CB1249" w:rsidP="00FA3A5F">
      <w:r>
        <w:t xml:space="preserve">This submission is to register a biosimilar version of adalimumab (Humira) under the product name Hadlima which was </w:t>
      </w:r>
      <w:r w:rsidRPr="009418AA">
        <w:rPr>
          <w:rFonts w:asciiTheme="minorHAnsi" w:hAnsiTheme="minorHAnsi" w:cs="Arial"/>
        </w:rPr>
        <w:t>develop</w:t>
      </w:r>
      <w:r>
        <w:rPr>
          <w:rFonts w:asciiTheme="minorHAnsi" w:hAnsiTheme="minorHAnsi" w:cs="Arial"/>
        </w:rPr>
        <w:t>ed by Samsung Bioepis</w:t>
      </w:r>
      <w:r>
        <w:t>.</w:t>
      </w:r>
      <w:r w:rsidR="0069652B">
        <w:t xml:space="preserve"> </w:t>
      </w:r>
      <w:r w:rsidRPr="009A1D59">
        <w:t xml:space="preserve">In this submission, similarity to </w:t>
      </w:r>
      <w:r>
        <w:t>Humira</w:t>
      </w:r>
      <w:r w:rsidRPr="009A1D59">
        <w:t xml:space="preserve"> (</w:t>
      </w:r>
      <w:r w:rsidR="00C05C12">
        <w:t>that is</w:t>
      </w:r>
      <w:r w:rsidRPr="009A1D59">
        <w:t xml:space="preserve"> the reference medicinal product) is claimed. The application for </w:t>
      </w:r>
      <w:r>
        <w:t>Hadlima, also known as SB5,</w:t>
      </w:r>
      <w:r w:rsidRPr="009A1D59">
        <w:t xml:space="preserve"> is requesting approval of </w:t>
      </w:r>
      <w:r>
        <w:t xml:space="preserve">only the rheumatoid arthritis (RA) indication in adults, that is approved for Humira, and not the other </w:t>
      </w:r>
      <w:r w:rsidRPr="009A1D59">
        <w:t xml:space="preserve">indications currently approved for </w:t>
      </w:r>
      <w:r>
        <w:t>Humira</w:t>
      </w:r>
      <w:r w:rsidRPr="009A1D59">
        <w:t xml:space="preserve"> in Australia</w:t>
      </w:r>
      <w:r w:rsidRPr="00BB34C7">
        <w:t xml:space="preserve"> </w:t>
      </w:r>
      <w:r>
        <w:t>due to intellectual property reasons</w:t>
      </w:r>
      <w:r w:rsidRPr="009A1D59">
        <w:t xml:space="preserve">, </w:t>
      </w:r>
      <w:r w:rsidR="00C05C12">
        <w:t>that is</w:t>
      </w:r>
      <w:r>
        <w:t xml:space="preserve"> not juvenile idiopathic arthritis (</w:t>
      </w:r>
      <w:proofErr w:type="spellStart"/>
      <w:r>
        <w:t>polyarticular</w:t>
      </w:r>
      <w:proofErr w:type="spellEnd"/>
      <w:r>
        <w:t xml:space="preserve"> and </w:t>
      </w:r>
      <w:proofErr w:type="spellStart"/>
      <w:r>
        <w:t>enthesitis</w:t>
      </w:r>
      <w:proofErr w:type="spellEnd"/>
      <w:r>
        <w:t xml:space="preserve">-related), </w:t>
      </w:r>
      <w:r w:rsidRPr="009A1D59">
        <w:t>ankylosing spondylitis</w:t>
      </w:r>
      <w:r>
        <w:t>,</w:t>
      </w:r>
      <w:r w:rsidRPr="009A1D59">
        <w:t xml:space="preserve"> psoriatic arthritis, psoriasis</w:t>
      </w:r>
      <w:r>
        <w:t xml:space="preserve"> in adults and children</w:t>
      </w:r>
      <w:r w:rsidRPr="009A1D59">
        <w:t xml:space="preserve">, </w:t>
      </w:r>
      <w:r>
        <w:t>Crohn’s disease in adults and children (</w:t>
      </w:r>
      <w:r w:rsidR="00C05C12">
        <w:t xml:space="preserve">≥ </w:t>
      </w:r>
      <w:r>
        <w:t>6 years), ulcerative colitis, hidradenitis suppurativa in adults and a</w:t>
      </w:r>
      <w:r w:rsidRPr="00E63063">
        <w:t>dolescents (from 12 years of age)</w:t>
      </w:r>
      <w:r>
        <w:t xml:space="preserve"> and</w:t>
      </w:r>
      <w:r w:rsidRPr="00E63063">
        <w:t xml:space="preserve"> </w:t>
      </w:r>
      <w:r>
        <w:t>uveitis</w:t>
      </w:r>
      <w:r w:rsidRPr="009A1D59">
        <w:t>.</w:t>
      </w:r>
      <w:r w:rsidR="0069652B">
        <w:t xml:space="preserve"> </w:t>
      </w:r>
      <w:r>
        <w:t xml:space="preserve">The sponsor is proposing a single strength of </w:t>
      </w:r>
      <w:r w:rsidR="00397016">
        <w:t>40 mg</w:t>
      </w:r>
      <w:r>
        <w:t xml:space="preserve"> </w:t>
      </w:r>
      <w:r w:rsidRPr="00C921F9">
        <w:t xml:space="preserve">solution for injection </w:t>
      </w:r>
      <w:r>
        <w:t>(</w:t>
      </w:r>
      <w:r w:rsidRPr="00C921F9">
        <w:t>pre-filled syringe</w:t>
      </w:r>
      <w:r>
        <w:t xml:space="preserve"> and auto-injector) for registration (same strength as Humira) and the same dosing instructions as Humira for rheumatoid arthritis.</w:t>
      </w:r>
      <w:r w:rsidR="0069652B">
        <w:t xml:space="preserve"> </w:t>
      </w:r>
      <w:r>
        <w:t>The proposed PI is essentially the same as the Humira PI except for additional comparability data and the deletion of</w:t>
      </w:r>
      <w:r>
        <w:rPr>
          <w:rFonts w:asciiTheme="minorHAnsi" w:hAnsiTheme="minorHAnsi"/>
        </w:rPr>
        <w:t xml:space="preserve"> the pharmacology, clinical trials, immunogenicity, indications, precautions, adverse effects and dosage information related to the other indications approved for Humira</w:t>
      </w:r>
      <w:r>
        <w:t>.</w:t>
      </w:r>
    </w:p>
    <w:p w14:paraId="5208FB14" w14:textId="77777777" w:rsidR="00CB1249" w:rsidRDefault="00CB1249" w:rsidP="00CB1249">
      <w:r>
        <w:t xml:space="preserve">The sponsor initially applied for all indications approved for Humira and with variations to the paediatric indications due to the absence of lower strengths of Hadlima that are currently approved for Humira, however during the evaluation process the sponsor </w:t>
      </w:r>
      <w:r>
        <w:lastRenderedPageBreak/>
        <w:t>requested removal of these indications and related information in the PI, therefore only the rheumatoid arthritis indication in adults is now being requested.</w:t>
      </w:r>
    </w:p>
    <w:p w14:paraId="3D951D9C" w14:textId="49672264" w:rsidR="00EB0AAA" w:rsidRDefault="00CB1249" w:rsidP="00FA3A5F">
      <w:r>
        <w:t xml:space="preserve">The submission is clinically supported by a </w:t>
      </w:r>
      <w:r w:rsidR="00C05C12">
        <w:t>Phase III</w:t>
      </w:r>
      <w:r>
        <w:t xml:space="preserve"> study comparing the efficacy and safety of Hadlima with Humira in RA patients for 52 weeks (</w:t>
      </w:r>
      <w:r w:rsidRPr="00FD7D33">
        <w:t>including a one way switch from Humira to Hadlima</w:t>
      </w:r>
      <w:r>
        <w:t xml:space="preserve">) and a </w:t>
      </w:r>
      <w:r w:rsidR="00C05C12">
        <w:t>Phase I</w:t>
      </w:r>
      <w:r>
        <w:t xml:space="preserve"> study providing pharmacokinetic and safety data in healthy volunteers.</w:t>
      </w:r>
      <w:r w:rsidR="0069652B">
        <w:t xml:space="preserve"> </w:t>
      </w:r>
      <w:r>
        <w:t>The submission is also supported by two additional clinical studies that relate to the auto-injector device.</w:t>
      </w:r>
      <w:r w:rsidR="0069652B">
        <w:t xml:space="preserve"> </w:t>
      </w:r>
      <w:r>
        <w:t>T</w:t>
      </w:r>
      <w:r w:rsidRPr="000420DE">
        <w:t xml:space="preserve">he development </w:t>
      </w:r>
      <w:r>
        <w:t>program for Hadlima w</w:t>
      </w:r>
      <w:r w:rsidRPr="000420DE">
        <w:t xml:space="preserve">as guided by </w:t>
      </w:r>
      <w:r>
        <w:t>the European Medicines Agency (</w:t>
      </w:r>
      <w:r w:rsidRPr="000420DE">
        <w:t>E</w:t>
      </w:r>
      <w:r>
        <w:t>MA)</w:t>
      </w:r>
      <w:r w:rsidRPr="000420DE">
        <w:t xml:space="preserve"> </w:t>
      </w:r>
      <w:r>
        <w:t xml:space="preserve">and FDA </w:t>
      </w:r>
      <w:r w:rsidRPr="000420DE">
        <w:t>requirements</w:t>
      </w:r>
      <w:r>
        <w:t xml:space="preserve"> for biosimilar medicines.</w:t>
      </w:r>
      <w:r w:rsidR="0069652B">
        <w:t xml:space="preserve"> </w:t>
      </w:r>
      <w:r>
        <w:t xml:space="preserve">The reference drug, Humira, used in the </w:t>
      </w:r>
      <w:r w:rsidR="00C05C12">
        <w:t>Phase III</w:t>
      </w:r>
      <w:r>
        <w:t xml:space="preserve"> study, was sourced from the EU and a bridging comparability exercise was undertaken with the Australian registered Humira.</w:t>
      </w:r>
      <w:r w:rsidR="0069652B">
        <w:t xml:space="preserve"> </w:t>
      </w:r>
      <w:r>
        <w:t>The pharmacokinetic study compared Hadlima with EU and US sourced Humira</w:t>
      </w:r>
      <w:r w:rsidR="00EB0AAA">
        <w:t>.</w:t>
      </w:r>
    </w:p>
    <w:p w14:paraId="1C9DC05E" w14:textId="3C241AFB" w:rsidR="00CB1249" w:rsidRDefault="00CB1249" w:rsidP="00CB1249">
      <w:pPr>
        <w:rPr>
          <w:rFonts w:asciiTheme="minorHAnsi" w:hAnsiTheme="minorHAnsi"/>
          <w:lang w:val="en-US"/>
        </w:rPr>
      </w:pPr>
      <w:r>
        <w:t>Adalimumab is a recombinant human immunoglobulin (IgG1) monoclonal antibody containing only human peptide sequences that bind with high affinity and specificity to soluble human tumour necrosis factor (TNF</w:t>
      </w:r>
      <w:r w:rsidR="00C05C12">
        <w:t>α</w:t>
      </w:r>
      <w:r>
        <w:t xml:space="preserve">), but not </w:t>
      </w:r>
      <w:proofErr w:type="spellStart"/>
      <w:r>
        <w:t>lymphotoxin</w:t>
      </w:r>
      <w:proofErr w:type="spellEnd"/>
      <w:r>
        <w:t xml:space="preserve"> (TNF</w:t>
      </w:r>
      <w:r w:rsidR="00C05C12">
        <w:t>β</w:t>
      </w:r>
      <w:r>
        <w:t>), thereby preventing the interaction between TNF, and the p55 and p75 cell surface TNF receptors. As a consequence, TNF is rendered biologically inactive</w:t>
      </w:r>
      <w:r w:rsidRPr="00CB1889">
        <w:rPr>
          <w:lang w:val="en-US"/>
        </w:rPr>
        <w:t>.</w:t>
      </w:r>
    </w:p>
    <w:p w14:paraId="6AE98FB1" w14:textId="77777777" w:rsidR="00F30165" w:rsidRPr="0040302A" w:rsidRDefault="00F30165" w:rsidP="00F30165">
      <w:r w:rsidRPr="00C47824">
        <w:t>Rheumatoid arthritis is a chronic inflammatory autoimmune disease characterised by polyarticular inflammatory synovitis, which is associated with cartilage breakdown, bony erosion and ultimately loss of function of the affected joints. It is the second most common form of arthritis and the most common autoimmune disease in Australia with a prevalence of 2%.</w:t>
      </w:r>
    </w:p>
    <w:p w14:paraId="1D3A6653" w14:textId="3E66AA8F" w:rsidR="00F30165" w:rsidRDefault="00F30165" w:rsidP="00CB1249">
      <w:pPr>
        <w:rPr>
          <w:rFonts w:asciiTheme="minorHAnsi" w:hAnsiTheme="minorHAnsi"/>
        </w:rPr>
      </w:pPr>
      <w:r>
        <w:rPr>
          <w:rFonts w:asciiTheme="minorHAnsi" w:hAnsiTheme="minorHAnsi"/>
        </w:rPr>
        <w:t>Hadlima has not been previously considered by ACM.</w:t>
      </w:r>
      <w:r w:rsidR="0069652B">
        <w:rPr>
          <w:rFonts w:asciiTheme="minorHAnsi" w:hAnsiTheme="minorHAnsi"/>
        </w:rPr>
        <w:t xml:space="preserve"> </w:t>
      </w:r>
      <w:r>
        <w:rPr>
          <w:rFonts w:asciiTheme="minorHAnsi" w:hAnsiTheme="minorHAnsi"/>
        </w:rPr>
        <w:t>Humira</w:t>
      </w:r>
      <w:r w:rsidRPr="00243850">
        <w:rPr>
          <w:rFonts w:asciiTheme="minorHAnsi" w:hAnsiTheme="minorHAnsi"/>
        </w:rPr>
        <w:t xml:space="preserve"> was first approved for RA in </w:t>
      </w:r>
      <w:r>
        <w:rPr>
          <w:rFonts w:asciiTheme="minorHAnsi" w:hAnsiTheme="minorHAnsi"/>
        </w:rPr>
        <w:t>Australia</w:t>
      </w:r>
      <w:r w:rsidRPr="00243850">
        <w:rPr>
          <w:rFonts w:asciiTheme="minorHAnsi" w:hAnsiTheme="minorHAnsi"/>
        </w:rPr>
        <w:t xml:space="preserve"> in </w:t>
      </w:r>
      <w:r>
        <w:rPr>
          <w:rFonts w:asciiTheme="minorHAnsi" w:hAnsiTheme="minorHAnsi"/>
        </w:rPr>
        <w:t>2003.</w:t>
      </w:r>
    </w:p>
    <w:p w14:paraId="64743CB7" w14:textId="2BD085D9" w:rsidR="00F30165" w:rsidRPr="00F30165" w:rsidRDefault="00F30165" w:rsidP="00F30165">
      <w:r>
        <w:t xml:space="preserve">Hadlima has been approved in Europe (Aug 2017) under the name </w:t>
      </w:r>
      <w:proofErr w:type="spellStart"/>
      <w:r>
        <w:t>Imraldi</w:t>
      </w:r>
      <w:proofErr w:type="spellEnd"/>
      <w:r>
        <w:t xml:space="preserve"> for the same indications as Humira in Europe and only as a </w:t>
      </w:r>
      <w:r w:rsidR="00397016">
        <w:t>40 mg</w:t>
      </w:r>
      <w:r>
        <w:t xml:space="preserve"> strength pre-filled syringe and not the auto-injector or other strengths available for Humira.</w:t>
      </w:r>
      <w:r w:rsidR="0069652B">
        <w:t xml:space="preserve"> </w:t>
      </w:r>
      <w:r>
        <w:t>It is under evaluation in Canada (submitted February 2017).</w:t>
      </w:r>
      <w:r w:rsidR="0069652B">
        <w:t xml:space="preserve"> </w:t>
      </w:r>
      <w:r>
        <w:t>In the USA, the application has not been filed due to the sponsor not being able to meet the FDAs request in time for a drug substance production schedule for the purpose of pre-licence inspection</w:t>
      </w:r>
      <w:r w:rsidR="00D36CEF">
        <w:t>.</w:t>
      </w:r>
      <w:r w:rsidR="008C0638">
        <w:rPr>
          <w:rStyle w:val="FootnoteReference"/>
        </w:rPr>
        <w:footnoteReference w:id="19"/>
      </w:r>
      <w:r w:rsidR="0069652B">
        <w:t xml:space="preserve"> </w:t>
      </w:r>
      <w:r>
        <w:t>The approved indications in Europe are as follows:</w:t>
      </w:r>
    </w:p>
    <w:p w14:paraId="5A4A2C05" w14:textId="77777777" w:rsidR="00F30165" w:rsidRPr="00E07453" w:rsidRDefault="00F30165" w:rsidP="00E07453">
      <w:pPr>
        <w:rPr>
          <w:b/>
          <w:i/>
        </w:rPr>
      </w:pPr>
      <w:r w:rsidRPr="00E07453">
        <w:rPr>
          <w:b/>
          <w:i/>
        </w:rPr>
        <w:t>Rheumatoid arthritis</w:t>
      </w:r>
    </w:p>
    <w:p w14:paraId="6A87991A" w14:textId="77777777" w:rsidR="00F30165" w:rsidRPr="00C05C12" w:rsidRDefault="00F30165" w:rsidP="00C05C12">
      <w:pPr>
        <w:rPr>
          <w:i/>
        </w:rPr>
      </w:pPr>
      <w:proofErr w:type="spellStart"/>
      <w:r w:rsidRPr="00C05C12">
        <w:rPr>
          <w:i/>
        </w:rPr>
        <w:t>Imraldi</w:t>
      </w:r>
      <w:proofErr w:type="spellEnd"/>
      <w:r w:rsidRPr="00C05C12">
        <w:rPr>
          <w:i/>
        </w:rPr>
        <w:t xml:space="preserve"> in combination with </w:t>
      </w:r>
      <w:proofErr w:type="gramStart"/>
      <w:r w:rsidRPr="00C05C12">
        <w:rPr>
          <w:i/>
        </w:rPr>
        <w:t>methotrexate,</w:t>
      </w:r>
      <w:proofErr w:type="gramEnd"/>
      <w:r w:rsidRPr="00C05C12">
        <w:rPr>
          <w:i/>
        </w:rPr>
        <w:t xml:space="preserve"> is indicated for:</w:t>
      </w:r>
    </w:p>
    <w:p w14:paraId="6F0959C0" w14:textId="77777777" w:rsidR="00F30165" w:rsidRPr="00FA3A5F" w:rsidRDefault="00F30165" w:rsidP="00FA3A5F">
      <w:pPr>
        <w:pStyle w:val="ListBullet"/>
        <w:rPr>
          <w:i/>
        </w:rPr>
      </w:pPr>
      <w:proofErr w:type="gramStart"/>
      <w:r w:rsidRPr="00FA3A5F">
        <w:rPr>
          <w:i/>
        </w:rPr>
        <w:t>the</w:t>
      </w:r>
      <w:proofErr w:type="gramEnd"/>
      <w:r w:rsidRPr="00FA3A5F">
        <w:rPr>
          <w:i/>
        </w:rPr>
        <w:t xml:space="preserve"> treatment of moderate to severe, active rheumatoid arthritis in adult patients when the response to disease-modifying anti-rheumatic drugs including methotrexate has been inadequate.</w:t>
      </w:r>
    </w:p>
    <w:p w14:paraId="54C51CC0" w14:textId="77777777" w:rsidR="00F30165" w:rsidRPr="00C05C12" w:rsidRDefault="00F30165" w:rsidP="00C05C12">
      <w:pPr>
        <w:pStyle w:val="ListBullet"/>
        <w:rPr>
          <w:i/>
        </w:rPr>
      </w:pPr>
      <w:proofErr w:type="gramStart"/>
      <w:r w:rsidRPr="00C05C12">
        <w:rPr>
          <w:i/>
        </w:rPr>
        <w:t>the</w:t>
      </w:r>
      <w:proofErr w:type="gramEnd"/>
      <w:r w:rsidRPr="00C05C12">
        <w:rPr>
          <w:i/>
        </w:rPr>
        <w:t xml:space="preserve"> treatment of severe, active and progressive rheumatoid arthritis in adults not previously treated </w:t>
      </w:r>
      <w:r w:rsidR="00C05C12" w:rsidRPr="00C05C12">
        <w:rPr>
          <w:i/>
        </w:rPr>
        <w:t>with methotrexate.</w:t>
      </w:r>
    </w:p>
    <w:p w14:paraId="28ECD149" w14:textId="77777777" w:rsidR="00F30165" w:rsidRPr="00C05C12" w:rsidRDefault="00F30165" w:rsidP="00C05C12">
      <w:pPr>
        <w:rPr>
          <w:i/>
        </w:rPr>
      </w:pPr>
      <w:proofErr w:type="spellStart"/>
      <w:r w:rsidRPr="00C05C12">
        <w:rPr>
          <w:i/>
        </w:rPr>
        <w:t>Imraldi</w:t>
      </w:r>
      <w:proofErr w:type="spellEnd"/>
      <w:r w:rsidRPr="00C05C12">
        <w:rPr>
          <w:i/>
        </w:rPr>
        <w:t xml:space="preserve"> can be given as monotherapy in case of intolerance to methotrexate or when continued treatment with methotrexate is inappropriate.</w:t>
      </w:r>
    </w:p>
    <w:p w14:paraId="2025A7B3" w14:textId="77777777" w:rsidR="00F30165" w:rsidRPr="00C05C12" w:rsidRDefault="00F30165" w:rsidP="00C05C12">
      <w:pPr>
        <w:rPr>
          <w:i/>
        </w:rPr>
      </w:pPr>
      <w:r w:rsidRPr="00C05C12">
        <w:rPr>
          <w:i/>
        </w:rPr>
        <w:t>Adalimumab has been shown to reduce the rate of progression of joint damage as measured by X-ray and to improve physical function, when given in combination with methotrexate.</w:t>
      </w:r>
    </w:p>
    <w:p w14:paraId="5F9F511F" w14:textId="77777777" w:rsidR="00F30165" w:rsidRPr="00E07453" w:rsidRDefault="00F30165" w:rsidP="00E07453">
      <w:pPr>
        <w:rPr>
          <w:b/>
          <w:i/>
        </w:rPr>
      </w:pPr>
      <w:r w:rsidRPr="00E07453">
        <w:rPr>
          <w:b/>
          <w:i/>
        </w:rPr>
        <w:t>Juvenile idiopathic arthritis</w:t>
      </w:r>
    </w:p>
    <w:p w14:paraId="7DF7FCF5" w14:textId="77777777" w:rsidR="00F30165" w:rsidRPr="00C05C12" w:rsidRDefault="00F30165" w:rsidP="00C05C12">
      <w:pPr>
        <w:rPr>
          <w:i/>
          <w:iCs/>
        </w:rPr>
      </w:pPr>
      <w:r w:rsidRPr="00C05C12">
        <w:rPr>
          <w:i/>
          <w:iCs/>
        </w:rPr>
        <w:t>Polyarticular juvenile idiopathic arthritis</w:t>
      </w:r>
    </w:p>
    <w:p w14:paraId="2DB03605" w14:textId="77777777" w:rsidR="00F30165" w:rsidRPr="00C05C12" w:rsidRDefault="00F30165" w:rsidP="00C05C12">
      <w:pPr>
        <w:rPr>
          <w:i/>
        </w:rPr>
      </w:pPr>
      <w:proofErr w:type="spellStart"/>
      <w:r w:rsidRPr="00C05C12">
        <w:rPr>
          <w:i/>
        </w:rPr>
        <w:t>Imraldi</w:t>
      </w:r>
      <w:proofErr w:type="spellEnd"/>
      <w:r w:rsidRPr="00C05C12">
        <w:rPr>
          <w:i/>
        </w:rPr>
        <w:t xml:space="preserve"> in combination with methotrexate is indicated for the treatment of active polyarticular juvenile idiopathic arthritis, in patients from the age of 2 years who have had </w:t>
      </w:r>
      <w:r w:rsidRPr="00C05C12">
        <w:rPr>
          <w:i/>
        </w:rPr>
        <w:lastRenderedPageBreak/>
        <w:t xml:space="preserve">an inadequate response to one or more disease-modifying anti-rheumatic drugs (DMARDs). </w:t>
      </w:r>
      <w:proofErr w:type="spellStart"/>
      <w:r w:rsidRPr="00C05C12">
        <w:rPr>
          <w:i/>
        </w:rPr>
        <w:t>Imraldi</w:t>
      </w:r>
      <w:proofErr w:type="spellEnd"/>
      <w:r w:rsidRPr="00C05C12">
        <w:rPr>
          <w:i/>
        </w:rPr>
        <w:t xml:space="preserve"> can be given as monotherapy in case of intolerance to methotrexate or when continued treatment with methotrexate is inappropriate (for the efficacy in monotherapy see section 5.1). Adalimumab has not been studied in patients aged less than 2 years.</w:t>
      </w:r>
    </w:p>
    <w:p w14:paraId="5C1530C3" w14:textId="77777777" w:rsidR="00F30165" w:rsidRPr="00E07453" w:rsidRDefault="00F30165" w:rsidP="00E07453">
      <w:pPr>
        <w:rPr>
          <w:b/>
          <w:i/>
        </w:rPr>
      </w:pPr>
      <w:proofErr w:type="spellStart"/>
      <w:r w:rsidRPr="00E07453">
        <w:rPr>
          <w:b/>
          <w:i/>
        </w:rPr>
        <w:t>Enthesitis</w:t>
      </w:r>
      <w:proofErr w:type="spellEnd"/>
      <w:r w:rsidRPr="00E07453">
        <w:rPr>
          <w:b/>
          <w:i/>
        </w:rPr>
        <w:t>-related arthritis</w:t>
      </w:r>
    </w:p>
    <w:p w14:paraId="33FC859A"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active </w:t>
      </w:r>
      <w:proofErr w:type="spellStart"/>
      <w:r w:rsidRPr="00C05C12">
        <w:rPr>
          <w:i/>
        </w:rPr>
        <w:t>enthesitis</w:t>
      </w:r>
      <w:proofErr w:type="spellEnd"/>
      <w:r w:rsidRPr="00C05C12">
        <w:rPr>
          <w:i/>
        </w:rPr>
        <w:t>-related arthritis in patients, 6 years of age and older, who have had an inadequate response to, or who are intolerant of, conventional therapy (see section 5.1).</w:t>
      </w:r>
    </w:p>
    <w:p w14:paraId="799E39D6" w14:textId="77777777" w:rsidR="00F30165" w:rsidRPr="00E07453" w:rsidRDefault="00F30165" w:rsidP="00E07453">
      <w:pPr>
        <w:rPr>
          <w:b/>
          <w:i/>
        </w:rPr>
      </w:pPr>
      <w:r w:rsidRPr="00E07453">
        <w:rPr>
          <w:b/>
          <w:i/>
        </w:rPr>
        <w:t>Ankylosing spondylitis (AS)</w:t>
      </w:r>
    </w:p>
    <w:p w14:paraId="461DBF3A" w14:textId="77777777" w:rsidR="00EB0AAA" w:rsidRPr="00C05C12" w:rsidRDefault="00F30165" w:rsidP="00C05C12">
      <w:pPr>
        <w:rPr>
          <w:i/>
        </w:rPr>
      </w:pPr>
      <w:proofErr w:type="spellStart"/>
      <w:r w:rsidRPr="00C05C12">
        <w:rPr>
          <w:i/>
        </w:rPr>
        <w:t>Imraldi</w:t>
      </w:r>
      <w:proofErr w:type="spellEnd"/>
      <w:r w:rsidRPr="00C05C12">
        <w:rPr>
          <w:i/>
        </w:rPr>
        <w:t xml:space="preserve"> is indicated for the treatment of adults with severe active ankylosing spondylitis who have had an inadequate response to conventional therapy</w:t>
      </w:r>
      <w:r w:rsidR="00EB0AAA" w:rsidRPr="00C05C12">
        <w:rPr>
          <w:i/>
        </w:rPr>
        <w:t>.</w:t>
      </w:r>
    </w:p>
    <w:p w14:paraId="7E3DF0E7" w14:textId="77777777" w:rsidR="00F30165" w:rsidRPr="00E07453" w:rsidRDefault="00C05C12" w:rsidP="00E07453">
      <w:pPr>
        <w:rPr>
          <w:b/>
          <w:i/>
        </w:rPr>
      </w:pPr>
      <w:r w:rsidRPr="00E07453">
        <w:rPr>
          <w:b/>
          <w:i/>
        </w:rPr>
        <w:t xml:space="preserve">Axial </w:t>
      </w:r>
      <w:proofErr w:type="spellStart"/>
      <w:r w:rsidRPr="00E07453">
        <w:rPr>
          <w:b/>
          <w:i/>
        </w:rPr>
        <w:t>spondyloarthritis</w:t>
      </w:r>
      <w:proofErr w:type="spellEnd"/>
    </w:p>
    <w:p w14:paraId="294FD025" w14:textId="77777777" w:rsidR="00F30165" w:rsidRPr="00C05C12" w:rsidRDefault="00F30165" w:rsidP="00C05C12">
      <w:pPr>
        <w:rPr>
          <w:i/>
        </w:rPr>
      </w:pPr>
      <w:r w:rsidRPr="00C05C12">
        <w:rPr>
          <w:i/>
        </w:rPr>
        <w:t xml:space="preserve">Axial </w:t>
      </w:r>
      <w:proofErr w:type="spellStart"/>
      <w:r w:rsidRPr="00C05C12">
        <w:rPr>
          <w:i/>
        </w:rPr>
        <w:t>spondyloarthritis</w:t>
      </w:r>
      <w:proofErr w:type="spellEnd"/>
      <w:r w:rsidRPr="00C05C12">
        <w:rPr>
          <w:i/>
        </w:rPr>
        <w:t xml:space="preserve"> without radiographic evidence of AS</w:t>
      </w:r>
    </w:p>
    <w:p w14:paraId="75F0E997"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adults with severe axial </w:t>
      </w:r>
      <w:proofErr w:type="spellStart"/>
      <w:r w:rsidRPr="00C05C12">
        <w:rPr>
          <w:i/>
        </w:rPr>
        <w:t>spondyloarthritis</w:t>
      </w:r>
      <w:proofErr w:type="spellEnd"/>
      <w:r w:rsidRPr="00C05C12">
        <w:rPr>
          <w:i/>
        </w:rPr>
        <w:t xml:space="preserve"> without radiographic evidence of AS but with objective signs of inflammation by elevated CRP and / or MRI, who have had an inadequate response to, or are intolerant to nonsteroidal anti-inflammatory drugs.</w:t>
      </w:r>
    </w:p>
    <w:p w14:paraId="363E3101" w14:textId="77777777" w:rsidR="00F30165" w:rsidRPr="00E07453" w:rsidRDefault="00F30165" w:rsidP="00E07453">
      <w:pPr>
        <w:rPr>
          <w:b/>
          <w:i/>
        </w:rPr>
      </w:pPr>
      <w:r w:rsidRPr="00E07453">
        <w:rPr>
          <w:b/>
          <w:i/>
        </w:rPr>
        <w:t>Psoriatic arthritis</w:t>
      </w:r>
    </w:p>
    <w:p w14:paraId="0AEAC39D"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active and progressive psoriatic arthritis in adults when the response to previous disease-modifying anti-rheumatic drug therapy has been inadequate.</w:t>
      </w:r>
    </w:p>
    <w:p w14:paraId="6B5F261D" w14:textId="77777777" w:rsidR="00F30165" w:rsidRPr="00C05C12" w:rsidRDefault="00F30165" w:rsidP="00C05C12">
      <w:pPr>
        <w:rPr>
          <w:i/>
        </w:rPr>
      </w:pPr>
      <w:r w:rsidRPr="00C05C12">
        <w:rPr>
          <w:i/>
        </w:rPr>
        <w:t>Adalimumab has been shown to reduce the rate of progression of peripheral joint damage as measured by X-ray in patients with polyarticular symmetrical subtypes of the disease (see Section 5.1) and to improve physical function.</w:t>
      </w:r>
    </w:p>
    <w:p w14:paraId="3C461CB3" w14:textId="77777777" w:rsidR="00F30165" w:rsidRPr="00E07453" w:rsidRDefault="00F30165" w:rsidP="00E07453">
      <w:pPr>
        <w:rPr>
          <w:b/>
          <w:i/>
        </w:rPr>
      </w:pPr>
      <w:r w:rsidRPr="00E07453">
        <w:rPr>
          <w:b/>
          <w:i/>
        </w:rPr>
        <w:t>Psoriasis</w:t>
      </w:r>
    </w:p>
    <w:p w14:paraId="68C7C3BC"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moderate to severe chronic plaque psoriasis in adult patients who are candidates for systemic therapy.</w:t>
      </w:r>
    </w:p>
    <w:p w14:paraId="52ACF2CA" w14:textId="77777777" w:rsidR="00F30165" w:rsidRPr="00E07453" w:rsidRDefault="00F30165" w:rsidP="00E07453">
      <w:pPr>
        <w:rPr>
          <w:b/>
          <w:i/>
        </w:rPr>
      </w:pPr>
      <w:r w:rsidRPr="00E07453">
        <w:rPr>
          <w:b/>
          <w:i/>
        </w:rPr>
        <w:t>Paediatric plaque psoriasis</w:t>
      </w:r>
    </w:p>
    <w:p w14:paraId="4FEB1403"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severe chronic plaque psoriasis in children and adolescents from 4 years of age who have had an inadequate response to or are inappropriate candidates for topical therapy and phototherapies.</w:t>
      </w:r>
    </w:p>
    <w:p w14:paraId="086B8EC2" w14:textId="77777777" w:rsidR="00F30165" w:rsidRPr="00E07453" w:rsidRDefault="00F30165" w:rsidP="00E07453">
      <w:pPr>
        <w:rPr>
          <w:b/>
          <w:i/>
        </w:rPr>
      </w:pPr>
      <w:r w:rsidRPr="00E07453">
        <w:rPr>
          <w:b/>
          <w:i/>
        </w:rPr>
        <w:t>Hidradenitis suppurativa (HS)</w:t>
      </w:r>
    </w:p>
    <w:p w14:paraId="21506FE3"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active moderate to severe hidradenitis </w:t>
      </w:r>
      <w:proofErr w:type="spellStart"/>
      <w:r w:rsidRPr="00C05C12">
        <w:rPr>
          <w:i/>
        </w:rPr>
        <w:t>suppurativa</w:t>
      </w:r>
      <w:proofErr w:type="spellEnd"/>
      <w:r w:rsidRPr="00C05C12">
        <w:rPr>
          <w:i/>
        </w:rPr>
        <w:t xml:space="preserve"> (acne </w:t>
      </w:r>
      <w:proofErr w:type="spellStart"/>
      <w:r w:rsidRPr="00C05C12">
        <w:rPr>
          <w:i/>
        </w:rPr>
        <w:t>inversa</w:t>
      </w:r>
      <w:proofErr w:type="spellEnd"/>
      <w:r w:rsidRPr="00C05C12">
        <w:rPr>
          <w:i/>
        </w:rPr>
        <w:t>) in adults and adolescents from 12 years of age with an inadequate response to conventional systemic HS therapy (see sections 5.1 and 5.2).</w:t>
      </w:r>
    </w:p>
    <w:p w14:paraId="25E10EEA" w14:textId="77777777" w:rsidR="00F30165" w:rsidRPr="00E07453" w:rsidRDefault="00F30165" w:rsidP="00E07453">
      <w:pPr>
        <w:rPr>
          <w:b/>
          <w:i/>
        </w:rPr>
      </w:pPr>
      <w:r w:rsidRPr="00E07453">
        <w:rPr>
          <w:b/>
          <w:i/>
        </w:rPr>
        <w:t>Crohn’s disease</w:t>
      </w:r>
    </w:p>
    <w:p w14:paraId="4605EA5E"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treatment of moderately to severely active Crohn’s disease, in adult patients who have not responded despite a full and adequate course of therapy with a corticosteroid and/or an immunosuppressant; or who are intolerant to or have medical contraindications for such therapies.</w:t>
      </w:r>
    </w:p>
    <w:p w14:paraId="6BFCFD4D" w14:textId="77777777" w:rsidR="00F30165" w:rsidRPr="00E07453" w:rsidRDefault="00F30165" w:rsidP="00E07453">
      <w:pPr>
        <w:rPr>
          <w:b/>
          <w:i/>
        </w:rPr>
      </w:pPr>
      <w:r w:rsidRPr="00E07453">
        <w:rPr>
          <w:b/>
          <w:i/>
        </w:rPr>
        <w:t>Paediatric Crohn's disease</w:t>
      </w:r>
    </w:p>
    <w:p w14:paraId="638E550D"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moderately to severely active Crohn's disease in paediatric patients (from 6 years of age) who have had an inadequate response to conventional therapy including primary nutrition therapy and a corticosteroid and/or an immunomodulator, or who are intolerant to or have contraindications for such therapies.</w:t>
      </w:r>
    </w:p>
    <w:p w14:paraId="6661CB15" w14:textId="77777777" w:rsidR="00F30165" w:rsidRPr="00E07453" w:rsidRDefault="00F30165" w:rsidP="00E07453">
      <w:pPr>
        <w:rPr>
          <w:b/>
          <w:i/>
        </w:rPr>
      </w:pPr>
      <w:r w:rsidRPr="00E07453">
        <w:rPr>
          <w:b/>
          <w:i/>
        </w:rPr>
        <w:lastRenderedPageBreak/>
        <w:t>Ulcerative colitis</w:t>
      </w:r>
    </w:p>
    <w:p w14:paraId="50B8CC07"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treatment of moderately to severely active ulcerative colitis in adult patients who have had an inadequate response to conventional therapy including corticosteroids and 6-mercaptopurine (6-MP) or azathioprine (AZA), or who are intolerant to or have medical contraindications for such therapies.</w:t>
      </w:r>
    </w:p>
    <w:p w14:paraId="5C781BDB" w14:textId="77777777" w:rsidR="00F30165" w:rsidRPr="00E07453" w:rsidRDefault="00F30165" w:rsidP="00E07453">
      <w:pPr>
        <w:rPr>
          <w:b/>
          <w:i/>
        </w:rPr>
      </w:pPr>
      <w:r w:rsidRPr="00E07453">
        <w:rPr>
          <w:b/>
          <w:i/>
        </w:rPr>
        <w:t>Uveitis</w:t>
      </w:r>
    </w:p>
    <w:p w14:paraId="06D18F4E" w14:textId="77777777" w:rsidR="00F30165" w:rsidRPr="00C05C12" w:rsidRDefault="00F30165" w:rsidP="00C05C12">
      <w:pPr>
        <w:rPr>
          <w:i/>
        </w:rPr>
      </w:pPr>
      <w:proofErr w:type="spellStart"/>
      <w:r w:rsidRPr="00C05C12">
        <w:rPr>
          <w:i/>
        </w:rPr>
        <w:t>Imraldi</w:t>
      </w:r>
      <w:proofErr w:type="spellEnd"/>
      <w:r w:rsidRPr="00C05C12">
        <w:rPr>
          <w:i/>
        </w:rPr>
        <w:t xml:space="preserve"> is indicated for the treatment of non-infectious intermediate, posterior and </w:t>
      </w:r>
      <w:proofErr w:type="spellStart"/>
      <w:r w:rsidRPr="00C05C12">
        <w:rPr>
          <w:i/>
        </w:rPr>
        <w:t>panuveitis</w:t>
      </w:r>
      <w:proofErr w:type="spellEnd"/>
      <w:r w:rsidRPr="00C05C12">
        <w:rPr>
          <w:i/>
        </w:rPr>
        <w:t xml:space="preserve"> in adult patients who have had an inadequate response to corticosteroids, in</w:t>
      </w:r>
      <w:r w:rsidRPr="00C05C12">
        <w:t xml:space="preserve"> </w:t>
      </w:r>
      <w:r w:rsidRPr="00C05C12">
        <w:rPr>
          <w:i/>
        </w:rPr>
        <w:t>patients in need of corticosteroid sparing, or in whom corticosteroid treatment is inappropriate.</w:t>
      </w:r>
    </w:p>
    <w:p w14:paraId="307368A5" w14:textId="5C6FCB8C" w:rsidR="00C05C12" w:rsidRPr="00C05C12" w:rsidRDefault="00F30165" w:rsidP="00C05C12">
      <w:r>
        <w:rPr>
          <w:rFonts w:asciiTheme="minorHAnsi" w:hAnsiTheme="minorHAnsi"/>
        </w:rPr>
        <w:t xml:space="preserve">The TGA has produced a specific guideline in relation to biosimilar medicines, along with the adoption of numerous EU </w:t>
      </w:r>
      <w:r w:rsidR="001B7E12">
        <w:rPr>
          <w:rFonts w:asciiTheme="minorHAnsi" w:hAnsiTheme="minorHAnsi"/>
        </w:rPr>
        <w:t>guidelines, which</w:t>
      </w:r>
      <w:r>
        <w:rPr>
          <w:rFonts w:asciiTheme="minorHAnsi" w:hAnsiTheme="minorHAnsi"/>
        </w:rPr>
        <w:t xml:space="preserve"> </w:t>
      </w:r>
      <w:r w:rsidRPr="00615AA9">
        <w:rPr>
          <w:rFonts w:asciiTheme="minorHAnsi" w:hAnsiTheme="minorHAnsi"/>
        </w:rPr>
        <w:t>explain</w:t>
      </w:r>
      <w:r>
        <w:rPr>
          <w:rFonts w:asciiTheme="minorHAnsi" w:hAnsiTheme="minorHAnsi"/>
        </w:rPr>
        <w:t>s</w:t>
      </w:r>
      <w:r w:rsidRPr="00615AA9">
        <w:rPr>
          <w:rFonts w:asciiTheme="minorHAnsi" w:hAnsiTheme="minorHAnsi"/>
        </w:rPr>
        <w:t xml:space="preserve"> the background to biosimilars and regulatory aspects.</w:t>
      </w:r>
      <w:r w:rsidR="0069652B">
        <w:rPr>
          <w:rFonts w:asciiTheme="minorHAnsi" w:hAnsiTheme="minorHAnsi"/>
        </w:rPr>
        <w:t xml:space="preserve"> </w:t>
      </w:r>
      <w:r w:rsidRPr="00615AA9">
        <w:rPr>
          <w:rFonts w:asciiTheme="minorHAnsi" w:hAnsiTheme="minorHAnsi"/>
        </w:rPr>
        <w:t xml:space="preserve">The TGA published guideline is called ‘Evaluation of biosimilars’ which was published on 30 July 2013 </w:t>
      </w:r>
      <w:r>
        <w:rPr>
          <w:rFonts w:asciiTheme="minorHAnsi" w:hAnsiTheme="minorHAnsi"/>
        </w:rPr>
        <w:t>and was updated in Dec</w:t>
      </w:r>
      <w:r w:rsidR="00373BB9">
        <w:rPr>
          <w:rFonts w:asciiTheme="minorHAnsi" w:hAnsiTheme="minorHAnsi"/>
        </w:rPr>
        <w:t>ember</w:t>
      </w:r>
      <w:r>
        <w:rPr>
          <w:rFonts w:asciiTheme="minorHAnsi" w:hAnsiTheme="minorHAnsi"/>
        </w:rPr>
        <w:t xml:space="preserve"> 2015.</w:t>
      </w:r>
      <w:r w:rsidR="000C0615" w:rsidRPr="001B7E12">
        <w:rPr>
          <w:rFonts w:asciiTheme="minorHAnsi" w:hAnsiTheme="minorHAnsi"/>
          <w:vertAlign w:val="superscript"/>
        </w:rPr>
        <w:fldChar w:fldCharType="begin"/>
      </w:r>
      <w:r w:rsidR="000C0615" w:rsidRPr="001B7E12">
        <w:rPr>
          <w:rFonts w:asciiTheme="minorHAnsi" w:hAnsiTheme="minorHAnsi"/>
          <w:vertAlign w:val="superscript"/>
        </w:rPr>
        <w:instrText xml:space="preserve"> NOTEREF _Ref3295550 \h </w:instrText>
      </w:r>
      <w:r w:rsidR="000C0615">
        <w:rPr>
          <w:rFonts w:asciiTheme="minorHAnsi" w:hAnsiTheme="minorHAnsi"/>
          <w:vertAlign w:val="superscript"/>
        </w:rPr>
        <w:instrText xml:space="preserve"> \* MERGEFORMAT </w:instrText>
      </w:r>
      <w:r w:rsidR="000C0615" w:rsidRPr="001B7E12">
        <w:rPr>
          <w:rFonts w:asciiTheme="minorHAnsi" w:hAnsiTheme="minorHAnsi"/>
          <w:vertAlign w:val="superscript"/>
        </w:rPr>
      </w:r>
      <w:r w:rsidR="000C0615" w:rsidRPr="001B7E12">
        <w:rPr>
          <w:rFonts w:asciiTheme="minorHAnsi" w:hAnsiTheme="minorHAnsi"/>
          <w:vertAlign w:val="superscript"/>
        </w:rPr>
        <w:fldChar w:fldCharType="separate"/>
      </w:r>
      <w:r w:rsidR="000C0615" w:rsidRPr="001B7E12">
        <w:rPr>
          <w:rFonts w:asciiTheme="minorHAnsi" w:hAnsiTheme="minorHAnsi"/>
          <w:vertAlign w:val="superscript"/>
        </w:rPr>
        <w:t>13</w:t>
      </w:r>
      <w:r w:rsidR="000C0615" w:rsidRPr="001B7E12">
        <w:rPr>
          <w:rFonts w:asciiTheme="minorHAnsi" w:hAnsiTheme="minorHAnsi"/>
          <w:vertAlign w:val="superscript"/>
        </w:rPr>
        <w:fldChar w:fldCharType="end"/>
      </w:r>
      <w:r w:rsidR="0069652B">
        <w:rPr>
          <w:rFonts w:asciiTheme="minorHAnsi" w:hAnsiTheme="minorHAnsi"/>
        </w:rPr>
        <w:t xml:space="preserve"> </w:t>
      </w:r>
      <w:r w:rsidR="00C05C12">
        <w:rPr>
          <w:rFonts w:asciiTheme="minorHAnsi" w:hAnsiTheme="minorHAnsi"/>
        </w:rPr>
        <w:t>For details please see above in the Clinical section under Guidelines.</w:t>
      </w:r>
    </w:p>
    <w:p w14:paraId="56825C74" w14:textId="77777777" w:rsidR="00F30165" w:rsidRDefault="00F30165" w:rsidP="00F30165">
      <w:r>
        <w:t>There are a number of specific clinical EU guideline adopted by the TGA relevant to this submission,</w:t>
      </w:r>
      <w:r w:rsidR="00C05C12">
        <w:t xml:space="preserve"> besides the general guidelines (please see above </w:t>
      </w:r>
      <w:r w:rsidR="00C05C12">
        <w:rPr>
          <w:rFonts w:asciiTheme="minorHAnsi" w:hAnsiTheme="minorHAnsi"/>
        </w:rPr>
        <w:t>in the Clinical section under Guidelines).</w:t>
      </w:r>
    </w:p>
    <w:p w14:paraId="6221B82A" w14:textId="77777777" w:rsidR="008E7846" w:rsidRPr="00D02A3B" w:rsidRDefault="008E7846" w:rsidP="00E07453">
      <w:pPr>
        <w:pStyle w:val="Heading3"/>
      </w:pPr>
      <w:bookmarkStart w:id="232" w:name="_Toc314842511"/>
      <w:bookmarkStart w:id="233" w:name="_Toc8816504"/>
      <w:r w:rsidRPr="00E07453">
        <w:t>Quality</w:t>
      </w:r>
      <w:bookmarkEnd w:id="230"/>
      <w:bookmarkEnd w:id="232"/>
      <w:bookmarkEnd w:id="233"/>
    </w:p>
    <w:p w14:paraId="42A2FDEC" w14:textId="77777777" w:rsidR="00E45619" w:rsidRDefault="00F30165" w:rsidP="00E07453">
      <w:r w:rsidRPr="000372AC">
        <w:t xml:space="preserve">The </w:t>
      </w:r>
      <w:r w:rsidR="00C05C12">
        <w:t>quality</w:t>
      </w:r>
      <w:r w:rsidRPr="000372AC">
        <w:t xml:space="preserve"> evaluator has </w:t>
      </w:r>
      <w:r w:rsidRPr="00D3606A">
        <w:t xml:space="preserve">no objections on quality grounds to the approval of </w:t>
      </w:r>
      <w:r>
        <w:t xml:space="preserve">Hadlima </w:t>
      </w:r>
      <w:r w:rsidRPr="00D3606A">
        <w:t>provided outstanding GMP clearances are issued prior to registration</w:t>
      </w:r>
      <w:r>
        <w:t xml:space="preserve"> and has recommended batch release testing as a condition of registration.</w:t>
      </w:r>
      <w:r w:rsidR="0069652B">
        <w:t xml:space="preserve"> </w:t>
      </w:r>
      <w:r w:rsidRPr="0042289E">
        <w:t xml:space="preserve">The sponsor used EU sourced </w:t>
      </w:r>
      <w:r>
        <w:t>Humira</w:t>
      </w:r>
      <w:r w:rsidRPr="0042289E">
        <w:t xml:space="preserve"> as the reference product </w:t>
      </w:r>
      <w:r w:rsidRPr="00D3606A">
        <w:t>to demonstrate biosimilarity in terms of quality and non-clinical comparability exercise</w:t>
      </w:r>
      <w:r>
        <w:t>s</w:t>
      </w:r>
      <w:r w:rsidRPr="0042289E">
        <w:t xml:space="preserve"> </w:t>
      </w:r>
      <w:r>
        <w:t xml:space="preserve">and </w:t>
      </w:r>
      <w:r w:rsidRPr="0042289E">
        <w:t xml:space="preserve">in the clinical study, therefore a bridging comparability study was undertaken to compare EU and Australian sourced </w:t>
      </w:r>
      <w:r>
        <w:t>Humira</w:t>
      </w:r>
      <w:r w:rsidRPr="0042289E">
        <w:t>.</w:t>
      </w:r>
      <w:r w:rsidR="0069652B">
        <w:t xml:space="preserve"> </w:t>
      </w:r>
      <w:r w:rsidRPr="00D3606A">
        <w:t xml:space="preserve">Extensive characterisation studies involving comparison of primary, secondary and tertiary structures, physicochemical properties and biological activities showed that </w:t>
      </w:r>
      <w:r>
        <w:t>Hadlima</w:t>
      </w:r>
      <w:r w:rsidRPr="00D3606A">
        <w:t xml:space="preserve"> and EU Humira are generally similar</w:t>
      </w:r>
      <w:r>
        <w:t>, however some differences were noted</w:t>
      </w:r>
      <w:r w:rsidRPr="0042289E">
        <w:t>.</w:t>
      </w:r>
      <w:r w:rsidR="0069652B">
        <w:t xml:space="preserve"> </w:t>
      </w:r>
      <w:r w:rsidRPr="0042289E">
        <w:t xml:space="preserve">EU </w:t>
      </w:r>
      <w:r>
        <w:t>Humira</w:t>
      </w:r>
      <w:r w:rsidRPr="0042289E">
        <w:t xml:space="preserve"> </w:t>
      </w:r>
      <w:r>
        <w:t>was also found to be comparable to</w:t>
      </w:r>
      <w:r w:rsidRPr="0042289E">
        <w:t xml:space="preserve"> Australian </w:t>
      </w:r>
      <w:r>
        <w:t>Humira.</w:t>
      </w:r>
      <w:r w:rsidR="0069652B">
        <w:t xml:space="preserve"> </w:t>
      </w:r>
      <w:r>
        <w:t>The differences discussed by the evaluator were:</w:t>
      </w:r>
    </w:p>
    <w:p w14:paraId="01F41856" w14:textId="0F77B5B8" w:rsidR="00F30165" w:rsidRPr="00D3606A" w:rsidRDefault="00F30165" w:rsidP="00E07453">
      <w:pPr>
        <w:pStyle w:val="ListBullet"/>
      </w:pPr>
      <w:r w:rsidRPr="00E07453">
        <w:t>Carbohydrate</w:t>
      </w:r>
      <w:r w:rsidRPr="00D3606A">
        <w:t xml:space="preserve"> </w:t>
      </w:r>
      <w:r w:rsidR="00373BB9">
        <w:t>s</w:t>
      </w:r>
      <w:r w:rsidRPr="00D3606A">
        <w:t>tructure</w:t>
      </w:r>
      <w:r w:rsidR="00373BB9">
        <w:t>;</w:t>
      </w:r>
      <w:r w:rsidRPr="00D3606A">
        <w:t xml:space="preserve"> %</w:t>
      </w:r>
      <w:proofErr w:type="spellStart"/>
      <w:r w:rsidRPr="00D3606A">
        <w:t>Afucose</w:t>
      </w:r>
      <w:proofErr w:type="spellEnd"/>
      <w:r w:rsidRPr="00D3606A">
        <w:t xml:space="preserve"> and %G0F</w:t>
      </w:r>
    </w:p>
    <w:p w14:paraId="0C56474E" w14:textId="06E60170" w:rsidR="00F30165" w:rsidRPr="00D3606A" w:rsidRDefault="00F30165" w:rsidP="00F30165">
      <w:pPr>
        <w:pStyle w:val="ListBullet2"/>
      </w:pPr>
      <w:r w:rsidRPr="00D3606A">
        <w:t>%</w:t>
      </w:r>
      <w:r w:rsidR="000C0615">
        <w:t xml:space="preserve"> </w:t>
      </w:r>
      <w:r w:rsidRPr="00D3606A">
        <w:t xml:space="preserve">Afucose level of </w:t>
      </w:r>
      <w:r>
        <w:t>Hadlima</w:t>
      </w:r>
      <w:r w:rsidRPr="00D3606A">
        <w:t xml:space="preserve"> was slightly higher than that of the upper limit of the similarity range </w:t>
      </w:r>
      <w:r>
        <w:t xml:space="preserve">and </w:t>
      </w:r>
      <w:r w:rsidRPr="00D3606A">
        <w:t>%</w:t>
      </w:r>
      <w:r w:rsidR="000C0615">
        <w:t xml:space="preserve"> </w:t>
      </w:r>
      <w:r w:rsidRPr="00D3606A">
        <w:t xml:space="preserve">G0F levels of </w:t>
      </w:r>
      <w:r>
        <w:t>Hadlima</w:t>
      </w:r>
      <w:r w:rsidRPr="00D3606A">
        <w:t xml:space="preserve"> were found to fall below the similarity range</w:t>
      </w:r>
      <w:r w:rsidR="00C9090E">
        <w:t>.</w:t>
      </w:r>
      <w:r w:rsidR="0069652B">
        <w:t xml:space="preserve"> </w:t>
      </w:r>
      <w:r>
        <w:t xml:space="preserve">These differences were shown to have no effect on </w:t>
      </w:r>
      <w:r w:rsidRPr="00D3606A">
        <w:rPr>
          <w:rFonts w:asciiTheme="minorHAnsi" w:hAnsiTheme="minorHAnsi"/>
        </w:rPr>
        <w:t xml:space="preserve">FcγRIIIa binding and </w:t>
      </w:r>
      <w:r w:rsidR="00EB0AAA">
        <w:rPr>
          <w:rFonts w:asciiTheme="minorHAnsi" w:hAnsiTheme="minorHAnsi"/>
        </w:rPr>
        <w:t>antibody dependent</w:t>
      </w:r>
      <w:r w:rsidRPr="00D3606A">
        <w:rPr>
          <w:rFonts w:asciiTheme="minorHAnsi" w:hAnsiTheme="minorHAnsi"/>
        </w:rPr>
        <w:t xml:space="preserve"> </w:t>
      </w:r>
      <w:r w:rsidR="00EB0AAA">
        <w:rPr>
          <w:rFonts w:asciiTheme="minorHAnsi" w:hAnsiTheme="minorHAnsi"/>
        </w:rPr>
        <w:t>cell mediated</w:t>
      </w:r>
      <w:r w:rsidRPr="00D3606A">
        <w:rPr>
          <w:rFonts w:asciiTheme="minorHAnsi" w:hAnsiTheme="minorHAnsi"/>
        </w:rPr>
        <w:t xml:space="preserve"> cytotoxicity (ADCC) activities</w:t>
      </w:r>
      <w:r>
        <w:rPr>
          <w:rFonts w:asciiTheme="minorHAnsi" w:hAnsiTheme="minorHAnsi"/>
        </w:rPr>
        <w:t>.</w:t>
      </w:r>
      <w:r w:rsidR="0069652B">
        <w:rPr>
          <w:rFonts w:asciiTheme="minorHAnsi" w:hAnsiTheme="minorHAnsi"/>
        </w:rPr>
        <w:t xml:space="preserve"> </w:t>
      </w:r>
      <w:r>
        <w:rPr>
          <w:rFonts w:asciiTheme="minorHAnsi" w:hAnsiTheme="minorHAnsi"/>
        </w:rPr>
        <w:t>A</w:t>
      </w:r>
      <w:r w:rsidRPr="00D3606A">
        <w:rPr>
          <w:rFonts w:asciiTheme="minorHAnsi" w:hAnsiTheme="minorHAnsi"/>
        </w:rPr>
        <w:t>ll other glycan structure were shown to be in the similar range, therefore the differences were considered not significant</w:t>
      </w:r>
      <w:r>
        <w:rPr>
          <w:rFonts w:asciiTheme="minorHAnsi" w:hAnsiTheme="minorHAnsi"/>
        </w:rPr>
        <w:t>.</w:t>
      </w:r>
    </w:p>
    <w:p w14:paraId="64FA2752" w14:textId="435835E7" w:rsidR="00F30165" w:rsidRPr="00696C79" w:rsidRDefault="00F30165" w:rsidP="00F30165">
      <w:pPr>
        <w:pStyle w:val="ListBullet"/>
        <w:rPr>
          <w:rFonts w:cs="Arial"/>
        </w:rPr>
      </w:pPr>
      <w:r w:rsidRPr="00696C79">
        <w:rPr>
          <w:rFonts w:cs="Arial"/>
        </w:rPr>
        <w:t xml:space="preserve">Purity and </w:t>
      </w:r>
      <w:r w:rsidR="00373BB9">
        <w:rPr>
          <w:rFonts w:cs="Arial"/>
        </w:rPr>
        <w:t>i</w:t>
      </w:r>
      <w:r w:rsidRPr="00696C79">
        <w:rPr>
          <w:rFonts w:cs="Arial"/>
        </w:rPr>
        <w:t>mpurities</w:t>
      </w:r>
    </w:p>
    <w:p w14:paraId="6BC35728" w14:textId="204F9535" w:rsidR="00F30165" w:rsidRPr="00D3606A" w:rsidRDefault="00F30165" w:rsidP="00F30165">
      <w:pPr>
        <w:pStyle w:val="ListBullet2"/>
      </w:pPr>
      <w:r w:rsidRPr="00D3606A">
        <w:t>%</w:t>
      </w:r>
      <w:r w:rsidR="000C0615">
        <w:t xml:space="preserve"> </w:t>
      </w:r>
      <w:r w:rsidRPr="00D3606A">
        <w:t xml:space="preserve">Main of </w:t>
      </w:r>
      <w:r>
        <w:t>Hadlima</w:t>
      </w:r>
      <w:r w:rsidR="00D02A3B">
        <w:t xml:space="preserve"> batches </w:t>
      </w:r>
      <w:r w:rsidRPr="00D3606A">
        <w:t>were out of similarity range, which was attributed to the higher %</w:t>
      </w:r>
      <w:r w:rsidR="001B7E12">
        <w:t xml:space="preserve"> </w:t>
      </w:r>
      <w:r w:rsidR="00C9090E">
        <w:rPr>
          <w:rFonts w:asciiTheme="minorHAnsi" w:hAnsiTheme="minorHAnsi"/>
        </w:rPr>
        <w:t>n</w:t>
      </w:r>
      <w:r w:rsidR="00C9090E" w:rsidRPr="00711B8B">
        <w:rPr>
          <w:rFonts w:asciiTheme="minorHAnsi" w:hAnsiTheme="minorHAnsi"/>
        </w:rPr>
        <w:t>on</w:t>
      </w:r>
      <w:r w:rsidRPr="00711B8B">
        <w:rPr>
          <w:rFonts w:asciiTheme="minorHAnsi" w:hAnsiTheme="minorHAnsi"/>
        </w:rPr>
        <w:t xml:space="preserve">-glycosylated heavy chain </w:t>
      </w:r>
      <w:r>
        <w:rPr>
          <w:rFonts w:asciiTheme="minorHAnsi" w:hAnsiTheme="minorHAnsi"/>
        </w:rPr>
        <w:t xml:space="preserve">(NGHC) </w:t>
      </w:r>
      <w:r w:rsidRPr="00D3606A">
        <w:t xml:space="preserve">level of </w:t>
      </w:r>
      <w:r>
        <w:t>Hadlima</w:t>
      </w:r>
      <w:r w:rsidR="00D02A3B">
        <w:t xml:space="preserve"> than that of EU Humira</w:t>
      </w:r>
      <w:r w:rsidRPr="00D3606A">
        <w:t>. The N-glycosylation at Fc region of antibodies is known to be associated with Fc-related functional activities</w:t>
      </w:r>
      <w:r>
        <w:t>.</w:t>
      </w:r>
      <w:r w:rsidR="0069652B">
        <w:t xml:space="preserve"> </w:t>
      </w:r>
      <w:r w:rsidRPr="00D3606A">
        <w:rPr>
          <w:rFonts w:asciiTheme="minorHAnsi" w:hAnsiTheme="minorHAnsi"/>
        </w:rPr>
        <w:t xml:space="preserve">Considering the increase in %NGHC was shown to be </w:t>
      </w:r>
      <w:r w:rsidRPr="00B303A7">
        <w:rPr>
          <w:rFonts w:asciiTheme="minorHAnsi" w:hAnsiTheme="minorHAnsi"/>
        </w:rPr>
        <w:t>above</w:t>
      </w:r>
      <w:r w:rsidRPr="00D3606A">
        <w:rPr>
          <w:rFonts w:asciiTheme="minorHAnsi" w:hAnsiTheme="minorHAnsi"/>
        </w:rPr>
        <w:t xml:space="preserve"> the reference product, and ADCC activity was shown to be within similarity range, the slight differences observed were not considered to have an impact on the biological activity. Therefore, the differences in %Main of </w:t>
      </w:r>
      <w:r>
        <w:rPr>
          <w:rFonts w:asciiTheme="minorHAnsi" w:hAnsiTheme="minorHAnsi"/>
        </w:rPr>
        <w:t>Hadlima</w:t>
      </w:r>
      <w:r w:rsidRPr="00D3606A">
        <w:rPr>
          <w:rFonts w:asciiTheme="minorHAnsi" w:hAnsiTheme="minorHAnsi"/>
        </w:rPr>
        <w:t xml:space="preserve"> and EU Humira were not considered significant</w:t>
      </w:r>
      <w:r>
        <w:rPr>
          <w:rFonts w:asciiTheme="minorHAnsi" w:hAnsiTheme="minorHAnsi"/>
        </w:rPr>
        <w:t>.</w:t>
      </w:r>
    </w:p>
    <w:p w14:paraId="3FF39D68" w14:textId="2E54B9E1" w:rsidR="00F30165" w:rsidRPr="00696C79" w:rsidRDefault="00D02A3B" w:rsidP="00F30165">
      <w:pPr>
        <w:pStyle w:val="ListBullet"/>
      </w:pPr>
      <w:r>
        <w:t xml:space="preserve">Charge </w:t>
      </w:r>
      <w:r w:rsidR="00373BB9">
        <w:t>v</w:t>
      </w:r>
      <w:r>
        <w:t>ariants</w:t>
      </w:r>
    </w:p>
    <w:p w14:paraId="7FEA6CA1" w14:textId="69BB7F88" w:rsidR="00F30165" w:rsidRPr="00D3606A" w:rsidRDefault="004A0B50" w:rsidP="00F30165">
      <w:pPr>
        <w:pStyle w:val="ListBullet2"/>
      </w:pPr>
      <w:r>
        <w:lastRenderedPageBreak/>
        <w:t>T</w:t>
      </w:r>
      <w:r w:rsidR="00F30165" w:rsidRPr="00D3606A">
        <w:t xml:space="preserve">he relative contents of acidic variants in </w:t>
      </w:r>
      <w:r w:rsidR="00F30165">
        <w:t>Hadlima</w:t>
      </w:r>
      <w:r w:rsidR="00D02A3B">
        <w:t xml:space="preserve"> </w:t>
      </w:r>
      <w:r w:rsidR="00F30165" w:rsidRPr="00D3606A">
        <w:t xml:space="preserve">were higher </w:t>
      </w:r>
      <w:r w:rsidR="00D02A3B">
        <w:t>than the similarity range</w:t>
      </w:r>
      <w:r w:rsidR="00F30165" w:rsidRPr="00D3606A">
        <w:t xml:space="preserve">, whereas the relative content of the basic peak of </w:t>
      </w:r>
      <w:r w:rsidR="00F30165">
        <w:t>Hadlima</w:t>
      </w:r>
      <w:r w:rsidR="00D02A3B">
        <w:t xml:space="preserve"> </w:t>
      </w:r>
      <w:r w:rsidR="00F30165" w:rsidRPr="00D3606A">
        <w:t>was lower than the simila</w:t>
      </w:r>
      <w:r w:rsidR="00D02A3B">
        <w:t>rity range</w:t>
      </w:r>
      <w:r w:rsidR="00F30165" w:rsidRPr="00D3606A">
        <w:t>.</w:t>
      </w:r>
      <w:r w:rsidR="0069652B">
        <w:t xml:space="preserve"> </w:t>
      </w:r>
      <w:r w:rsidR="00F30165">
        <w:t xml:space="preserve">However, </w:t>
      </w:r>
      <w:r w:rsidR="00F30165" w:rsidRPr="00D3606A">
        <w:rPr>
          <w:rFonts w:asciiTheme="minorHAnsi" w:hAnsiTheme="minorHAnsi"/>
        </w:rPr>
        <w:t xml:space="preserve">no differences in the molecular forms were observed in the charge variants of </w:t>
      </w:r>
      <w:r w:rsidR="00F30165">
        <w:rPr>
          <w:rFonts w:asciiTheme="minorHAnsi" w:hAnsiTheme="minorHAnsi"/>
        </w:rPr>
        <w:t>Hadlima</w:t>
      </w:r>
      <w:r w:rsidR="00F30165" w:rsidRPr="00D3606A">
        <w:rPr>
          <w:rFonts w:asciiTheme="minorHAnsi" w:hAnsiTheme="minorHAnsi"/>
        </w:rPr>
        <w:t xml:space="preserve"> and EU Humira</w:t>
      </w:r>
      <w:r w:rsidR="00F30165">
        <w:rPr>
          <w:rFonts w:asciiTheme="minorHAnsi" w:hAnsiTheme="minorHAnsi"/>
        </w:rPr>
        <w:t xml:space="preserve"> and </w:t>
      </w:r>
      <w:r w:rsidR="00F30165" w:rsidRPr="00D3606A">
        <w:rPr>
          <w:rFonts w:asciiTheme="minorHAnsi" w:hAnsiTheme="minorHAnsi"/>
        </w:rPr>
        <w:t>charge variant content did not affect biological activity including TNFα binding and ADCC</w:t>
      </w:r>
      <w:r w:rsidR="00F30165">
        <w:rPr>
          <w:rFonts w:asciiTheme="minorHAnsi" w:hAnsiTheme="minorHAnsi"/>
        </w:rPr>
        <w:t>.</w:t>
      </w:r>
      <w:r w:rsidR="0069652B">
        <w:rPr>
          <w:rFonts w:asciiTheme="minorHAnsi" w:hAnsiTheme="minorHAnsi"/>
        </w:rPr>
        <w:t xml:space="preserve"> </w:t>
      </w:r>
      <w:r w:rsidR="00F30165">
        <w:rPr>
          <w:rFonts w:asciiTheme="minorHAnsi" w:hAnsiTheme="minorHAnsi"/>
        </w:rPr>
        <w:t>T</w:t>
      </w:r>
      <w:r w:rsidR="00F30165" w:rsidRPr="00D3606A">
        <w:rPr>
          <w:rFonts w:asciiTheme="minorHAnsi" w:hAnsiTheme="minorHAnsi"/>
        </w:rPr>
        <w:t xml:space="preserve">he observed differences in charge variants between </w:t>
      </w:r>
      <w:r w:rsidR="00F30165">
        <w:rPr>
          <w:rFonts w:asciiTheme="minorHAnsi" w:hAnsiTheme="minorHAnsi"/>
        </w:rPr>
        <w:t>Hadlima</w:t>
      </w:r>
      <w:r w:rsidR="00F30165" w:rsidRPr="00D3606A">
        <w:rPr>
          <w:rFonts w:asciiTheme="minorHAnsi" w:hAnsiTheme="minorHAnsi"/>
        </w:rPr>
        <w:t xml:space="preserve"> and EU Humira should not affect the apoptotic activity of </w:t>
      </w:r>
      <w:r w:rsidR="00F30165">
        <w:rPr>
          <w:rFonts w:asciiTheme="minorHAnsi" w:hAnsiTheme="minorHAnsi"/>
        </w:rPr>
        <w:t>Hadlima.</w:t>
      </w:r>
    </w:p>
    <w:p w14:paraId="5F565220" w14:textId="59186583" w:rsidR="00F30165" w:rsidRDefault="00F30165" w:rsidP="00E07453">
      <w:r w:rsidRPr="00D21B21">
        <w:rPr>
          <w:lang w:bidi="en-US"/>
        </w:rPr>
        <w:t xml:space="preserve">Sufficient evidence has been provided to demonstrate that the risks related to the </w:t>
      </w:r>
      <w:r w:rsidRPr="008E774C">
        <w:rPr>
          <w:lang w:bidi="en-US"/>
        </w:rPr>
        <w:t xml:space="preserve">manufacturing quality of </w:t>
      </w:r>
      <w:r>
        <w:rPr>
          <w:lang w:bidi="en-US"/>
        </w:rPr>
        <w:t>Hadlima</w:t>
      </w:r>
      <w:r w:rsidRPr="008E774C">
        <w:rPr>
          <w:lang w:bidi="en-US"/>
        </w:rPr>
        <w:t xml:space="preserve"> have been controlled to an acceptable level</w:t>
      </w:r>
      <w:r>
        <w:rPr>
          <w:lang w:bidi="en-US"/>
        </w:rPr>
        <w:t>.</w:t>
      </w:r>
      <w:r w:rsidR="0069652B">
        <w:rPr>
          <w:lang w:bidi="en-US"/>
        </w:rPr>
        <w:t xml:space="preserve"> </w:t>
      </w:r>
      <w:r w:rsidRPr="008E774C">
        <w:rPr>
          <w:lang w:bidi="en-US"/>
        </w:rPr>
        <w:t>There are no objections to the registration of this product from sterility; endotoxin, container safety and viral safety related aspects</w:t>
      </w:r>
      <w:r>
        <w:rPr>
          <w:lang w:bidi="en-US"/>
        </w:rPr>
        <w:t>.</w:t>
      </w:r>
      <w:r w:rsidR="0069652B">
        <w:rPr>
          <w:lang w:bidi="en-US"/>
        </w:rPr>
        <w:t xml:space="preserve"> </w:t>
      </w:r>
      <w:r>
        <w:t>A</w:t>
      </w:r>
      <w:r w:rsidRPr="00E50DA0">
        <w:t xml:space="preserve"> shelf life of </w:t>
      </w:r>
      <w:r w:rsidRPr="00D3606A">
        <w:t>36 months when stored at 5 ± 3°C, protect</w:t>
      </w:r>
      <w:r>
        <w:t>ed</w:t>
      </w:r>
      <w:r w:rsidRPr="00D3606A">
        <w:t xml:space="preserve"> from light</w:t>
      </w:r>
      <w:r>
        <w:t>, was supported by the data.</w:t>
      </w:r>
      <w:r w:rsidR="0069652B">
        <w:t xml:space="preserve"> </w:t>
      </w:r>
      <w:r>
        <w:t xml:space="preserve">The PI, CMI and labels from a </w:t>
      </w:r>
      <w:r w:rsidR="00373BB9">
        <w:t>quality</w:t>
      </w:r>
      <w:r>
        <w:t xml:space="preserve"> perspective were acceptable.</w:t>
      </w:r>
    </w:p>
    <w:p w14:paraId="0D99765C" w14:textId="77777777" w:rsidR="008E7846" w:rsidRDefault="008E7846" w:rsidP="00E07453">
      <w:pPr>
        <w:pStyle w:val="Heading3"/>
      </w:pPr>
      <w:bookmarkStart w:id="234" w:name="_Toc314842512"/>
      <w:bookmarkStart w:id="235" w:name="_Toc8816505"/>
      <w:r w:rsidRPr="00E07453">
        <w:t>Nonclinical</w:t>
      </w:r>
      <w:bookmarkEnd w:id="234"/>
      <w:bookmarkEnd w:id="235"/>
    </w:p>
    <w:p w14:paraId="535E6E01" w14:textId="7F1FAE7F" w:rsidR="008E7846" w:rsidRDefault="00F30165" w:rsidP="00E07453">
      <w:r>
        <w:rPr>
          <w:rFonts w:asciiTheme="minorHAnsi" w:hAnsiTheme="minorHAnsi"/>
        </w:rPr>
        <w:t xml:space="preserve">The </w:t>
      </w:r>
      <w:r w:rsidR="00EC177F">
        <w:rPr>
          <w:rFonts w:asciiTheme="minorHAnsi" w:hAnsiTheme="minorHAnsi"/>
        </w:rPr>
        <w:t>nonclinical</w:t>
      </w:r>
      <w:r>
        <w:rPr>
          <w:rFonts w:asciiTheme="minorHAnsi" w:hAnsiTheme="minorHAnsi"/>
        </w:rPr>
        <w:t xml:space="preserve"> evaluator has no objections to the registration of Hadlima.</w:t>
      </w:r>
      <w:r w:rsidR="0069652B">
        <w:rPr>
          <w:rFonts w:asciiTheme="minorHAnsi" w:hAnsiTheme="minorHAnsi"/>
        </w:rPr>
        <w:t xml:space="preserve"> </w:t>
      </w:r>
      <w:r w:rsidRPr="00CA4763">
        <w:t>The nonclinical dossier contained comparative studies on phar</w:t>
      </w:r>
      <w:r>
        <w:t>m</w:t>
      </w:r>
      <w:r w:rsidRPr="00CA4763">
        <w:t>aco</w:t>
      </w:r>
      <w:r>
        <w:t xml:space="preserve">logy, pharmacokinetics and </w:t>
      </w:r>
      <w:r w:rsidR="000B7CBE">
        <w:t>repeat dose</w:t>
      </w:r>
      <w:r>
        <w:t xml:space="preserve"> toxicity.</w:t>
      </w:r>
      <w:r w:rsidR="0069652B">
        <w:t xml:space="preserve"> </w:t>
      </w:r>
      <w:r>
        <w:t>The scope of the nonclinical program is in general accordance with the EMA guideline on nonclinical assessment of biological medicines</w:t>
      </w:r>
      <w:r w:rsidR="00C05C12">
        <w:t>.</w:t>
      </w:r>
      <w:r w:rsidR="00C05C12" w:rsidRPr="00C05C12">
        <w:rPr>
          <w:vertAlign w:val="superscript"/>
        </w:rPr>
        <w:fldChar w:fldCharType="begin"/>
      </w:r>
      <w:r w:rsidR="00C05C12" w:rsidRPr="00C05C12">
        <w:rPr>
          <w:vertAlign w:val="superscript"/>
        </w:rPr>
        <w:instrText xml:space="preserve"> NOTEREF _Ref524696062 \h </w:instrText>
      </w:r>
      <w:r w:rsidR="00C05C12">
        <w:rPr>
          <w:vertAlign w:val="superscript"/>
        </w:rPr>
        <w:instrText xml:space="preserve"> \* MERGEFORMAT </w:instrText>
      </w:r>
      <w:r w:rsidR="00C05C12" w:rsidRPr="00C05C12">
        <w:rPr>
          <w:vertAlign w:val="superscript"/>
        </w:rPr>
      </w:r>
      <w:r w:rsidR="00C05C12" w:rsidRPr="00C05C12">
        <w:rPr>
          <w:vertAlign w:val="superscript"/>
        </w:rPr>
        <w:fldChar w:fldCharType="separate"/>
      </w:r>
      <w:r w:rsidR="005F7B1B">
        <w:rPr>
          <w:vertAlign w:val="superscript"/>
        </w:rPr>
        <w:t>13</w:t>
      </w:r>
      <w:r w:rsidR="00C05C12" w:rsidRPr="00C05C12">
        <w:rPr>
          <w:vertAlign w:val="superscript"/>
        </w:rPr>
        <w:fldChar w:fldCharType="end"/>
      </w:r>
      <w:r>
        <w:t xml:space="preserve"> Nonclinical </w:t>
      </w:r>
      <w:r w:rsidRPr="001B7E12">
        <w:t>in vivo</w:t>
      </w:r>
      <w:r w:rsidRPr="000C0615">
        <w:t xml:space="preserve"> </w:t>
      </w:r>
      <w:r>
        <w:t>studies only used US-Humira which was considered justified by the evaluator.</w:t>
      </w:r>
      <w:r w:rsidR="0069652B">
        <w:t xml:space="preserve"> </w:t>
      </w:r>
      <w:r>
        <w:t>There were no significant</w:t>
      </w:r>
      <w:r w:rsidRPr="00FA1E44">
        <w:t xml:space="preserve"> differences between </w:t>
      </w:r>
      <w:r>
        <w:t>Hadlima</w:t>
      </w:r>
      <w:r w:rsidRPr="00FA1E44">
        <w:t xml:space="preserve"> and US-</w:t>
      </w:r>
      <w:r>
        <w:t xml:space="preserve">Humira </w:t>
      </w:r>
      <w:r w:rsidRPr="00FA1E44">
        <w:t xml:space="preserve">in the </w:t>
      </w:r>
      <w:r w:rsidRPr="001B7E12">
        <w:t>in vivo</w:t>
      </w:r>
      <w:r w:rsidRPr="00F50751">
        <w:t xml:space="preserve"> comparative pharmacology, pharmacokinetic and toxicity studies</w:t>
      </w:r>
      <w:r w:rsidR="000855DE">
        <w:t>.</w:t>
      </w:r>
    </w:p>
    <w:p w14:paraId="68AEFA3F" w14:textId="77777777" w:rsidR="008E7846" w:rsidRDefault="008E7846" w:rsidP="00E07453">
      <w:pPr>
        <w:pStyle w:val="Heading3"/>
      </w:pPr>
      <w:bookmarkStart w:id="236" w:name="_Toc247691530"/>
      <w:bookmarkStart w:id="237" w:name="_Toc314842513"/>
      <w:bookmarkStart w:id="238" w:name="_Toc8816506"/>
      <w:r w:rsidRPr="00E07453">
        <w:t>Clinical</w:t>
      </w:r>
      <w:bookmarkEnd w:id="236"/>
      <w:bookmarkEnd w:id="237"/>
      <w:bookmarkEnd w:id="238"/>
    </w:p>
    <w:p w14:paraId="1BC33395" w14:textId="77777777" w:rsidR="000855DE" w:rsidRDefault="000855DE" w:rsidP="00E07453">
      <w:r>
        <w:t>The clinical dossier included the following data:</w:t>
      </w:r>
    </w:p>
    <w:p w14:paraId="2A9E95CD" w14:textId="77777777" w:rsidR="000855DE" w:rsidRDefault="000855DE" w:rsidP="00E07453">
      <w:pPr>
        <w:pStyle w:val="ListBullet"/>
      </w:pPr>
      <w:r w:rsidRPr="00957F15">
        <w:t>1 clinical pharmacology study (SB</w:t>
      </w:r>
      <w:r>
        <w:t>5</w:t>
      </w:r>
      <w:r w:rsidRPr="00957F15">
        <w:t xml:space="preserve">-G11-NHV) in healthy volunteers that provided </w:t>
      </w:r>
      <w:r w:rsidRPr="00E07453">
        <w:t>pharmacokinetic</w:t>
      </w:r>
      <w:r w:rsidRPr="00957F15">
        <w:t xml:space="preserve"> (PK)</w:t>
      </w:r>
      <w:r>
        <w:t>, immunogenicity, tolerability</w:t>
      </w:r>
      <w:r w:rsidRPr="00957F15">
        <w:t xml:space="preserve"> and safety </w:t>
      </w:r>
      <w:r>
        <w:t>data</w:t>
      </w:r>
      <w:r w:rsidRPr="00957F15">
        <w:t>.</w:t>
      </w:r>
    </w:p>
    <w:p w14:paraId="20E59591" w14:textId="77777777" w:rsidR="000855DE" w:rsidRPr="00957F15" w:rsidRDefault="000855DE" w:rsidP="000855DE">
      <w:pPr>
        <w:pStyle w:val="ListBullet"/>
      </w:pPr>
      <w:r>
        <w:t>1 clinical pharmacology trial (SB5-G12-NHV) in healthy volunteers that provided PK data and safety information on Hadlima given by either auto-injector device (AID) or pre-filled syringe (PFS).</w:t>
      </w:r>
    </w:p>
    <w:p w14:paraId="22A7A914" w14:textId="7D7633EC" w:rsidR="000855DE" w:rsidRPr="00C86AE7" w:rsidRDefault="000855DE" w:rsidP="000855DE">
      <w:pPr>
        <w:pStyle w:val="ListBullet"/>
      </w:pPr>
      <w:r>
        <w:t>1 open</w:t>
      </w:r>
      <w:r w:rsidR="004A4579">
        <w:t xml:space="preserve"> </w:t>
      </w:r>
      <w:r>
        <w:t xml:space="preserve">label </w:t>
      </w:r>
      <w:r w:rsidRPr="006A08A1">
        <w:t>t</w:t>
      </w:r>
      <w:r>
        <w:t>r</w:t>
      </w:r>
      <w:r w:rsidRPr="006A08A1">
        <w:t>i</w:t>
      </w:r>
      <w:r>
        <w:t>al (SB5-G21-RA) of Hadlima administered by PFS and AID in subjects with RA to compare injection site pain.</w:t>
      </w:r>
    </w:p>
    <w:p w14:paraId="150E3019" w14:textId="77777777" w:rsidR="000855DE" w:rsidRDefault="000855DE" w:rsidP="00E07453">
      <w:pPr>
        <w:pStyle w:val="ListBullet"/>
      </w:pPr>
      <w:r w:rsidRPr="00957F15">
        <w:t xml:space="preserve">1 pivotal </w:t>
      </w:r>
      <w:r w:rsidRPr="00E07453">
        <w:t>clinical</w:t>
      </w:r>
      <w:r w:rsidRPr="00957F15">
        <w:t xml:space="preserve"> study (SB</w:t>
      </w:r>
      <w:r>
        <w:t>5</w:t>
      </w:r>
      <w:r w:rsidRPr="00957F15">
        <w:t>-G31-RA) in adult patients with active RA</w:t>
      </w:r>
      <w:r>
        <w:t xml:space="preserve"> for 52 weeks</w:t>
      </w:r>
      <w:r w:rsidRPr="00957F15">
        <w:t xml:space="preserve">, </w:t>
      </w:r>
      <w:r>
        <w:t>including</w:t>
      </w:r>
      <w:r w:rsidRPr="00957F15">
        <w:t xml:space="preserve"> a PK sub-study</w:t>
      </w:r>
      <w:r>
        <w:t xml:space="preserve"> and switching data</w:t>
      </w:r>
      <w:r w:rsidRPr="00957F15">
        <w:t>.</w:t>
      </w:r>
    </w:p>
    <w:p w14:paraId="5C57DBAA" w14:textId="77777777" w:rsidR="000855DE" w:rsidRPr="00B173FF" w:rsidRDefault="000855DE" w:rsidP="00E07453">
      <w:pPr>
        <w:pStyle w:val="Heading4"/>
      </w:pPr>
      <w:r w:rsidRPr="00E07453">
        <w:t>Pharmacokinetics</w:t>
      </w:r>
    </w:p>
    <w:p w14:paraId="3192E585" w14:textId="77777777" w:rsidR="000855DE" w:rsidRPr="000855DE" w:rsidRDefault="000855DE" w:rsidP="00E07453">
      <w:pPr>
        <w:rPr>
          <w:rFonts w:asciiTheme="minorHAnsi" w:hAnsiTheme="minorHAnsi"/>
        </w:rPr>
      </w:pPr>
      <w:r>
        <w:t xml:space="preserve">The clinical dossier presented </w:t>
      </w:r>
      <w:r w:rsidR="00C05C12">
        <w:t>three</w:t>
      </w:r>
      <w:r w:rsidRPr="00A0432E">
        <w:t xml:space="preserve"> studies for demonstrating similarity in PK characteristics between </w:t>
      </w:r>
      <w:r>
        <w:t>Hadlima</w:t>
      </w:r>
      <w:r w:rsidRPr="00A0432E">
        <w:t xml:space="preserve"> and </w:t>
      </w:r>
      <w:r>
        <w:t>Humira</w:t>
      </w:r>
      <w:r w:rsidRPr="00A0432E">
        <w:t>.</w:t>
      </w:r>
      <w:r w:rsidR="0069652B">
        <w:t xml:space="preserve"> </w:t>
      </w:r>
      <w:r>
        <w:t xml:space="preserve">EU Humira was used in the </w:t>
      </w:r>
      <w:r w:rsidR="00C05C12">
        <w:t>Phase I and III</w:t>
      </w:r>
      <w:r>
        <w:t xml:space="preserve"> studies as the reference product.</w:t>
      </w:r>
    </w:p>
    <w:p w14:paraId="6B7BF435" w14:textId="77777777" w:rsidR="000855DE" w:rsidRDefault="000855DE" w:rsidP="00E07453">
      <w:pPr>
        <w:pStyle w:val="Heading5"/>
      </w:pPr>
      <w:r>
        <w:t>S</w:t>
      </w:r>
      <w:r w:rsidR="00D02A3B">
        <w:t>tudy</w:t>
      </w:r>
      <w:r w:rsidRPr="00245F5E">
        <w:t xml:space="preserve"> </w:t>
      </w:r>
      <w:r w:rsidRPr="00BC449C">
        <w:t>SB5-G11-NHV</w:t>
      </w:r>
    </w:p>
    <w:p w14:paraId="0D548DBE" w14:textId="795F3B74" w:rsidR="000855DE" w:rsidRPr="00245F5E" w:rsidRDefault="000855DE" w:rsidP="00E07453">
      <w:r w:rsidRPr="00245F5E">
        <w:t xml:space="preserve">The first study, </w:t>
      </w:r>
      <w:r w:rsidRPr="000855DE">
        <w:t>SB5-G11-NHV, was</w:t>
      </w:r>
      <w:r w:rsidRPr="00245F5E">
        <w:t xml:space="preserve"> a single dose, randomised, single-blind, three-arm, parallel group, </w:t>
      </w:r>
      <w:r w:rsidR="00C05C12">
        <w:t>Phase I</w:t>
      </w:r>
      <w:r w:rsidRPr="00245F5E">
        <w:t xml:space="preserve"> study conducted in 189 healthy subjects at a single centre comparing Hadlima, EU</w:t>
      </w:r>
      <w:r w:rsidR="00914774">
        <w:t xml:space="preserve"> sourced </w:t>
      </w:r>
      <w:r w:rsidRPr="00245F5E">
        <w:t>Humira and US</w:t>
      </w:r>
      <w:r w:rsidR="00914774">
        <w:t xml:space="preserve"> sourced </w:t>
      </w:r>
      <w:r w:rsidRPr="00245F5E">
        <w:t>Humira.</w:t>
      </w:r>
      <w:r w:rsidR="0069652B">
        <w:t xml:space="preserve"> </w:t>
      </w:r>
      <w:r w:rsidRPr="00245F5E">
        <w:t xml:space="preserve">All subjects received a </w:t>
      </w:r>
      <w:r w:rsidR="00397016">
        <w:t>40 mg</w:t>
      </w:r>
      <w:r w:rsidRPr="00245F5E">
        <w:t xml:space="preserve"> subcutaneous dose.</w:t>
      </w:r>
      <w:r w:rsidR="0069652B">
        <w:t xml:space="preserve"> </w:t>
      </w:r>
      <w:r w:rsidRPr="00245F5E">
        <w:t>A conventional cross-over design was not possible because of the long half-life of adalimumab.</w:t>
      </w:r>
      <w:r w:rsidR="0069652B">
        <w:t xml:space="preserve"> </w:t>
      </w:r>
      <w:r w:rsidRPr="00245F5E">
        <w:t>The primary PK variables (AUC</w:t>
      </w:r>
      <w:r w:rsidRPr="00245F5E">
        <w:rPr>
          <w:vertAlign w:val="subscript"/>
        </w:rPr>
        <w:t>inf</w:t>
      </w:r>
      <w:r w:rsidRPr="00245F5E">
        <w:t xml:space="preserve"> and </w:t>
      </w:r>
      <w:r w:rsidR="00C05C12" w:rsidRPr="00245F5E">
        <w:t>C</w:t>
      </w:r>
      <w:r w:rsidR="00C05C12" w:rsidRPr="00C05C12">
        <w:rPr>
          <w:vertAlign w:val="subscript"/>
        </w:rPr>
        <w:t>max</w:t>
      </w:r>
      <w:r w:rsidR="00C05C12">
        <w:t xml:space="preserve"> using 0.8 to </w:t>
      </w:r>
      <w:r w:rsidRPr="00245F5E">
        <w:t xml:space="preserve">1.25 confidence limits), and secondary variables, were measured to compare Hadlima with </w:t>
      </w:r>
      <w:r w:rsidRPr="00245F5E">
        <w:lastRenderedPageBreak/>
        <w:t>EU and US sourced adalimumab and to compare EU and US sourced Humira.</w:t>
      </w:r>
      <w:r w:rsidR="0069652B">
        <w:t xml:space="preserve"> </w:t>
      </w:r>
      <w:r w:rsidRPr="00245F5E">
        <w:t>The results for key variables are as follows:</w:t>
      </w:r>
    </w:p>
    <w:p w14:paraId="7FCE687E" w14:textId="77777777" w:rsidR="000855DE" w:rsidRPr="00E07453" w:rsidRDefault="000855DE" w:rsidP="00E07453">
      <w:pPr>
        <w:pStyle w:val="Numberbullet0"/>
        <w:numPr>
          <w:ilvl w:val="0"/>
          <w:numId w:val="6"/>
        </w:numPr>
        <w:rPr>
          <w:rFonts w:asciiTheme="minorHAnsi" w:hAnsiTheme="minorHAnsi"/>
        </w:rPr>
      </w:pPr>
      <w:proofErr w:type="spellStart"/>
      <w:r w:rsidRPr="00E07453">
        <w:t>Hadlima</w:t>
      </w:r>
      <w:proofErr w:type="spellEnd"/>
      <w:r w:rsidRPr="00245F5E">
        <w:t xml:space="preserve"> and EU </w:t>
      </w:r>
      <w:proofErr w:type="spellStart"/>
      <w:r w:rsidRPr="00245F5E">
        <w:t>Humira</w:t>
      </w:r>
      <w:proofErr w:type="spellEnd"/>
      <w:r w:rsidRPr="00245F5E">
        <w:t xml:space="preserve"> were comparable (ratio) for:</w:t>
      </w:r>
    </w:p>
    <w:p w14:paraId="2C8BAC00" w14:textId="773163FE" w:rsidR="000855DE" w:rsidRPr="00245F5E" w:rsidRDefault="000855DE" w:rsidP="000855DE">
      <w:pPr>
        <w:pStyle w:val="Numberbullet2"/>
        <w:rPr>
          <w:rFonts w:asciiTheme="minorHAnsi" w:hAnsiTheme="minorHAnsi"/>
        </w:rPr>
      </w:pPr>
      <w:r w:rsidRPr="00245F5E">
        <w:t>AUC</w:t>
      </w:r>
      <w:r w:rsidRPr="00245F5E">
        <w:rPr>
          <w:vertAlign w:val="subscript"/>
        </w:rPr>
        <w:t>inf</w:t>
      </w:r>
      <w:r w:rsidRPr="00245F5E">
        <w:t xml:space="preserve"> (0.990, 90%</w:t>
      </w:r>
      <w:r w:rsidR="00B948BA">
        <w:t xml:space="preserve"> </w:t>
      </w:r>
      <w:r w:rsidRPr="00245F5E">
        <w:t>CI 0.885 to 1.108)</w:t>
      </w:r>
    </w:p>
    <w:p w14:paraId="05524A27" w14:textId="1F64C049" w:rsidR="000855DE" w:rsidRPr="00245F5E" w:rsidRDefault="000855DE" w:rsidP="000855DE">
      <w:pPr>
        <w:pStyle w:val="Numberbullet2"/>
        <w:rPr>
          <w:rFonts w:asciiTheme="minorHAnsi" w:hAnsiTheme="minorHAnsi"/>
        </w:rPr>
      </w:pPr>
      <w:r w:rsidRPr="00245F5E">
        <w:t>AUC</w:t>
      </w:r>
      <w:r w:rsidRPr="00245F5E">
        <w:rPr>
          <w:vertAlign w:val="subscript"/>
        </w:rPr>
        <w:t>last</w:t>
      </w:r>
      <w:r w:rsidRPr="00245F5E">
        <w:t xml:space="preserve"> (1.027, 90%</w:t>
      </w:r>
      <w:r w:rsidR="00B948BA">
        <w:t xml:space="preserve"> </w:t>
      </w:r>
      <w:r w:rsidRPr="00245F5E">
        <w:t>CI 0.915 to 1.153)</w:t>
      </w:r>
    </w:p>
    <w:p w14:paraId="40F37EF4" w14:textId="2F3BACE6" w:rsidR="000855DE" w:rsidRPr="00245F5E" w:rsidRDefault="00C05C12" w:rsidP="000855DE">
      <w:pPr>
        <w:pStyle w:val="Numberbullet2"/>
        <w:rPr>
          <w:rFonts w:asciiTheme="minorHAnsi" w:hAnsiTheme="minorHAnsi"/>
        </w:rPr>
      </w:pPr>
      <w:r w:rsidRPr="00245F5E">
        <w:t>C</w:t>
      </w:r>
      <w:r w:rsidRPr="00C05C12">
        <w:rPr>
          <w:vertAlign w:val="subscript"/>
        </w:rPr>
        <w:t>max</w:t>
      </w:r>
      <w:r w:rsidR="000855DE" w:rsidRPr="00245F5E">
        <w:t xml:space="preserve"> (0.957, 90%</w:t>
      </w:r>
      <w:r w:rsidR="00B948BA">
        <w:t xml:space="preserve"> </w:t>
      </w:r>
      <w:r w:rsidR="000855DE" w:rsidRPr="00245F5E">
        <w:t>CI 0.870 to 1.054)</w:t>
      </w:r>
    </w:p>
    <w:p w14:paraId="585A26BD" w14:textId="77777777" w:rsidR="000855DE" w:rsidRPr="00245F5E" w:rsidRDefault="000855DE" w:rsidP="001B7E12">
      <w:pPr>
        <w:pStyle w:val="Numberbullet0"/>
        <w:rPr>
          <w:rFonts w:asciiTheme="minorHAnsi" w:hAnsiTheme="minorHAnsi"/>
        </w:rPr>
      </w:pPr>
      <w:r w:rsidRPr="00245F5E">
        <w:t>Hadlima and US Humira were comparable</w:t>
      </w:r>
    </w:p>
    <w:p w14:paraId="158D012C" w14:textId="10464BF8" w:rsidR="000855DE" w:rsidRPr="00245F5E" w:rsidRDefault="000855DE" w:rsidP="001B7E12">
      <w:pPr>
        <w:pStyle w:val="Numberbullet0"/>
        <w:rPr>
          <w:rFonts w:asciiTheme="minorHAnsi" w:hAnsiTheme="minorHAnsi"/>
        </w:rPr>
      </w:pPr>
      <w:r w:rsidRPr="00245F5E">
        <w:t>EU Humira and US Humira were also comparable</w:t>
      </w:r>
      <w:r w:rsidR="00EC177F">
        <w:t>.</w:t>
      </w:r>
    </w:p>
    <w:p w14:paraId="5D72A6A9" w14:textId="77777777" w:rsidR="000855DE" w:rsidRPr="00D400C9" w:rsidRDefault="000855DE" w:rsidP="00E07453">
      <w:pPr>
        <w:rPr>
          <w:rFonts w:asciiTheme="minorHAnsi" w:hAnsiTheme="minorHAnsi"/>
        </w:rPr>
      </w:pPr>
      <w:r>
        <w:t xml:space="preserve">Greater than 95% of all </w:t>
      </w:r>
      <w:r w:rsidRPr="00D400C9">
        <w:t xml:space="preserve">subjects tested positive for anti-drug antibodies (ADA) </w:t>
      </w:r>
      <w:r>
        <w:t>with</w:t>
      </w:r>
      <w:r w:rsidRPr="00B46E2F">
        <w:t xml:space="preserve"> </w:t>
      </w:r>
      <w:r>
        <w:t>neutralising antibodies (</w:t>
      </w:r>
      <w:proofErr w:type="spellStart"/>
      <w:r w:rsidRPr="00B46E2F">
        <w:t>N</w:t>
      </w:r>
      <w:r>
        <w:t>A</w:t>
      </w:r>
      <w:r w:rsidRPr="00B46E2F">
        <w:t>b</w:t>
      </w:r>
      <w:proofErr w:type="spellEnd"/>
      <w:r>
        <w:t>)</w:t>
      </w:r>
      <w:r w:rsidRPr="00B46E2F">
        <w:t xml:space="preserve"> to adalimumab </w:t>
      </w:r>
      <w:r>
        <w:t>similar amongst the three groups (79.0% for Hadlima and 80.0% for EU Humira)</w:t>
      </w:r>
      <w:r w:rsidRPr="00D400C9">
        <w:rPr>
          <w:rFonts w:asciiTheme="minorHAnsi" w:hAnsiTheme="minorHAnsi"/>
        </w:rPr>
        <w:t>.</w:t>
      </w:r>
      <w:r w:rsidR="0069652B">
        <w:rPr>
          <w:rFonts w:asciiTheme="minorHAnsi" w:hAnsiTheme="minorHAnsi"/>
        </w:rPr>
        <w:t xml:space="preserve"> </w:t>
      </w:r>
      <w:r w:rsidRPr="00B46E2F">
        <w:t xml:space="preserve">For subjects with </w:t>
      </w:r>
      <w:proofErr w:type="spellStart"/>
      <w:r w:rsidRPr="00B46E2F">
        <w:t>NAb</w:t>
      </w:r>
      <w:proofErr w:type="spellEnd"/>
      <w:r w:rsidRPr="00B46E2F">
        <w:t xml:space="preserve"> positive results</w:t>
      </w:r>
      <w:r>
        <w:t xml:space="preserve">, </w:t>
      </w:r>
      <w:proofErr w:type="spellStart"/>
      <w:r w:rsidRPr="00B46E2F">
        <w:t>AUC</w:t>
      </w:r>
      <w:r w:rsidRPr="0080780A">
        <w:rPr>
          <w:vertAlign w:val="subscript"/>
        </w:rPr>
        <w:t>inf</w:t>
      </w:r>
      <w:proofErr w:type="spellEnd"/>
      <w:r w:rsidRPr="00B46E2F">
        <w:t xml:space="preserve"> values</w:t>
      </w:r>
      <w:r>
        <w:t xml:space="preserve"> across the 3 groups were lower by about a third compared to Nab negative subjects, however </w:t>
      </w:r>
      <w:r w:rsidR="00C05C12" w:rsidRPr="00245F5E">
        <w:t>C</w:t>
      </w:r>
      <w:r w:rsidR="00C05C12" w:rsidRPr="00C05C12">
        <w:rPr>
          <w:vertAlign w:val="subscript"/>
        </w:rPr>
        <w:t>max</w:t>
      </w:r>
      <w:r>
        <w:t xml:space="preserve"> results were similar.</w:t>
      </w:r>
    </w:p>
    <w:p w14:paraId="12708BA5" w14:textId="77777777" w:rsidR="000855DE" w:rsidRDefault="000855DE" w:rsidP="00E07453">
      <w:pPr>
        <w:pStyle w:val="Heading5"/>
      </w:pPr>
      <w:r>
        <w:rPr>
          <w:rFonts w:asciiTheme="minorHAnsi" w:hAnsiTheme="minorHAnsi"/>
        </w:rPr>
        <w:t>S</w:t>
      </w:r>
      <w:r w:rsidR="00C05C12">
        <w:rPr>
          <w:rFonts w:asciiTheme="minorHAnsi" w:hAnsiTheme="minorHAnsi"/>
          <w:szCs w:val="22"/>
        </w:rPr>
        <w:t xml:space="preserve">tudy </w:t>
      </w:r>
      <w:r w:rsidRPr="00BC449C">
        <w:t>SB5-G12-NHV</w:t>
      </w:r>
    </w:p>
    <w:p w14:paraId="02AA0227" w14:textId="5578BEFC" w:rsidR="000855DE" w:rsidRPr="000855DE" w:rsidRDefault="00C05C12" w:rsidP="00E07453">
      <w:r>
        <w:t>S</w:t>
      </w:r>
      <w:r w:rsidR="000855DE" w:rsidRPr="00245F5E">
        <w:t>tudy</w:t>
      </w:r>
      <w:r w:rsidR="000855DE" w:rsidRPr="000855DE">
        <w:t>, SB5-G12-NHV,</w:t>
      </w:r>
      <w:r w:rsidR="000855DE" w:rsidRPr="00245F5E">
        <w:t xml:space="preserve"> was a single dose, randomised, </w:t>
      </w:r>
      <w:r w:rsidR="000855DE">
        <w:t>open label</w:t>
      </w:r>
      <w:r w:rsidR="000855DE" w:rsidRPr="00245F5E">
        <w:t xml:space="preserve">, </w:t>
      </w:r>
      <w:r w:rsidR="000855DE">
        <w:t>two</w:t>
      </w:r>
      <w:r>
        <w:t xml:space="preserve"> </w:t>
      </w:r>
      <w:r w:rsidR="000855DE" w:rsidRPr="00245F5E">
        <w:t xml:space="preserve">arm, parallel group, </w:t>
      </w:r>
      <w:r>
        <w:t>Phase I</w:t>
      </w:r>
      <w:r w:rsidR="000855DE" w:rsidRPr="00245F5E">
        <w:t xml:space="preserve"> study conducted in </w:t>
      </w:r>
      <w:r w:rsidR="000855DE">
        <w:t>190</w:t>
      </w:r>
      <w:r w:rsidR="000855DE" w:rsidRPr="00245F5E">
        <w:t xml:space="preserve"> healthy subjects</w:t>
      </w:r>
      <w:r w:rsidR="000855DE">
        <w:t xml:space="preserve"> comparing PK, tolerability and safety of Hadlima administered by PFS and AID</w:t>
      </w:r>
      <w:r w:rsidR="000855DE" w:rsidRPr="00245F5E">
        <w:t>.</w:t>
      </w:r>
      <w:r w:rsidR="0069652B">
        <w:t xml:space="preserve"> </w:t>
      </w:r>
      <w:r w:rsidR="000855DE" w:rsidRPr="00245F5E">
        <w:t xml:space="preserve">All </w:t>
      </w:r>
      <w:r w:rsidR="004A0B50">
        <w:t>but one of the randomi</w:t>
      </w:r>
      <w:r w:rsidR="00B948BA">
        <w:t>s</w:t>
      </w:r>
      <w:r w:rsidR="004A0B50">
        <w:t>ed</w:t>
      </w:r>
      <w:r w:rsidR="004A0B50" w:rsidRPr="00245F5E">
        <w:t xml:space="preserve"> </w:t>
      </w:r>
      <w:r w:rsidR="000855DE" w:rsidRPr="00245F5E">
        <w:t>subjects</w:t>
      </w:r>
      <w:r w:rsidR="004A0B50">
        <w:t xml:space="preserve"> of the SB5 PFS group</w:t>
      </w:r>
      <w:r w:rsidR="000855DE" w:rsidRPr="00245F5E">
        <w:t xml:space="preserve"> received a 40</w:t>
      </w:r>
      <w:r>
        <w:t xml:space="preserve"> </w:t>
      </w:r>
      <w:r w:rsidR="000855DE" w:rsidRPr="00245F5E">
        <w:t>mg subcutaneous dose</w:t>
      </w:r>
      <w:r w:rsidR="000855DE">
        <w:t xml:space="preserve"> and</w:t>
      </w:r>
      <w:r w:rsidR="000855DE" w:rsidRPr="00245F5E">
        <w:t xml:space="preserve"> primary PK variables (</w:t>
      </w:r>
      <w:r w:rsidR="000855DE">
        <w:t>AUC</w:t>
      </w:r>
      <w:r w:rsidR="000855DE" w:rsidRPr="006E0694">
        <w:rPr>
          <w:vertAlign w:val="subscript"/>
        </w:rPr>
        <w:t>inf</w:t>
      </w:r>
      <w:r w:rsidR="000855DE">
        <w:t>, AUC</w:t>
      </w:r>
      <w:r w:rsidR="000855DE" w:rsidRPr="006E0694">
        <w:rPr>
          <w:vertAlign w:val="subscript"/>
        </w:rPr>
        <w:t>last</w:t>
      </w:r>
      <w:r w:rsidR="000855DE">
        <w:t xml:space="preserve"> and </w:t>
      </w:r>
      <w:r w:rsidRPr="00245F5E">
        <w:t>C</w:t>
      </w:r>
      <w:r w:rsidRPr="00C05C12">
        <w:rPr>
          <w:vertAlign w:val="subscript"/>
        </w:rPr>
        <w:t>max</w:t>
      </w:r>
      <w:r>
        <w:t xml:space="preserve"> using 0.8 to </w:t>
      </w:r>
      <w:r w:rsidR="000855DE" w:rsidRPr="00245F5E">
        <w:t>1.25 confidence limits), and secondary variables, were measured.</w:t>
      </w:r>
      <w:r w:rsidR="0069652B">
        <w:t xml:space="preserve"> </w:t>
      </w:r>
      <w:r w:rsidR="000855DE" w:rsidRPr="00245F5E">
        <w:t xml:space="preserve">The results for key variables </w:t>
      </w:r>
      <w:r w:rsidR="000855DE">
        <w:t>showed the AID and PFS were comparable (ratio)</w:t>
      </w:r>
      <w:r w:rsidR="000855DE" w:rsidRPr="00245F5E">
        <w:t>:</w:t>
      </w:r>
    </w:p>
    <w:p w14:paraId="4F21310A" w14:textId="1F762753" w:rsidR="000855DE" w:rsidRPr="00245F5E" w:rsidRDefault="000855DE" w:rsidP="00E07453">
      <w:pPr>
        <w:pStyle w:val="ListBullet"/>
        <w:rPr>
          <w:rFonts w:asciiTheme="minorHAnsi" w:hAnsiTheme="minorHAnsi"/>
        </w:rPr>
      </w:pPr>
      <w:proofErr w:type="spellStart"/>
      <w:r w:rsidRPr="00245F5E">
        <w:t>AUC</w:t>
      </w:r>
      <w:r w:rsidRPr="00245F5E">
        <w:rPr>
          <w:vertAlign w:val="subscript"/>
        </w:rPr>
        <w:t>inf</w:t>
      </w:r>
      <w:proofErr w:type="spellEnd"/>
      <w:r w:rsidRPr="00245F5E">
        <w:t xml:space="preserve"> (</w:t>
      </w:r>
      <w:r>
        <w:t>1.</w:t>
      </w:r>
      <w:r w:rsidRPr="00E07453">
        <w:t>104</w:t>
      </w:r>
      <w:r>
        <w:t>, 90%</w:t>
      </w:r>
      <w:r w:rsidR="00B948BA">
        <w:t xml:space="preserve"> </w:t>
      </w:r>
      <w:r>
        <w:t xml:space="preserve">CI </w:t>
      </w:r>
      <w:r w:rsidRPr="00546E12">
        <w:t>0.9953 to 1.2240</w:t>
      </w:r>
      <w:r w:rsidRPr="00245F5E">
        <w:t>)</w:t>
      </w:r>
    </w:p>
    <w:p w14:paraId="4763202E" w14:textId="12CF5ED1" w:rsidR="000855DE" w:rsidRPr="00245F5E" w:rsidRDefault="000855DE" w:rsidP="000855DE">
      <w:pPr>
        <w:pStyle w:val="ListBullet"/>
        <w:rPr>
          <w:rFonts w:asciiTheme="minorHAnsi" w:hAnsiTheme="minorHAnsi"/>
        </w:rPr>
      </w:pPr>
      <w:r w:rsidRPr="00245F5E">
        <w:t>AUC</w:t>
      </w:r>
      <w:r w:rsidRPr="00245F5E">
        <w:rPr>
          <w:vertAlign w:val="subscript"/>
        </w:rPr>
        <w:t>last</w:t>
      </w:r>
      <w:r w:rsidRPr="00245F5E">
        <w:t xml:space="preserve"> (</w:t>
      </w:r>
      <w:r>
        <w:t>1.070, 90%</w:t>
      </w:r>
      <w:r w:rsidR="00B948BA">
        <w:t xml:space="preserve"> </w:t>
      </w:r>
      <w:r>
        <w:t>CI 0.9802</w:t>
      </w:r>
      <w:r w:rsidRPr="00245F5E">
        <w:t xml:space="preserve"> to 1.</w:t>
      </w:r>
      <w:r>
        <w:t>1687</w:t>
      </w:r>
      <w:r w:rsidRPr="00245F5E">
        <w:t>)</w:t>
      </w:r>
    </w:p>
    <w:p w14:paraId="40D6637F" w14:textId="38752C3A" w:rsidR="000855DE" w:rsidRPr="005B2BD2" w:rsidRDefault="00C05C12" w:rsidP="000855DE">
      <w:pPr>
        <w:pStyle w:val="ListBullet"/>
        <w:rPr>
          <w:rFonts w:asciiTheme="minorHAnsi" w:hAnsiTheme="minorHAnsi"/>
        </w:rPr>
      </w:pPr>
      <w:r w:rsidRPr="00245F5E">
        <w:t>C</w:t>
      </w:r>
      <w:r w:rsidRPr="00C05C12">
        <w:rPr>
          <w:vertAlign w:val="subscript"/>
        </w:rPr>
        <w:t>max</w:t>
      </w:r>
      <w:r w:rsidR="000855DE" w:rsidRPr="00245F5E">
        <w:t xml:space="preserve"> (</w:t>
      </w:r>
      <w:r w:rsidR="000855DE">
        <w:t>1.021</w:t>
      </w:r>
      <w:r w:rsidR="000855DE" w:rsidRPr="00245F5E">
        <w:t>, 90%</w:t>
      </w:r>
      <w:r w:rsidR="00B948BA">
        <w:t xml:space="preserve"> </w:t>
      </w:r>
      <w:r w:rsidR="000855DE" w:rsidRPr="00245F5E">
        <w:t>CI 0.</w:t>
      </w:r>
      <w:r w:rsidR="000855DE">
        <w:t>9503</w:t>
      </w:r>
      <w:r w:rsidR="000855DE" w:rsidRPr="00245F5E">
        <w:t xml:space="preserve"> to 1.</w:t>
      </w:r>
      <w:r w:rsidR="000855DE">
        <w:t>0968</w:t>
      </w:r>
      <w:r w:rsidR="000855DE" w:rsidRPr="00245F5E">
        <w:t>)</w:t>
      </w:r>
    </w:p>
    <w:p w14:paraId="7BB3D05B" w14:textId="77777777" w:rsidR="000855DE" w:rsidRPr="005B2BD2" w:rsidRDefault="00C05C12" w:rsidP="000855DE">
      <w:pPr>
        <w:pStyle w:val="ListBullet"/>
        <w:rPr>
          <w:rFonts w:asciiTheme="minorHAnsi" w:hAnsiTheme="minorHAnsi"/>
        </w:rPr>
      </w:pPr>
      <w:r>
        <w:t>T</w:t>
      </w:r>
      <w:r w:rsidRPr="00C05C12">
        <w:rPr>
          <w:vertAlign w:val="subscript"/>
        </w:rPr>
        <w:t>max</w:t>
      </w:r>
      <w:r w:rsidR="000855DE">
        <w:t xml:space="preserve"> was 168</w:t>
      </w:r>
      <w:r>
        <w:t xml:space="preserve"> </w:t>
      </w:r>
      <w:r w:rsidR="000855DE">
        <w:t>h</w:t>
      </w:r>
      <w:r>
        <w:t>ours</w:t>
      </w:r>
      <w:r w:rsidR="000855DE">
        <w:t xml:space="preserve"> for both</w:t>
      </w:r>
    </w:p>
    <w:p w14:paraId="3C4D2F5D" w14:textId="62652689" w:rsidR="000855DE" w:rsidRPr="005B2BD2" w:rsidRDefault="000855DE" w:rsidP="000855DE">
      <w:pPr>
        <w:pStyle w:val="ListBullet"/>
        <w:rPr>
          <w:rFonts w:asciiTheme="minorHAnsi" w:hAnsiTheme="minorHAnsi"/>
        </w:rPr>
      </w:pPr>
      <w:r>
        <w:t>T</w:t>
      </w:r>
      <w:r>
        <w:rPr>
          <w:vertAlign w:val="subscript"/>
        </w:rPr>
        <w:t xml:space="preserve">1/2 </w:t>
      </w:r>
      <w:r w:rsidRPr="0082450F">
        <w:t>mean</w:t>
      </w:r>
      <w:r w:rsidRPr="00DE70EF">
        <w:t xml:space="preserve"> </w:t>
      </w:r>
      <w:r w:rsidRPr="006900D9">
        <w:t>384.03</w:t>
      </w:r>
      <w:r w:rsidR="00C05C12">
        <w:t xml:space="preserve"> </w:t>
      </w:r>
      <w:r>
        <w:t>h</w:t>
      </w:r>
      <w:r w:rsidR="00C05C12">
        <w:t>ours</w:t>
      </w:r>
      <w:r>
        <w:t xml:space="preserve"> for AID and 320.48</w:t>
      </w:r>
      <w:r w:rsidR="00C05C12">
        <w:t xml:space="preserve"> </w:t>
      </w:r>
      <w:r>
        <w:t>h</w:t>
      </w:r>
      <w:r w:rsidR="00C05C12">
        <w:t>ours</w:t>
      </w:r>
      <w:r>
        <w:t xml:space="preserve"> for PFS</w:t>
      </w:r>
    </w:p>
    <w:p w14:paraId="781EE9CF" w14:textId="77777777" w:rsidR="000855DE" w:rsidRPr="00245F5E" w:rsidRDefault="00670D09" w:rsidP="000855DE">
      <w:pPr>
        <w:pStyle w:val="ListBullet"/>
        <w:rPr>
          <w:rFonts w:asciiTheme="minorHAnsi" w:hAnsiTheme="minorHAnsi"/>
        </w:rPr>
      </w:pPr>
      <w:r>
        <w:t>Apparent drug clearance</w:t>
      </w:r>
      <w:r w:rsidRPr="006900D9">
        <w:t xml:space="preserve"> </w:t>
      </w:r>
      <w:r>
        <w:t>(</w:t>
      </w:r>
      <w:r w:rsidR="000855DE" w:rsidRPr="006900D9">
        <w:t>CL/F</w:t>
      </w:r>
      <w:r>
        <w:t>)</w:t>
      </w:r>
      <w:r w:rsidR="000855DE" w:rsidRPr="006900D9">
        <w:t xml:space="preserve"> </w:t>
      </w:r>
      <w:r w:rsidR="000855DE">
        <w:t>17.</w:t>
      </w:r>
      <w:r w:rsidR="000855DE" w:rsidRPr="006900D9">
        <w:t>4</w:t>
      </w:r>
      <w:r w:rsidR="000855DE">
        <w:t xml:space="preserve"> mL/h</w:t>
      </w:r>
      <w:r w:rsidR="00C05C12">
        <w:t>ours</w:t>
      </w:r>
      <w:r w:rsidR="000855DE">
        <w:t xml:space="preserve"> for AID</w:t>
      </w:r>
      <w:r w:rsidR="000855DE" w:rsidRPr="006900D9">
        <w:t xml:space="preserve"> </w:t>
      </w:r>
      <w:r w:rsidR="000855DE">
        <w:t>and</w:t>
      </w:r>
      <w:r w:rsidR="000855DE" w:rsidRPr="006900D9">
        <w:t xml:space="preserve"> </w:t>
      </w:r>
      <w:r w:rsidR="000855DE">
        <w:t>19</w:t>
      </w:r>
      <w:r w:rsidR="000855DE" w:rsidRPr="006900D9">
        <w:t>.</w:t>
      </w:r>
      <w:r w:rsidR="000855DE">
        <w:t>25</w:t>
      </w:r>
      <w:r w:rsidR="000855DE" w:rsidRPr="006900D9">
        <w:t xml:space="preserve"> </w:t>
      </w:r>
      <w:r w:rsidR="000855DE">
        <w:t>mL/h</w:t>
      </w:r>
      <w:r w:rsidR="00C05C12">
        <w:t>ours</w:t>
      </w:r>
      <w:r w:rsidR="000855DE">
        <w:t xml:space="preserve"> for PFS</w:t>
      </w:r>
    </w:p>
    <w:p w14:paraId="54FCA109" w14:textId="77777777" w:rsidR="000855DE" w:rsidRDefault="000855DE" w:rsidP="00E07453">
      <w:pPr>
        <w:pStyle w:val="Heading5"/>
      </w:pPr>
      <w:r w:rsidRPr="00957F15">
        <w:t>SB</w:t>
      </w:r>
      <w:r>
        <w:t>5</w:t>
      </w:r>
      <w:r w:rsidRPr="00957F15">
        <w:t>-G31-RA</w:t>
      </w:r>
    </w:p>
    <w:p w14:paraId="7ABAB367" w14:textId="54C17145" w:rsidR="000855DE" w:rsidRDefault="00C05C12" w:rsidP="00E07453">
      <w:r>
        <w:t>S</w:t>
      </w:r>
      <w:r w:rsidR="006E2959" w:rsidRPr="00E87213">
        <w:t xml:space="preserve">tudy </w:t>
      </w:r>
      <w:r w:rsidRPr="00957F15">
        <w:t>SB</w:t>
      </w:r>
      <w:r>
        <w:t>5</w:t>
      </w:r>
      <w:r w:rsidRPr="00957F15">
        <w:t>-G31-RA</w:t>
      </w:r>
      <w:r w:rsidRPr="00E87213">
        <w:t xml:space="preserve"> </w:t>
      </w:r>
      <w:r>
        <w:t>was a sub-study of the P</w:t>
      </w:r>
      <w:r w:rsidR="006E2959" w:rsidRPr="00E87213">
        <w:t>hase III clinical study in rheumatoid arthritis.</w:t>
      </w:r>
      <w:r w:rsidR="0069652B">
        <w:t xml:space="preserve"> </w:t>
      </w:r>
      <w:r w:rsidR="006E2959" w:rsidRPr="00E87213">
        <w:t xml:space="preserve">This </w:t>
      </w:r>
      <w:r w:rsidRPr="00E87213">
        <w:t>sub study</w:t>
      </w:r>
      <w:r w:rsidR="006E2959" w:rsidRPr="00E87213">
        <w:t xml:space="preserve"> was conducted in 356 patients (178 Hadlima and 178 EU Humira) who provided baseline and trough levels.</w:t>
      </w:r>
      <w:r w:rsidR="0069652B">
        <w:t xml:space="preserve"> </w:t>
      </w:r>
      <w:r w:rsidR="006E2959" w:rsidRPr="00E87213">
        <w:t>Steady state concentrations for Hadlima and Humira were achieved by 12 weeks of therapy.</w:t>
      </w:r>
      <w:r w:rsidR="0069652B">
        <w:t xml:space="preserve"> </w:t>
      </w:r>
      <w:r w:rsidR="006E2959" w:rsidRPr="00E87213">
        <w:t>Mean serum trough concentrations of adalimumab were comparable between Hadlima (ranging from</w:t>
      </w:r>
      <w:r w:rsidR="00D02A3B">
        <w:t>,</w:t>
      </w:r>
      <w:r w:rsidR="006E2959" w:rsidRPr="00E87213">
        <w:t xml:space="preserve"> 3.85 μg/mL at </w:t>
      </w:r>
      <w:r w:rsidR="00392E61">
        <w:t>Week</w:t>
      </w:r>
      <w:r w:rsidR="006E2959" w:rsidRPr="00E87213">
        <w:t xml:space="preserve"> 4</w:t>
      </w:r>
      <w:r w:rsidR="00D02A3B">
        <w:t>,</w:t>
      </w:r>
      <w:r w:rsidR="006E2959" w:rsidRPr="00E87213">
        <w:t xml:space="preserve"> </w:t>
      </w:r>
      <w:proofErr w:type="gramStart"/>
      <w:r w:rsidR="006E2959" w:rsidRPr="00E87213">
        <w:t xml:space="preserve">to 6.76 μg/mL at </w:t>
      </w:r>
      <w:r w:rsidR="00392E61">
        <w:t>Week</w:t>
      </w:r>
      <w:r w:rsidR="006E2959" w:rsidRPr="00E87213">
        <w:t xml:space="preserve"> 24</w:t>
      </w:r>
      <w:proofErr w:type="gramEnd"/>
      <w:r w:rsidR="006E2959" w:rsidRPr="00E87213">
        <w:t xml:space="preserve">) and EU Humira (ranging from 3.89 μg/mL at </w:t>
      </w:r>
      <w:r w:rsidR="00392E61">
        <w:t>Week</w:t>
      </w:r>
      <w:r w:rsidR="006E2959" w:rsidRPr="00E87213">
        <w:t xml:space="preserve"> 4 to 6.77 μg/mL at </w:t>
      </w:r>
      <w:r w:rsidR="00392E61">
        <w:t>Week</w:t>
      </w:r>
      <w:r w:rsidR="00EC177F">
        <w:t> </w:t>
      </w:r>
      <w:r w:rsidR="006E2959" w:rsidRPr="00E87213">
        <w:t>24).</w:t>
      </w:r>
      <w:r w:rsidR="0069652B">
        <w:t xml:space="preserve"> </w:t>
      </w:r>
      <w:r w:rsidR="006E2959" w:rsidRPr="00E87213">
        <w:t xml:space="preserve">Both formulations of adalimumab exhibited high variability </w:t>
      </w:r>
      <w:r>
        <w:t xml:space="preserve">with the CV% ranging from 51.14 to 68.44% for Hadlima and 45.82 to </w:t>
      </w:r>
      <w:r w:rsidR="006E2959" w:rsidRPr="00E87213">
        <w:t>68.91% for EU Humira.</w:t>
      </w:r>
      <w:r w:rsidR="0069652B">
        <w:t xml:space="preserve"> </w:t>
      </w:r>
      <w:r w:rsidR="006E2959" w:rsidRPr="00E87213">
        <w:t xml:space="preserve">There was no significant difference between the 2 treatment groups in ADA positivity </w:t>
      </w:r>
      <w:r w:rsidR="006E2959">
        <w:t xml:space="preserve">(32.1% for Hadlima and 31.2% for Humira) </w:t>
      </w:r>
      <w:r w:rsidR="006E2959" w:rsidRPr="00E87213">
        <w:t>however C</w:t>
      </w:r>
      <w:r w:rsidR="006E2959" w:rsidRPr="00E87213">
        <w:rPr>
          <w:vertAlign w:val="subscript"/>
        </w:rPr>
        <w:t>trough</w:t>
      </w:r>
      <w:r w:rsidR="006E2959" w:rsidRPr="00E87213">
        <w:t xml:space="preserve"> values were lower in both groups with positive ADA results compared to those who were ADA negative.</w:t>
      </w:r>
      <w:r w:rsidR="0069652B">
        <w:t xml:space="preserve"> </w:t>
      </w:r>
      <w:r w:rsidR="006E2959">
        <w:t xml:space="preserve">Up to </w:t>
      </w:r>
      <w:r w:rsidR="00392E61">
        <w:t>Week</w:t>
      </w:r>
      <w:r w:rsidR="006E2959">
        <w:t xml:space="preserve"> 52, ADA positivity occurred in </w:t>
      </w:r>
      <w:r w:rsidR="006C5849">
        <w:t>35.8</w:t>
      </w:r>
      <w:r w:rsidR="006E2959">
        <w:t xml:space="preserve">% Hadlima </w:t>
      </w:r>
      <w:r>
        <w:t>versus</w:t>
      </w:r>
      <w:r w:rsidR="006E2959">
        <w:t xml:space="preserve"> 37.4% continuous Humira and 38.5% Humira</w:t>
      </w:r>
      <w:r w:rsidR="00D36CEF">
        <w:t xml:space="preserve"> switched to </w:t>
      </w:r>
      <w:r w:rsidR="006E2959">
        <w:t>Hadlima switch group.</w:t>
      </w:r>
      <w:r w:rsidR="0069652B">
        <w:t xml:space="preserve"> </w:t>
      </w:r>
      <w:r w:rsidR="006E2959">
        <w:t xml:space="preserve">The incidence of developing </w:t>
      </w:r>
      <w:proofErr w:type="spellStart"/>
      <w:r w:rsidR="006E2959">
        <w:t>NAb</w:t>
      </w:r>
      <w:proofErr w:type="spellEnd"/>
      <w:r w:rsidR="006E2959">
        <w:t xml:space="preserve"> at </w:t>
      </w:r>
      <w:r w:rsidR="00392E61">
        <w:t>Week</w:t>
      </w:r>
      <w:r w:rsidR="006E2959">
        <w:t xml:space="preserve"> 52 was 50% Hadlima </w:t>
      </w:r>
      <w:r>
        <w:t>versus</w:t>
      </w:r>
      <w:r w:rsidR="006E2959">
        <w:t xml:space="preserve"> 54.7% overall Humira.</w:t>
      </w:r>
    </w:p>
    <w:p w14:paraId="67816E27" w14:textId="77777777" w:rsidR="006E2959" w:rsidRPr="00EE44A1" w:rsidRDefault="006E2959" w:rsidP="00E07453">
      <w:pPr>
        <w:pStyle w:val="Heading4"/>
      </w:pPr>
      <w:r w:rsidRPr="00E07453">
        <w:t>Pharmacodynamics</w:t>
      </w:r>
    </w:p>
    <w:p w14:paraId="6B6BB232" w14:textId="77777777" w:rsidR="006E2959" w:rsidRPr="00EE44A1" w:rsidRDefault="006E2959" w:rsidP="006E2959">
      <w:pPr>
        <w:rPr>
          <w:rFonts w:asciiTheme="minorHAnsi" w:hAnsiTheme="minorHAnsi"/>
        </w:rPr>
      </w:pPr>
      <w:r w:rsidRPr="00EE44A1">
        <w:t xml:space="preserve">This submission did not contain any specific pharmacodynamic (PD) </w:t>
      </w:r>
      <w:r>
        <w:t>studies</w:t>
      </w:r>
      <w:r w:rsidRPr="00EE44A1">
        <w:t>.</w:t>
      </w:r>
    </w:p>
    <w:p w14:paraId="1DA014D0" w14:textId="77777777" w:rsidR="006E2959" w:rsidRPr="00C60168" w:rsidRDefault="006E2959" w:rsidP="00E07453">
      <w:pPr>
        <w:pStyle w:val="Heading4"/>
      </w:pPr>
      <w:r w:rsidRPr="00E07453">
        <w:lastRenderedPageBreak/>
        <w:t>Efficacy</w:t>
      </w:r>
    </w:p>
    <w:p w14:paraId="214B31BA" w14:textId="77777777" w:rsidR="006E2959" w:rsidRDefault="006E2959" w:rsidP="006E2959">
      <w:r w:rsidRPr="00C60168">
        <w:t>The dose selected for the pivotal study was based on the approved dose used in the Humira PI for RA.</w:t>
      </w:r>
    </w:p>
    <w:p w14:paraId="5CBF6EF5" w14:textId="77777777" w:rsidR="006E2959" w:rsidRPr="006E2959" w:rsidRDefault="006E2959" w:rsidP="00E07453">
      <w:pPr>
        <w:pStyle w:val="Heading5"/>
        <w:rPr>
          <w:szCs w:val="22"/>
        </w:rPr>
      </w:pPr>
      <w:r w:rsidRPr="00D74CC9">
        <w:t>Study</w:t>
      </w:r>
      <w:r w:rsidRPr="00D74CC9">
        <w:rPr>
          <w:kern w:val="16"/>
          <w:lang w:eastAsia="en-AU"/>
        </w:rPr>
        <w:t xml:space="preserve"> </w:t>
      </w:r>
      <w:r w:rsidRPr="00D74CC9">
        <w:t>SB5-G31-RA</w:t>
      </w:r>
    </w:p>
    <w:p w14:paraId="3710844C" w14:textId="0FE45B66" w:rsidR="006E2959" w:rsidRPr="006E2959" w:rsidRDefault="006E2959" w:rsidP="00E07453">
      <w:pPr>
        <w:rPr>
          <w:rFonts w:asciiTheme="minorHAnsi" w:hAnsiTheme="minorHAnsi"/>
        </w:rPr>
      </w:pPr>
      <w:r w:rsidRPr="006E2959">
        <w:rPr>
          <w:rFonts w:asciiTheme="minorHAnsi" w:hAnsiTheme="minorHAnsi"/>
        </w:rPr>
        <w:t>Study</w:t>
      </w:r>
      <w:r w:rsidRPr="006E2959">
        <w:rPr>
          <w:rFonts w:eastAsia="Times New Roman"/>
          <w:kern w:val="16"/>
          <w:lang w:eastAsia="en-AU"/>
        </w:rPr>
        <w:t xml:space="preserve"> </w:t>
      </w:r>
      <w:r w:rsidRPr="006E2959">
        <w:rPr>
          <w:rFonts w:asciiTheme="minorHAnsi" w:hAnsiTheme="minorHAnsi"/>
        </w:rPr>
        <w:t>SB5-G31-RA</w:t>
      </w:r>
      <w:r w:rsidRPr="006E2959">
        <w:rPr>
          <w:bCs/>
          <w:lang w:val="en-US"/>
        </w:rPr>
        <w:t>:</w:t>
      </w:r>
      <w:r w:rsidRPr="00D74CC9">
        <w:rPr>
          <w:b/>
          <w:bCs/>
          <w:lang w:val="en-US"/>
        </w:rPr>
        <w:t xml:space="preserve"> </w:t>
      </w:r>
      <w:r w:rsidRPr="00D74CC9">
        <w:rPr>
          <w:bCs/>
          <w:lang w:val="en-US"/>
        </w:rPr>
        <w:t>This study</w:t>
      </w:r>
      <w:r w:rsidRPr="00D74CC9">
        <w:rPr>
          <w:b/>
          <w:bCs/>
          <w:lang w:val="en-US"/>
        </w:rPr>
        <w:t xml:space="preserve"> </w:t>
      </w:r>
      <w:r w:rsidRPr="00D74CC9">
        <w:t xml:space="preserve">was a 52 week, multinational, multicentre, randomised, </w:t>
      </w:r>
      <w:r w:rsidR="00C05C12">
        <w:t>double blind</w:t>
      </w:r>
      <w:r w:rsidRPr="00D74CC9">
        <w:t xml:space="preserve">, parallel-group, </w:t>
      </w:r>
      <w:proofErr w:type="gramStart"/>
      <w:r w:rsidRPr="00D74CC9">
        <w:t>equivalence</w:t>
      </w:r>
      <w:proofErr w:type="gramEnd"/>
      <w:r w:rsidRPr="00D74CC9">
        <w:t xml:space="preserve"> trial of Hadlima </w:t>
      </w:r>
      <w:r w:rsidR="00C05C12">
        <w:t>versus</w:t>
      </w:r>
      <w:r w:rsidRPr="00D74CC9">
        <w:t xml:space="preserve"> EU Humira in 544 patients with moderate to severe rheumatoid arthritis, despite methotrexate (MTX) treatment.</w:t>
      </w:r>
      <w:r w:rsidR="0069652B">
        <w:t xml:space="preserve"> </w:t>
      </w:r>
      <w:r w:rsidRPr="00D74CC9">
        <w:t xml:space="preserve">Patients were treated with </w:t>
      </w:r>
      <w:r w:rsidR="00397016">
        <w:t>40 mg</w:t>
      </w:r>
      <w:r w:rsidRPr="00D74CC9">
        <w:t xml:space="preserve"> Hadlima or Humira every other week on a background of MTX.</w:t>
      </w:r>
      <w:r w:rsidR="0069652B">
        <w:t xml:space="preserve"> </w:t>
      </w:r>
      <w:r w:rsidRPr="00D74CC9">
        <w:t xml:space="preserve">After 24 weeks patients on Humira were randomised to either continue Humira or switch to Hadlima until </w:t>
      </w:r>
      <w:r w:rsidR="00392E61">
        <w:t>Week</w:t>
      </w:r>
      <w:r w:rsidRPr="00D74CC9">
        <w:t xml:space="preserve"> 50 (last dose).</w:t>
      </w:r>
      <w:r w:rsidR="0069652B">
        <w:t xml:space="preserve"> </w:t>
      </w:r>
      <w:r w:rsidR="00233ED8">
        <w:t xml:space="preserve">MTX at a dose of 10 to </w:t>
      </w:r>
      <w:r w:rsidRPr="00D74CC9">
        <w:t>25</w:t>
      </w:r>
      <w:r w:rsidR="00233ED8">
        <w:t> </w:t>
      </w:r>
      <w:r w:rsidRPr="00D74CC9">
        <w:t>mg weekly and folic acid were taken during the study.</w:t>
      </w:r>
      <w:r w:rsidR="0069652B">
        <w:t xml:space="preserve"> </w:t>
      </w:r>
      <w:r w:rsidRPr="00D74CC9">
        <w:t xml:space="preserve">The study had </w:t>
      </w:r>
      <w:r w:rsidR="00233ED8">
        <w:t xml:space="preserve">approximately </w:t>
      </w:r>
      <w:r w:rsidRPr="00D74CC9">
        <w:t xml:space="preserve">80% power and an equivalence margin of </w:t>
      </w:r>
      <w:r w:rsidR="00233ED8">
        <w:t xml:space="preserve">± </w:t>
      </w:r>
      <w:r w:rsidRPr="00D74CC9">
        <w:t>15%.</w:t>
      </w:r>
      <w:r w:rsidR="0069652B">
        <w:t xml:space="preserve"> </w:t>
      </w:r>
      <w:r w:rsidRPr="00D74CC9">
        <w:t>To declare equivalence betwee</w:t>
      </w:r>
      <w:r w:rsidR="00233ED8">
        <w:t>n the 2</w:t>
      </w:r>
      <w:r w:rsidR="00EC177F">
        <w:t> </w:t>
      </w:r>
      <w:r w:rsidR="00233ED8">
        <w:t xml:space="preserve">treatment groups, the 2 </w:t>
      </w:r>
      <w:r w:rsidRPr="00D74CC9">
        <w:t xml:space="preserve">sided 95% CI of the difference of the two populations should be contained within </w:t>
      </w:r>
      <w:r w:rsidR="00233ED8">
        <w:t xml:space="preserve">± </w:t>
      </w:r>
      <w:r w:rsidRPr="00D74CC9">
        <w:t>15%.</w:t>
      </w:r>
      <w:r w:rsidR="0069652B">
        <w:t xml:space="preserve"> </w:t>
      </w:r>
      <w:r w:rsidRPr="00D74CC9">
        <w:t xml:space="preserve">Study completion to </w:t>
      </w:r>
      <w:r w:rsidR="00392E61">
        <w:t>Week</w:t>
      </w:r>
      <w:r w:rsidRPr="00D74CC9">
        <w:t xml:space="preserve"> 24 was high at 93.4% and at </w:t>
      </w:r>
      <w:r w:rsidR="00392E61">
        <w:t>Week</w:t>
      </w:r>
      <w:r w:rsidRPr="00D74CC9">
        <w:t xml:space="preserve"> 52 was 96.3%.</w:t>
      </w:r>
      <w:r w:rsidR="0069652B">
        <w:t xml:space="preserve"> </w:t>
      </w:r>
      <w:r w:rsidRPr="00D74CC9">
        <w:t xml:space="preserve">Major protocol deviations that led to exclusion from the respective analyses were slightly higher on Hadlima than Humira for the per-protocol set at </w:t>
      </w:r>
      <w:r w:rsidR="00392E61">
        <w:t>Week</w:t>
      </w:r>
      <w:r w:rsidRPr="00D74CC9">
        <w:t xml:space="preserve"> 24 (7.7% </w:t>
      </w:r>
      <w:r w:rsidR="00C05C12">
        <w:t>versus</w:t>
      </w:r>
      <w:r w:rsidRPr="00D74CC9">
        <w:t xml:space="preserve"> 6.6%) and higher for the per-protocol set at </w:t>
      </w:r>
      <w:r w:rsidR="00392E61">
        <w:t>Week</w:t>
      </w:r>
      <w:r w:rsidRPr="00D74CC9">
        <w:t xml:space="preserve"> 52 (15.1% </w:t>
      </w:r>
      <w:r w:rsidR="00C05C12">
        <w:t>versus</w:t>
      </w:r>
      <w:r w:rsidRPr="00D74CC9">
        <w:t xml:space="preserve"> 9.5%).</w:t>
      </w:r>
      <w:r w:rsidR="0069652B">
        <w:t xml:space="preserve"> </w:t>
      </w:r>
      <w:r w:rsidRPr="00D74CC9">
        <w:t xml:space="preserve">At baseline, Hadlima </w:t>
      </w:r>
      <w:r w:rsidR="00C05C12">
        <w:t>versus</w:t>
      </w:r>
      <w:r w:rsidRPr="00D74CC9">
        <w:t xml:space="preserve"> Humira had comparable demographic and disease characteristics except for age (mean 49.8-52.5 years, 81% female, 99% White, mean 5.5</w:t>
      </w:r>
      <w:r w:rsidR="00EC177F">
        <w:t> </w:t>
      </w:r>
      <w:r w:rsidRPr="00D74CC9">
        <w:t xml:space="preserve">years of RA, mean </w:t>
      </w:r>
      <w:r w:rsidR="00233ED8">
        <w:t>approximately 15 mg</w:t>
      </w:r>
      <w:r w:rsidRPr="00D74CC9">
        <w:t xml:space="preserve"> of M</w:t>
      </w:r>
      <w:r w:rsidR="00233ED8">
        <w:t xml:space="preserve">TX at baseline with a mean 39.5 to </w:t>
      </w:r>
      <w:r w:rsidRPr="00D74CC9">
        <w:t>3</w:t>
      </w:r>
      <w:r w:rsidR="00233ED8">
        <w:t>7.8</w:t>
      </w:r>
      <w:r w:rsidR="00EC177F">
        <w:t> </w:t>
      </w:r>
      <w:r w:rsidR="00233ED8">
        <w:t xml:space="preserve">months prior use, mean 23.9 to 24.1 tender joints, mean 15.5 to 15.8 swollen joints, mean 11.47 to </w:t>
      </w:r>
      <w:r w:rsidRPr="00D74CC9">
        <w:t>12.64</w:t>
      </w:r>
      <w:r w:rsidR="00233ED8">
        <w:t xml:space="preserve"> </w:t>
      </w:r>
      <w:r w:rsidRPr="00D74CC9">
        <w:t>mg/L CRP, mean 39.6</w:t>
      </w:r>
      <w:r w:rsidR="00233ED8">
        <w:t xml:space="preserve"> </w:t>
      </w:r>
      <w:r w:rsidRPr="00D74CC9">
        <w:t>mm/h</w:t>
      </w:r>
      <w:r w:rsidR="00233ED8">
        <w:t xml:space="preserve">our ESR, 74.9 to </w:t>
      </w:r>
      <w:r w:rsidRPr="00D74CC9">
        <w:t xml:space="preserve">67.8% Rheumatoid factor positive, mean </w:t>
      </w:r>
      <w:proofErr w:type="spellStart"/>
      <w:r w:rsidRPr="00D74CC9">
        <w:t>mTSS</w:t>
      </w:r>
      <w:proofErr w:type="spellEnd"/>
      <w:r w:rsidRPr="00D74CC9">
        <w:t xml:space="preserve"> of 2</w:t>
      </w:r>
      <w:r w:rsidR="00233ED8">
        <w:t xml:space="preserve">9.51 to </w:t>
      </w:r>
      <w:r w:rsidRPr="00D74CC9">
        <w:t xml:space="preserve">31.39 </w:t>
      </w:r>
      <w:r w:rsidR="00233ED8">
        <w:t>S</w:t>
      </w:r>
      <w:r w:rsidRPr="00D74CC9">
        <w:t>harp units).</w:t>
      </w:r>
    </w:p>
    <w:p w14:paraId="0FB0228A" w14:textId="77777777" w:rsidR="00233ED8" w:rsidRDefault="006E2959" w:rsidP="00E07453">
      <w:r w:rsidRPr="00D74CC9">
        <w:t xml:space="preserve">The primary efficacy outcome using the validated ACR20 response at </w:t>
      </w:r>
      <w:r w:rsidR="00392E61">
        <w:t>Week</w:t>
      </w:r>
      <w:r w:rsidRPr="00D74CC9">
        <w:t xml:space="preserve"> 24, per-protocol analysis, demonstrated equivalence at 72.4% Hadlima </w:t>
      </w:r>
      <w:r w:rsidR="00C05C12">
        <w:t>versus</w:t>
      </w:r>
      <w:r w:rsidRPr="00D74CC9">
        <w:t xml:space="preserve"> 72.2% Humira (treatment difference of 0.1%, 95% CI -7.83% to 8.13%); </w:t>
      </w:r>
      <w:r w:rsidR="00C05C12">
        <w:t>that is</w:t>
      </w:r>
      <w:r w:rsidRPr="00D74CC9">
        <w:t xml:space="preserve"> within the pre-specified equivalence margins.</w:t>
      </w:r>
      <w:r w:rsidR="0069652B">
        <w:t xml:space="preserve"> </w:t>
      </w:r>
      <w:r w:rsidRPr="00D74CC9">
        <w:t xml:space="preserve">The full analysis set cohort using the non-responder analysis demonstrated similar findings as did two additional sensitivity analyses (68.0% Hadlima </w:t>
      </w:r>
      <w:r w:rsidR="00C05C12">
        <w:t>versus</w:t>
      </w:r>
      <w:r w:rsidRPr="00D74CC9">
        <w:t xml:space="preserve"> 67.4% Humira, treatment difference of 0.8%, 95% CI -7.03% to 8.56%).</w:t>
      </w:r>
      <w:r w:rsidR="0069652B">
        <w:t xml:space="preserve"> </w:t>
      </w:r>
      <w:r w:rsidRPr="00D74CC9">
        <w:t>A time-response curve demonstrated similarity</w:t>
      </w:r>
      <w:r w:rsidR="00233ED8">
        <w:t>.</w:t>
      </w:r>
    </w:p>
    <w:p w14:paraId="7329D42F" w14:textId="77777777" w:rsidR="006E2959" w:rsidRPr="00A349DE" w:rsidRDefault="006E2959" w:rsidP="006E2959">
      <w:pPr>
        <w:rPr>
          <w:rFonts w:asciiTheme="minorHAnsi" w:hAnsiTheme="minorHAnsi"/>
        </w:rPr>
      </w:pPr>
      <w:r w:rsidRPr="00A349DE">
        <w:t xml:space="preserve">Secondary efficacy endpoints comparing Hadlima </w:t>
      </w:r>
      <w:r w:rsidR="00C05C12">
        <w:t>versus</w:t>
      </w:r>
      <w:r w:rsidRPr="00A349DE">
        <w:t xml:space="preserve"> Humira (treatment difference</w:t>
      </w:r>
      <w:r>
        <w:t>, 95% CI</w:t>
      </w:r>
      <w:r w:rsidRPr="00A349DE">
        <w:t xml:space="preserve">) at </w:t>
      </w:r>
      <w:r w:rsidR="00392E61">
        <w:t>Week</w:t>
      </w:r>
      <w:r w:rsidRPr="00A349DE">
        <w:t xml:space="preserve"> 24 or Hadlima </w:t>
      </w:r>
      <w:r w:rsidR="00C05C12">
        <w:t>versus</w:t>
      </w:r>
      <w:r w:rsidRPr="00A349DE">
        <w:t xml:space="preserve"> continuous Humira </w:t>
      </w:r>
      <w:r w:rsidR="00C05C12">
        <w:t>versus</w:t>
      </w:r>
      <w:r w:rsidRPr="00A349DE">
        <w:t xml:space="preserve"> Humira</w:t>
      </w:r>
      <w:r w:rsidR="00233ED8">
        <w:t xml:space="preserve"> </w:t>
      </w:r>
      <w:r w:rsidR="00233ED8">
        <w:sym w:font="Symbol" w:char="F0AE"/>
      </w:r>
      <w:r w:rsidR="00233ED8">
        <w:t xml:space="preserve"> </w:t>
      </w:r>
      <w:r>
        <w:t>Hadlima switch group</w:t>
      </w:r>
      <w:r w:rsidRPr="00A349DE">
        <w:t xml:space="preserve"> at </w:t>
      </w:r>
      <w:r w:rsidR="00392E61">
        <w:t>Week</w:t>
      </w:r>
      <w:r w:rsidRPr="00A349DE">
        <w:t xml:space="preserve"> 52 were supportive:</w:t>
      </w:r>
    </w:p>
    <w:p w14:paraId="26BDF6ED" w14:textId="77777777" w:rsidR="006E2959" w:rsidRPr="00A349DE" w:rsidRDefault="006E2959" w:rsidP="00E07453">
      <w:pPr>
        <w:pStyle w:val="ListBullet"/>
      </w:pPr>
      <w:r w:rsidRPr="00A349DE">
        <w:t xml:space="preserve">ACR20 at </w:t>
      </w:r>
      <w:r w:rsidR="00392E61" w:rsidRPr="00E07453">
        <w:t>Week</w:t>
      </w:r>
      <w:r w:rsidRPr="00A349DE">
        <w:t xml:space="preserve"> 52 (PPS2): 76.9% </w:t>
      </w:r>
      <w:r w:rsidR="00C05C12">
        <w:t>versus</w:t>
      </w:r>
      <w:r w:rsidRPr="00A349DE">
        <w:t xml:space="preserve"> 71.2% </w:t>
      </w:r>
      <w:r w:rsidR="00C05C12">
        <w:t>versus</w:t>
      </w:r>
      <w:r w:rsidR="00233ED8">
        <w:t xml:space="preserve"> 81.1%</w:t>
      </w:r>
    </w:p>
    <w:p w14:paraId="60B6B2A5" w14:textId="77777777" w:rsidR="006E2959" w:rsidRPr="00A349DE" w:rsidRDefault="006E2959" w:rsidP="006E2959">
      <w:pPr>
        <w:pStyle w:val="ListBullet2"/>
        <w:rPr>
          <w:rFonts w:asciiTheme="minorHAnsi" w:hAnsiTheme="minorHAnsi"/>
        </w:rPr>
      </w:pPr>
      <w:r w:rsidRPr="0071371A">
        <w:t>The lower limits of the 95% CI of the</w:t>
      </w:r>
      <w:r>
        <w:t xml:space="preserve"> </w:t>
      </w:r>
      <w:r w:rsidRPr="0071371A">
        <w:t>adjusted treatment differences were within the</w:t>
      </w:r>
      <w:r>
        <w:t xml:space="preserve"> </w:t>
      </w:r>
      <w:r w:rsidRPr="0071371A">
        <w:t>equivalence margin</w:t>
      </w:r>
      <w:r>
        <w:t>s</w:t>
      </w:r>
      <w:r w:rsidRPr="0071371A">
        <w:t xml:space="preserve"> of −15%</w:t>
      </w:r>
      <w:r>
        <w:t xml:space="preserve"> to</w:t>
      </w:r>
      <w:r w:rsidRPr="0071371A">
        <w:t xml:space="preserve"> 15%</w:t>
      </w:r>
      <w:r>
        <w:t>; however, the upper limits were not.</w:t>
      </w:r>
      <w:r w:rsidR="0069652B">
        <w:t xml:space="preserve"> </w:t>
      </w:r>
      <w:r w:rsidRPr="00340444">
        <w:t>The</w:t>
      </w:r>
      <w:r>
        <w:t xml:space="preserve"> </w:t>
      </w:r>
      <w:r w:rsidRPr="00340444">
        <w:t xml:space="preserve">adjusted treatment </w:t>
      </w:r>
      <w:r>
        <w:t xml:space="preserve">related </w:t>
      </w:r>
      <w:r w:rsidRPr="00340444">
        <w:t>difference</w:t>
      </w:r>
      <w:r>
        <w:t xml:space="preserve"> using non-responder analysis in the </w:t>
      </w:r>
      <w:r w:rsidRPr="00340444">
        <w:t xml:space="preserve">FAS </w:t>
      </w:r>
      <w:r>
        <w:t>was within the equivalence margin.</w:t>
      </w:r>
    </w:p>
    <w:p w14:paraId="5BF047E5" w14:textId="0280F487" w:rsidR="006E2959" w:rsidRPr="00A349DE" w:rsidRDefault="006E2959" w:rsidP="00E07453">
      <w:pPr>
        <w:pStyle w:val="ListBullet"/>
      </w:pPr>
      <w:r w:rsidRPr="00A349DE">
        <w:t xml:space="preserve">ACR20 at </w:t>
      </w:r>
      <w:r w:rsidR="00392E61" w:rsidRPr="00E07453">
        <w:t>Week</w:t>
      </w:r>
      <w:r w:rsidRPr="00A349DE">
        <w:t xml:space="preserve"> 52 (FAS</w:t>
      </w:r>
      <w:r w:rsidR="00A15DC5" w:rsidRPr="00A349DE">
        <w:t xml:space="preserve">): 77.8% </w:t>
      </w:r>
      <w:r w:rsidR="00A15DC5">
        <w:t>versus</w:t>
      </w:r>
      <w:r w:rsidR="00A15DC5" w:rsidRPr="00A349DE">
        <w:t xml:space="preserve"> 73.4% </w:t>
      </w:r>
      <w:r w:rsidR="00A15DC5">
        <w:t>versus</w:t>
      </w:r>
      <w:r w:rsidR="00A15DC5" w:rsidRPr="00A349DE">
        <w:t xml:space="preserve"> 78.8%</w:t>
      </w:r>
    </w:p>
    <w:p w14:paraId="2C0301DF" w14:textId="77777777" w:rsidR="006E2959" w:rsidRPr="00354BB0" w:rsidRDefault="006E2959" w:rsidP="006E2959">
      <w:pPr>
        <w:pStyle w:val="ListBullet"/>
      </w:pPr>
      <w:r w:rsidRPr="00354BB0">
        <w:t xml:space="preserve">ACR50 at </w:t>
      </w:r>
      <w:r w:rsidR="00392E61">
        <w:t>Week</w:t>
      </w:r>
      <w:r w:rsidRPr="00354BB0">
        <w:t xml:space="preserve"> 24 (PPS1): 38.1% </w:t>
      </w:r>
      <w:r w:rsidR="00C05C12">
        <w:t>versus</w:t>
      </w:r>
      <w:r w:rsidRPr="00354BB0">
        <w:t xml:space="preserve"> 39.7% (−2.0%, −10.69%, 6.75%</w:t>
      </w:r>
      <w:r>
        <w:t>)</w:t>
      </w:r>
    </w:p>
    <w:p w14:paraId="0A6B8E26" w14:textId="77777777" w:rsidR="006E2959" w:rsidRPr="00354BB0" w:rsidRDefault="006E2959" w:rsidP="006E2959">
      <w:pPr>
        <w:pStyle w:val="ListBullet"/>
      </w:pPr>
      <w:r w:rsidRPr="00354BB0">
        <w:t xml:space="preserve">ACR70 at </w:t>
      </w:r>
      <w:r w:rsidR="00392E61">
        <w:t>Week</w:t>
      </w:r>
      <w:r w:rsidRPr="00354BB0">
        <w:t xml:space="preserve"> 24 (PPS1): 19.2% </w:t>
      </w:r>
      <w:r w:rsidR="00C05C12">
        <w:t>versus</w:t>
      </w:r>
      <w:r w:rsidRPr="00354BB0">
        <w:t xml:space="preserve"> 20.3% (−1.3%, −8.41%, 5.80%)</w:t>
      </w:r>
    </w:p>
    <w:p w14:paraId="5B38FBE1" w14:textId="77777777" w:rsidR="006E2959" w:rsidRPr="003F48EF" w:rsidRDefault="006E2959" w:rsidP="006E2959">
      <w:pPr>
        <w:pStyle w:val="ListBullet"/>
      </w:pPr>
      <w:r w:rsidRPr="003F48EF">
        <w:t xml:space="preserve">ACR50 at </w:t>
      </w:r>
      <w:r w:rsidR="00392E61">
        <w:t>Week</w:t>
      </w:r>
      <w:r w:rsidRPr="003F48EF">
        <w:t xml:space="preserve"> 52 (PPS2): 49.1% </w:t>
      </w:r>
      <w:r w:rsidR="00C05C12">
        <w:t>versus</w:t>
      </w:r>
      <w:r w:rsidRPr="003F48EF">
        <w:t xml:space="preserve"> 51.4% </w:t>
      </w:r>
      <w:r w:rsidR="00C05C12">
        <w:t>versus</w:t>
      </w:r>
      <w:r w:rsidRPr="003F48EF">
        <w:t xml:space="preserve"> 53.8%</w:t>
      </w:r>
    </w:p>
    <w:p w14:paraId="3423C9CB" w14:textId="77777777" w:rsidR="006E2959" w:rsidRPr="00ED092C" w:rsidRDefault="006E2959" w:rsidP="006E2959">
      <w:pPr>
        <w:pStyle w:val="ListBullet"/>
      </w:pPr>
      <w:r w:rsidRPr="00ED092C">
        <w:t xml:space="preserve">ACR70 at </w:t>
      </w:r>
      <w:r w:rsidR="00392E61">
        <w:t>Week</w:t>
      </w:r>
      <w:r w:rsidRPr="00ED092C">
        <w:t xml:space="preserve"> 52 (PPS2): 31.1% </w:t>
      </w:r>
      <w:r w:rsidR="00C05C12">
        <w:t>versus</w:t>
      </w:r>
      <w:r w:rsidRPr="00ED092C">
        <w:t xml:space="preserve"> 30.6% </w:t>
      </w:r>
      <w:r w:rsidR="00C05C12">
        <w:t>versus</w:t>
      </w:r>
      <w:r w:rsidRPr="00ED092C">
        <w:t xml:space="preserve"> 26.4%</w:t>
      </w:r>
    </w:p>
    <w:p w14:paraId="5C014F87" w14:textId="77777777" w:rsidR="006E2959" w:rsidRPr="00ED092C" w:rsidRDefault="006E2959" w:rsidP="006E2959">
      <w:pPr>
        <w:pStyle w:val="ListBullet"/>
      </w:pPr>
      <w:r w:rsidRPr="00ED092C">
        <w:t xml:space="preserve">ACR-N at </w:t>
      </w:r>
      <w:r w:rsidR="00392E61">
        <w:t>Week</w:t>
      </w:r>
      <w:r w:rsidRPr="00ED092C">
        <w:t xml:space="preserve"> 24: 40.17 </w:t>
      </w:r>
      <w:r w:rsidR="00C05C12">
        <w:t>versus</w:t>
      </w:r>
      <w:r w:rsidRPr="00ED092C">
        <w:t xml:space="preserve"> 39.58 (0.4, 95% CI−4.61, 5.34</w:t>
      </w:r>
      <w:r>
        <w:t>)</w:t>
      </w:r>
    </w:p>
    <w:p w14:paraId="3954E5A1" w14:textId="77777777" w:rsidR="006E2959" w:rsidRPr="00ED092C" w:rsidRDefault="006E2959" w:rsidP="006E2959">
      <w:pPr>
        <w:pStyle w:val="ListBullet"/>
      </w:pPr>
      <w:r w:rsidRPr="00ED092C">
        <w:t xml:space="preserve">ACR-N at </w:t>
      </w:r>
      <w:r w:rsidR="00392E61">
        <w:t>Week</w:t>
      </w:r>
      <w:r w:rsidRPr="00ED092C">
        <w:t xml:space="preserve"> 52: 48.42 </w:t>
      </w:r>
      <w:r w:rsidR="00C05C12">
        <w:t>versus</w:t>
      </w:r>
      <w:r w:rsidRPr="00ED092C">
        <w:t xml:space="preserve"> 46.14 </w:t>
      </w:r>
      <w:r w:rsidR="00C05C12">
        <w:t>versus</w:t>
      </w:r>
      <w:r w:rsidRPr="00ED092C">
        <w:t xml:space="preserve"> 49.58</w:t>
      </w:r>
    </w:p>
    <w:p w14:paraId="08FA276F" w14:textId="77777777" w:rsidR="006E2959" w:rsidRPr="00F41854" w:rsidRDefault="006E2959" w:rsidP="006E2959">
      <w:pPr>
        <w:pStyle w:val="ListBullet"/>
      </w:pPr>
      <w:r w:rsidRPr="00F41854">
        <w:t xml:space="preserve">DAS28 score change at </w:t>
      </w:r>
      <w:r w:rsidR="00392E61">
        <w:t>Week</w:t>
      </w:r>
      <w:r w:rsidRPr="00F41854">
        <w:t xml:space="preserve"> 24: -2.74 </w:t>
      </w:r>
      <w:r w:rsidR="00C05C12">
        <w:t>versus</w:t>
      </w:r>
      <w:r w:rsidRPr="00F41854">
        <w:t xml:space="preserve"> -2.68 (−0.04, 95% CI −0.26, 0.17)</w:t>
      </w:r>
    </w:p>
    <w:p w14:paraId="7FC78DE9" w14:textId="77777777" w:rsidR="006E2959" w:rsidRPr="00F41854" w:rsidRDefault="006E2959" w:rsidP="006E2959">
      <w:pPr>
        <w:pStyle w:val="ListBullet"/>
      </w:pPr>
      <w:r w:rsidRPr="00F41854">
        <w:t xml:space="preserve">DAS28 score change at </w:t>
      </w:r>
      <w:r w:rsidR="00392E61">
        <w:t>Week</w:t>
      </w:r>
      <w:r w:rsidRPr="00F41854">
        <w:t xml:space="preserve"> 52: -3.05 </w:t>
      </w:r>
      <w:r w:rsidR="00C05C12">
        <w:t>versus</w:t>
      </w:r>
      <w:r w:rsidRPr="00F41854">
        <w:t xml:space="preserve"> -2.92 </w:t>
      </w:r>
      <w:r w:rsidR="00C05C12">
        <w:t>versus</w:t>
      </w:r>
      <w:r w:rsidRPr="00F41854">
        <w:t xml:space="preserve"> -3.02</w:t>
      </w:r>
    </w:p>
    <w:p w14:paraId="259C1384" w14:textId="77777777" w:rsidR="006E2959" w:rsidRPr="00F41854" w:rsidRDefault="006E2959" w:rsidP="006E2959">
      <w:pPr>
        <w:pStyle w:val="ListBullet"/>
      </w:pPr>
      <w:r w:rsidRPr="00F41854">
        <w:lastRenderedPageBreak/>
        <w:t xml:space="preserve">EULAR at </w:t>
      </w:r>
      <w:r w:rsidR="00392E61">
        <w:t>Week</w:t>
      </w:r>
      <w:r w:rsidRPr="00F41854">
        <w:t xml:space="preserve"> 24: good was 34.1% </w:t>
      </w:r>
      <w:r w:rsidR="00C05C12">
        <w:t>versus</w:t>
      </w:r>
      <w:r w:rsidRPr="00F41854">
        <w:t xml:space="preserve"> 34.6%, moderate was 59.2% </w:t>
      </w:r>
      <w:r w:rsidR="00C05C12">
        <w:t>versus</w:t>
      </w:r>
      <w:r w:rsidRPr="00F41854">
        <w:t xml:space="preserve"> 58.8%</w:t>
      </w:r>
    </w:p>
    <w:p w14:paraId="6FA569C5" w14:textId="77777777" w:rsidR="006E2959" w:rsidRPr="00F41854" w:rsidRDefault="006E2959" w:rsidP="006E2959">
      <w:pPr>
        <w:pStyle w:val="ListBullet"/>
      </w:pPr>
      <w:r w:rsidRPr="00F41854">
        <w:t xml:space="preserve">EULAR at </w:t>
      </w:r>
      <w:r w:rsidR="00392E61">
        <w:t>Week</w:t>
      </w:r>
      <w:r w:rsidRPr="00F41854">
        <w:t xml:space="preserve"> 52: good was 47.8% </w:t>
      </w:r>
      <w:r w:rsidR="00C05C12">
        <w:t>versus</w:t>
      </w:r>
      <w:r w:rsidRPr="00F41854">
        <w:t xml:space="preserve"> 46.0% </w:t>
      </w:r>
      <w:r w:rsidR="00C05C12">
        <w:t>versus</w:t>
      </w:r>
      <w:r w:rsidRPr="00F41854">
        <w:t xml:space="preserve"> 46.6%, moderate was 45.7% </w:t>
      </w:r>
      <w:r w:rsidR="00C05C12">
        <w:t>versus</w:t>
      </w:r>
      <w:r w:rsidRPr="00F41854">
        <w:t xml:space="preserve"> 45.2% </w:t>
      </w:r>
      <w:r w:rsidR="00C05C12">
        <w:t>versus</w:t>
      </w:r>
      <w:r w:rsidRPr="00F41854">
        <w:t xml:space="preserve"> 47.5%</w:t>
      </w:r>
    </w:p>
    <w:p w14:paraId="37D79AF6" w14:textId="77777777" w:rsidR="006E2959" w:rsidRPr="00CC1EBF" w:rsidRDefault="006E2959" w:rsidP="006E2959">
      <w:pPr>
        <w:pStyle w:val="ListBullet"/>
      </w:pPr>
      <w:r w:rsidRPr="00CC1EBF">
        <w:t xml:space="preserve">Major Clinical Response (ACR70 for 6 months) at </w:t>
      </w:r>
      <w:r w:rsidR="000B7CBE">
        <w:t>Week</w:t>
      </w:r>
      <w:r w:rsidRPr="00CC1EBF">
        <w:t xml:space="preserve"> 52: 15.7% </w:t>
      </w:r>
      <w:r w:rsidR="00C05C12">
        <w:t>versus</w:t>
      </w:r>
      <w:r w:rsidRPr="00CC1EBF">
        <w:t xml:space="preserve"> 9.7% </w:t>
      </w:r>
      <w:r w:rsidR="00C05C12">
        <w:t>versus</w:t>
      </w:r>
      <w:r w:rsidRPr="00CC1EBF">
        <w:t xml:space="preserve"> 15.3%</w:t>
      </w:r>
    </w:p>
    <w:p w14:paraId="65609486" w14:textId="77777777" w:rsidR="006E2959" w:rsidRPr="00762BD9" w:rsidRDefault="006E2959" w:rsidP="006E2959">
      <w:pPr>
        <w:pStyle w:val="ListBullet"/>
      </w:pPr>
      <w:r w:rsidRPr="00762BD9">
        <w:t xml:space="preserve">Change from baseline in the </w:t>
      </w:r>
      <w:proofErr w:type="spellStart"/>
      <w:r w:rsidRPr="00762BD9">
        <w:t>mTSS</w:t>
      </w:r>
      <w:proofErr w:type="spellEnd"/>
      <w:r w:rsidRPr="00762BD9">
        <w:t xml:space="preserve"> at </w:t>
      </w:r>
      <w:r w:rsidR="000B7CBE">
        <w:t>Week</w:t>
      </w:r>
      <w:r w:rsidRPr="00762BD9">
        <w:t xml:space="preserve"> 52 (FAS): 0.17 units </w:t>
      </w:r>
      <w:r w:rsidR="00C05C12">
        <w:t>versus</w:t>
      </w:r>
      <w:r w:rsidRPr="00762BD9">
        <w:t xml:space="preserve"> 0.50 </w:t>
      </w:r>
      <w:r w:rsidR="00C05C12">
        <w:t>versus</w:t>
      </w:r>
      <w:r w:rsidRPr="00762BD9">
        <w:t xml:space="preserve"> 0.25</w:t>
      </w:r>
    </w:p>
    <w:p w14:paraId="452ECB9F" w14:textId="77777777" w:rsidR="006E2959" w:rsidRPr="006E2959" w:rsidRDefault="006E2959" w:rsidP="00E07453">
      <w:pPr>
        <w:pStyle w:val="ListBullet2"/>
        <w:rPr>
          <w:rFonts w:asciiTheme="minorHAnsi" w:hAnsiTheme="minorHAnsi"/>
        </w:rPr>
      </w:pPr>
      <w:r w:rsidRPr="00762BD9">
        <w:rPr>
          <w:rFonts w:asciiTheme="minorHAnsi" w:hAnsiTheme="minorHAnsi"/>
        </w:rPr>
        <w:t xml:space="preserve">Change in joint erosions were similar between the groups but </w:t>
      </w:r>
      <w:r w:rsidRPr="00762BD9">
        <w:t xml:space="preserve">there was a slightly higher mean </w:t>
      </w:r>
      <w:r w:rsidRPr="00E07453">
        <w:t>increase</w:t>
      </w:r>
      <w:r w:rsidRPr="00762BD9">
        <w:t xml:space="preserve"> from baseline in the joint space narrowing score in the continuous Humira </w:t>
      </w:r>
      <w:r w:rsidR="00C05C12">
        <w:t>versus</w:t>
      </w:r>
      <w:r w:rsidRPr="00762BD9">
        <w:t xml:space="preserve"> Hadlima groups.</w:t>
      </w:r>
    </w:p>
    <w:p w14:paraId="2F465EAA" w14:textId="00B2968A" w:rsidR="00233ED8" w:rsidRDefault="006E2959" w:rsidP="00E07453">
      <w:r w:rsidRPr="00464EE7">
        <w:t xml:space="preserve">At </w:t>
      </w:r>
      <w:r w:rsidR="000B7CBE">
        <w:t>Week</w:t>
      </w:r>
      <w:r w:rsidRPr="00464EE7">
        <w:t xml:space="preserve">s 24 and 52, the rates of ACR20, ACR50 and ACR70 response were similar between the 2 treatment groups among subjects who had negative ADA results but the ACR20 response rate at </w:t>
      </w:r>
      <w:r w:rsidR="000B7CBE">
        <w:t>Week</w:t>
      </w:r>
      <w:r w:rsidRPr="00464EE7">
        <w:t xml:space="preserve"> 24 was significantly lower on Hadlima (57.5%) </w:t>
      </w:r>
      <w:r w:rsidR="00C05C12">
        <w:t>versus</w:t>
      </w:r>
      <w:r w:rsidRPr="00464EE7">
        <w:t xml:space="preserve"> Humira (71.2%) among subjects who had a positive ADA result</w:t>
      </w:r>
      <w:r>
        <w:t xml:space="preserve"> (difference </w:t>
      </w:r>
      <w:r w:rsidRPr="004F15C7">
        <w:t xml:space="preserve">−17.5% </w:t>
      </w:r>
      <w:r>
        <w:t xml:space="preserve">(95% CI </w:t>
      </w:r>
      <w:r w:rsidRPr="004F15C7">
        <w:t>−33.3%, −1.8%</w:t>
      </w:r>
      <w:r>
        <w:t>))</w:t>
      </w:r>
      <w:r w:rsidRPr="00464EE7">
        <w:t>.</w:t>
      </w:r>
      <w:r w:rsidR="0069652B">
        <w:t xml:space="preserve"> </w:t>
      </w:r>
      <w:r w:rsidRPr="00464EE7">
        <w:t xml:space="preserve">However, ACR50 and ACR70 responses at </w:t>
      </w:r>
      <w:r w:rsidR="000B7CBE">
        <w:t>Week</w:t>
      </w:r>
      <w:r w:rsidRPr="00464EE7">
        <w:t xml:space="preserve"> 24 were similar between Hadlima and Humira in subjects with a positive ADA result up to </w:t>
      </w:r>
      <w:r w:rsidR="000B7CBE">
        <w:t>Week</w:t>
      </w:r>
      <w:r w:rsidRPr="00464EE7">
        <w:t xml:space="preserve"> 24: 28.8% </w:t>
      </w:r>
      <w:r w:rsidR="00C05C12">
        <w:t>versus</w:t>
      </w:r>
      <w:r w:rsidRPr="00464EE7">
        <w:t xml:space="preserve"> 35.6% for ACR50, and 19.2% </w:t>
      </w:r>
      <w:r w:rsidR="00C05C12">
        <w:t>versus</w:t>
      </w:r>
      <w:r w:rsidRPr="00464EE7">
        <w:t xml:space="preserve"> 16.4% for ACR70.</w:t>
      </w:r>
      <w:r w:rsidR="0069652B">
        <w:t xml:space="preserve"> </w:t>
      </w:r>
      <w:r w:rsidRPr="00464EE7">
        <w:t xml:space="preserve">In subjects with positive ADA, the ACR20 response rates at </w:t>
      </w:r>
      <w:r w:rsidR="000B7CBE">
        <w:t>Week</w:t>
      </w:r>
      <w:r w:rsidRPr="00464EE7">
        <w:t xml:space="preserve"> 52 remained lower on Hadlima at </w:t>
      </w:r>
      <w:r>
        <w:t xml:space="preserve">67.1% </w:t>
      </w:r>
      <w:r w:rsidR="00C05C12">
        <w:t>versus</w:t>
      </w:r>
      <w:r>
        <w:t xml:space="preserve"> </w:t>
      </w:r>
      <w:r w:rsidRPr="00464EE7">
        <w:t>76.2% in the continuous Humira arm</w:t>
      </w:r>
      <w:r>
        <w:t xml:space="preserve"> and 82.1% on Humira</w:t>
      </w:r>
      <w:r w:rsidR="00397016">
        <w:t xml:space="preserve"> </w:t>
      </w:r>
      <w:r w:rsidR="001B7E12">
        <w:t>switched to</w:t>
      </w:r>
      <w:r w:rsidR="00397016">
        <w:t xml:space="preserve"> </w:t>
      </w:r>
      <w:r w:rsidRPr="00464EE7">
        <w:t>Hadlima switch</w:t>
      </w:r>
      <w:r>
        <w:t xml:space="preserve"> group</w:t>
      </w:r>
      <w:r w:rsidRPr="00464EE7">
        <w:t>.</w:t>
      </w:r>
      <w:r w:rsidR="0069652B">
        <w:t xml:space="preserve"> </w:t>
      </w:r>
      <w:r>
        <w:t xml:space="preserve">The sponsor provided a re-analysis of the data (CER, p88) that still showed a lower response for Hadlima </w:t>
      </w:r>
      <w:r w:rsidR="00C05C12">
        <w:t>versus</w:t>
      </w:r>
      <w:r>
        <w:t xml:space="preserve"> Humira at </w:t>
      </w:r>
      <w:r w:rsidR="000B7CBE">
        <w:t>Week</w:t>
      </w:r>
      <w:r>
        <w:t xml:space="preserve"> 24 (ACR20: 50.7% </w:t>
      </w:r>
      <w:r w:rsidR="00C05C12">
        <w:t>versus</w:t>
      </w:r>
      <w:r>
        <w:t xml:space="preserve"> 71.6%) but </w:t>
      </w:r>
      <w:r w:rsidR="00397016">
        <w:t>closer</w:t>
      </w:r>
      <w:r>
        <w:t xml:space="preserve"> results at </w:t>
      </w:r>
      <w:r w:rsidR="000B7CBE">
        <w:t>Week</w:t>
      </w:r>
      <w:r>
        <w:t xml:space="preserve"> 52 (</w:t>
      </w:r>
      <w:r w:rsidRPr="00D769F9">
        <w:t>67.2%</w:t>
      </w:r>
      <w:r>
        <w:t xml:space="preserve"> </w:t>
      </w:r>
      <w:r w:rsidR="00C05C12">
        <w:t>versus</w:t>
      </w:r>
      <w:r w:rsidRPr="00D769F9">
        <w:t xml:space="preserve"> 72.5% </w:t>
      </w:r>
      <w:r w:rsidR="00C05C12">
        <w:t>versus</w:t>
      </w:r>
      <w:r w:rsidRPr="00D769F9">
        <w:t xml:space="preserve"> 77.1%</w:t>
      </w:r>
      <w:r>
        <w:t xml:space="preserve"> </w:t>
      </w:r>
      <w:r w:rsidRPr="00D769F9">
        <w:t xml:space="preserve">in the </w:t>
      </w:r>
      <w:r>
        <w:t xml:space="preserve">Hadlima </w:t>
      </w:r>
      <w:r w:rsidR="00C05C12">
        <w:t>versus</w:t>
      </w:r>
      <w:r w:rsidRPr="00D769F9">
        <w:t xml:space="preserve"> </w:t>
      </w:r>
      <w:r>
        <w:t xml:space="preserve">continuous </w:t>
      </w:r>
      <w:r w:rsidRPr="00D769F9">
        <w:t xml:space="preserve">Humira </w:t>
      </w:r>
      <w:r w:rsidR="00C05C12">
        <w:t>versus</w:t>
      </w:r>
      <w:r>
        <w:t xml:space="preserve"> </w:t>
      </w:r>
      <w:r w:rsidRPr="00D769F9">
        <w:t>Humira</w:t>
      </w:r>
      <w:r w:rsidR="00397016">
        <w:t xml:space="preserve"> </w:t>
      </w:r>
      <w:r w:rsidR="001B7E12">
        <w:t xml:space="preserve">switched to </w:t>
      </w:r>
      <w:r>
        <w:t>Hadlima).</w:t>
      </w:r>
      <w:r w:rsidR="00C05C12">
        <w:t xml:space="preserve"> </w:t>
      </w:r>
      <w:r w:rsidRPr="00464EE7">
        <w:t xml:space="preserve">There were no significant interactions in the ACR20 response rate at </w:t>
      </w:r>
      <w:r w:rsidR="000B7CBE">
        <w:t>Week</w:t>
      </w:r>
      <w:r w:rsidRPr="00464EE7">
        <w:t xml:space="preserve"> 24 between treatment and various factors including region (EU and non-EU), age group (&lt;</w:t>
      </w:r>
      <w:r w:rsidR="00397016">
        <w:t xml:space="preserve"> </w:t>
      </w:r>
      <w:r w:rsidRPr="00464EE7">
        <w:t xml:space="preserve">65 years and </w:t>
      </w:r>
      <w:r w:rsidR="00397016">
        <w:t xml:space="preserve">≥ </w:t>
      </w:r>
      <w:r w:rsidRPr="00464EE7">
        <w:t>65 years), gender, race/ethnicity and baseline CRP level (</w:t>
      </w:r>
      <w:r w:rsidR="00397016">
        <w:t xml:space="preserve">≥ </w:t>
      </w:r>
      <w:r w:rsidRPr="00464EE7">
        <w:t>10 mg/L and &lt;</w:t>
      </w:r>
      <w:r w:rsidR="00397016">
        <w:t xml:space="preserve"> </w:t>
      </w:r>
      <w:r w:rsidRPr="00464EE7">
        <w:t>10 mg/L) although ACR20 response rates were somewhat higher for both adalimumab therapies in subjects with CRP readings &gt;</w:t>
      </w:r>
      <w:r w:rsidR="00397016">
        <w:t xml:space="preserve"> </w:t>
      </w:r>
      <w:r w:rsidRPr="00464EE7">
        <w:t>10 mg/L at baseline</w:t>
      </w:r>
      <w:r w:rsidR="00233ED8">
        <w:t>.</w:t>
      </w:r>
    </w:p>
    <w:p w14:paraId="39AA79AC" w14:textId="77777777" w:rsidR="006E2959" w:rsidRPr="006E2959" w:rsidRDefault="00F952C9" w:rsidP="00E07453">
      <w:pPr>
        <w:pStyle w:val="Heading5"/>
        <w:rPr>
          <w:rFonts w:asciiTheme="minorHAnsi" w:hAnsiTheme="minorHAnsi"/>
          <w:szCs w:val="22"/>
        </w:rPr>
      </w:pPr>
      <w:r w:rsidRPr="00365E54">
        <w:t xml:space="preserve">Study </w:t>
      </w:r>
      <w:r w:rsidRPr="00E07453">
        <w:t>SB5</w:t>
      </w:r>
      <w:r w:rsidRPr="00365E54">
        <w:t>-G21-RA</w:t>
      </w:r>
    </w:p>
    <w:p w14:paraId="5C0A9420" w14:textId="77777777" w:rsidR="006E2959" w:rsidRPr="005B2BD2" w:rsidRDefault="006E2959" w:rsidP="00E07453">
      <w:r w:rsidRPr="00F952C9">
        <w:t>Study SB5-G21-RA: Th</w:t>
      </w:r>
      <w:r>
        <w:t xml:space="preserve">is study was an open label, single arm, </w:t>
      </w:r>
      <w:r w:rsidR="00397016">
        <w:t>Phase II</w:t>
      </w:r>
      <w:r w:rsidRPr="00245F5E">
        <w:t xml:space="preserve"> study conducted in </w:t>
      </w:r>
      <w:r>
        <w:t>49</w:t>
      </w:r>
      <w:r w:rsidRPr="00245F5E">
        <w:t xml:space="preserve"> subjects</w:t>
      </w:r>
      <w:r>
        <w:t xml:space="preserve"> with RA for 12 weeks to compare the usability and safety of the AID pen and PFS administration devices of Hadlima</w:t>
      </w:r>
      <w:r w:rsidRPr="00245F5E">
        <w:t>.</w:t>
      </w:r>
      <w:r w:rsidR="0069652B">
        <w:t xml:space="preserve"> </w:t>
      </w:r>
      <w:r w:rsidRPr="00245F5E">
        <w:t xml:space="preserve">All subjects received a </w:t>
      </w:r>
      <w:r w:rsidR="00397016">
        <w:t>40 mg</w:t>
      </w:r>
      <w:r w:rsidRPr="00245F5E">
        <w:t xml:space="preserve"> subcutaneous dose</w:t>
      </w:r>
      <w:r>
        <w:t xml:space="preserve"> of Hadlima using the PFS for the first two doses and then the AID for the remaining 4 doses, every other week</w:t>
      </w:r>
      <w:r w:rsidRPr="00245F5E">
        <w:t>.</w:t>
      </w:r>
      <w:r w:rsidR="0069652B">
        <w:t xml:space="preserve"> </w:t>
      </w:r>
      <w:r>
        <w:t>The primary endpoint was a composite of the change in injection site pain score (immediately post-injection and between 15 to 30 minut</w:t>
      </w:r>
      <w:r w:rsidR="00397016">
        <w:t xml:space="preserve">es’ post-injection) using an 11 </w:t>
      </w:r>
      <w:r>
        <w:t xml:space="preserve">point visual numeric scale from </w:t>
      </w:r>
      <w:r w:rsidR="000B7CBE">
        <w:t>Week</w:t>
      </w:r>
      <w:r>
        <w:t xml:space="preserve"> 2 to </w:t>
      </w:r>
      <w:r w:rsidR="000B7CBE">
        <w:t>Week</w:t>
      </w:r>
      <w:r>
        <w:t xml:space="preserve"> 6.</w:t>
      </w:r>
      <w:r w:rsidR="0069652B">
        <w:t xml:space="preserve"> </w:t>
      </w:r>
      <w:r>
        <w:t>R</w:t>
      </w:r>
      <w:r w:rsidRPr="00245F5E">
        <w:t xml:space="preserve">esults </w:t>
      </w:r>
      <w:r>
        <w:t xml:space="preserve">demonstrated similarity between Hadlima via the PFS at </w:t>
      </w:r>
      <w:r w:rsidR="000B7CBE">
        <w:t>Week</w:t>
      </w:r>
      <w:r>
        <w:t xml:space="preserve"> 2 and via the AID pen at </w:t>
      </w:r>
      <w:r w:rsidR="000B7CBE">
        <w:t>Week</w:t>
      </w:r>
      <w:r>
        <w:t xml:space="preserve"> 6 for overall impression and pain scores and a higher preference for the AID device.</w:t>
      </w:r>
    </w:p>
    <w:p w14:paraId="1CE164E5" w14:textId="77777777" w:rsidR="00F952C9" w:rsidRPr="007C0D05" w:rsidRDefault="00F952C9" w:rsidP="00E07453">
      <w:pPr>
        <w:pStyle w:val="Heading4"/>
      </w:pPr>
      <w:r w:rsidRPr="00E07453">
        <w:t>Safety</w:t>
      </w:r>
    </w:p>
    <w:p w14:paraId="0DE873CB" w14:textId="77777777" w:rsidR="00F952C9" w:rsidRPr="003E1B82" w:rsidRDefault="00F952C9" w:rsidP="003E1B82">
      <w:r>
        <w:t>The following information is from the pivotal study unless noted otherwise.</w:t>
      </w:r>
    </w:p>
    <w:p w14:paraId="29AEFAFB" w14:textId="50052E6D" w:rsidR="00F952C9" w:rsidRPr="003E1B82" w:rsidRDefault="00F952C9" w:rsidP="00E07453">
      <w:pPr>
        <w:rPr>
          <w:rFonts w:asciiTheme="minorHAnsi" w:hAnsiTheme="minorHAnsi"/>
        </w:rPr>
      </w:pPr>
      <w:r w:rsidRPr="008972C9">
        <w:rPr>
          <w:rFonts w:asciiTheme="minorHAnsi" w:hAnsiTheme="minorHAnsi"/>
        </w:rPr>
        <w:t xml:space="preserve">The mean exposure </w:t>
      </w:r>
      <w:r>
        <w:rPr>
          <w:rFonts w:asciiTheme="minorHAnsi" w:hAnsiTheme="minorHAnsi"/>
        </w:rPr>
        <w:t xml:space="preserve">up to </w:t>
      </w:r>
      <w:r w:rsidR="000B7CBE">
        <w:rPr>
          <w:rFonts w:asciiTheme="minorHAnsi" w:hAnsiTheme="minorHAnsi"/>
        </w:rPr>
        <w:t>Week</w:t>
      </w:r>
      <w:r>
        <w:rPr>
          <w:rFonts w:asciiTheme="minorHAnsi" w:hAnsiTheme="minorHAnsi"/>
        </w:rPr>
        <w:t xml:space="preserve"> 52 was 334 days on Hadlima with 216 exposed for </w:t>
      </w:r>
      <w:r w:rsidR="00C05C12">
        <w:rPr>
          <w:rFonts w:asciiTheme="minorHAnsi" w:hAnsiTheme="minorHAnsi"/>
        </w:rPr>
        <w:t xml:space="preserve">≥ </w:t>
      </w:r>
      <w:r>
        <w:rPr>
          <w:rFonts w:asciiTheme="minorHAnsi" w:hAnsiTheme="minorHAnsi"/>
        </w:rPr>
        <w:t>351 days.</w:t>
      </w:r>
      <w:r w:rsidR="0069652B">
        <w:t xml:space="preserve"> </w:t>
      </w:r>
      <w:r>
        <w:t xml:space="preserve">Treatment emergent adverse events (TEAEs) for Hadlima </w:t>
      </w:r>
      <w:r w:rsidR="00C05C12">
        <w:t>versus</w:t>
      </w:r>
      <w:r>
        <w:t xml:space="preserve"> Humira occurred at similar frequencies in both groups up to </w:t>
      </w:r>
      <w:r w:rsidR="000B7CBE">
        <w:t>Week</w:t>
      </w:r>
      <w:r>
        <w:t xml:space="preserve"> 24 (35.8% </w:t>
      </w:r>
      <w:r w:rsidR="00C05C12">
        <w:t>versus</w:t>
      </w:r>
      <w:r>
        <w:t xml:space="preserve"> 40.7%), except for nasopharyngitis being more frequent on Humira (4.9% </w:t>
      </w:r>
      <w:r w:rsidR="00C05C12">
        <w:t>versus</w:t>
      </w:r>
      <w:r>
        <w:t xml:space="preserve"> 9.2%), with most TEAEs being mild to moderate severity.</w:t>
      </w:r>
      <w:r w:rsidR="0069652B">
        <w:t xml:space="preserve"> </w:t>
      </w:r>
      <w:r>
        <w:t xml:space="preserve">Injection site reactions were similar (3% </w:t>
      </w:r>
      <w:r w:rsidR="00C05C12">
        <w:t>versus</w:t>
      </w:r>
      <w:r>
        <w:t xml:space="preserve"> 2.9%).</w:t>
      </w:r>
      <w:r w:rsidR="0069652B">
        <w:t xml:space="preserve"> </w:t>
      </w:r>
      <w:r>
        <w:t xml:space="preserve">The most frequent groups of adverse events were also similar between Hadlima and Humira: infections and infestations (17.2% </w:t>
      </w:r>
      <w:r w:rsidR="00C05C12">
        <w:t>versus</w:t>
      </w:r>
      <w:r>
        <w:t xml:space="preserve"> 18.3%), musculoskeletal and connective tissue (7.5% </w:t>
      </w:r>
      <w:r w:rsidR="00C05C12">
        <w:t>versus</w:t>
      </w:r>
      <w:r>
        <w:t xml:space="preserve"> 5.1%), nervous system (5.6% </w:t>
      </w:r>
      <w:r w:rsidR="00C05C12">
        <w:t>versus</w:t>
      </w:r>
      <w:r>
        <w:t xml:space="preserve"> 3.7%), gastrointestinal (5.2% </w:t>
      </w:r>
      <w:r w:rsidR="00C05C12">
        <w:t>versus</w:t>
      </w:r>
      <w:r>
        <w:t xml:space="preserve"> 5.5%), abnormal investigations (4.9% </w:t>
      </w:r>
      <w:r w:rsidR="00C05C12">
        <w:t>versus</w:t>
      </w:r>
      <w:r>
        <w:t xml:space="preserve"> 6.2%) and </w:t>
      </w:r>
      <w:r>
        <w:lastRenderedPageBreak/>
        <w:t xml:space="preserve">general disorders and administration site conditions (4.9% </w:t>
      </w:r>
      <w:r w:rsidR="00C05C12">
        <w:t>versus</w:t>
      </w:r>
      <w:r>
        <w:t xml:space="preserve"> 5.9%).</w:t>
      </w:r>
      <w:r w:rsidR="0069652B">
        <w:t xml:space="preserve"> </w:t>
      </w:r>
      <w:r>
        <w:t xml:space="preserve">Up to </w:t>
      </w:r>
      <w:r w:rsidR="000B7CBE">
        <w:t>Week</w:t>
      </w:r>
      <w:r>
        <w:t xml:space="preserve"> 52, TEAEs for Hadlima </w:t>
      </w:r>
      <w:r w:rsidR="00C05C12">
        <w:t>versus</w:t>
      </w:r>
      <w:r>
        <w:t xml:space="preserve"> continuous Humira was 52.2% </w:t>
      </w:r>
      <w:r w:rsidR="00C05C12">
        <w:t>versus</w:t>
      </w:r>
      <w:r>
        <w:t xml:space="preserve"> 54.</w:t>
      </w:r>
      <w:r w:rsidR="00FF356F">
        <w:t>3</w:t>
      </w:r>
      <w:r>
        <w:t xml:space="preserve">% with similar but higher frequencies than up to </w:t>
      </w:r>
      <w:r w:rsidR="000B7CBE">
        <w:t>Week</w:t>
      </w:r>
      <w:r>
        <w:t xml:space="preserve"> 24, by system organ class.</w:t>
      </w:r>
      <w:r w:rsidR="0069652B">
        <w:t xml:space="preserve"> </w:t>
      </w:r>
      <w:r>
        <w:rPr>
          <w:rFonts w:eastAsia="MS ??"/>
        </w:rPr>
        <w:t>The most frequently occurring TEAEs across the three groups of Hadlima, continuous Humira and overall Hu</w:t>
      </w:r>
      <w:r w:rsidR="00397016">
        <w:rPr>
          <w:rFonts w:eastAsia="MS ??"/>
        </w:rPr>
        <w:t xml:space="preserve">mira) were nasopharyngitis (9.0 to 12.6%), headache (4.1 to 5.1%), bronchitis (3.9 to 4.1%), latent TB (2.9 to </w:t>
      </w:r>
      <w:r>
        <w:rPr>
          <w:rFonts w:eastAsia="MS ??"/>
        </w:rPr>
        <w:t>5.5%), upper r</w:t>
      </w:r>
      <w:r w:rsidR="00397016">
        <w:rPr>
          <w:rFonts w:eastAsia="MS ??"/>
        </w:rPr>
        <w:t xml:space="preserve">espiratory tract infection (0.8 to 3.7%), raised ALT values (3.4 to 5.5%), spinal pain (3.0 to </w:t>
      </w:r>
      <w:r>
        <w:rPr>
          <w:rFonts w:eastAsia="MS ??"/>
        </w:rPr>
        <w:t xml:space="preserve">4.7%), urinary </w:t>
      </w:r>
      <w:r w:rsidR="00397016">
        <w:rPr>
          <w:rFonts w:eastAsia="MS ??"/>
        </w:rPr>
        <w:t xml:space="preserve">tract infection (1.6 to 3.0%), nausea (2.2 to 3.1%), back pain (1.5 to 2.6%) and increased AST (1.1 to </w:t>
      </w:r>
      <w:r>
        <w:rPr>
          <w:rFonts w:eastAsia="MS ??"/>
        </w:rPr>
        <w:t>2.4%).</w:t>
      </w:r>
      <w:r w:rsidR="0069652B">
        <w:rPr>
          <w:rFonts w:eastAsia="MS ??"/>
        </w:rPr>
        <w:t xml:space="preserve"> </w:t>
      </w:r>
      <w:r w:rsidRPr="00333EF9">
        <w:t xml:space="preserve">Up to </w:t>
      </w:r>
      <w:r w:rsidR="000B7CBE">
        <w:t>Week</w:t>
      </w:r>
      <w:r w:rsidRPr="00333EF9">
        <w:t xml:space="preserve"> 52, </w:t>
      </w:r>
      <w:r>
        <w:t>injection site reaction frequencies</w:t>
      </w:r>
      <w:r w:rsidRPr="00333EF9">
        <w:t xml:space="preserve"> w</w:t>
      </w:r>
      <w:r>
        <w:t>ere</w:t>
      </w:r>
      <w:r w:rsidRPr="00333EF9">
        <w:t xml:space="preserve"> comparable between </w:t>
      </w:r>
      <w:r>
        <w:t>Hadlima</w:t>
      </w:r>
      <w:r w:rsidRPr="00333EF9">
        <w:t xml:space="preserve"> and </w:t>
      </w:r>
      <w:r>
        <w:t xml:space="preserve">overall </w:t>
      </w:r>
      <w:r w:rsidRPr="00333EF9">
        <w:t>Humira</w:t>
      </w:r>
      <w:r>
        <w:t xml:space="preserve"> and continuous </w:t>
      </w:r>
      <w:r w:rsidRPr="00333EF9">
        <w:t>Humira treatment groups</w:t>
      </w:r>
      <w:r>
        <w:t>.</w:t>
      </w:r>
      <w:r w:rsidR="0069652B">
        <w:t xml:space="preserve"> </w:t>
      </w:r>
      <w:r>
        <w:t xml:space="preserve">After </w:t>
      </w:r>
      <w:r w:rsidR="000B7CBE">
        <w:t>Week</w:t>
      </w:r>
      <w:r>
        <w:t xml:space="preserve"> 24, AEs by groups for Hadlima </w:t>
      </w:r>
      <w:r w:rsidR="00C05C12">
        <w:t>versus</w:t>
      </w:r>
      <w:r>
        <w:t xml:space="preserve"> continuous Humira </w:t>
      </w:r>
      <w:r w:rsidR="00C05C12">
        <w:t>versus</w:t>
      </w:r>
      <w:r>
        <w:t xml:space="preserve"> Humira</w:t>
      </w:r>
      <w:r w:rsidR="00397016">
        <w:t xml:space="preserve"> </w:t>
      </w:r>
      <w:r w:rsidR="001B7E12">
        <w:t>switched to</w:t>
      </w:r>
      <w:r w:rsidR="00397016">
        <w:t xml:space="preserve"> </w:t>
      </w:r>
      <w:r>
        <w:t xml:space="preserve">Hadlima were: infections </w:t>
      </w:r>
      <w:r w:rsidR="00FF356F">
        <w:t xml:space="preserve">and infestations </w:t>
      </w:r>
      <w:r>
        <w:t>(</w:t>
      </w:r>
      <w:r>
        <w:rPr>
          <w:rFonts w:eastAsia="MS ??"/>
        </w:rPr>
        <w:t xml:space="preserve">16.5% </w:t>
      </w:r>
      <w:r w:rsidR="00C05C12">
        <w:rPr>
          <w:rFonts w:eastAsia="MS ??"/>
        </w:rPr>
        <w:t>versus</w:t>
      </w:r>
      <w:r>
        <w:rPr>
          <w:rFonts w:eastAsia="MS ??"/>
        </w:rPr>
        <w:t xml:space="preserve"> 14.2% </w:t>
      </w:r>
      <w:r w:rsidR="00C05C12">
        <w:rPr>
          <w:rFonts w:eastAsia="MS ??"/>
        </w:rPr>
        <w:t>versus</w:t>
      </w:r>
      <w:r>
        <w:rPr>
          <w:rFonts w:eastAsia="MS ??"/>
        </w:rPr>
        <w:t xml:space="preserve"> 18.4%), musculoskeletal and connective tissue disorders (6.3% </w:t>
      </w:r>
      <w:r w:rsidR="00C05C12">
        <w:rPr>
          <w:rFonts w:eastAsia="MS ??"/>
        </w:rPr>
        <w:t>versus</w:t>
      </w:r>
      <w:r>
        <w:rPr>
          <w:rFonts w:eastAsia="MS ??"/>
        </w:rPr>
        <w:t xml:space="preserve"> 6.3% </w:t>
      </w:r>
      <w:r w:rsidR="00C05C12">
        <w:rPr>
          <w:rFonts w:eastAsia="MS ??"/>
        </w:rPr>
        <w:t>versus</w:t>
      </w:r>
      <w:r>
        <w:rPr>
          <w:rFonts w:eastAsia="MS ??"/>
        </w:rPr>
        <w:t xml:space="preserve"> 8.0%) and abnormal investigation results (3.5% </w:t>
      </w:r>
      <w:r w:rsidR="00C05C12">
        <w:rPr>
          <w:rFonts w:eastAsia="MS ??"/>
        </w:rPr>
        <w:t>versus</w:t>
      </w:r>
      <w:r>
        <w:rPr>
          <w:rFonts w:eastAsia="MS ??"/>
        </w:rPr>
        <w:t xml:space="preserve"> 4.7% </w:t>
      </w:r>
      <w:r w:rsidR="00C05C12">
        <w:rPr>
          <w:rFonts w:eastAsia="MS ??"/>
        </w:rPr>
        <w:t>versus</w:t>
      </w:r>
      <w:r>
        <w:rPr>
          <w:rFonts w:eastAsia="MS ??"/>
        </w:rPr>
        <w:t xml:space="preserve"> 7.2%).</w:t>
      </w:r>
      <w:r w:rsidR="0069652B">
        <w:rPr>
          <w:rFonts w:eastAsia="MS ??"/>
        </w:rPr>
        <w:t xml:space="preserve"> </w:t>
      </w:r>
      <w:r>
        <w:rPr>
          <w:rFonts w:eastAsia="MS ??"/>
        </w:rPr>
        <w:t xml:space="preserve">Of note were: latent TB (3.1% </w:t>
      </w:r>
      <w:r w:rsidR="00C05C12">
        <w:rPr>
          <w:rFonts w:eastAsia="MS ??"/>
        </w:rPr>
        <w:t>versus</w:t>
      </w:r>
      <w:r>
        <w:rPr>
          <w:rFonts w:eastAsia="MS ??"/>
        </w:rPr>
        <w:t xml:space="preserve"> 5.5% </w:t>
      </w:r>
      <w:r w:rsidR="00C05C12">
        <w:rPr>
          <w:rFonts w:eastAsia="MS ??"/>
        </w:rPr>
        <w:t>versus</w:t>
      </w:r>
      <w:r>
        <w:rPr>
          <w:rFonts w:eastAsia="MS ??"/>
        </w:rPr>
        <w:t xml:space="preserve"> 0.8%), Mycobacterium TB complex test positive (0.8% </w:t>
      </w:r>
      <w:r w:rsidR="00C05C12">
        <w:rPr>
          <w:rFonts w:eastAsia="MS ??"/>
        </w:rPr>
        <w:t>versus</w:t>
      </w:r>
      <w:r>
        <w:rPr>
          <w:rFonts w:eastAsia="MS ??"/>
        </w:rPr>
        <w:t xml:space="preserve"> 0.8% </w:t>
      </w:r>
      <w:r w:rsidR="00C05C12">
        <w:rPr>
          <w:rFonts w:eastAsia="MS ??"/>
        </w:rPr>
        <w:t>versus</w:t>
      </w:r>
      <w:r>
        <w:rPr>
          <w:rFonts w:eastAsia="MS ??"/>
        </w:rPr>
        <w:t xml:space="preserve"> 3.2%) and increased ALT values (1.2% </w:t>
      </w:r>
      <w:r w:rsidR="00C05C12">
        <w:rPr>
          <w:rFonts w:eastAsia="MS ??"/>
        </w:rPr>
        <w:t>versus</w:t>
      </w:r>
      <w:r>
        <w:rPr>
          <w:rFonts w:eastAsia="MS ??"/>
        </w:rPr>
        <w:t xml:space="preserve"> 2.4% </w:t>
      </w:r>
      <w:r w:rsidR="00C05C12">
        <w:rPr>
          <w:rFonts w:eastAsia="MS ??"/>
        </w:rPr>
        <w:t>versus</w:t>
      </w:r>
      <w:r>
        <w:rPr>
          <w:rFonts w:eastAsia="MS ??"/>
        </w:rPr>
        <w:t xml:space="preserve"> 0.8%).</w:t>
      </w:r>
    </w:p>
    <w:p w14:paraId="38DF268E" w14:textId="5E45DD49" w:rsidR="00F952C9" w:rsidRPr="008972C9" w:rsidRDefault="00F952C9" w:rsidP="003E1B82">
      <w:r>
        <w:t xml:space="preserve">Adverse drugs reactions occurred at an overall similar frequency up to </w:t>
      </w:r>
      <w:r w:rsidR="000B7CBE">
        <w:t>Week</w:t>
      </w:r>
      <w:r>
        <w:t xml:space="preserve"> 24 and </w:t>
      </w:r>
      <w:r w:rsidR="000B7CBE">
        <w:t>Week</w:t>
      </w:r>
      <w:r w:rsidR="00EC177F">
        <w:t> </w:t>
      </w:r>
      <w:r>
        <w:t xml:space="preserve">52, with injection site reactions and injection site erythema slightly higher on Humira at both times. At </w:t>
      </w:r>
      <w:r w:rsidR="000B7CBE">
        <w:t>Week</w:t>
      </w:r>
      <w:r>
        <w:t xml:space="preserve"> 52, </w:t>
      </w:r>
      <w:r>
        <w:rPr>
          <w:rFonts w:eastAsia="MS ??"/>
        </w:rPr>
        <w:t>subjects on Humira also had a slightly higher incidence of raised ALT values and latent TB compared to Hadlima.</w:t>
      </w:r>
      <w:r w:rsidR="0069652B">
        <w:rPr>
          <w:rFonts w:eastAsia="MS ??"/>
        </w:rPr>
        <w:t xml:space="preserve"> </w:t>
      </w:r>
      <w:r>
        <w:rPr>
          <w:rFonts w:eastAsia="MS ??"/>
        </w:rPr>
        <w:t xml:space="preserve">After </w:t>
      </w:r>
      <w:r w:rsidR="000B7CBE">
        <w:rPr>
          <w:rFonts w:eastAsia="MS ??"/>
        </w:rPr>
        <w:t>Week</w:t>
      </w:r>
      <w:r>
        <w:rPr>
          <w:rFonts w:eastAsia="MS ??"/>
        </w:rPr>
        <w:t xml:space="preserve"> 24, ADRs occurred in 7.9% Hadlima, 9.6% Humira</w:t>
      </w:r>
      <w:r w:rsidR="00397016">
        <w:rPr>
          <w:rFonts w:eastAsia="MS ??"/>
        </w:rPr>
        <w:t xml:space="preserve"> </w:t>
      </w:r>
      <w:r w:rsidR="00B948BA">
        <w:t xml:space="preserve">switched to </w:t>
      </w:r>
      <w:r>
        <w:rPr>
          <w:rFonts w:eastAsia="MS ??"/>
        </w:rPr>
        <w:t>Hadlima and 9.4% continuous Humira groups. Latent TB was 0.8% Hadlima, 0 subjects Humira</w:t>
      </w:r>
      <w:r w:rsidR="00397016">
        <w:rPr>
          <w:rFonts w:eastAsia="MS ??"/>
        </w:rPr>
        <w:t xml:space="preserve"> </w:t>
      </w:r>
      <w:r w:rsidR="00B948BA">
        <w:t>switched to</w:t>
      </w:r>
      <w:r w:rsidR="00397016">
        <w:t xml:space="preserve"> </w:t>
      </w:r>
      <w:r>
        <w:rPr>
          <w:rFonts w:eastAsia="MS ??"/>
        </w:rPr>
        <w:t>Hadlima and 3.1% continuous Humira groups.</w:t>
      </w:r>
    </w:p>
    <w:p w14:paraId="63D6F857" w14:textId="3100F105" w:rsidR="003E1B82" w:rsidRPr="00721D0A" w:rsidRDefault="003E1B82" w:rsidP="003E1B82">
      <w:r>
        <w:t>Two deaths occurred on Humira (nil on Hadlima) and were considered to be unrelated to adalimumab.</w:t>
      </w:r>
      <w:r w:rsidR="0069652B">
        <w:t xml:space="preserve"> </w:t>
      </w:r>
      <w:r>
        <w:t xml:space="preserve">Serious AEs up to </w:t>
      </w:r>
      <w:r w:rsidR="000B7CBE">
        <w:t>Week</w:t>
      </w:r>
      <w:r>
        <w:t xml:space="preserve"> 24 occurred in 1.1% (n</w:t>
      </w:r>
      <w:r w:rsidR="00397016">
        <w:t xml:space="preserve"> </w:t>
      </w:r>
      <w:r>
        <w:t>=</w:t>
      </w:r>
      <w:r w:rsidR="00397016">
        <w:t xml:space="preserve"> </w:t>
      </w:r>
      <w:r>
        <w:t xml:space="preserve">3) Hadlima </w:t>
      </w:r>
      <w:r w:rsidR="00C05C12">
        <w:t>versus</w:t>
      </w:r>
      <w:r>
        <w:t xml:space="preserve"> 2.9%</w:t>
      </w:r>
      <w:r w:rsidR="00FF356F">
        <w:t xml:space="preserve"> (n</w:t>
      </w:r>
      <w:r w:rsidR="00EC177F">
        <w:t> </w:t>
      </w:r>
      <w:r w:rsidR="00FF356F">
        <w:t>=</w:t>
      </w:r>
      <w:r w:rsidR="00EC177F">
        <w:t xml:space="preserve"> </w:t>
      </w:r>
      <w:r w:rsidR="00FF356F">
        <w:t>8)</w:t>
      </w:r>
      <w:r>
        <w:t xml:space="preserve"> Humira. Up to </w:t>
      </w:r>
      <w:r w:rsidR="000B7CBE">
        <w:t>Week</w:t>
      </w:r>
      <w:r>
        <w:t xml:space="preserve"> 52, SAEs occurred in 3.4% Hadlima </w:t>
      </w:r>
      <w:r w:rsidR="00C05C12">
        <w:t>versus</w:t>
      </w:r>
      <w:r>
        <w:t xml:space="preserve"> 5.9% overall Humira </w:t>
      </w:r>
      <w:r w:rsidR="00C05C12">
        <w:t>versus</w:t>
      </w:r>
      <w:r>
        <w:t xml:space="preserve"> 4.7% continuous Humira.</w:t>
      </w:r>
      <w:r w:rsidR="0069652B">
        <w:t xml:space="preserve"> </w:t>
      </w:r>
      <w:r>
        <w:t>Infection</w:t>
      </w:r>
      <w:r w:rsidR="00FF356F">
        <w:t>s and infestations were</w:t>
      </w:r>
      <w:r>
        <w:t xml:space="preserve"> the most common SAE group at both time periods.</w:t>
      </w:r>
      <w:r w:rsidR="0069652B">
        <w:t xml:space="preserve"> </w:t>
      </w:r>
      <w:r>
        <w:t xml:space="preserve">After </w:t>
      </w:r>
      <w:r w:rsidR="000B7CBE">
        <w:t>Week</w:t>
      </w:r>
      <w:r>
        <w:t xml:space="preserve"> 24, 3 additional </w:t>
      </w:r>
      <w:proofErr w:type="gramStart"/>
      <w:r>
        <w:t>treatment</w:t>
      </w:r>
      <w:proofErr w:type="gramEnd"/>
      <w:r>
        <w:t xml:space="preserve"> related SAEs were reported: retinal oedema (Hadlima), bronchopneumonia (</w:t>
      </w:r>
      <w:proofErr w:type="spellStart"/>
      <w:r>
        <w:t>Humira</w:t>
      </w:r>
      <w:proofErr w:type="spellEnd"/>
      <w:r w:rsidR="00397016">
        <w:t xml:space="preserve"> </w:t>
      </w:r>
      <w:r w:rsidR="00B948BA">
        <w:t>switched to</w:t>
      </w:r>
      <w:r w:rsidR="00397016">
        <w:t xml:space="preserve"> </w:t>
      </w:r>
      <w:proofErr w:type="spellStart"/>
      <w:r>
        <w:t>Hadlima</w:t>
      </w:r>
      <w:proofErr w:type="spellEnd"/>
      <w:r>
        <w:t xml:space="preserve">) and glioblastoma </w:t>
      </w:r>
      <w:proofErr w:type="spellStart"/>
      <w:r>
        <w:t>multiforme</w:t>
      </w:r>
      <w:proofErr w:type="spellEnd"/>
      <w:r>
        <w:t xml:space="preserve"> (</w:t>
      </w:r>
      <w:proofErr w:type="spellStart"/>
      <w:r>
        <w:t>Humira</w:t>
      </w:r>
      <w:proofErr w:type="spellEnd"/>
      <w:r w:rsidR="00397016">
        <w:t xml:space="preserve"> </w:t>
      </w:r>
      <w:r w:rsidR="00B948BA">
        <w:t xml:space="preserve">switched to </w:t>
      </w:r>
      <w:proofErr w:type="spellStart"/>
      <w:r>
        <w:t>Hadlima</w:t>
      </w:r>
      <w:proofErr w:type="spellEnd"/>
      <w:r>
        <w:t>).</w:t>
      </w:r>
      <w:r w:rsidR="0069652B">
        <w:t xml:space="preserve"> </w:t>
      </w:r>
      <w:r>
        <w:t xml:space="preserve">Malignant neoplasms occurred in 2 on Humira (lymphoma and papillary thyroid cancer) and 1 on </w:t>
      </w:r>
      <w:proofErr w:type="spellStart"/>
      <w:r>
        <w:t>Humira</w:t>
      </w:r>
      <w:proofErr w:type="spellEnd"/>
      <w:r w:rsidR="00397016">
        <w:t xml:space="preserve"> </w:t>
      </w:r>
      <w:r w:rsidR="00B948BA">
        <w:t>switched to</w:t>
      </w:r>
      <w:r w:rsidR="00397016">
        <w:t xml:space="preserve"> </w:t>
      </w:r>
      <w:proofErr w:type="spellStart"/>
      <w:r>
        <w:t>Hadlima</w:t>
      </w:r>
      <w:proofErr w:type="spellEnd"/>
      <w:r>
        <w:t xml:space="preserve"> switch (glioblastoma </w:t>
      </w:r>
      <w:proofErr w:type="spellStart"/>
      <w:r>
        <w:t>multiforme</w:t>
      </w:r>
      <w:proofErr w:type="spellEnd"/>
      <w:r>
        <w:t xml:space="preserve"> as above).</w:t>
      </w:r>
      <w:r w:rsidR="0069652B">
        <w:t xml:space="preserve"> </w:t>
      </w:r>
      <w:r>
        <w:t>Discontinuations due to AEs were low.</w:t>
      </w:r>
    </w:p>
    <w:p w14:paraId="49020AE1" w14:textId="4B1691B7" w:rsidR="003E1B82" w:rsidRPr="005C0C95" w:rsidRDefault="003E1B82" w:rsidP="00E07453">
      <w:r>
        <w:t xml:space="preserve">Up to </w:t>
      </w:r>
      <w:r w:rsidR="000B7CBE">
        <w:t>Week</w:t>
      </w:r>
      <w:r>
        <w:t xml:space="preserve"> 52, elevated ALT values occurred in 3.7% Hadlima, 5.5% continuous Humira and 6.4% Humira</w:t>
      </w:r>
      <w:r w:rsidR="00397016">
        <w:t xml:space="preserve"> </w:t>
      </w:r>
      <w:r w:rsidR="00B948BA">
        <w:t>switched to</w:t>
      </w:r>
      <w:r w:rsidR="00397016">
        <w:t xml:space="preserve"> </w:t>
      </w:r>
      <w:r>
        <w:t>Hadlima.</w:t>
      </w:r>
      <w:r w:rsidR="0069652B">
        <w:t xml:space="preserve"> </w:t>
      </w:r>
      <w:r>
        <w:t>There were no possible Hy’s law cases.</w:t>
      </w:r>
      <w:r w:rsidR="0069652B">
        <w:t xml:space="preserve"> </w:t>
      </w:r>
      <w:r>
        <w:t xml:space="preserve">At </w:t>
      </w:r>
      <w:r w:rsidR="000B7CBE">
        <w:t>Week</w:t>
      </w:r>
      <w:r>
        <w:t xml:space="preserve"> 24, QuantiFERON Gold testing</w:t>
      </w:r>
      <w:r w:rsidRPr="001B0CBF">
        <w:t xml:space="preserve"> </w:t>
      </w:r>
      <w:r>
        <w:t>was positive in 3.7%</w:t>
      </w:r>
      <w:r w:rsidRPr="001B0CBF">
        <w:t xml:space="preserve"> </w:t>
      </w:r>
      <w:r>
        <w:t xml:space="preserve">Hadlima </w:t>
      </w:r>
      <w:r w:rsidR="00C05C12">
        <w:t>versus</w:t>
      </w:r>
      <w:r>
        <w:t xml:space="preserve"> 3.3%</w:t>
      </w:r>
      <w:r w:rsidRPr="001B0CBF">
        <w:t xml:space="preserve"> Humira</w:t>
      </w:r>
      <w:r>
        <w:t>.</w:t>
      </w:r>
      <w:r w:rsidR="0069652B">
        <w:t xml:space="preserve"> </w:t>
      </w:r>
      <w:r>
        <w:t xml:space="preserve">At </w:t>
      </w:r>
      <w:r w:rsidR="000B7CBE">
        <w:t>Week</w:t>
      </w:r>
      <w:r>
        <w:t xml:space="preserve"> 24, latent TB occurred in 4.5% Hadlima </w:t>
      </w:r>
      <w:r w:rsidR="00C05C12">
        <w:t>versus</w:t>
      </w:r>
      <w:r>
        <w:t xml:space="preserve"> 3.7% Humira.</w:t>
      </w:r>
      <w:r w:rsidR="0069652B">
        <w:t xml:space="preserve"> </w:t>
      </w:r>
      <w:r w:rsidRPr="001B0CBF">
        <w:t xml:space="preserve">At </w:t>
      </w:r>
      <w:r w:rsidR="000B7CBE">
        <w:t>Week</w:t>
      </w:r>
      <w:r w:rsidRPr="001B0CBF">
        <w:t xml:space="preserve"> 52</w:t>
      </w:r>
      <w:r>
        <w:t>,</w:t>
      </w:r>
      <w:r w:rsidRPr="001B0CBF">
        <w:t xml:space="preserve"> the QuantiFERON Gold test results were comparable </w:t>
      </w:r>
      <w:r>
        <w:t>b</w:t>
      </w:r>
      <w:r w:rsidRPr="001B0CBF">
        <w:t>etween the treatment</w:t>
      </w:r>
      <w:r>
        <w:t xml:space="preserve"> </w:t>
      </w:r>
      <w:r w:rsidRPr="001B0CBF">
        <w:t>groups</w:t>
      </w:r>
      <w:r>
        <w:t xml:space="preserve"> and </w:t>
      </w:r>
      <w:r w:rsidRPr="001B0CBF">
        <w:t xml:space="preserve">4.1% </w:t>
      </w:r>
      <w:r>
        <w:t xml:space="preserve">Hadlima </w:t>
      </w:r>
      <w:r w:rsidR="00C05C12">
        <w:t>versus</w:t>
      </w:r>
      <w:r>
        <w:t xml:space="preserve"> 3.2% </w:t>
      </w:r>
      <w:r w:rsidRPr="001B0CBF">
        <w:t>Humira</w:t>
      </w:r>
      <w:r w:rsidR="00397016">
        <w:t xml:space="preserve"> </w:t>
      </w:r>
      <w:r w:rsidR="00B948BA">
        <w:t>switched to</w:t>
      </w:r>
      <w:r w:rsidR="00397016">
        <w:t xml:space="preserve"> </w:t>
      </w:r>
      <w:r>
        <w:t>Hadlima</w:t>
      </w:r>
      <w:r w:rsidRPr="001B0CBF">
        <w:t xml:space="preserve"> </w:t>
      </w:r>
      <w:r w:rsidR="00C05C12">
        <w:t>versus</w:t>
      </w:r>
      <w:r>
        <w:t xml:space="preserve"> 4.7%</w:t>
      </w:r>
      <w:r w:rsidRPr="001B0CBF">
        <w:t xml:space="preserve"> </w:t>
      </w:r>
      <w:r>
        <w:t xml:space="preserve">continuous </w:t>
      </w:r>
      <w:r w:rsidRPr="001B0CBF">
        <w:t>Humira</w:t>
      </w:r>
      <w:r>
        <w:t xml:space="preserve"> had latent TB.</w:t>
      </w:r>
      <w:r w:rsidR="0069652B">
        <w:t xml:space="preserve"> </w:t>
      </w:r>
      <w:r>
        <w:t xml:space="preserve">Low neutrophil counts up to </w:t>
      </w:r>
      <w:r w:rsidR="000B7CBE">
        <w:t>Week</w:t>
      </w:r>
      <w:r>
        <w:t xml:space="preserve"> 52 occurred in 1.9% Hadlima, 0.8% continuous Humira and 2.4% </w:t>
      </w:r>
      <w:r w:rsidRPr="001B0CBF">
        <w:t>Humira</w:t>
      </w:r>
      <w:r w:rsidR="00397016">
        <w:t xml:space="preserve"> </w:t>
      </w:r>
      <w:r w:rsidR="00B948BA">
        <w:t>switched to</w:t>
      </w:r>
      <w:r w:rsidR="00397016">
        <w:t xml:space="preserve"> </w:t>
      </w:r>
      <w:r>
        <w:t>Hadlima groups.</w:t>
      </w:r>
    </w:p>
    <w:p w14:paraId="6E683B71" w14:textId="4FEB8F69" w:rsidR="003E1B82" w:rsidRPr="001E6D44" w:rsidRDefault="003E1B82" w:rsidP="00E07453">
      <w:r>
        <w:t xml:space="preserve">The percentages of subjects who experienced any AE and the types of AEs most commonly reported were comparable between Hadlima and Humira in subjects who were negative or positive ADA at </w:t>
      </w:r>
      <w:r w:rsidR="000B7CBE">
        <w:t>Week</w:t>
      </w:r>
      <w:r>
        <w:t xml:space="preserve"> 24 and 52 (including the Humira</w:t>
      </w:r>
      <w:r w:rsidR="00397016">
        <w:t xml:space="preserve"> </w:t>
      </w:r>
      <w:r w:rsidR="00B948BA">
        <w:t>switched to</w:t>
      </w:r>
      <w:r w:rsidR="00397016">
        <w:t xml:space="preserve"> </w:t>
      </w:r>
      <w:r>
        <w:t>Hadlima group).</w:t>
      </w:r>
      <w:r w:rsidR="0069652B">
        <w:t xml:space="preserve"> </w:t>
      </w:r>
      <w:r>
        <w:t xml:space="preserve">In </w:t>
      </w:r>
      <w:r w:rsidR="00EC177F">
        <w:t>S</w:t>
      </w:r>
      <w:r>
        <w:t xml:space="preserve">tudy SB5-G11-NHV, </w:t>
      </w:r>
      <w:r w:rsidR="001C3936">
        <w:t xml:space="preserve">176 </w:t>
      </w:r>
      <w:r>
        <w:t xml:space="preserve">AEs were reported in </w:t>
      </w:r>
      <w:r w:rsidR="001C3936">
        <w:t>103 (54.5% of 189)</w:t>
      </w:r>
      <w:r>
        <w:t xml:space="preserve"> ADA positive subjects compared to </w:t>
      </w:r>
      <w:r w:rsidR="001C3936">
        <w:t>3 AEs in 1 (0.5% of 189)</w:t>
      </w:r>
      <w:r>
        <w:t xml:space="preserve"> ADA negative subjects.</w:t>
      </w:r>
    </w:p>
    <w:p w14:paraId="2FBD58DC" w14:textId="0A505335" w:rsidR="00233ED8" w:rsidRDefault="003E1B82" w:rsidP="000855DE">
      <w:r>
        <w:t>I</w:t>
      </w:r>
      <w:r w:rsidRPr="00D954EF">
        <w:t>n</w:t>
      </w:r>
      <w:r w:rsidR="00EC177F">
        <w:t xml:space="preserve"> Study</w:t>
      </w:r>
      <w:r w:rsidRPr="00D954EF">
        <w:t xml:space="preserve"> SB5-G11-NHV</w:t>
      </w:r>
      <w:r>
        <w:t>, TEAEs tended to be lower on</w:t>
      </w:r>
      <w:r w:rsidRPr="00D954EF">
        <w:t xml:space="preserve"> EU Humira </w:t>
      </w:r>
      <w:r>
        <w:t xml:space="preserve">than Hadlima but similar </w:t>
      </w:r>
      <w:r w:rsidRPr="00D954EF">
        <w:t>to US</w:t>
      </w:r>
      <w:r w:rsidR="00EC177F">
        <w:t> </w:t>
      </w:r>
      <w:r w:rsidRPr="00D954EF">
        <w:t xml:space="preserve">sourced Humira. In </w:t>
      </w:r>
      <w:r w:rsidR="00EC177F">
        <w:t xml:space="preserve">Study </w:t>
      </w:r>
      <w:r>
        <w:t>SB5-G21-RA</w:t>
      </w:r>
      <w:r w:rsidRPr="00C2074B">
        <w:t xml:space="preserve"> </w:t>
      </w:r>
      <w:r w:rsidRPr="00D954EF">
        <w:t>to assess the AID,</w:t>
      </w:r>
      <w:r>
        <w:t xml:space="preserve"> TEAEs occurred in 12.2% after first dose of PFS </w:t>
      </w:r>
      <w:r w:rsidR="00C05C12">
        <w:t>versus</w:t>
      </w:r>
      <w:r>
        <w:t xml:space="preserve"> 38.8% at any</w:t>
      </w:r>
      <w:r w:rsidR="00397016">
        <w:t xml:space="preserve"> </w:t>
      </w:r>
      <w:r>
        <w:t xml:space="preserve">time after first dose of AID with most being nasopharyngitis, </w:t>
      </w:r>
      <w:r w:rsidRPr="001C7646">
        <w:rPr>
          <w:rFonts w:eastAsia="MS ??"/>
        </w:rPr>
        <w:t xml:space="preserve">diarrhoea, sinusitis, </w:t>
      </w:r>
      <w:r>
        <w:rPr>
          <w:rFonts w:eastAsia="MS ??"/>
        </w:rPr>
        <w:t>URTI</w:t>
      </w:r>
      <w:r w:rsidRPr="001C7646">
        <w:rPr>
          <w:rFonts w:eastAsia="MS ??"/>
        </w:rPr>
        <w:t xml:space="preserve">, rash and </w:t>
      </w:r>
      <w:r>
        <w:rPr>
          <w:rFonts w:eastAsia="MS ??"/>
        </w:rPr>
        <w:t>r</w:t>
      </w:r>
      <w:r w:rsidRPr="001C7646">
        <w:rPr>
          <w:rFonts w:eastAsia="MS ??"/>
        </w:rPr>
        <w:t>ai</w:t>
      </w:r>
      <w:r>
        <w:rPr>
          <w:rFonts w:eastAsia="MS ??"/>
        </w:rPr>
        <w:t>s</w:t>
      </w:r>
      <w:r w:rsidRPr="001C7646">
        <w:rPr>
          <w:rFonts w:eastAsia="MS ??"/>
        </w:rPr>
        <w:t>e</w:t>
      </w:r>
      <w:r>
        <w:rPr>
          <w:rFonts w:eastAsia="MS ??"/>
        </w:rPr>
        <w:t>d ALT</w:t>
      </w:r>
      <w:r>
        <w:t xml:space="preserve">. In </w:t>
      </w:r>
      <w:r w:rsidR="00EC177F">
        <w:t xml:space="preserve">Study </w:t>
      </w:r>
      <w:r>
        <w:t xml:space="preserve">SB5-G12-NHV, the incidence of TEAEs </w:t>
      </w:r>
      <w:r w:rsidRPr="007330CC">
        <w:t xml:space="preserve">was comparable between the </w:t>
      </w:r>
      <w:r>
        <w:t>AID</w:t>
      </w:r>
      <w:r w:rsidRPr="007330CC">
        <w:t xml:space="preserve"> </w:t>
      </w:r>
      <w:r>
        <w:t xml:space="preserve">(68.4%) </w:t>
      </w:r>
      <w:r w:rsidRPr="007330CC">
        <w:t xml:space="preserve">and </w:t>
      </w:r>
      <w:r>
        <w:t>PFS (60.6%) with no discernible differences between the groups.</w:t>
      </w:r>
      <w:r w:rsidR="0069652B">
        <w:t xml:space="preserve"> </w:t>
      </w:r>
      <w:r>
        <w:t xml:space="preserve">No deaths were reported in the supporting </w:t>
      </w:r>
      <w:r>
        <w:lastRenderedPageBreak/>
        <w:t>studies and there were a small number of unrelated SAEs reported.</w:t>
      </w:r>
      <w:r w:rsidR="0069652B">
        <w:t xml:space="preserve"> </w:t>
      </w:r>
      <w:r>
        <w:t xml:space="preserve">One case of neutropenia on Hadlima led to discontinuation from </w:t>
      </w:r>
      <w:r w:rsidR="00EC177F">
        <w:t xml:space="preserve">Study </w:t>
      </w:r>
      <w:r>
        <w:t>SB5-G21-RA</w:t>
      </w:r>
      <w:r w:rsidR="00233ED8">
        <w:t>.</w:t>
      </w:r>
    </w:p>
    <w:p w14:paraId="0E06BEAD" w14:textId="77777777" w:rsidR="000855DE" w:rsidRDefault="000855DE" w:rsidP="00E07453">
      <w:pPr>
        <w:pStyle w:val="Heading4"/>
      </w:pPr>
      <w:r w:rsidRPr="007B6132">
        <w:t xml:space="preserve">Clinical </w:t>
      </w:r>
      <w:r w:rsidRPr="00E07453">
        <w:t>evaluator’s</w:t>
      </w:r>
      <w:r w:rsidRPr="007B6132">
        <w:t xml:space="preserve"> </w:t>
      </w:r>
      <w:r w:rsidRPr="00E07453">
        <w:t>recommendation</w:t>
      </w:r>
      <w:r w:rsidRPr="007B6132">
        <w:t xml:space="preserve"> (if applicable)</w:t>
      </w:r>
    </w:p>
    <w:p w14:paraId="33CDA2A7" w14:textId="77777777" w:rsidR="000855DE" w:rsidRDefault="000855DE" w:rsidP="000855DE">
      <w:bookmarkStart w:id="239" w:name="_Toc314842514"/>
      <w:r>
        <w:t>The clinical eva</w:t>
      </w:r>
      <w:r w:rsidR="00397016">
        <w:t>luator has recommended approval</w:t>
      </w:r>
      <w:r>
        <w:t xml:space="preserve"> of Hadlima for the RA indication in adult patients.</w:t>
      </w:r>
      <w:r w:rsidR="0069652B">
        <w:t xml:space="preserve"> </w:t>
      </w:r>
      <w:r>
        <w:t>The evaluator provided the following recommendation:</w:t>
      </w:r>
    </w:p>
    <w:p w14:paraId="72E5B629" w14:textId="4694D552" w:rsidR="000855DE" w:rsidRDefault="00EC177F" w:rsidP="000855DE">
      <w:pPr>
        <w:ind w:left="720"/>
      </w:pPr>
      <w:r>
        <w:t>‘</w:t>
      </w:r>
      <w:r w:rsidR="000855DE" w:rsidRPr="003E498E">
        <w:t xml:space="preserve">The submission provides evidence that </w:t>
      </w:r>
      <w:r w:rsidR="00321955">
        <w:t>Hadlima</w:t>
      </w:r>
      <w:r w:rsidR="000855DE" w:rsidRPr="003E498E">
        <w:t xml:space="preserve"> is therapeutically equivalent to Humira in improving the signs and symptoms, as well radiographic outcomes in adult patients with active RA that are inadequately responding to MTX. This target treatment population is consistent with the main approved RA treatment population for Humira. In terms of safety, the 2 formulations of adalimumab appear to be clinically equivalent for the incidence and type of clinically significant safety concerns. The </w:t>
      </w:r>
      <w:r w:rsidR="00321955">
        <w:t>Hadlima</w:t>
      </w:r>
      <w:r w:rsidR="000855DE" w:rsidRPr="003E498E">
        <w:t xml:space="preserve"> clinical study program shows a low incidence of injection site reactions, and comparable immunogenicity in RA patients treated with </w:t>
      </w:r>
      <w:r w:rsidR="00321955">
        <w:t>Hadlima</w:t>
      </w:r>
      <w:r w:rsidR="000855DE" w:rsidRPr="003E498E">
        <w:t xml:space="preserve"> compared to Humira. Moreover, the safety profile (incidence and type) of </w:t>
      </w:r>
      <w:r w:rsidR="00321955">
        <w:t>Hadlima</w:t>
      </w:r>
      <w:r w:rsidR="000855DE" w:rsidRPr="003E498E">
        <w:t xml:space="preserve"> is within historical expectations for Humira therapy in the target population</w:t>
      </w:r>
      <w:r w:rsidR="000855DE">
        <w:t>.</w:t>
      </w:r>
    </w:p>
    <w:p w14:paraId="718A2666" w14:textId="77777777" w:rsidR="00EB0AAA" w:rsidRDefault="000855DE" w:rsidP="000855DE">
      <w:pPr>
        <w:ind w:left="720"/>
      </w:pPr>
      <w:r w:rsidRPr="003E498E">
        <w:t xml:space="preserve">In the second round evaluation, the sponsor is no longer seeking registration for </w:t>
      </w:r>
      <w:r w:rsidR="00321955">
        <w:t>Hadlima</w:t>
      </w:r>
      <w:r w:rsidRPr="003E498E">
        <w:t xml:space="preserve"> in any of the other 8 approved treatment indications for Humira. The applicant states this is due to legal (patent) concerns. However, after the response, there is significant concern for the implications that the applicant is not providing alternative </w:t>
      </w:r>
      <w:r w:rsidR="00321955">
        <w:t>Hadlima</w:t>
      </w:r>
      <w:r w:rsidRPr="003E498E">
        <w:t xml:space="preserve"> presentations to the 40 mg/0.8 mL vial, which has the potential for prescribing and dispensing errors, as well as increases the risk of off label use occurring with the registration of 2 adalimumab formulations in Australia. This is compounded by the sponsor only seeking registration in 1 of the 9 approved Humira treatment indications</w:t>
      </w:r>
      <w:r w:rsidR="00EB0AAA">
        <w:t>.</w:t>
      </w:r>
    </w:p>
    <w:p w14:paraId="203B4475" w14:textId="77777777" w:rsidR="00456765" w:rsidRPr="00456765" w:rsidRDefault="00397016" w:rsidP="00E07453">
      <w:r>
        <w:t xml:space="preserve">The clinical evaluator </w:t>
      </w:r>
      <w:r w:rsidR="000855DE" w:rsidRPr="003E498E">
        <w:t>recommend</w:t>
      </w:r>
      <w:r>
        <w:t>ed</w:t>
      </w:r>
      <w:r w:rsidR="000855DE" w:rsidRPr="003E498E">
        <w:t xml:space="preserve"> that approval of the sponsor’s proposed registration for </w:t>
      </w:r>
      <w:r w:rsidR="00321955">
        <w:t>Hadlima</w:t>
      </w:r>
      <w:r w:rsidR="000855DE" w:rsidRPr="003E498E">
        <w:t xml:space="preserve"> be subject to regular periodic safety update reports</w:t>
      </w:r>
      <w:r w:rsidR="000855DE">
        <w:t>.</w:t>
      </w:r>
    </w:p>
    <w:p w14:paraId="1CBDF54D" w14:textId="77777777" w:rsidR="008E7846" w:rsidRDefault="00386150" w:rsidP="00E07453">
      <w:pPr>
        <w:pStyle w:val="Heading3"/>
        <w:rPr>
          <w:lang w:eastAsia="en-AU"/>
        </w:rPr>
      </w:pPr>
      <w:bookmarkStart w:id="240" w:name="_Toc8816507"/>
      <w:r>
        <w:rPr>
          <w:lang w:eastAsia="en-AU"/>
        </w:rPr>
        <w:t xml:space="preserve">Risk </w:t>
      </w:r>
      <w:r w:rsidRPr="00E07453">
        <w:t>m</w:t>
      </w:r>
      <w:r w:rsidR="008E7846" w:rsidRPr="00E07453">
        <w:t>anagement</w:t>
      </w:r>
      <w:r w:rsidR="008E7846">
        <w:rPr>
          <w:lang w:eastAsia="en-AU"/>
        </w:rPr>
        <w:t xml:space="preserve"> </w:t>
      </w:r>
      <w:r>
        <w:rPr>
          <w:lang w:eastAsia="en-AU"/>
        </w:rPr>
        <w:t>p</w:t>
      </w:r>
      <w:r w:rsidR="008E7846">
        <w:rPr>
          <w:lang w:eastAsia="en-AU"/>
        </w:rPr>
        <w:t>lan</w:t>
      </w:r>
      <w:bookmarkEnd w:id="239"/>
      <w:bookmarkEnd w:id="240"/>
    </w:p>
    <w:p w14:paraId="3E7858AC" w14:textId="1EE3EE0E" w:rsidR="00233ED8" w:rsidRDefault="003E1B82" w:rsidP="00E07453">
      <w:r w:rsidRPr="001C6568">
        <w:rPr>
          <w:rFonts w:asciiTheme="minorHAnsi" w:hAnsiTheme="minorHAnsi"/>
        </w:rPr>
        <w:t xml:space="preserve">The Pharmacovigilance </w:t>
      </w:r>
      <w:r w:rsidR="00392E61">
        <w:rPr>
          <w:rFonts w:asciiTheme="minorHAnsi" w:hAnsiTheme="minorHAnsi"/>
        </w:rPr>
        <w:t>and</w:t>
      </w:r>
      <w:r w:rsidRPr="001C6568">
        <w:rPr>
          <w:rFonts w:asciiTheme="minorHAnsi" w:hAnsiTheme="minorHAnsi"/>
        </w:rPr>
        <w:t xml:space="preserve"> Special Access Branch (PSAB) has accepted the </w:t>
      </w:r>
      <w:r w:rsidRPr="001C6568">
        <w:t>EU Risk Management Plan for Hadlima (adalimumab), version 1.0, dated 13 June 2016 (data lock point 1 December 2015), with the Australian Specific Annex, version 3.0, dated 17</w:t>
      </w:r>
      <w:r w:rsidR="00EC177F">
        <w:t> </w:t>
      </w:r>
      <w:r w:rsidRPr="001C6568">
        <w:t>October</w:t>
      </w:r>
      <w:r w:rsidR="00EC177F">
        <w:t> </w:t>
      </w:r>
      <w:r w:rsidRPr="001C6568">
        <w:t>2017.</w:t>
      </w:r>
      <w:r w:rsidR="0069652B">
        <w:t xml:space="preserve"> </w:t>
      </w:r>
      <w:r w:rsidRPr="001C6568">
        <w:t>The RMP must be updated with revised patient directed risk minimisation tools</w:t>
      </w:r>
      <w:r w:rsidR="00233ED8">
        <w:t>.</w:t>
      </w:r>
    </w:p>
    <w:p w14:paraId="29EEA630" w14:textId="77777777" w:rsidR="003E1B82" w:rsidRDefault="003E1B82" w:rsidP="00E07453">
      <w:r w:rsidRPr="003D2A2E">
        <w:t xml:space="preserve">The proposed Summary of Safety Concerns and their </w:t>
      </w:r>
      <w:r>
        <w:t>pharmacovigilance and risk minimisation measures</w:t>
      </w:r>
      <w:r w:rsidRPr="003D2A2E">
        <w:t xml:space="preserve"> </w:t>
      </w:r>
      <w:r>
        <w:t xml:space="preserve">for Australia </w:t>
      </w:r>
      <w:r w:rsidRPr="003D2A2E">
        <w:t xml:space="preserve">are summarised </w:t>
      </w:r>
      <w:r w:rsidR="00397016">
        <w:t xml:space="preserve">in Table </w:t>
      </w:r>
      <w:r w:rsidR="003B5224">
        <w:t>9 above</w:t>
      </w:r>
      <w:r w:rsidR="00397016">
        <w:t>.</w:t>
      </w:r>
    </w:p>
    <w:p w14:paraId="436A41E6" w14:textId="77777777" w:rsidR="003E1B82" w:rsidRPr="001C6568" w:rsidRDefault="003E1B82" w:rsidP="00C33F9D">
      <w:r w:rsidRPr="001C6568">
        <w:t xml:space="preserve">The pharmacovigilance activities include: </w:t>
      </w:r>
      <w:r>
        <w:t>routine activities, patient registries</w:t>
      </w:r>
      <w:r w:rsidRPr="001C6568">
        <w:t>, pregnancy notification and</w:t>
      </w:r>
      <w:r>
        <w:t xml:space="preserve"> outcome report </w:t>
      </w:r>
      <w:r w:rsidRPr="001C6568">
        <w:t xml:space="preserve">and follow up </w:t>
      </w:r>
      <w:r>
        <w:t>forms for malignancies</w:t>
      </w:r>
      <w:r w:rsidRPr="001C6568">
        <w:t>.</w:t>
      </w:r>
    </w:p>
    <w:p w14:paraId="5E6EF2D0" w14:textId="77777777" w:rsidR="003E1B82" w:rsidRPr="00986BF8" w:rsidRDefault="003E1B82" w:rsidP="00C33F9D">
      <w:r w:rsidRPr="001C6568">
        <w:t>The risk minimisation activities include:</w:t>
      </w:r>
      <w:r w:rsidRPr="005C2C80">
        <w:t xml:space="preserve"> </w:t>
      </w:r>
      <w:r>
        <w:t>routine activities,</w:t>
      </w:r>
      <w:r w:rsidRPr="001C6568">
        <w:t xml:space="preserve"> patient alert card, </w:t>
      </w:r>
      <w:r>
        <w:t xml:space="preserve">safety monograph, </w:t>
      </w:r>
      <w:r w:rsidRPr="001C6568">
        <w:t>dear healthcare professional letters and a TB screening and checklist brochure.</w:t>
      </w:r>
    </w:p>
    <w:p w14:paraId="616602BB" w14:textId="77777777" w:rsidR="00EB0AAA" w:rsidRDefault="003E1B82" w:rsidP="00C33F9D">
      <w:r>
        <w:t>The sponsor is not proposing to conduct specific surveillance studies in Australia or an Australian registry but will be monitoring safety through two European registries (BIOBADASER) and (ARTIS) and routine pharmacovigilance</w:t>
      </w:r>
      <w:r w:rsidR="00EB0AAA">
        <w:t>.</w:t>
      </w:r>
    </w:p>
    <w:p w14:paraId="2183B2BA" w14:textId="77777777" w:rsidR="003E1B82" w:rsidRDefault="003E1B82" w:rsidP="00E07453">
      <w:r>
        <w:t>There is one outstanding matter.</w:t>
      </w:r>
      <w:r w:rsidR="0069652B">
        <w:t xml:space="preserve"> </w:t>
      </w:r>
      <w:r w:rsidRPr="00E52C9B">
        <w:t xml:space="preserve">The Patient Alert Card </w:t>
      </w:r>
      <w:r>
        <w:t>proposed by the sponsor</w:t>
      </w:r>
      <w:r w:rsidRPr="00E52C9B">
        <w:t xml:space="preserve"> should be </w:t>
      </w:r>
      <w:r w:rsidR="00397016">
        <w:t>revised to address the patient</w:t>
      </w:r>
      <w:r w:rsidRPr="00E52C9B">
        <w:t xml:space="preserve"> rather</w:t>
      </w:r>
      <w:r w:rsidR="00397016">
        <w:t xml:space="preserve"> than healthcare professionals</w:t>
      </w:r>
      <w:r w:rsidRPr="00E52C9B">
        <w:t xml:space="preserve"> and to include additional safety concerns and more information to enable the patient to recognise </w:t>
      </w:r>
      <w:r w:rsidRPr="00E52C9B">
        <w:lastRenderedPageBreak/>
        <w:t>important signs/symptoms and take appropriate action</w:t>
      </w:r>
      <w:r>
        <w:t>.</w:t>
      </w:r>
      <w:r w:rsidR="0069652B">
        <w:t xml:space="preserve"> </w:t>
      </w:r>
      <w:r>
        <w:t>The draft Patient Aler</w:t>
      </w:r>
      <w:r w:rsidR="00397016">
        <w:t xml:space="preserve">t Card or an equivalent patient </w:t>
      </w:r>
      <w:r>
        <w:t>directed risk minimisation tool is to be provided to the TGA for review prior to launch.</w:t>
      </w:r>
      <w:r w:rsidR="0069652B">
        <w:t xml:space="preserve"> </w:t>
      </w:r>
      <w:r>
        <w:t>The PI and CMI will be included as package inserts.</w:t>
      </w:r>
    </w:p>
    <w:p w14:paraId="546C4789" w14:textId="77777777" w:rsidR="003E1B82" w:rsidRPr="003E1B82" w:rsidRDefault="00AA0ED0" w:rsidP="00E07453">
      <w:pPr>
        <w:pStyle w:val="Heading3"/>
      </w:pPr>
      <w:bookmarkStart w:id="241" w:name="_Toc247691531"/>
      <w:bookmarkStart w:id="242" w:name="_Toc314842515"/>
      <w:bookmarkStart w:id="243" w:name="_Toc8816508"/>
      <w:bookmarkStart w:id="244" w:name="_Toc196046505"/>
      <w:bookmarkStart w:id="245" w:name="_Toc196046949"/>
      <w:r>
        <w:t xml:space="preserve">Risk-benefit </w:t>
      </w:r>
      <w:r w:rsidRPr="00E07453">
        <w:t>a</w:t>
      </w:r>
      <w:r w:rsidR="008E7846" w:rsidRPr="00E07453">
        <w:t>nalysis</w:t>
      </w:r>
      <w:bookmarkEnd w:id="241"/>
      <w:bookmarkEnd w:id="242"/>
      <w:bookmarkEnd w:id="243"/>
    </w:p>
    <w:p w14:paraId="590134ED" w14:textId="77777777" w:rsidR="00D23139" w:rsidRDefault="00397016" w:rsidP="00E07453">
      <w:pPr>
        <w:pStyle w:val="Heading4"/>
      </w:pPr>
      <w:r w:rsidRPr="00E07453">
        <w:t>Delegate’s</w:t>
      </w:r>
      <w:r>
        <w:t xml:space="preserve"> </w:t>
      </w:r>
      <w:r w:rsidRPr="00E07453">
        <w:t>considerations</w:t>
      </w:r>
    </w:p>
    <w:p w14:paraId="1E583FFE" w14:textId="77777777" w:rsidR="001A2848" w:rsidRDefault="001A2848" w:rsidP="00E07453">
      <w:r w:rsidRPr="000A4122">
        <w:t>The sponsor is</w:t>
      </w:r>
      <w:r>
        <w:t xml:space="preserve"> only applying for the rheumatoid arthritis indication that is approved for Humira and not the other indications approved for Humira:</w:t>
      </w:r>
    </w:p>
    <w:p w14:paraId="3A9BA939" w14:textId="77777777" w:rsidR="001A2848" w:rsidRPr="001A2848" w:rsidRDefault="001A2848" w:rsidP="001A2848">
      <w:pPr>
        <w:ind w:left="720"/>
        <w:rPr>
          <w:i/>
        </w:rPr>
      </w:pPr>
      <w:r w:rsidRPr="001A2848">
        <w:rPr>
          <w:i/>
        </w:rPr>
        <w:t>Rheumatoid Arthritis</w:t>
      </w:r>
    </w:p>
    <w:p w14:paraId="00B7C129" w14:textId="77777777" w:rsidR="001A2848" w:rsidRPr="001A2848" w:rsidRDefault="001A2848" w:rsidP="001A2848">
      <w:pPr>
        <w:ind w:left="720"/>
        <w:rPr>
          <w:i/>
        </w:rPr>
      </w:pPr>
      <w:r w:rsidRPr="001A2848">
        <w:rPr>
          <w:i/>
        </w:rPr>
        <w:t>Hadlima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2479E005" w14:textId="77777777" w:rsidR="001A2848" w:rsidRPr="001A2848" w:rsidRDefault="001A2848" w:rsidP="001A2848">
      <w:pPr>
        <w:ind w:left="720"/>
        <w:rPr>
          <w:i/>
        </w:rPr>
      </w:pPr>
      <w:r w:rsidRPr="001A2848">
        <w:rPr>
          <w:i/>
        </w:rPr>
        <w:t>Hadlima can be used alone or in combination with methotrexate</w:t>
      </w:r>
    </w:p>
    <w:p w14:paraId="7293D40A" w14:textId="77777777" w:rsidR="001A2848" w:rsidRPr="001A2848" w:rsidRDefault="001A2848" w:rsidP="001A2848">
      <w:r w:rsidRPr="001A2848">
        <w:t>Current indications approved for Humira:</w:t>
      </w:r>
    </w:p>
    <w:p w14:paraId="2C3A8021" w14:textId="77777777" w:rsidR="001A2848" w:rsidRPr="00E07453" w:rsidRDefault="00D02A3B" w:rsidP="00E07453">
      <w:pPr>
        <w:rPr>
          <w:b/>
          <w:i/>
        </w:rPr>
      </w:pPr>
      <w:r w:rsidRPr="00E07453">
        <w:rPr>
          <w:b/>
          <w:i/>
        </w:rPr>
        <w:t>Rheumatoid Arthritis</w:t>
      </w:r>
    </w:p>
    <w:p w14:paraId="5B5230DA" w14:textId="77777777" w:rsidR="00EB0AAA" w:rsidRPr="00D02A3B" w:rsidRDefault="001A2848" w:rsidP="00D02A3B">
      <w:pPr>
        <w:rPr>
          <w:i/>
        </w:rPr>
      </w:pPr>
      <w:r w:rsidRPr="00D02A3B">
        <w:rPr>
          <w:i/>
        </w:rPr>
        <w:t>Humira is indicated for reducing signs and symptoms, as well as inhibiting the progression of structural damage in adult patients with</w:t>
      </w:r>
      <w:r w:rsidR="00D02A3B" w:rsidRPr="00D02A3B">
        <w:rPr>
          <w:i/>
        </w:rPr>
        <w:t xml:space="preserve"> </w:t>
      </w:r>
      <w:r w:rsidRPr="00D02A3B">
        <w:rPr>
          <w:i/>
        </w:rPr>
        <w:t>moderate to severely active rheumatoid arthritis. This includes the treatment of patients with recently diagnosed moderate to severely active disease who have not received methotrexate</w:t>
      </w:r>
      <w:r w:rsidR="00EB0AAA" w:rsidRPr="00D02A3B">
        <w:rPr>
          <w:i/>
        </w:rPr>
        <w:t>.</w:t>
      </w:r>
    </w:p>
    <w:p w14:paraId="7B29043E" w14:textId="77777777" w:rsidR="00EB0AAA" w:rsidRPr="00D02A3B" w:rsidRDefault="001A2848" w:rsidP="00D02A3B">
      <w:pPr>
        <w:rPr>
          <w:i/>
        </w:rPr>
      </w:pPr>
      <w:r w:rsidRPr="00D02A3B">
        <w:rPr>
          <w:i/>
        </w:rPr>
        <w:t>Humira can be used alone or in combination with methotrexate</w:t>
      </w:r>
      <w:r w:rsidR="00EB0AAA" w:rsidRPr="00D02A3B">
        <w:rPr>
          <w:i/>
        </w:rPr>
        <w:t>.</w:t>
      </w:r>
    </w:p>
    <w:p w14:paraId="6F94B1B0" w14:textId="77777777" w:rsidR="001A2848" w:rsidRPr="00E07453" w:rsidRDefault="00D02A3B" w:rsidP="00E07453">
      <w:pPr>
        <w:rPr>
          <w:b/>
          <w:i/>
        </w:rPr>
      </w:pPr>
      <w:r w:rsidRPr="00E07453">
        <w:rPr>
          <w:b/>
          <w:i/>
        </w:rPr>
        <w:t>Juvenile Idiopathic Arthritis</w:t>
      </w:r>
    </w:p>
    <w:p w14:paraId="36718DD2" w14:textId="77777777" w:rsidR="001A2848" w:rsidRPr="00D02A3B" w:rsidRDefault="001A2848" w:rsidP="00D02A3B">
      <w:pPr>
        <w:rPr>
          <w:i/>
        </w:rPr>
      </w:pPr>
      <w:r w:rsidRPr="00D02A3B">
        <w:rPr>
          <w:i/>
        </w:rPr>
        <w:t>Polyarticula</w:t>
      </w:r>
      <w:r w:rsidR="00D02A3B" w:rsidRPr="00D02A3B">
        <w:rPr>
          <w:i/>
        </w:rPr>
        <w:t>r Juvenile Idiopathic Arthritis</w:t>
      </w:r>
    </w:p>
    <w:p w14:paraId="3D5A85E2" w14:textId="77777777" w:rsidR="00EB0AAA" w:rsidRPr="00D02A3B" w:rsidRDefault="001A2848" w:rsidP="00D02A3B">
      <w:pPr>
        <w:rPr>
          <w:i/>
        </w:rPr>
      </w:pPr>
      <w:r w:rsidRPr="00D02A3B">
        <w:rPr>
          <w:i/>
        </w:rPr>
        <w:t>Humira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Humira can be given as monotherapy in case of intolerance to methotrexate or when continued treatment with methotrexate is inappropriate</w:t>
      </w:r>
      <w:r w:rsidR="00EB0AAA" w:rsidRPr="00D02A3B">
        <w:rPr>
          <w:i/>
        </w:rPr>
        <w:t>.</w:t>
      </w:r>
    </w:p>
    <w:p w14:paraId="54CF0BB6" w14:textId="77777777" w:rsidR="001A2848" w:rsidRPr="00E07453" w:rsidRDefault="00D02A3B" w:rsidP="00E07453">
      <w:pPr>
        <w:rPr>
          <w:i/>
        </w:rPr>
      </w:pPr>
      <w:proofErr w:type="spellStart"/>
      <w:r w:rsidRPr="00E07453">
        <w:rPr>
          <w:i/>
        </w:rPr>
        <w:t>Enthesitis</w:t>
      </w:r>
      <w:proofErr w:type="spellEnd"/>
      <w:r w:rsidRPr="00E07453">
        <w:rPr>
          <w:i/>
        </w:rPr>
        <w:t>-Related Arthritis</w:t>
      </w:r>
    </w:p>
    <w:p w14:paraId="26013271" w14:textId="77777777" w:rsidR="001A2848" w:rsidRPr="00D02A3B" w:rsidRDefault="001A2848" w:rsidP="00D02A3B">
      <w:pPr>
        <w:rPr>
          <w:i/>
        </w:rPr>
      </w:pPr>
      <w:r w:rsidRPr="00D02A3B">
        <w:rPr>
          <w:i/>
        </w:rPr>
        <w:t xml:space="preserve">Humira is indicated for the treatment of </w:t>
      </w:r>
      <w:proofErr w:type="spellStart"/>
      <w:r w:rsidRPr="00D02A3B">
        <w:rPr>
          <w:i/>
        </w:rPr>
        <w:t>enthesitis</w:t>
      </w:r>
      <w:proofErr w:type="spellEnd"/>
      <w:r w:rsidRPr="00D02A3B">
        <w:rPr>
          <w:i/>
        </w:rPr>
        <w:t>-related arthritis in children, who have had an inadequate response to, or who are intolerant to, conventional therapy.</w:t>
      </w:r>
    </w:p>
    <w:p w14:paraId="16F8CD0E" w14:textId="77777777" w:rsidR="001A2848" w:rsidRPr="00D02A3B" w:rsidRDefault="001A2848" w:rsidP="00D02A3B">
      <w:pPr>
        <w:rPr>
          <w:b/>
          <w:i/>
        </w:rPr>
      </w:pPr>
      <w:r w:rsidRPr="00D02A3B">
        <w:rPr>
          <w:b/>
          <w:i/>
        </w:rPr>
        <w:t>Psoriatic Art</w:t>
      </w:r>
      <w:r w:rsidR="00D02A3B" w:rsidRPr="00D02A3B">
        <w:rPr>
          <w:b/>
          <w:i/>
        </w:rPr>
        <w:t>hritis</w:t>
      </w:r>
    </w:p>
    <w:p w14:paraId="61DF47CF" w14:textId="77777777" w:rsidR="00EB0AAA" w:rsidRPr="00D02A3B" w:rsidRDefault="001A2848" w:rsidP="00D02A3B">
      <w:pPr>
        <w:rPr>
          <w:i/>
        </w:rPr>
      </w:pPr>
      <w:proofErr w:type="spellStart"/>
      <w:r w:rsidRPr="00D02A3B">
        <w:rPr>
          <w:i/>
        </w:rPr>
        <w:t>Humira</w:t>
      </w:r>
      <w:proofErr w:type="spellEnd"/>
      <w:r w:rsidRPr="00D02A3B">
        <w:rPr>
          <w:i/>
        </w:rPr>
        <w:t xml:space="preserve"> is indicated for the treatment of signs and symptoms, as well as inhibiting the progression of structural damage, of moderate to severely active psoriatic arthritis in adult patients where response to previous DMARDs has been inadequate</w:t>
      </w:r>
      <w:r w:rsidR="00EB0AAA" w:rsidRPr="00D02A3B">
        <w:rPr>
          <w:i/>
        </w:rPr>
        <w:t>.</w:t>
      </w:r>
    </w:p>
    <w:p w14:paraId="4DD2B31B" w14:textId="77777777" w:rsidR="001A2848" w:rsidRPr="00D02A3B" w:rsidRDefault="001A2848" w:rsidP="00D02A3B">
      <w:pPr>
        <w:rPr>
          <w:b/>
          <w:i/>
        </w:rPr>
      </w:pPr>
      <w:r w:rsidRPr="00D02A3B">
        <w:rPr>
          <w:b/>
          <w:i/>
        </w:rPr>
        <w:t>Ank</w:t>
      </w:r>
      <w:r w:rsidR="00D02A3B" w:rsidRPr="00D02A3B">
        <w:rPr>
          <w:b/>
          <w:i/>
        </w:rPr>
        <w:t>ylosing Spondylitis</w:t>
      </w:r>
    </w:p>
    <w:p w14:paraId="272DE3A8" w14:textId="77777777" w:rsidR="00EB0AAA" w:rsidRPr="00D02A3B" w:rsidRDefault="001A2848" w:rsidP="00D02A3B">
      <w:pPr>
        <w:rPr>
          <w:i/>
        </w:rPr>
      </w:pPr>
      <w:r w:rsidRPr="00D02A3B">
        <w:rPr>
          <w:i/>
        </w:rPr>
        <w:t>Humira is indicated for reducing signs and symptoms in patients with active ankylosing spondylitis</w:t>
      </w:r>
      <w:r w:rsidR="00EB0AAA" w:rsidRPr="00D02A3B">
        <w:rPr>
          <w:i/>
        </w:rPr>
        <w:t>.</w:t>
      </w:r>
    </w:p>
    <w:p w14:paraId="26837D7F" w14:textId="77777777" w:rsidR="001A2848" w:rsidRPr="00D02A3B" w:rsidRDefault="001A2848" w:rsidP="00D02A3B">
      <w:pPr>
        <w:rPr>
          <w:b/>
          <w:i/>
        </w:rPr>
      </w:pPr>
      <w:r w:rsidRPr="00D02A3B">
        <w:rPr>
          <w:b/>
          <w:i/>
        </w:rPr>
        <w:t>Crohn’s Disease in Adults and Children (</w:t>
      </w:r>
      <w:r w:rsidR="00C05C12" w:rsidRPr="00D02A3B">
        <w:rPr>
          <w:b/>
          <w:i/>
        </w:rPr>
        <w:t xml:space="preserve">≥ </w:t>
      </w:r>
      <w:r w:rsidR="00D02A3B" w:rsidRPr="00D02A3B">
        <w:rPr>
          <w:b/>
          <w:i/>
        </w:rPr>
        <w:t>6 years)</w:t>
      </w:r>
    </w:p>
    <w:p w14:paraId="1D724655" w14:textId="77777777" w:rsidR="001A2848" w:rsidRPr="00D02A3B" w:rsidRDefault="001A2848" w:rsidP="00D02A3B">
      <w:pPr>
        <w:rPr>
          <w:i/>
        </w:rPr>
      </w:pPr>
      <w:r w:rsidRPr="00D02A3B">
        <w:rPr>
          <w:i/>
        </w:rPr>
        <w:t xml:space="preserve">Humira is indicated for the treatment of moderate to severe Crohn’s disease, to reduce the signs and symptoms of the disease and to induce and maintain </w:t>
      </w:r>
      <w:r w:rsidR="00D02A3B" w:rsidRPr="00D02A3B">
        <w:rPr>
          <w:i/>
        </w:rPr>
        <w:t>clinical remission in patients;</w:t>
      </w:r>
    </w:p>
    <w:p w14:paraId="4400F283" w14:textId="29304C9B" w:rsidR="001A2848" w:rsidRPr="00D02A3B" w:rsidRDefault="001A2848" w:rsidP="00D02A3B">
      <w:pPr>
        <w:pStyle w:val="ListBullet"/>
        <w:rPr>
          <w:i/>
        </w:rPr>
      </w:pPr>
      <w:r w:rsidRPr="00D02A3B">
        <w:rPr>
          <w:i/>
        </w:rPr>
        <w:t>who have had an inadequate response to conventional therapies or,</w:t>
      </w:r>
    </w:p>
    <w:p w14:paraId="736457F0" w14:textId="77777777" w:rsidR="00EB0AAA" w:rsidRPr="00D02A3B" w:rsidRDefault="001A2848" w:rsidP="00D02A3B">
      <w:pPr>
        <w:pStyle w:val="ListBullet"/>
        <w:rPr>
          <w:i/>
        </w:rPr>
      </w:pPr>
      <w:proofErr w:type="gramStart"/>
      <w:r w:rsidRPr="00D02A3B">
        <w:rPr>
          <w:i/>
        </w:rPr>
        <w:lastRenderedPageBreak/>
        <w:t>who</w:t>
      </w:r>
      <w:proofErr w:type="gramEnd"/>
      <w:r w:rsidRPr="00D02A3B">
        <w:rPr>
          <w:i/>
        </w:rPr>
        <w:t xml:space="preserve"> have lost response to or are intolerant to infliximab</w:t>
      </w:r>
      <w:r w:rsidR="00EB0AAA" w:rsidRPr="00D02A3B">
        <w:rPr>
          <w:i/>
        </w:rPr>
        <w:t>.</w:t>
      </w:r>
    </w:p>
    <w:p w14:paraId="6B8E95E9" w14:textId="77777777" w:rsidR="001A2848" w:rsidRPr="00D02A3B" w:rsidRDefault="00D02A3B" w:rsidP="00D02A3B">
      <w:pPr>
        <w:rPr>
          <w:b/>
          <w:i/>
        </w:rPr>
      </w:pPr>
      <w:r w:rsidRPr="00D02A3B">
        <w:rPr>
          <w:b/>
          <w:i/>
        </w:rPr>
        <w:t>Ulcerative colitis</w:t>
      </w:r>
    </w:p>
    <w:p w14:paraId="5819F212" w14:textId="77777777" w:rsidR="00EB0AAA" w:rsidRPr="00D02A3B" w:rsidRDefault="001A2848" w:rsidP="00D02A3B">
      <w:pPr>
        <w:rPr>
          <w:i/>
        </w:rPr>
      </w:pPr>
      <w:r w:rsidRPr="00D02A3B">
        <w:rPr>
          <w:i/>
        </w:rPr>
        <w:t>Humira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Pr="00D02A3B">
        <w:rPr>
          <w:i/>
        </w:rPr>
        <w:t>see</w:t>
      </w:r>
      <w:proofErr w:type="gramEnd"/>
      <w:r w:rsidRPr="00D02A3B">
        <w:rPr>
          <w:i/>
        </w:rPr>
        <w:t xml:space="preserve"> CLINICAL TRIALS)</w:t>
      </w:r>
      <w:r w:rsidR="00EB0AAA" w:rsidRPr="00D02A3B">
        <w:rPr>
          <w:i/>
        </w:rPr>
        <w:t>.</w:t>
      </w:r>
    </w:p>
    <w:p w14:paraId="76688210" w14:textId="77777777" w:rsidR="001A2848" w:rsidRPr="00D02A3B" w:rsidRDefault="001A2848" w:rsidP="00D02A3B">
      <w:pPr>
        <w:rPr>
          <w:b/>
          <w:i/>
        </w:rPr>
      </w:pPr>
      <w:r w:rsidRPr="00D02A3B">
        <w:rPr>
          <w:b/>
          <w:i/>
        </w:rPr>
        <w:t>P</w:t>
      </w:r>
      <w:r w:rsidR="00D02A3B" w:rsidRPr="00D02A3B">
        <w:rPr>
          <w:b/>
          <w:i/>
        </w:rPr>
        <w:t>soriasis in Adults and Children</w:t>
      </w:r>
    </w:p>
    <w:p w14:paraId="2252A4BD" w14:textId="77777777" w:rsidR="00EB0AAA" w:rsidRPr="00D02A3B" w:rsidRDefault="001A2848" w:rsidP="00D02A3B">
      <w:pPr>
        <w:rPr>
          <w:i/>
        </w:rPr>
      </w:pPr>
      <w:r w:rsidRPr="00D02A3B">
        <w:rPr>
          <w:i/>
        </w:rPr>
        <w:t>Humira is indicated for the treatment of moderate to severe chronic plaque psoriasis in adult patients who are candidates for systemic therapy or phototherapy</w:t>
      </w:r>
      <w:r w:rsidR="00EB0AAA" w:rsidRPr="00D02A3B">
        <w:rPr>
          <w:i/>
        </w:rPr>
        <w:t>.</w:t>
      </w:r>
    </w:p>
    <w:p w14:paraId="5786A320" w14:textId="3CF78EA8" w:rsidR="001A2848" w:rsidRPr="00D02A3B" w:rsidRDefault="001A2848" w:rsidP="00D02A3B">
      <w:pPr>
        <w:rPr>
          <w:i/>
        </w:rPr>
      </w:pPr>
      <w:r w:rsidRPr="00D02A3B">
        <w:rPr>
          <w:i/>
        </w:rPr>
        <w:t>Humira is indicated for the treatment of severe chronic plaque psoriasis in children and adolescent patients from 4 years of age who have had an inadequate response to or are inappropriate candidates for topical therapy and phototherapy</w:t>
      </w:r>
      <w:r w:rsidR="00EC177F">
        <w:rPr>
          <w:i/>
        </w:rPr>
        <w:t>.</w:t>
      </w:r>
    </w:p>
    <w:p w14:paraId="632CF2DE" w14:textId="00288D4A" w:rsidR="001A2848" w:rsidRPr="00D02A3B" w:rsidRDefault="001A2848" w:rsidP="00D02A3B">
      <w:pPr>
        <w:rPr>
          <w:i/>
        </w:rPr>
      </w:pPr>
      <w:proofErr w:type="gramStart"/>
      <w:r w:rsidRPr="00D02A3B">
        <w:rPr>
          <w:i/>
        </w:rPr>
        <w:t>Hidradenitis Suppurativa in Adults and Adolescents (from 12 years of age)</w:t>
      </w:r>
      <w:r w:rsidR="00EC177F">
        <w:rPr>
          <w:i/>
        </w:rPr>
        <w:t>.</w:t>
      </w:r>
      <w:proofErr w:type="gramEnd"/>
    </w:p>
    <w:p w14:paraId="4E6E0C3C" w14:textId="77777777" w:rsidR="00EB0AAA" w:rsidRPr="00D02A3B" w:rsidRDefault="001A2848" w:rsidP="00D02A3B">
      <w:pPr>
        <w:rPr>
          <w:i/>
        </w:rPr>
      </w:pPr>
      <w:r w:rsidRPr="00D02A3B">
        <w:rPr>
          <w:i/>
        </w:rPr>
        <w:t xml:space="preserve">Humira is indicated for the treatment of active moderate to severe hidradenitis </w:t>
      </w:r>
      <w:proofErr w:type="spellStart"/>
      <w:r w:rsidRPr="00D02A3B">
        <w:rPr>
          <w:i/>
        </w:rPr>
        <w:t>suppurativa</w:t>
      </w:r>
      <w:proofErr w:type="spellEnd"/>
      <w:r w:rsidRPr="00D02A3B">
        <w:rPr>
          <w:i/>
        </w:rPr>
        <w:t xml:space="preserve"> (acne </w:t>
      </w:r>
      <w:proofErr w:type="spellStart"/>
      <w:r w:rsidRPr="00D02A3B">
        <w:rPr>
          <w:i/>
        </w:rPr>
        <w:t>inversa</w:t>
      </w:r>
      <w:proofErr w:type="spellEnd"/>
      <w:r w:rsidRPr="00D02A3B">
        <w:rPr>
          <w:i/>
        </w:rPr>
        <w:t>) in patients with an inadequate response to conventional systemic hidradenitis suppurativa therapy</w:t>
      </w:r>
      <w:r w:rsidR="00EB0AAA" w:rsidRPr="00D02A3B">
        <w:rPr>
          <w:i/>
        </w:rPr>
        <w:t>.</w:t>
      </w:r>
    </w:p>
    <w:p w14:paraId="6ED82E9D" w14:textId="77777777" w:rsidR="001A2848" w:rsidRPr="00D02A3B" w:rsidRDefault="00D02A3B" w:rsidP="00D02A3B">
      <w:pPr>
        <w:rPr>
          <w:b/>
          <w:i/>
        </w:rPr>
      </w:pPr>
      <w:r w:rsidRPr="00D02A3B">
        <w:rPr>
          <w:b/>
          <w:i/>
        </w:rPr>
        <w:t>Uveitis</w:t>
      </w:r>
    </w:p>
    <w:p w14:paraId="76812E8C" w14:textId="77777777" w:rsidR="001A2848" w:rsidRPr="00D02A3B" w:rsidRDefault="001A2848" w:rsidP="00D02A3B">
      <w:pPr>
        <w:rPr>
          <w:i/>
        </w:rPr>
      </w:pPr>
      <w:r w:rsidRPr="00D02A3B">
        <w:rPr>
          <w:i/>
        </w:rPr>
        <w:t>Humira is indicated for the treatment of non-infectious intermediate, posterior and pan-uveitis in adult patients who have had an inadequate response to corticosteroids, in patients in need of corticosteroid sparing, or in whom corticosteroid treatment is inappropriate.</w:t>
      </w:r>
    </w:p>
    <w:p w14:paraId="54E3B841" w14:textId="77777777" w:rsidR="001A2848" w:rsidRDefault="00397016" w:rsidP="00E07453">
      <w:pPr>
        <w:pStyle w:val="Heading5"/>
      </w:pPr>
      <w:r w:rsidRPr="00E07453">
        <w:t>Dosage</w:t>
      </w:r>
    </w:p>
    <w:p w14:paraId="3F207825" w14:textId="77777777" w:rsidR="001A2848" w:rsidRPr="001A2848" w:rsidRDefault="001A2848" w:rsidP="001A2848">
      <w:r w:rsidRPr="001A2848">
        <w:t>The sponsor is applying for the same dosage as Humira for rheumatoid arthritis and is not including the other dosage regimens in the PI for the other approved Humira indications:</w:t>
      </w:r>
    </w:p>
    <w:p w14:paraId="5BADF7CF" w14:textId="77777777" w:rsidR="001A2848" w:rsidRPr="00D02A3B" w:rsidRDefault="001A2848" w:rsidP="00D02A3B">
      <w:pPr>
        <w:rPr>
          <w:i/>
        </w:rPr>
      </w:pPr>
      <w:r w:rsidRPr="00D02A3B">
        <w:rPr>
          <w:i/>
        </w:rPr>
        <w:t>Rheumatoid Arthritis</w:t>
      </w:r>
    </w:p>
    <w:p w14:paraId="3C08AE45" w14:textId="77777777" w:rsidR="001A2848" w:rsidRPr="00D02A3B" w:rsidRDefault="001A2848" w:rsidP="00D02A3B">
      <w:pPr>
        <w:ind w:left="720"/>
      </w:pPr>
      <w:r w:rsidRPr="00D02A3B">
        <w:t>The recommended dose of Hadlima for adult patients with rheumatoid arthritis is 40 mg administered fortnightly as a single dose. Methotrexate, glucocorticoids, salicylates, nonsteroidal anti-inflammatory drugs or analgesics may be continued during treatment with Hadlima.</w:t>
      </w:r>
    </w:p>
    <w:p w14:paraId="34126063" w14:textId="77777777" w:rsidR="001A2848" w:rsidRPr="00D02A3B" w:rsidRDefault="001A2848" w:rsidP="00D02A3B">
      <w:pPr>
        <w:ind w:left="720"/>
      </w:pPr>
      <w:r w:rsidRPr="00D02A3B">
        <w:t>Some patients not taking concomitant methotrexate may derive additional benefit from increasing the dosing frequency of Hadlima to 40 mg every week.</w:t>
      </w:r>
    </w:p>
    <w:p w14:paraId="40088F34" w14:textId="77777777" w:rsidR="001A2848" w:rsidRPr="00D02A3B" w:rsidRDefault="001A2848" w:rsidP="00D02A3B">
      <w:pPr>
        <w:rPr>
          <w:i/>
        </w:rPr>
      </w:pPr>
      <w:r w:rsidRPr="00D02A3B">
        <w:rPr>
          <w:i/>
        </w:rPr>
        <w:t>Preparation of Hadlima</w:t>
      </w:r>
    </w:p>
    <w:p w14:paraId="236AA48B" w14:textId="77777777" w:rsidR="001A2848" w:rsidRPr="00D02A3B" w:rsidRDefault="001A2848" w:rsidP="00D02A3B">
      <w:pPr>
        <w:ind w:left="720"/>
      </w:pPr>
      <w:r w:rsidRPr="00D02A3B">
        <w:t>Hadlima is intended for use under the guidance and supervision of a physician. Patients may self-inject Hadlima if their physician determines that it is appropriate and with medical follow-up, as necessary, after proper training in subcutaneous injection technique.</w:t>
      </w:r>
    </w:p>
    <w:p w14:paraId="4D373C7D" w14:textId="77777777" w:rsidR="001A2848" w:rsidRPr="00D02A3B" w:rsidRDefault="001A2848" w:rsidP="00D02A3B">
      <w:pPr>
        <w:ind w:left="720"/>
      </w:pPr>
      <w:r w:rsidRPr="00D02A3B">
        <w:t>Sites for self-injection include thigh or abdomen. Injection sites should be rotated. New injections should never be given into areas where the skin is tender, bruised, red or hard.</w:t>
      </w:r>
    </w:p>
    <w:p w14:paraId="5B187900" w14:textId="77777777" w:rsidR="001A2848" w:rsidRPr="00D02A3B" w:rsidRDefault="001A2848" w:rsidP="00D02A3B">
      <w:pPr>
        <w:ind w:left="720"/>
      </w:pPr>
      <w:r w:rsidRPr="00D02A3B">
        <w:t>Parenteral drug products should be inspected visually for particulate matter and discolouration prior to administration, whenever solution and container permit.</w:t>
      </w:r>
    </w:p>
    <w:p w14:paraId="54E6DCED" w14:textId="77777777" w:rsidR="001A2848" w:rsidRPr="00D02A3B" w:rsidRDefault="001A2848" w:rsidP="00D02A3B">
      <w:pPr>
        <w:ind w:left="720"/>
      </w:pPr>
      <w:r w:rsidRPr="00D02A3B">
        <w:t>Hadlima should not be mixed in the same syringe with any other medicine. Any unused product or waste material should be disposed of in accordance with local requirements.</w:t>
      </w:r>
    </w:p>
    <w:p w14:paraId="37B64777" w14:textId="0EF0E141" w:rsidR="001A2848" w:rsidRPr="00D02A3B" w:rsidRDefault="001A2848" w:rsidP="00D02A3B">
      <w:pPr>
        <w:ind w:left="720"/>
      </w:pPr>
      <w:r w:rsidRPr="00D02A3B">
        <w:lastRenderedPageBreak/>
        <w:t>Hadlima contains no antimicrobial agent. Hadlima is for single use in one patient only. Discard any residue</w:t>
      </w:r>
      <w:r w:rsidR="00EC177F">
        <w:t>.</w:t>
      </w:r>
    </w:p>
    <w:p w14:paraId="66E07220" w14:textId="77777777" w:rsidR="00ED6FF8" w:rsidRDefault="00ED6FF8" w:rsidP="00E07453">
      <w:pPr>
        <w:pStyle w:val="Heading5"/>
      </w:pPr>
      <w:r w:rsidRPr="001363E4">
        <w:t>Quality</w:t>
      </w:r>
      <w:r>
        <w:t xml:space="preserve"> and </w:t>
      </w:r>
      <w:r w:rsidRPr="00E07453">
        <w:t>nonclinical</w:t>
      </w:r>
    </w:p>
    <w:p w14:paraId="4B8723EB" w14:textId="77777777" w:rsidR="00D76E7F" w:rsidRDefault="00ED6FF8" w:rsidP="00E07453">
      <w:r w:rsidRPr="001363E4">
        <w:rPr>
          <w:rFonts w:asciiTheme="minorHAnsi" w:hAnsiTheme="minorHAnsi"/>
        </w:rPr>
        <w:t xml:space="preserve">The </w:t>
      </w:r>
      <w:r w:rsidR="00D76E7F">
        <w:rPr>
          <w:rFonts w:asciiTheme="minorHAnsi" w:hAnsiTheme="minorHAnsi"/>
        </w:rPr>
        <w:t>quality</w:t>
      </w:r>
      <w:r w:rsidRPr="001363E4">
        <w:rPr>
          <w:rFonts w:asciiTheme="minorHAnsi" w:hAnsiTheme="minorHAnsi"/>
        </w:rPr>
        <w:t xml:space="preserve"> evaluator has no objections on quality grounds to the approval of Hadlima pending outstanding GMP clearances. </w:t>
      </w:r>
      <w:r w:rsidRPr="001363E4">
        <w:t xml:space="preserve">Acceptable comparability on quality grounds was demonstrated between EU Humira and Hadlima and between EU Humira and Australian Humira, however some differences were noted </w:t>
      </w:r>
      <w:r w:rsidRPr="001363E4">
        <w:rPr>
          <w:rFonts w:eastAsia="TimesNewRoman" w:cs="TimesNewRoman"/>
          <w:color w:val="000000"/>
          <w:lang w:eastAsia="en-AU"/>
        </w:rPr>
        <w:t xml:space="preserve">in quality attributes </w:t>
      </w:r>
      <w:r w:rsidRPr="001363E4">
        <w:t>which were not considered to have a significant effect.</w:t>
      </w:r>
      <w:r w:rsidR="0069652B">
        <w:t xml:space="preserve"> </w:t>
      </w:r>
      <w:r w:rsidRPr="001363E4">
        <w:t xml:space="preserve">Whether </w:t>
      </w:r>
      <w:r w:rsidRPr="001363E4">
        <w:rPr>
          <w:rFonts w:eastAsia="TimesNewRoman" w:cs="TimesNewRoman"/>
          <w:color w:val="000000"/>
          <w:lang w:eastAsia="en-AU"/>
        </w:rPr>
        <w:t>these differences have clinical implication</w:t>
      </w:r>
      <w:r>
        <w:rPr>
          <w:rFonts w:eastAsia="TimesNewRoman" w:cs="TimesNewRoman"/>
          <w:color w:val="000000"/>
          <w:lang w:eastAsia="en-AU"/>
        </w:rPr>
        <w:t>s</w:t>
      </w:r>
      <w:r w:rsidRPr="001363E4">
        <w:rPr>
          <w:rFonts w:eastAsia="TimesNewRoman" w:cs="TimesNewRoman"/>
          <w:color w:val="000000"/>
          <w:lang w:eastAsia="en-AU"/>
        </w:rPr>
        <w:t xml:space="preserve"> </w:t>
      </w:r>
      <w:r>
        <w:rPr>
          <w:rFonts w:eastAsia="TimesNewRoman" w:cs="TimesNewRoman"/>
          <w:color w:val="000000"/>
          <w:lang w:eastAsia="en-AU"/>
        </w:rPr>
        <w:t>is unclear from the clinical data</w:t>
      </w:r>
      <w:r w:rsidRPr="001363E4">
        <w:rPr>
          <w:rFonts w:eastAsia="TimesNewRoman" w:cs="TimesNewRoman"/>
          <w:color w:val="000000"/>
          <w:lang w:eastAsia="en-AU"/>
        </w:rPr>
        <w:t>.</w:t>
      </w:r>
    </w:p>
    <w:p w14:paraId="1A79D699" w14:textId="77777777" w:rsidR="00ED6FF8" w:rsidRDefault="00ED6FF8" w:rsidP="00ED6FF8">
      <w:r w:rsidRPr="00183B0B">
        <w:t>The nonclinical dossier was acceptable and the evaluator ha</w:t>
      </w:r>
      <w:r>
        <w:t>s</w:t>
      </w:r>
      <w:r w:rsidRPr="00183B0B">
        <w:t xml:space="preserve"> </w:t>
      </w:r>
      <w:r w:rsidR="00D76E7F">
        <w:t>no objections to registration.</w:t>
      </w:r>
    </w:p>
    <w:p w14:paraId="4F2A7875" w14:textId="77777777" w:rsidR="00ED6FF8" w:rsidRPr="00122BA7" w:rsidRDefault="00ED6FF8" w:rsidP="00E07453">
      <w:pPr>
        <w:pStyle w:val="Heading5"/>
        <w:rPr>
          <w:szCs w:val="22"/>
        </w:rPr>
      </w:pPr>
      <w:r w:rsidRPr="00E07453">
        <w:t>Clinical</w:t>
      </w:r>
    </w:p>
    <w:p w14:paraId="2B5C0848" w14:textId="77777777" w:rsidR="00ED6FF8" w:rsidRDefault="00ED6FF8" w:rsidP="00E07453">
      <w:pPr>
        <w:pStyle w:val="Heading6"/>
      </w:pPr>
      <w:r w:rsidRPr="00E07453">
        <w:t>Pharmacology</w:t>
      </w:r>
    </w:p>
    <w:p w14:paraId="04B67B97" w14:textId="77777777" w:rsidR="00ED6FF8" w:rsidRPr="00414216" w:rsidRDefault="00ED6FF8" w:rsidP="00E07453">
      <w:r w:rsidRPr="00047B7B">
        <w:t>Hadlima demonstrated comparable pharmacokinetics to EU Humira in healthy volunteers using AUC</w:t>
      </w:r>
      <w:r w:rsidRPr="00047B7B">
        <w:rPr>
          <w:vertAlign w:val="subscript"/>
        </w:rPr>
        <w:t>inf,</w:t>
      </w:r>
      <w:r w:rsidRPr="00397016">
        <w:t xml:space="preserve"> </w:t>
      </w:r>
      <w:r w:rsidRPr="00047B7B">
        <w:t>AUC</w:t>
      </w:r>
      <w:r w:rsidRPr="00047B7B">
        <w:rPr>
          <w:vertAlign w:val="subscript"/>
        </w:rPr>
        <w:t>last</w:t>
      </w:r>
      <w:r w:rsidRPr="00397016">
        <w:t xml:space="preserve"> </w:t>
      </w:r>
      <w:r w:rsidRPr="00047B7B">
        <w:t xml:space="preserve">and </w:t>
      </w:r>
      <w:r w:rsidR="00C05C12" w:rsidRPr="00245F5E">
        <w:t>C</w:t>
      </w:r>
      <w:r w:rsidR="00C05C12" w:rsidRPr="00C05C12">
        <w:rPr>
          <w:vertAlign w:val="subscript"/>
        </w:rPr>
        <w:t>max</w:t>
      </w:r>
      <w:r w:rsidRPr="00397016">
        <w:t>.</w:t>
      </w:r>
      <w:r w:rsidR="0069652B">
        <w:t xml:space="preserve"> </w:t>
      </w:r>
      <w:r w:rsidRPr="00047B7B">
        <w:t xml:space="preserve">In the </w:t>
      </w:r>
      <w:r w:rsidR="00397016" w:rsidRPr="00047B7B">
        <w:t>sub study</w:t>
      </w:r>
      <w:r w:rsidRPr="00047B7B">
        <w:t xml:space="preserve"> of the </w:t>
      </w:r>
      <w:r w:rsidR="00397016">
        <w:t>P</w:t>
      </w:r>
      <w:r w:rsidRPr="00047B7B">
        <w:t xml:space="preserve">hase III study in RA, similar trough adalimumab concentrations were seen with steady state by </w:t>
      </w:r>
      <w:r w:rsidR="000B7CBE">
        <w:t>Week</w:t>
      </w:r>
      <w:r w:rsidRPr="00047B7B">
        <w:t xml:space="preserve"> 12 but there was high variability.</w:t>
      </w:r>
      <w:r w:rsidR="0069652B">
        <w:t xml:space="preserve"> </w:t>
      </w:r>
      <w:r w:rsidRPr="00047B7B">
        <w:t>A study comparing the AID and PFS showed similar PK parameters.</w:t>
      </w:r>
      <w:r>
        <w:t xml:space="preserve"> All 3 of the studies showed mean serum concentrat</w:t>
      </w:r>
      <w:r w:rsidR="00397016">
        <w:t xml:space="preserve">ion </w:t>
      </w:r>
      <w:r>
        <w:t>time profile data consistent with the known PK characteristics of adalimumab.</w:t>
      </w:r>
      <w:r w:rsidR="0069652B">
        <w:t xml:space="preserve"> </w:t>
      </w:r>
      <w:r w:rsidRPr="00D80513">
        <w:t>No specific pharmacodynamic studies were submitted which is acceptable given the established use of adalimumab and the clinical data.</w:t>
      </w:r>
    </w:p>
    <w:p w14:paraId="67B003A1" w14:textId="77777777" w:rsidR="00ED6FF8" w:rsidRDefault="00ED6FF8" w:rsidP="00E07453">
      <w:pPr>
        <w:pStyle w:val="Heading6"/>
      </w:pPr>
      <w:r w:rsidRPr="00E07453">
        <w:t>Efficacy</w:t>
      </w:r>
    </w:p>
    <w:p w14:paraId="66882508" w14:textId="77777777" w:rsidR="00ED6FF8" w:rsidRPr="00743114" w:rsidRDefault="00ED6FF8" w:rsidP="00E07453">
      <w:r w:rsidRPr="00191223">
        <w:t>The efficacy of Hadlima is supported by a single therapeutic equivalence study comparing it with EU Humira in a rheumatoid arthritis population taking a stable dose of methotrexate.</w:t>
      </w:r>
      <w:r w:rsidR="0069652B">
        <w:t xml:space="preserve"> </w:t>
      </w:r>
      <w:r w:rsidRPr="00191223">
        <w:t xml:space="preserve">Hadlima demonstrated equivalence to Humira for the primary endpoint and was supported by several secondary endpoints, consistent with the EU guideline on rheumatoid arthritis, up to </w:t>
      </w:r>
      <w:r w:rsidR="000B7CBE">
        <w:t>Week</w:t>
      </w:r>
      <w:r w:rsidRPr="00191223">
        <w:t xml:space="preserve"> 52.</w:t>
      </w:r>
      <w:r w:rsidR="0069652B">
        <w:t xml:space="preserve"> </w:t>
      </w:r>
      <w:r w:rsidRPr="00191223">
        <w:t>Patients in the study had established radiographic damage which was significantly higher than that expected in an Australian population but comparable between the groups in the study</w:t>
      </w:r>
      <w:r>
        <w:t xml:space="preserve"> at baseline</w:t>
      </w:r>
      <w:r w:rsidRPr="00191223">
        <w:t>.</w:t>
      </w:r>
      <w:r w:rsidR="0069652B">
        <w:t xml:space="preserve"> </w:t>
      </w:r>
      <w:r>
        <w:t>The average dose of MTX used was similar to other biological DMARD studies but may represent sub-optimal dosing in clinical practice.</w:t>
      </w:r>
      <w:r w:rsidR="0069652B">
        <w:t xml:space="preserve"> </w:t>
      </w:r>
      <w:r w:rsidRPr="009B01C4">
        <w:t>The use of prior MTX in the study, as well as the measures of disease activity, is consistent with the approved RA indication for Humira which allows for combination therapy. The equivalence margin chosen in this study allowed for up to a 15% difference in efficacy but is considered to be the maximal acceptable margin and was the same margin used in other anti-TNF biosimilar studies.</w:t>
      </w:r>
      <w:r w:rsidR="0069652B">
        <w:t xml:space="preserve"> </w:t>
      </w:r>
      <w:r w:rsidRPr="009B01C4">
        <w:t xml:space="preserve">The selected efficacy endpoints are accepted validated measures that have been used in previous RA studies and </w:t>
      </w:r>
      <w:r w:rsidRPr="00AB15AD">
        <w:t>are consistent with the EU guideline.</w:t>
      </w:r>
      <w:r w:rsidR="0069652B">
        <w:t xml:space="preserve"> </w:t>
      </w:r>
      <w:r>
        <w:t>Of note, t</w:t>
      </w:r>
      <w:r w:rsidRPr="00AB15AD">
        <w:t>he primary endpoint results were slightly higher in both groups than that reported for other adalimumab studies and other anti-TNF medicines</w:t>
      </w:r>
      <w:r>
        <w:t xml:space="preserve"> however this is not a significant issue</w:t>
      </w:r>
      <w:r w:rsidRPr="00AB15AD">
        <w:t>.</w:t>
      </w:r>
      <w:r w:rsidR="0069652B">
        <w:t xml:space="preserve"> </w:t>
      </w:r>
      <w:r>
        <w:t>The study comparing the PFS and AID demonstrated similar injection site pain scores and a higher preference for the AID.</w:t>
      </w:r>
    </w:p>
    <w:p w14:paraId="1001932E" w14:textId="77777777" w:rsidR="00ED6FF8" w:rsidRPr="00C444F9" w:rsidRDefault="00ED6FF8" w:rsidP="00ED6FF8">
      <w:r>
        <w:t xml:space="preserve">The clinical evaluator had concerns about the external validity of the </w:t>
      </w:r>
      <w:r w:rsidR="00C05C12">
        <w:t>Phase III</w:t>
      </w:r>
      <w:r>
        <w:t xml:space="preserve"> study to clinical practice in Australia (</w:t>
      </w:r>
      <w:r w:rsidR="00393DE6">
        <w:t>for example</w:t>
      </w:r>
      <w:r>
        <w:t xml:space="preserve"> low dose weekly MTX as their sole prior DMARD treatment and about one fifth had taken MTX with 1 other conventional DMARD).</w:t>
      </w:r>
      <w:r w:rsidR="0069652B">
        <w:t xml:space="preserve"> </w:t>
      </w:r>
      <w:r>
        <w:t>However the evaluator noted that the study population meets the minimum criteria for prior DMARD therapy which is consistent with the proposed RA treatment indication for adalimumab.</w:t>
      </w:r>
    </w:p>
    <w:p w14:paraId="2777F513" w14:textId="77777777" w:rsidR="00ED6FF8" w:rsidRDefault="00ED6FF8" w:rsidP="00E07453">
      <w:pPr>
        <w:pStyle w:val="Heading7"/>
      </w:pPr>
      <w:r w:rsidRPr="00E07453">
        <w:t>Monotherapy</w:t>
      </w:r>
      <w:r>
        <w:t xml:space="preserve"> and MTX naïve patients</w:t>
      </w:r>
    </w:p>
    <w:p w14:paraId="40019792" w14:textId="77777777" w:rsidR="00233ED8" w:rsidRDefault="00ED6FF8" w:rsidP="00E07453">
      <w:r w:rsidRPr="00234994">
        <w:t xml:space="preserve">The RA indication </w:t>
      </w:r>
      <w:r>
        <w:t xml:space="preserve">also </w:t>
      </w:r>
      <w:r w:rsidRPr="00234994">
        <w:t>allows use of adalimumab as monotherapy and in MTX naïve patients</w:t>
      </w:r>
      <w:r>
        <w:t xml:space="preserve"> however the </w:t>
      </w:r>
      <w:r w:rsidRPr="00234994">
        <w:t xml:space="preserve">clinical study </w:t>
      </w:r>
      <w:r>
        <w:t>only used concomitant MTX in a population previously using MTX.</w:t>
      </w:r>
      <w:r w:rsidR="0069652B">
        <w:t xml:space="preserve"> </w:t>
      </w:r>
      <w:r>
        <w:t>I</w:t>
      </w:r>
      <w:r w:rsidRPr="00234994">
        <w:t xml:space="preserve">t is not known if there would be differences in clinical </w:t>
      </w:r>
      <w:r>
        <w:t>effect</w:t>
      </w:r>
      <w:r w:rsidRPr="00234994">
        <w:t xml:space="preserve"> without </w:t>
      </w:r>
      <w:r>
        <w:t>MTX.</w:t>
      </w:r>
      <w:r w:rsidR="00C05C12">
        <w:t xml:space="preserve"> </w:t>
      </w:r>
      <w:r w:rsidRPr="00A957F2">
        <w:t xml:space="preserve">Methotrexate </w:t>
      </w:r>
      <w:r>
        <w:t>can</w:t>
      </w:r>
      <w:r w:rsidRPr="00A957F2">
        <w:t xml:space="preserve"> </w:t>
      </w:r>
      <w:r>
        <w:t>alter</w:t>
      </w:r>
      <w:r w:rsidRPr="00A957F2">
        <w:t xml:space="preserve"> </w:t>
      </w:r>
      <w:r>
        <w:t xml:space="preserve">the immunogenicity </w:t>
      </w:r>
      <w:r w:rsidRPr="00A957F2">
        <w:t xml:space="preserve">and pharmacokinetic profile of </w:t>
      </w:r>
      <w:r>
        <w:t>adalimumab</w:t>
      </w:r>
      <w:r w:rsidR="00233ED8">
        <w:t>.</w:t>
      </w:r>
    </w:p>
    <w:p w14:paraId="18208253" w14:textId="77777777" w:rsidR="00ED6FF8" w:rsidRDefault="00ED6FF8" w:rsidP="00E07453">
      <w:pPr>
        <w:pStyle w:val="Heading7"/>
      </w:pPr>
      <w:r>
        <w:lastRenderedPageBreak/>
        <w:t xml:space="preserve">Other </w:t>
      </w:r>
      <w:r w:rsidRPr="00E07453">
        <w:t>strengths</w:t>
      </w:r>
      <w:r>
        <w:t xml:space="preserve"> and dosage regimen</w:t>
      </w:r>
    </w:p>
    <w:p w14:paraId="32346C2A" w14:textId="77777777" w:rsidR="00233ED8" w:rsidRDefault="00ED6FF8" w:rsidP="00E07453">
      <w:r>
        <w:t>The sponsor is only requesting a 40</w:t>
      </w:r>
      <w:r w:rsidR="00397016">
        <w:t xml:space="preserve"> </w:t>
      </w:r>
      <w:r>
        <w:t>mg strength however Humira is also registered in strengths of 10</w:t>
      </w:r>
      <w:r w:rsidR="00397016">
        <w:t xml:space="preserve"> </w:t>
      </w:r>
      <w:r>
        <w:t>mg and 20</w:t>
      </w:r>
      <w:r w:rsidR="00397016">
        <w:t xml:space="preserve"> </w:t>
      </w:r>
      <w:r>
        <w:t>mg.</w:t>
      </w:r>
      <w:r w:rsidR="0069652B">
        <w:t xml:space="preserve"> </w:t>
      </w:r>
      <w:r>
        <w:t>Since the only dose for RA</w:t>
      </w:r>
      <w:r w:rsidRPr="0094226C">
        <w:t xml:space="preserve"> </w:t>
      </w:r>
      <w:r>
        <w:t>is 40</w:t>
      </w:r>
      <w:r w:rsidR="00397016">
        <w:t xml:space="preserve"> </w:t>
      </w:r>
      <w:r>
        <w:t>mg and is proposed in a PFS and AID, then the lack of these other strengths is not of significant concern for this application. The RA indication is also approved for a dose frequency of 40</w:t>
      </w:r>
      <w:r w:rsidR="00397016">
        <w:t xml:space="preserve"> </w:t>
      </w:r>
      <w:r>
        <w:t>mg weekly whereas the clinical study was conducted with a dose frequency of fortnightly only.</w:t>
      </w:r>
      <w:r w:rsidR="0069652B">
        <w:t xml:space="preserve"> </w:t>
      </w:r>
      <w:r>
        <w:t>Although there is no data with this dose frequency, a similar effect to Humira is expected given the biosimilarity demonstrated</w:t>
      </w:r>
      <w:r w:rsidR="00233ED8">
        <w:t>.</w:t>
      </w:r>
    </w:p>
    <w:p w14:paraId="20266213" w14:textId="77777777" w:rsidR="00ED6FF8" w:rsidRDefault="00ED6FF8" w:rsidP="00E07453">
      <w:pPr>
        <w:pStyle w:val="Heading6"/>
      </w:pPr>
      <w:r w:rsidRPr="00E07453">
        <w:t>Safety</w:t>
      </w:r>
    </w:p>
    <w:p w14:paraId="7B8D2C12" w14:textId="77777777" w:rsidR="00ED6FF8" w:rsidRDefault="00ED6FF8" w:rsidP="00E07453">
      <w:r w:rsidRPr="009239BB">
        <w:t>The safety profile of Hadlima was overall comparable to EU Humira from the pivotal study with an adequate sample size and duration of exposure that is consistent with the EU guideline on rheumatoid arthritis.</w:t>
      </w:r>
      <w:r w:rsidR="0069652B">
        <w:t xml:space="preserve"> </w:t>
      </w:r>
      <w:r w:rsidRPr="009239BB">
        <w:t>Overall, the incidence of AEs</w:t>
      </w:r>
      <w:r>
        <w:t xml:space="preserve">, </w:t>
      </w:r>
      <w:r w:rsidRPr="009239BB">
        <w:t xml:space="preserve">SAEs </w:t>
      </w:r>
      <w:r>
        <w:t>and discontinuations due to AEs were similar between groups.</w:t>
      </w:r>
      <w:r w:rsidR="0069652B">
        <w:t xml:space="preserve"> </w:t>
      </w:r>
      <w:r w:rsidRPr="009239BB">
        <w:t>Infection related AEs were the most common with a similar frequency on both treatments.</w:t>
      </w:r>
      <w:r w:rsidR="0069652B">
        <w:t xml:space="preserve"> </w:t>
      </w:r>
      <w:r w:rsidRPr="00EA5D9F">
        <w:t>No deaths were reported in the Hadlima group.</w:t>
      </w:r>
      <w:r w:rsidR="0069652B">
        <w:t xml:space="preserve"> </w:t>
      </w:r>
      <w:r>
        <w:t>AEs were comparable between Hadlima and Humira in subjects with negative and positive ADA status.</w:t>
      </w:r>
      <w:r w:rsidR="0069652B">
        <w:t xml:space="preserve"> </w:t>
      </w:r>
      <w:r>
        <w:t>AEs in the supporting studies did not reveal significant concerns.</w:t>
      </w:r>
      <w:r w:rsidR="0069652B">
        <w:t xml:space="preserve"> </w:t>
      </w:r>
      <w:r>
        <w:t>The submitted data is limited to 60 weeks of follow-up therefore it will be important for the sponsor to collect data as part of pharmacovigilance.</w:t>
      </w:r>
    </w:p>
    <w:p w14:paraId="71E09F14" w14:textId="77777777" w:rsidR="00ED6FF8" w:rsidRDefault="00ED6FF8" w:rsidP="00E07453">
      <w:pPr>
        <w:pStyle w:val="Heading6"/>
      </w:pPr>
      <w:r w:rsidRPr="00BE3D46">
        <w:t>Extrapolation of indications</w:t>
      </w:r>
    </w:p>
    <w:p w14:paraId="2E8B52B9" w14:textId="14802497" w:rsidR="00EB0AAA" w:rsidRDefault="00C33F9D" w:rsidP="00E07453">
      <w:r w:rsidRPr="00F71AB2">
        <w:t xml:space="preserve">In the submission, the sponsor provided a literature review of the evidence supporting extrapolation of treatment indications </w:t>
      </w:r>
      <w:r>
        <w:t xml:space="preserve">for the other approved adalimumab indications of Humira, however requested that only the rheumatoid arthritis indication was to be considered for Hadlima. The clinical evaluator has provided a review of the sponsor’s information to support the extrapolation of indications however this is not relevant to the current application since no other indications are being requested. </w:t>
      </w:r>
      <w:r w:rsidR="00ED6FF8">
        <w:t>Only having the rheumatoid arthritis indication raises the possibility of off-label use for Hadlima.</w:t>
      </w:r>
      <w:r w:rsidR="0069652B">
        <w:t xml:space="preserve"> </w:t>
      </w:r>
      <w:r w:rsidR="00ED6FF8">
        <w:t xml:space="preserve">The sponsor is requested to outline how they intend to communicate to prescribers and pharmacists that Hadlima is only approved for RA and is only available as </w:t>
      </w:r>
      <w:proofErr w:type="gramStart"/>
      <w:r w:rsidR="00ED6FF8">
        <w:t>a 40</w:t>
      </w:r>
      <w:proofErr w:type="gramEnd"/>
      <w:r w:rsidR="00397016">
        <w:t xml:space="preserve"> </w:t>
      </w:r>
      <w:r w:rsidR="00ED6FF8">
        <w:t>mg strength</w:t>
      </w:r>
      <w:r w:rsidR="00EB0AAA">
        <w:t>.</w:t>
      </w:r>
    </w:p>
    <w:p w14:paraId="31F14E96" w14:textId="77777777" w:rsidR="00ED6FF8" w:rsidRDefault="00ED6FF8" w:rsidP="00ED6FF8">
      <w:pPr>
        <w:pStyle w:val="Heading6"/>
      </w:pPr>
      <w:r w:rsidRPr="006D3D14">
        <w:t>Immunogenicity</w:t>
      </w:r>
    </w:p>
    <w:p w14:paraId="11609FFF" w14:textId="77777777" w:rsidR="00ED6FF8" w:rsidRPr="00CC1493" w:rsidRDefault="00ED6FF8" w:rsidP="00E07453">
      <w:r>
        <w:rPr>
          <w:lang w:eastAsia="en-AU"/>
        </w:rPr>
        <w:t>There is a potential for diminished clinical efficacy if a patient develops medium to high titres of ADA as this has been shown to reduce trough drug levels.</w:t>
      </w:r>
      <w:r w:rsidRPr="006D3D14">
        <w:t xml:space="preserve"> The incidence of ADA development was </w:t>
      </w:r>
      <w:r>
        <w:t xml:space="preserve">very </w:t>
      </w:r>
      <w:r w:rsidRPr="006D3D14">
        <w:t>high in the PK stud</w:t>
      </w:r>
      <w:r>
        <w:t>y</w:t>
      </w:r>
      <w:r w:rsidRPr="006D3D14">
        <w:t xml:space="preserve"> </w:t>
      </w:r>
      <w:r>
        <w:t>at &gt;</w:t>
      </w:r>
      <w:r w:rsidR="00397016">
        <w:t xml:space="preserve"> </w:t>
      </w:r>
      <w:r>
        <w:t xml:space="preserve">95% across all groups </w:t>
      </w:r>
      <w:r w:rsidRPr="006D3D14">
        <w:t xml:space="preserve">and </w:t>
      </w:r>
      <w:r>
        <w:t xml:space="preserve">in the clinical study the overall incidences of positive ADA results at </w:t>
      </w:r>
      <w:r w:rsidR="000B7CBE">
        <w:t>Week</w:t>
      </w:r>
      <w:r w:rsidR="00397016">
        <w:t xml:space="preserve">s 24 (31.2 to 32.1%) and 52 (36.0 to </w:t>
      </w:r>
      <w:r>
        <w:t>37.4%) were lower but similar across the groups</w:t>
      </w:r>
      <w:r w:rsidRPr="006D3D14">
        <w:t>.</w:t>
      </w:r>
      <w:r w:rsidR="00C05C12">
        <w:t xml:space="preserve"> </w:t>
      </w:r>
      <w:r w:rsidRPr="006D3D14">
        <w:rPr>
          <w:rFonts w:asciiTheme="minorHAnsi" w:hAnsiTheme="minorHAnsi"/>
        </w:rPr>
        <w:t xml:space="preserve">In the PK study, the incidence of Nab was high for Hadlima (comparable to Humira) but was lower in </w:t>
      </w:r>
      <w:r w:rsidR="00397016">
        <w:t>Study </w:t>
      </w:r>
      <w:r w:rsidRPr="006D3D14">
        <w:t>SB5-G31-RA</w:t>
      </w:r>
      <w:r>
        <w:t>.</w:t>
      </w:r>
      <w:r w:rsidR="0069652B">
        <w:t xml:space="preserve"> </w:t>
      </w:r>
      <w:r>
        <w:t>The differences between the studies may be</w:t>
      </w:r>
      <w:r w:rsidRPr="006D3D14">
        <w:t xml:space="preserve"> due to concomitant MTX.</w:t>
      </w:r>
      <w:r w:rsidR="0069652B">
        <w:t xml:space="preserve"> </w:t>
      </w:r>
      <w:r w:rsidRPr="00F2037F">
        <w:rPr>
          <w:rFonts w:asciiTheme="minorHAnsi" w:hAnsiTheme="minorHAnsi"/>
        </w:rPr>
        <w:t xml:space="preserve">The ACR responses for the </w:t>
      </w:r>
      <w:r w:rsidR="00C05C12">
        <w:rPr>
          <w:rFonts w:asciiTheme="minorHAnsi" w:hAnsiTheme="minorHAnsi"/>
        </w:rPr>
        <w:t>Phase III</w:t>
      </w:r>
      <w:r w:rsidRPr="00F2037F">
        <w:rPr>
          <w:rFonts w:asciiTheme="minorHAnsi" w:hAnsiTheme="minorHAnsi"/>
        </w:rPr>
        <w:t xml:space="preserve"> study</w:t>
      </w:r>
      <w:r w:rsidRPr="00F2037F">
        <w:t xml:space="preserve"> were similar between the two treatment groups among subjects who </w:t>
      </w:r>
      <w:r>
        <w:t>were</w:t>
      </w:r>
      <w:r w:rsidRPr="00F2037F">
        <w:t xml:space="preserve"> ADA negative</w:t>
      </w:r>
      <w:r w:rsidRPr="00F2037F">
        <w:rPr>
          <w:rFonts w:asciiTheme="minorHAnsi" w:hAnsiTheme="minorHAnsi"/>
        </w:rPr>
        <w:t>.</w:t>
      </w:r>
      <w:r w:rsidR="0069652B">
        <w:t xml:space="preserve"> </w:t>
      </w:r>
      <w:r>
        <w:t>However f</w:t>
      </w:r>
      <w:r w:rsidRPr="00F2037F">
        <w:t xml:space="preserve">or </w:t>
      </w:r>
      <w:r w:rsidR="00397016" w:rsidRPr="00F2037F">
        <w:t>subjects,</w:t>
      </w:r>
      <w:r w:rsidRPr="00F2037F">
        <w:t xml:space="preserve"> who </w:t>
      </w:r>
      <w:r>
        <w:t>were</w:t>
      </w:r>
      <w:r w:rsidRPr="00F2037F">
        <w:t xml:space="preserve"> ADA positive, the ACR20 response rate at </w:t>
      </w:r>
      <w:r w:rsidR="000B7CBE">
        <w:t>Week</w:t>
      </w:r>
      <w:r w:rsidRPr="00F2037F">
        <w:t xml:space="preserve"> 24 was significantly lower</w:t>
      </w:r>
      <w:r w:rsidRPr="00464EE7">
        <w:t xml:space="preserve"> on Hadlima</w:t>
      </w:r>
      <w:r>
        <w:t xml:space="preserve"> than Humira, but ACR50 and 70 results were more similar.</w:t>
      </w:r>
      <w:r w:rsidR="0069652B">
        <w:t xml:space="preserve"> </w:t>
      </w:r>
      <w:r>
        <w:t xml:space="preserve">At </w:t>
      </w:r>
      <w:r w:rsidR="000B7CBE">
        <w:t>Week</w:t>
      </w:r>
      <w:r>
        <w:t xml:space="preserve"> 52, the ACR20 response rates were more similar.</w:t>
      </w:r>
      <w:r w:rsidR="0069652B">
        <w:t xml:space="preserve"> </w:t>
      </w:r>
      <w:r>
        <w:t>The evaluator considers that the totality of the data</w:t>
      </w:r>
      <w:r w:rsidRPr="00C04BD5">
        <w:t xml:space="preserve"> </w:t>
      </w:r>
      <w:r>
        <w:t xml:space="preserve">shows that there isn’t a clinically significant </w:t>
      </w:r>
      <w:r w:rsidRPr="00C04BD5">
        <w:t xml:space="preserve">difference in efficacy </w:t>
      </w:r>
      <w:r>
        <w:t xml:space="preserve">for </w:t>
      </w:r>
      <w:r w:rsidRPr="00C04BD5">
        <w:t>ADA</w:t>
      </w:r>
      <w:r>
        <w:t xml:space="preserve"> </w:t>
      </w:r>
      <w:r w:rsidRPr="00C04BD5">
        <w:t xml:space="preserve">positive patients </w:t>
      </w:r>
      <w:r>
        <w:t>tr</w:t>
      </w:r>
      <w:r w:rsidRPr="00C04BD5">
        <w:t>e</w:t>
      </w:r>
      <w:r>
        <w:t>ated</w:t>
      </w:r>
      <w:r w:rsidRPr="00C04BD5">
        <w:t xml:space="preserve"> </w:t>
      </w:r>
      <w:r>
        <w:t>with Hadlima</w:t>
      </w:r>
      <w:r w:rsidRPr="00C04BD5">
        <w:t xml:space="preserve"> compared with those </w:t>
      </w:r>
      <w:r>
        <w:t>g</w:t>
      </w:r>
      <w:r w:rsidRPr="00C04BD5">
        <w:t>i</w:t>
      </w:r>
      <w:r>
        <w:t>ve</w:t>
      </w:r>
      <w:r w:rsidRPr="00C04BD5">
        <w:t>n Humira</w:t>
      </w:r>
      <w:r>
        <w:t>.</w:t>
      </w:r>
      <w:r w:rsidR="0069652B">
        <w:t xml:space="preserve"> </w:t>
      </w:r>
      <w:r>
        <w:t xml:space="preserve">The difference was mostly seen at </w:t>
      </w:r>
      <w:r w:rsidR="000B7CBE">
        <w:t>Week</w:t>
      </w:r>
      <w:r>
        <w:t xml:space="preserve"> 24 and other time points were more comparable.</w:t>
      </w:r>
    </w:p>
    <w:p w14:paraId="42E6A266" w14:textId="77777777" w:rsidR="00ED6FF8" w:rsidRDefault="00ED6FF8" w:rsidP="00E07453">
      <w:pPr>
        <w:pStyle w:val="Heading5"/>
      </w:pPr>
      <w:r w:rsidRPr="00E07453">
        <w:t>RMP</w:t>
      </w:r>
    </w:p>
    <w:p w14:paraId="24F0F5B4" w14:textId="77777777" w:rsidR="00ED6FF8" w:rsidRPr="00A23C2C" w:rsidRDefault="00ED6FF8" w:rsidP="00E07453">
      <w:r w:rsidRPr="00986BF8">
        <w:t>An acceptable RMP with ASA has been provided however the sponsor must update the patient alert card or equivalent patient directed risk minimisation tool.</w:t>
      </w:r>
    </w:p>
    <w:p w14:paraId="4B0EBB47" w14:textId="77777777" w:rsidR="001A2848" w:rsidRPr="001A2848" w:rsidRDefault="00ED6FF8" w:rsidP="00E07453">
      <w:pPr>
        <w:pStyle w:val="Heading5"/>
      </w:pPr>
      <w:r w:rsidRPr="00E07453">
        <w:lastRenderedPageBreak/>
        <w:t>Summary</w:t>
      </w:r>
    </w:p>
    <w:p w14:paraId="0F33782D" w14:textId="77777777" w:rsidR="00ED6FF8" w:rsidRDefault="00ED6FF8" w:rsidP="00ED6FF8">
      <w:pPr>
        <w:pStyle w:val="Heading6"/>
      </w:pPr>
      <w:r w:rsidRPr="00D77181">
        <w:t>Ov</w:t>
      </w:r>
      <w:r w:rsidRPr="00E07453">
        <w:t>e</w:t>
      </w:r>
      <w:r w:rsidRPr="00D77181">
        <w:t>rall</w:t>
      </w:r>
    </w:p>
    <w:p w14:paraId="4496009B" w14:textId="77777777" w:rsidR="00233ED8" w:rsidRDefault="00ED6FF8" w:rsidP="00E07453">
      <w:r w:rsidRPr="00D77181">
        <w:t>The quality, nonclinical and clinical evaluators have all recommended approval and an acceptable RMP/ASA has been provided.</w:t>
      </w:r>
      <w:r w:rsidR="0069652B">
        <w:t xml:space="preserve"> </w:t>
      </w:r>
      <w:r w:rsidRPr="00D77181">
        <w:t xml:space="preserve">Pending further advice from ACM, the </w:t>
      </w:r>
      <w:r w:rsidR="00397016">
        <w:t>Delegate</w:t>
      </w:r>
      <w:r w:rsidRPr="00D77181">
        <w:t xml:space="preserve"> considers that sufficient data and justification have been provided, consistent with adopted EU guidelines, to support the similarity of Hadlima to Australian Humira </w:t>
      </w:r>
      <w:r>
        <w:t xml:space="preserve">and </w:t>
      </w:r>
      <w:r w:rsidRPr="00D77181">
        <w:t>to support the registration of Hadlima on quality, safety and efficacy grounds for the rheumatoid arthritis</w:t>
      </w:r>
      <w:r>
        <w:t xml:space="preserve"> indication</w:t>
      </w:r>
      <w:r w:rsidRPr="00D77181">
        <w:t xml:space="preserve"> that </w:t>
      </w:r>
      <w:r>
        <w:t>is</w:t>
      </w:r>
      <w:r w:rsidRPr="00D77181">
        <w:t xml:space="preserve"> approved for Humira</w:t>
      </w:r>
      <w:r w:rsidR="00233ED8">
        <w:t>.</w:t>
      </w:r>
    </w:p>
    <w:p w14:paraId="49A2253B" w14:textId="77777777" w:rsidR="00ED6FF8" w:rsidRDefault="00ED6FF8" w:rsidP="00ED6FF8">
      <w:pPr>
        <w:pStyle w:val="Heading6"/>
      </w:pPr>
      <w:r>
        <w:t>Switching</w:t>
      </w:r>
    </w:p>
    <w:p w14:paraId="6C7B29FD" w14:textId="77777777" w:rsidR="00ED6FF8" w:rsidRPr="00AD609C" w:rsidRDefault="00ED6FF8" w:rsidP="00E07453">
      <w:r>
        <w:t>There is limited information about the safety and efficacy of switching from Humira to Hadlima and there is no data on the reverse switching or multiple switching between different formulations of adalimumab.</w:t>
      </w:r>
      <w:r w:rsidR="0069652B">
        <w:t xml:space="preserve"> </w:t>
      </w:r>
      <w:r>
        <w:t>The evaluator commented that there are at least theoretical concerns that such practice may increase the rates of immunogenicity.</w:t>
      </w:r>
    </w:p>
    <w:p w14:paraId="4C06BBC8" w14:textId="77777777" w:rsidR="00233ED8" w:rsidRDefault="00ED6FF8" w:rsidP="00ED6FF8">
      <w:r w:rsidRPr="00472FA3">
        <w:t>The TGA biosimilars guideline does not require general switching precautions in the PIs of biosimilars.</w:t>
      </w:r>
      <w:r w:rsidR="0069652B">
        <w:t xml:space="preserve"> </w:t>
      </w:r>
      <w:r w:rsidRPr="00472FA3">
        <w:t>The adalimumab PI will include safety data (as well as efficacy data) on switching patients compared to those who stayed on Humira.</w:t>
      </w:r>
      <w:r w:rsidR="0069652B">
        <w:t xml:space="preserve"> </w:t>
      </w:r>
      <w:r w:rsidRPr="00472FA3">
        <w:t>The PI will also include data on ADA development.</w:t>
      </w:r>
      <w:r w:rsidR="0069652B">
        <w:t xml:space="preserve"> </w:t>
      </w:r>
      <w:r w:rsidRPr="00472FA3">
        <w:t>The PI advises that Hadlima is intended for use under the guidance and supervision of a physician and patients may self-inject if their physician determines it is appropriate and with proper training</w:t>
      </w:r>
      <w:r w:rsidR="00233ED8">
        <w:t>.</w:t>
      </w:r>
    </w:p>
    <w:p w14:paraId="395EBEA6" w14:textId="77777777" w:rsidR="00ED6FF8" w:rsidRDefault="00ED6FF8" w:rsidP="00E07453">
      <w:pPr>
        <w:pStyle w:val="Heading6"/>
      </w:pPr>
      <w:r>
        <w:t xml:space="preserve">Data </w:t>
      </w:r>
      <w:r w:rsidRPr="00E07453">
        <w:t>deficiencies</w:t>
      </w:r>
    </w:p>
    <w:p w14:paraId="02C4BBBA" w14:textId="77777777" w:rsidR="00ED6FF8" w:rsidRPr="00195435" w:rsidRDefault="00ED6FF8" w:rsidP="00ED6FF8">
      <w:r w:rsidRPr="00A92DF8">
        <w:t>Efficacy data from an adalimumab monotherapy study (</w:t>
      </w:r>
      <w:r w:rsidR="00C05C12">
        <w:t>that is</w:t>
      </w:r>
      <w:r w:rsidRPr="00A92DF8">
        <w:t xml:space="preserve"> no concomitant MTX) is lacking and there is no data in a methotrexate naïve</w:t>
      </w:r>
      <w:r>
        <w:t xml:space="preserve"> population as per the approved indication.</w:t>
      </w:r>
      <w:r w:rsidR="0069652B">
        <w:t xml:space="preserve"> </w:t>
      </w:r>
      <w:r>
        <w:t xml:space="preserve">Data beyond one year is </w:t>
      </w:r>
      <w:r w:rsidRPr="00E07453">
        <w:t>n</w:t>
      </w:r>
      <w:r>
        <w:t>ot available.</w:t>
      </w:r>
      <w:r w:rsidR="0069652B">
        <w:t xml:space="preserve"> </w:t>
      </w:r>
      <w:r>
        <w:t xml:space="preserve">There is also no data using a dose frequency of </w:t>
      </w:r>
      <w:r w:rsidR="00397016">
        <w:t>40 mg</w:t>
      </w:r>
      <w:r>
        <w:t xml:space="preserve"> weekly and there is limited switching data and no multiple switching data.</w:t>
      </w:r>
      <w:r w:rsidR="0069652B">
        <w:t xml:space="preserve"> </w:t>
      </w:r>
      <w:r>
        <w:rPr>
          <w:rFonts w:cs="Cambria"/>
          <w:lang w:eastAsia="en-AU"/>
        </w:rPr>
        <w:t>Hadlima has not been studied in patients with significant organ dysfunction or those at high risk of infection.</w:t>
      </w:r>
    </w:p>
    <w:p w14:paraId="506284BE" w14:textId="222E0F42" w:rsidR="00ED6FF8" w:rsidRDefault="00ED6FF8" w:rsidP="00E07453">
      <w:pPr>
        <w:pStyle w:val="Heading6"/>
      </w:pPr>
      <w:r>
        <w:t xml:space="preserve">Conditions of </w:t>
      </w:r>
      <w:r w:rsidR="00E07453" w:rsidRPr="00E07453">
        <w:t>r</w:t>
      </w:r>
      <w:r w:rsidRPr="00E07453">
        <w:t>egistration</w:t>
      </w:r>
    </w:p>
    <w:p w14:paraId="6E8B5360" w14:textId="77777777" w:rsidR="00ED6FF8" w:rsidRDefault="00ED6FF8" w:rsidP="00E07453">
      <w:r w:rsidRPr="00295D2E">
        <w:t>The following are proposed as conditions of registration</w:t>
      </w:r>
      <w:r>
        <w:t xml:space="preserve"> and the sponsor is invited to comment in the Pre-ACM response:</w:t>
      </w:r>
    </w:p>
    <w:p w14:paraId="720A7F5C" w14:textId="77777777" w:rsidR="00ED6FF8" w:rsidRPr="00EF72B2" w:rsidRDefault="00ED6FF8" w:rsidP="00062787">
      <w:pPr>
        <w:pStyle w:val="Numberbullet0"/>
        <w:numPr>
          <w:ilvl w:val="0"/>
          <w:numId w:val="8"/>
        </w:numPr>
      </w:pPr>
      <w:r w:rsidRPr="00EF72B2">
        <w:t>The implementation in Australia of the EU Risk Management Plan for Hadlima (adalimumab), version 1.0, dated 13 June 2016 (data lock point 1 December 2015), with the Australian Specific Annex, version 3.0, dated 17 October 2017, which must be updated with revised patient-directed risk minimisation tools (see below), included with submission PM-2016-03547-1-3, and any subsequent revisions, as agreed with the TGA.</w:t>
      </w:r>
    </w:p>
    <w:p w14:paraId="17C4E56F" w14:textId="77777777" w:rsidR="00ED6FF8" w:rsidRPr="00EF72B2" w:rsidRDefault="00ED6FF8" w:rsidP="00397016">
      <w:pPr>
        <w:pStyle w:val="Numberbullet0"/>
        <w:numPr>
          <w:ilvl w:val="0"/>
          <w:numId w:val="8"/>
        </w:numPr>
      </w:pPr>
      <w:r w:rsidRPr="00EF72B2">
        <w:t>The Patient Alert Card or an equivalent patient-directed risk minimisation tool must be implemented to the satisfaction of the TGA.</w:t>
      </w:r>
      <w:r w:rsidR="0069652B">
        <w:t xml:space="preserve"> </w:t>
      </w:r>
      <w:r w:rsidRPr="00EF72B2">
        <w:t xml:space="preserve">Draft materials must be provided to the </w:t>
      </w:r>
      <w:r w:rsidR="00397016">
        <w:t>TGA for review prior to launch.</w:t>
      </w:r>
    </w:p>
    <w:p w14:paraId="77A29449" w14:textId="77777777" w:rsidR="00ED6FF8" w:rsidRDefault="00ED6FF8" w:rsidP="00ED6FF8">
      <w:pPr>
        <w:pStyle w:val="Numberbullet0"/>
      </w:pPr>
      <w:r>
        <w:t>Batch Release Testing</w:t>
      </w:r>
    </w:p>
    <w:p w14:paraId="331FA0DE" w14:textId="77777777" w:rsidR="00ED6FF8" w:rsidRPr="00197667" w:rsidRDefault="00ED6FF8" w:rsidP="00ED6FF8">
      <w:pPr>
        <w:pStyle w:val="Numberbullet2"/>
      </w:pPr>
      <w:r w:rsidRPr="00197667">
        <w:t xml:space="preserve">It is a condition of registration that all batches of </w:t>
      </w:r>
      <w:r w:rsidR="00683EFD">
        <w:t>Hadlima</w:t>
      </w:r>
      <w:r w:rsidRPr="00197667">
        <w:t xml:space="preserve"> </w:t>
      </w:r>
      <w:r w:rsidRPr="00D3606A">
        <w:rPr>
          <w:rFonts w:asciiTheme="minorHAnsi" w:eastAsia="Times New Roman" w:hAnsiTheme="minorHAnsi"/>
        </w:rPr>
        <w:t xml:space="preserve">adalimumab (rch) </w:t>
      </w:r>
      <w:r>
        <w:t>imported into</w:t>
      </w:r>
      <w:r w:rsidRPr="00197667">
        <w:t xml:space="preserve"> Australia must comply with the product details and specifications approved during evaluation and detailed in the Certified Product Details (CPD).</w:t>
      </w:r>
    </w:p>
    <w:p w14:paraId="5F6B314C" w14:textId="77777777" w:rsidR="00ED6FF8" w:rsidRPr="00ED6FF8" w:rsidRDefault="00ED6FF8" w:rsidP="00ED6FF8">
      <w:pPr>
        <w:pStyle w:val="Numberbullet2"/>
      </w:pPr>
      <w:r w:rsidRPr="008A1CCE">
        <w:rPr>
          <w:rFonts w:asciiTheme="minorHAnsi" w:hAnsiTheme="minorHAnsi"/>
        </w:rPr>
        <w:t xml:space="preserve">It is a condition of registration that each batch of </w:t>
      </w:r>
      <w:r w:rsidR="00683EFD">
        <w:rPr>
          <w:rFonts w:asciiTheme="minorHAnsi" w:hAnsiTheme="minorHAnsi"/>
        </w:rPr>
        <w:t>Hadlima</w:t>
      </w:r>
      <w:r>
        <w:rPr>
          <w:rFonts w:asciiTheme="minorHAnsi" w:hAnsiTheme="minorHAnsi"/>
        </w:rPr>
        <w:t xml:space="preserve"> </w:t>
      </w:r>
      <w:r w:rsidRPr="00D3606A">
        <w:rPr>
          <w:rFonts w:asciiTheme="minorHAnsi" w:eastAsia="Times New Roman" w:hAnsiTheme="minorHAnsi"/>
        </w:rPr>
        <w:t xml:space="preserve">adalimumab (rch) </w:t>
      </w:r>
      <w:r>
        <w:rPr>
          <w:rFonts w:asciiTheme="minorHAnsi" w:hAnsiTheme="minorHAnsi"/>
        </w:rPr>
        <w:t>imported into</w:t>
      </w:r>
      <w:r w:rsidRPr="008A1CCE">
        <w:rPr>
          <w:rFonts w:asciiTheme="minorHAnsi" w:hAnsiTheme="minorHAnsi"/>
        </w:rPr>
        <w:t xml:space="preserve"> Australia is not released for sale until samples and/or the manufacturer’s release data have been assessed and endorsed for release by the TGA Laboratories Branch</w:t>
      </w:r>
      <w:r>
        <w:rPr>
          <w:rFonts w:asciiTheme="minorHAnsi" w:hAnsiTheme="minorHAnsi"/>
        </w:rPr>
        <w:t>.</w:t>
      </w:r>
    </w:p>
    <w:p w14:paraId="2E4F29D8" w14:textId="77777777" w:rsidR="00ED6FF8" w:rsidRPr="00197667" w:rsidRDefault="00ED6FF8" w:rsidP="00ED6FF8">
      <w:pPr>
        <w:ind w:left="720"/>
      </w:pPr>
      <w:r w:rsidRPr="00197667">
        <w:t>The sponsor must supply:</w:t>
      </w:r>
    </w:p>
    <w:p w14:paraId="2E051943" w14:textId="77777777" w:rsidR="00ED6FF8" w:rsidRPr="00197667" w:rsidRDefault="00ED6FF8" w:rsidP="00ED6FF8">
      <w:pPr>
        <w:pStyle w:val="Numberbullet3"/>
      </w:pPr>
      <w:r w:rsidRPr="00197667">
        <w:lastRenderedPageBreak/>
        <w:t>Certificates of Analysis of all active ingredient (drug substance) and final product.</w:t>
      </w:r>
    </w:p>
    <w:p w14:paraId="14A6F85C" w14:textId="77777777" w:rsidR="00EB0AAA" w:rsidRDefault="00ED6FF8" w:rsidP="00ED6FF8">
      <w:pPr>
        <w:pStyle w:val="Numberbullet3"/>
      </w:pPr>
      <w:r w:rsidRPr="00197667">
        <w:t>Information on the number of doses to be released in Australia with accompanying expiry dates for the product and diluents (if included)</w:t>
      </w:r>
      <w:r w:rsidR="00EB0AAA">
        <w:t>.</w:t>
      </w:r>
    </w:p>
    <w:p w14:paraId="64928CCE" w14:textId="77777777" w:rsidR="00ED6FF8" w:rsidRPr="00197667" w:rsidRDefault="00ED6FF8" w:rsidP="00ED6FF8">
      <w:pPr>
        <w:pStyle w:val="Numberbullet3"/>
      </w:pPr>
      <w:r w:rsidRPr="00197667">
        <w:t>Evidence of the maintenance of registered storage conditions during transport to Australia.</w:t>
      </w:r>
    </w:p>
    <w:p w14:paraId="65309B31" w14:textId="77777777" w:rsidR="00ED6FF8" w:rsidRPr="00197667" w:rsidRDefault="00ED6FF8" w:rsidP="00894280">
      <w:pPr>
        <w:pStyle w:val="Numberbullet3"/>
      </w:pPr>
      <w:r>
        <w:t>Five containers</w:t>
      </w:r>
      <w:r w:rsidRPr="003575A9">
        <w:t xml:space="preserve"> of each batch for testing by the TGA Laboratories Branch together with any </w:t>
      </w:r>
      <w:r w:rsidRPr="00894280">
        <w:t>necessary</w:t>
      </w:r>
      <w:r w:rsidRPr="003575A9">
        <w:t xml:space="preserve"> standards, impurities and active</w:t>
      </w:r>
      <w:r>
        <w:t xml:space="preserve"> p</w:t>
      </w:r>
      <w:r w:rsidRPr="00CA5740">
        <w:t>harmaceutical ingredients (with their Certificates of Analysis) required for method development and validation</w:t>
      </w:r>
      <w:r w:rsidRPr="00197667">
        <w:t>.</w:t>
      </w:r>
    </w:p>
    <w:p w14:paraId="14BE9745" w14:textId="77777777" w:rsidR="00ED6FF8" w:rsidRPr="00197667" w:rsidRDefault="00ED6FF8" w:rsidP="00ED6FF8">
      <w:pPr>
        <w:ind w:left="1276"/>
      </w:pPr>
      <w:r w:rsidRPr="00197667">
        <w:t>Arrangement for delivery of the requested items can be made by contacting Biochemistry.Testing@tga.gov.au.</w:t>
      </w:r>
    </w:p>
    <w:p w14:paraId="6EBDFE31" w14:textId="77777777" w:rsidR="00ED6FF8" w:rsidRPr="00197667" w:rsidRDefault="00ED6FF8" w:rsidP="00ED6FF8">
      <w:pPr>
        <w:ind w:left="1276"/>
      </w:pPr>
      <w:r w:rsidRPr="00197667">
        <w:t>Samples and data should be forwarded to the Laboratories Branch, Biochemistry Section, before release of each batch and with sufficient lead time to allow for testing. The address for courier delivery is:</w:t>
      </w:r>
    </w:p>
    <w:p w14:paraId="09CD8CA0" w14:textId="77777777" w:rsidR="00ED6FF8" w:rsidRPr="00197667" w:rsidRDefault="00ED6FF8" w:rsidP="00ED6FF8">
      <w:pPr>
        <w:ind w:left="1276"/>
      </w:pPr>
      <w:r w:rsidRPr="00197667">
        <w:t>Laboratories Branch – Biochemistry</w:t>
      </w:r>
    </w:p>
    <w:p w14:paraId="2D987C1D" w14:textId="77777777" w:rsidR="00ED6FF8" w:rsidRPr="00197667" w:rsidRDefault="00ED6FF8" w:rsidP="00ED6FF8">
      <w:pPr>
        <w:ind w:left="1276"/>
      </w:pPr>
      <w:r w:rsidRPr="00197667">
        <w:t>Therapeutic Goods Administration</w:t>
      </w:r>
    </w:p>
    <w:p w14:paraId="4DDE41E5" w14:textId="77777777" w:rsidR="00ED6FF8" w:rsidRPr="00197667" w:rsidRDefault="00ED6FF8" w:rsidP="00ED6FF8">
      <w:pPr>
        <w:ind w:left="1276"/>
      </w:pPr>
      <w:r w:rsidRPr="00197667">
        <w:t>136 Narrabundah Lane</w:t>
      </w:r>
    </w:p>
    <w:p w14:paraId="6292D477" w14:textId="77777777" w:rsidR="00ED6FF8" w:rsidRPr="00197667" w:rsidRDefault="00397016" w:rsidP="00397016">
      <w:pPr>
        <w:ind w:left="1276"/>
      </w:pPr>
      <w:r>
        <w:t>Symonston, ACT 2609</w:t>
      </w:r>
    </w:p>
    <w:p w14:paraId="35EDD71C" w14:textId="77777777" w:rsidR="00ED6FF8" w:rsidRDefault="00ED6FF8" w:rsidP="00397016">
      <w:pPr>
        <w:ind w:left="1276"/>
      </w:pPr>
      <w:r w:rsidRPr="00197667">
        <w:t>This batch release condition will be reviewed and may be modified on the basis of actual batch quality and consistency.</w:t>
      </w:r>
      <w:r w:rsidR="0069652B">
        <w:t xml:space="preserve"> </w:t>
      </w:r>
      <w:r w:rsidRPr="00197667">
        <w:t>This condition remains in place until you are notified in writing of any variation</w:t>
      </w:r>
      <w:r w:rsidR="00397016">
        <w:t>.</w:t>
      </w:r>
    </w:p>
    <w:p w14:paraId="00622D02" w14:textId="77777777" w:rsidR="00ED6FF8" w:rsidRDefault="00ED6FF8" w:rsidP="00ED6FF8">
      <w:pPr>
        <w:pStyle w:val="Numberbullet2"/>
      </w:pPr>
      <w:r w:rsidRPr="00197667">
        <w:t>Compliance with Certified Product Details (CPD)</w:t>
      </w:r>
      <w:r>
        <w:t xml:space="preserve">: </w:t>
      </w:r>
      <w:r w:rsidRPr="00197667">
        <w:t>The Certified Product Details (CPD), as described in Guidance 7: Certified Product Details of the Australian Regulatory Guidelines for Prescription Medicines (ARGPM) [</w:t>
      </w:r>
      <w:r w:rsidRPr="00397016">
        <w:t>http://www.tga.gov.au/industry/pm-argpm-guidance-7.htm</w:t>
      </w:r>
      <w:r w:rsidRPr="00197667">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r>
        <w:t>.</w:t>
      </w:r>
    </w:p>
    <w:p w14:paraId="5165656A" w14:textId="77777777" w:rsidR="00ED6FF8" w:rsidRDefault="00ED6FF8" w:rsidP="00894280">
      <w:pPr>
        <w:pStyle w:val="Heading5"/>
      </w:pPr>
      <w:r>
        <w:t xml:space="preserve">Questions for the </w:t>
      </w:r>
      <w:r w:rsidR="00683EFD">
        <w:t>sponsor</w:t>
      </w:r>
    </w:p>
    <w:p w14:paraId="39F07C7C" w14:textId="77777777" w:rsidR="00ED6FF8" w:rsidRDefault="00ED6FF8" w:rsidP="00ED6FF8">
      <w:r>
        <w:t>The sponsor is requested to address the following issues in the Pre-ACM Response:</w:t>
      </w:r>
    </w:p>
    <w:p w14:paraId="59E47544" w14:textId="77777777" w:rsidR="00ED6FF8" w:rsidRDefault="00ED6FF8" w:rsidP="00062787">
      <w:pPr>
        <w:pStyle w:val="Numberbullet0"/>
        <w:numPr>
          <w:ilvl w:val="0"/>
          <w:numId w:val="9"/>
        </w:numPr>
      </w:pPr>
      <w:r>
        <w:t>Provide an update on the outstanding GMP clearances</w:t>
      </w:r>
      <w:r w:rsidRPr="00197667">
        <w:t>.</w:t>
      </w:r>
    </w:p>
    <w:p w14:paraId="2C7391D6" w14:textId="77777777" w:rsidR="00ED6FF8" w:rsidRDefault="00ED6FF8" w:rsidP="00062787">
      <w:pPr>
        <w:pStyle w:val="Numberbullet0"/>
        <w:numPr>
          <w:ilvl w:val="0"/>
          <w:numId w:val="9"/>
        </w:numPr>
      </w:pPr>
      <w:r>
        <w:t xml:space="preserve">Comment on the potential clinical implications of each of the differences noted in the comparability exercise between Hadlima and Humira, as discussed above in the </w:t>
      </w:r>
      <w:r w:rsidR="00397016">
        <w:t>quality</w:t>
      </w:r>
      <w:r>
        <w:t xml:space="preserve"> evaluation.</w:t>
      </w:r>
    </w:p>
    <w:p w14:paraId="68AE9A4D" w14:textId="77777777" w:rsidR="00ED6FF8" w:rsidRDefault="00ED6FF8" w:rsidP="00062787">
      <w:pPr>
        <w:pStyle w:val="Numberbullet0"/>
        <w:numPr>
          <w:ilvl w:val="0"/>
          <w:numId w:val="9"/>
        </w:numPr>
      </w:pPr>
      <w:r>
        <w:t>Are any</w:t>
      </w:r>
      <w:r w:rsidRPr="009D2120">
        <w:t xml:space="preserve"> further studies planned </w:t>
      </w:r>
      <w:r>
        <w:t>to investigate</w:t>
      </w:r>
      <w:r w:rsidRPr="009D2120">
        <w:t xml:space="preserve"> the efficacy and safety of </w:t>
      </w:r>
      <w:r>
        <w:t xml:space="preserve">Hadlima including any </w:t>
      </w:r>
      <w:r w:rsidRPr="009D2120">
        <w:t xml:space="preserve">switching </w:t>
      </w:r>
      <w:r>
        <w:t>studies</w:t>
      </w:r>
      <w:r w:rsidRPr="009D2120">
        <w:t>?</w:t>
      </w:r>
    </w:p>
    <w:p w14:paraId="0D627AD4" w14:textId="77777777" w:rsidR="00456765" w:rsidRPr="00456765" w:rsidRDefault="00ED6FF8" w:rsidP="00062787">
      <w:pPr>
        <w:pStyle w:val="Numberbullet0"/>
        <w:numPr>
          <w:ilvl w:val="0"/>
          <w:numId w:val="9"/>
        </w:numPr>
      </w:pPr>
      <w:r>
        <w:t xml:space="preserve">Please summarise what actions are proposed by the sponsor to inform prescribers and pharmacists that Hadlima is only approved for rheumatoid arthritis and is only available </w:t>
      </w:r>
      <w:r w:rsidR="00397016">
        <w:t>as</w:t>
      </w:r>
      <w:r>
        <w:t xml:space="preserve"> </w:t>
      </w:r>
      <w:proofErr w:type="gramStart"/>
      <w:r>
        <w:t xml:space="preserve">a </w:t>
      </w:r>
      <w:r w:rsidR="00397016">
        <w:t>40</w:t>
      </w:r>
      <w:proofErr w:type="gramEnd"/>
      <w:r w:rsidR="00397016">
        <w:t xml:space="preserve"> mg</w:t>
      </w:r>
      <w:r>
        <w:t xml:space="preserve"> strength.</w:t>
      </w:r>
    </w:p>
    <w:p w14:paraId="160EDE5A" w14:textId="38A759B2" w:rsidR="001A2848" w:rsidRDefault="001A2848" w:rsidP="00894280">
      <w:pPr>
        <w:pStyle w:val="Heading4"/>
      </w:pPr>
      <w:r>
        <w:t xml:space="preserve">Summary of </w:t>
      </w:r>
      <w:r w:rsidR="00894280" w:rsidRPr="00894280">
        <w:t>i</w:t>
      </w:r>
      <w:r w:rsidRPr="00894280">
        <w:t>ssues</w:t>
      </w:r>
    </w:p>
    <w:p w14:paraId="5374D32C" w14:textId="77777777" w:rsidR="001A2848" w:rsidRPr="00413B71" w:rsidRDefault="001A2848" w:rsidP="001A2848">
      <w:r w:rsidRPr="00413B71">
        <w:t>The primary issues with this submission are as follows:</w:t>
      </w:r>
    </w:p>
    <w:p w14:paraId="43D62CD4" w14:textId="77777777" w:rsidR="001A2848" w:rsidRPr="00413B71" w:rsidRDefault="001A2848" w:rsidP="00062787">
      <w:pPr>
        <w:pStyle w:val="Numberbullet0"/>
        <w:numPr>
          <w:ilvl w:val="0"/>
          <w:numId w:val="11"/>
        </w:numPr>
      </w:pPr>
      <w:r w:rsidRPr="00413B71">
        <w:t xml:space="preserve">The efficacy data </w:t>
      </w:r>
      <w:r>
        <w:t xml:space="preserve">overall </w:t>
      </w:r>
      <w:r w:rsidRPr="00413B71">
        <w:t xml:space="preserve">demonstrated comparability between </w:t>
      </w:r>
      <w:r>
        <w:t>Hadlima</w:t>
      </w:r>
      <w:r w:rsidRPr="00413B71">
        <w:t xml:space="preserve"> and </w:t>
      </w:r>
      <w:r>
        <w:t>Humira</w:t>
      </w:r>
      <w:r w:rsidRPr="00413B71">
        <w:t>.</w:t>
      </w:r>
    </w:p>
    <w:p w14:paraId="0A82A5CC" w14:textId="77777777" w:rsidR="001A2848" w:rsidRPr="00413B71" w:rsidRDefault="001A2848" w:rsidP="00062787">
      <w:pPr>
        <w:pStyle w:val="Numberbullet0"/>
        <w:numPr>
          <w:ilvl w:val="0"/>
          <w:numId w:val="11"/>
        </w:numPr>
      </w:pPr>
      <w:r w:rsidRPr="00413B71">
        <w:lastRenderedPageBreak/>
        <w:t xml:space="preserve">The safety profiles </w:t>
      </w:r>
      <w:r>
        <w:t xml:space="preserve">overall </w:t>
      </w:r>
      <w:r w:rsidRPr="00413B71">
        <w:t>appeared to be</w:t>
      </w:r>
      <w:r>
        <w:t xml:space="preserve"> </w:t>
      </w:r>
      <w:r w:rsidRPr="00413B71">
        <w:t xml:space="preserve">comparable between </w:t>
      </w:r>
      <w:r>
        <w:t>Hadlima</w:t>
      </w:r>
      <w:r w:rsidRPr="00413B71">
        <w:t xml:space="preserve"> and </w:t>
      </w:r>
      <w:r>
        <w:t>Humira</w:t>
      </w:r>
      <w:r w:rsidRPr="00413B71">
        <w:t>.</w:t>
      </w:r>
    </w:p>
    <w:p w14:paraId="511F4259" w14:textId="77777777" w:rsidR="001A2848" w:rsidRPr="002B1B5F" w:rsidRDefault="001A2848" w:rsidP="00062787">
      <w:pPr>
        <w:pStyle w:val="Numberbullet0"/>
        <w:numPr>
          <w:ilvl w:val="0"/>
          <w:numId w:val="11"/>
        </w:numPr>
      </w:pPr>
      <w:r>
        <w:t>Anti-drug antibodies (ADA) developed at a similar frequency on both Hadlima and Humira in the clinical study. In ADA negative patients, ACR response rates were similar on Hadlima and Humira however in ADA positive patients there were some differences in ACR response rates</w:t>
      </w:r>
      <w:r w:rsidRPr="009D5EEC">
        <w:t>.</w:t>
      </w:r>
      <w:r w:rsidR="0069652B">
        <w:t xml:space="preserve"> </w:t>
      </w:r>
      <w:r w:rsidRPr="009D5EEC">
        <w:t xml:space="preserve">Immunogenicity may also be potentially different </w:t>
      </w:r>
      <w:r>
        <w:t>when</w:t>
      </w:r>
      <w:r w:rsidRPr="009D5EEC">
        <w:t xml:space="preserve"> concomitant methotrexate is not </w:t>
      </w:r>
      <w:r>
        <w:t>used</w:t>
      </w:r>
      <w:r w:rsidRPr="00413B71">
        <w:t>.</w:t>
      </w:r>
    </w:p>
    <w:p w14:paraId="374135DC" w14:textId="77777777" w:rsidR="001A2848" w:rsidRPr="001A2848" w:rsidRDefault="001A2848" w:rsidP="00062787">
      <w:pPr>
        <w:pStyle w:val="Numberbullet0"/>
        <w:numPr>
          <w:ilvl w:val="0"/>
          <w:numId w:val="11"/>
        </w:numPr>
      </w:pPr>
      <w:r w:rsidRPr="00413B71">
        <w:t xml:space="preserve">The sponsor </w:t>
      </w:r>
      <w:r>
        <w:t xml:space="preserve">is applying for a single strength of adalimumab, </w:t>
      </w:r>
      <w:r w:rsidR="00397016">
        <w:t>40 mg</w:t>
      </w:r>
      <w:r>
        <w:t>, which is approved for Humira and only one indication, rheumatoid arthritis, which is approved for Humira.</w:t>
      </w:r>
      <w:r w:rsidR="0069652B">
        <w:t xml:space="preserve"> </w:t>
      </w:r>
      <w:r>
        <w:t>As such, the product information proposed has removed the pharmacology, clinical trials, immunogenicity, indications, precautions, adverse effects and dosage information related to the other indications approved for Humira.</w:t>
      </w:r>
    </w:p>
    <w:p w14:paraId="5BBC177B" w14:textId="77777777" w:rsidR="001A2848" w:rsidRPr="001A2848" w:rsidRDefault="001A2848" w:rsidP="001A2848">
      <w:r w:rsidRPr="00413B71">
        <w:rPr>
          <w:rFonts w:asciiTheme="minorHAnsi" w:hAnsiTheme="minorHAnsi"/>
        </w:rPr>
        <w:t xml:space="preserve">The </w:t>
      </w:r>
      <w:r w:rsidR="00397016">
        <w:rPr>
          <w:rFonts w:asciiTheme="minorHAnsi" w:hAnsiTheme="minorHAnsi"/>
        </w:rPr>
        <w:t>quality</w:t>
      </w:r>
      <w:r w:rsidRPr="00413B71">
        <w:rPr>
          <w:rFonts w:asciiTheme="minorHAnsi" w:hAnsiTheme="minorHAnsi"/>
        </w:rPr>
        <w:t xml:space="preserve"> evaluator noted some minor differences between </w:t>
      </w:r>
      <w:r>
        <w:rPr>
          <w:rFonts w:asciiTheme="minorHAnsi" w:hAnsiTheme="minorHAnsi"/>
        </w:rPr>
        <w:t>Hadlima</w:t>
      </w:r>
      <w:r w:rsidRPr="00413B71">
        <w:rPr>
          <w:rFonts w:asciiTheme="minorHAnsi" w:hAnsiTheme="minorHAnsi"/>
        </w:rPr>
        <w:t xml:space="preserve"> and </w:t>
      </w:r>
      <w:r>
        <w:rPr>
          <w:rFonts w:asciiTheme="minorHAnsi" w:hAnsiTheme="minorHAnsi"/>
        </w:rPr>
        <w:t>Humira in the comparability analyse</w:t>
      </w:r>
      <w:r w:rsidRPr="00413B71">
        <w:rPr>
          <w:rFonts w:asciiTheme="minorHAnsi" w:hAnsiTheme="minorHAnsi"/>
        </w:rPr>
        <w:t>s.</w:t>
      </w:r>
    </w:p>
    <w:p w14:paraId="59DDAC5D" w14:textId="77777777" w:rsidR="00D23139" w:rsidRDefault="00D23139" w:rsidP="00894280">
      <w:pPr>
        <w:pStyle w:val="Heading4"/>
      </w:pPr>
      <w:r w:rsidRPr="00D23139">
        <w:t>Proposed action</w:t>
      </w:r>
    </w:p>
    <w:p w14:paraId="282A4E18" w14:textId="77777777" w:rsidR="00456765" w:rsidRPr="00456765" w:rsidRDefault="00397016" w:rsidP="001A2848">
      <w:r>
        <w:t>The Delegate had</w:t>
      </w:r>
      <w:r w:rsidR="001A2848" w:rsidRPr="007A66BC">
        <w:t xml:space="preserve"> no reason to say, at this time, that the application for </w:t>
      </w:r>
      <w:r w:rsidR="001A2848">
        <w:t>Hadlima</w:t>
      </w:r>
      <w:r w:rsidR="001A2848" w:rsidRPr="007A66BC">
        <w:t xml:space="preserve"> should not be approved for registration</w:t>
      </w:r>
      <w:r w:rsidR="001A2848">
        <w:t>, pending further advice from ACM</w:t>
      </w:r>
      <w:r w:rsidR="001A2848" w:rsidRPr="007A66BC">
        <w:t>.</w:t>
      </w:r>
    </w:p>
    <w:p w14:paraId="7A02AE2E" w14:textId="45550E04" w:rsidR="00D23139" w:rsidRDefault="00D23139" w:rsidP="00894280">
      <w:pPr>
        <w:pStyle w:val="Heading4"/>
      </w:pPr>
      <w:r w:rsidRPr="00D23139">
        <w:t xml:space="preserve">Request for </w:t>
      </w:r>
      <w:r w:rsidRPr="00894280">
        <w:t>A</w:t>
      </w:r>
      <w:r w:rsidR="00B948BA" w:rsidRPr="00894280">
        <w:t>C</w:t>
      </w:r>
      <w:r w:rsidRPr="00894280">
        <w:t>M</w:t>
      </w:r>
      <w:r w:rsidRPr="00D23139">
        <w:t xml:space="preserve"> advice</w:t>
      </w:r>
    </w:p>
    <w:p w14:paraId="53E11525" w14:textId="77777777" w:rsidR="001A2848" w:rsidRPr="00413B71" w:rsidRDefault="001A2848" w:rsidP="001A2848">
      <w:pPr>
        <w:rPr>
          <w:rFonts w:asciiTheme="minorHAnsi" w:hAnsiTheme="minorHAnsi"/>
        </w:rPr>
      </w:pPr>
      <w:r w:rsidRPr="00413B71">
        <w:rPr>
          <w:rFonts w:asciiTheme="minorHAnsi" w:hAnsiTheme="minorHAnsi"/>
        </w:rPr>
        <w:t>The committee is requested to provide advice on the following specific issues:</w:t>
      </w:r>
    </w:p>
    <w:p w14:paraId="7CF4FEC9" w14:textId="77777777" w:rsidR="001A2848" w:rsidRPr="00413B71" w:rsidRDefault="001A2848" w:rsidP="00062787">
      <w:pPr>
        <w:pStyle w:val="Numberbullet0"/>
        <w:numPr>
          <w:ilvl w:val="0"/>
          <w:numId w:val="10"/>
        </w:numPr>
      </w:pPr>
      <w:r w:rsidRPr="00413B71">
        <w:t xml:space="preserve">What are </w:t>
      </w:r>
      <w:r>
        <w:t>ACM</w:t>
      </w:r>
      <w:r w:rsidRPr="00413B71">
        <w:t xml:space="preserve">s views on the similarity of efficacy </w:t>
      </w:r>
      <w:r>
        <w:t>between</w:t>
      </w:r>
      <w:r w:rsidRPr="00413B71">
        <w:t xml:space="preserve"> </w:t>
      </w:r>
      <w:r>
        <w:t>Hadlima</w:t>
      </w:r>
      <w:r w:rsidRPr="00413B71">
        <w:t xml:space="preserve"> and </w:t>
      </w:r>
      <w:r>
        <w:t>Humira</w:t>
      </w:r>
      <w:r w:rsidRPr="00413B71">
        <w:t xml:space="preserve"> to support the rheumatoid arthritis indication for this biosimilar </w:t>
      </w:r>
      <w:r>
        <w:t>adalimumab</w:t>
      </w:r>
      <w:r w:rsidRPr="00413B71">
        <w:t>?</w:t>
      </w:r>
    </w:p>
    <w:p w14:paraId="5DDF56C2" w14:textId="77777777" w:rsidR="001A2848" w:rsidRPr="00413B71" w:rsidRDefault="001A2848" w:rsidP="00062787">
      <w:pPr>
        <w:pStyle w:val="Numberbullet0"/>
        <w:numPr>
          <w:ilvl w:val="0"/>
          <w:numId w:val="10"/>
        </w:numPr>
      </w:pPr>
      <w:r w:rsidRPr="00413B71">
        <w:t xml:space="preserve">What are </w:t>
      </w:r>
      <w:r>
        <w:t>ACM</w:t>
      </w:r>
      <w:r w:rsidRPr="00413B71">
        <w:t xml:space="preserve">s views on the comparability of the safety profiles of </w:t>
      </w:r>
      <w:r>
        <w:t>Hadlima</w:t>
      </w:r>
      <w:r w:rsidRPr="00413B71">
        <w:t xml:space="preserve"> and </w:t>
      </w:r>
      <w:r>
        <w:t>Humira</w:t>
      </w:r>
      <w:r w:rsidRPr="00413B71">
        <w:t>?</w:t>
      </w:r>
    </w:p>
    <w:p w14:paraId="5C10467D" w14:textId="77777777" w:rsidR="001A2848" w:rsidRDefault="001A2848" w:rsidP="00062787">
      <w:pPr>
        <w:pStyle w:val="Numberbullet0"/>
        <w:numPr>
          <w:ilvl w:val="0"/>
          <w:numId w:val="10"/>
        </w:numPr>
      </w:pPr>
      <w:r w:rsidRPr="00413B71">
        <w:t xml:space="preserve">What are </w:t>
      </w:r>
      <w:r>
        <w:t>ACM</w:t>
      </w:r>
      <w:r w:rsidRPr="00413B71">
        <w:t xml:space="preserve">s views on the </w:t>
      </w:r>
      <w:r>
        <w:t>differences noted in ACR response rates in ADA</w:t>
      </w:r>
      <w:r w:rsidRPr="00413B71">
        <w:t xml:space="preserve"> </w:t>
      </w:r>
      <w:r>
        <w:t>positive patients on</w:t>
      </w:r>
      <w:r w:rsidRPr="00413B71">
        <w:t xml:space="preserve"> </w:t>
      </w:r>
      <w:r>
        <w:t>Hadlima</w:t>
      </w:r>
      <w:r w:rsidRPr="00413B71">
        <w:t xml:space="preserve"> </w:t>
      </w:r>
      <w:r>
        <w:t>compared with</w:t>
      </w:r>
      <w:r w:rsidRPr="00413B71">
        <w:t xml:space="preserve"> </w:t>
      </w:r>
      <w:r>
        <w:t>Humira</w:t>
      </w:r>
      <w:r w:rsidRPr="00413B71">
        <w:t>?</w:t>
      </w:r>
    </w:p>
    <w:p w14:paraId="776D0678" w14:textId="77777777" w:rsidR="001A2848" w:rsidRPr="002B1B5F" w:rsidRDefault="001A2848" w:rsidP="00062787">
      <w:pPr>
        <w:pStyle w:val="Numberbullet0"/>
        <w:numPr>
          <w:ilvl w:val="0"/>
          <w:numId w:val="10"/>
        </w:numPr>
      </w:pPr>
      <w:r w:rsidRPr="00413B71">
        <w:t xml:space="preserve">What are </w:t>
      </w:r>
      <w:r>
        <w:t>ACM</w:t>
      </w:r>
      <w:r w:rsidRPr="00413B71">
        <w:t xml:space="preserve">s views on the </w:t>
      </w:r>
      <w:r>
        <w:t xml:space="preserve">presentation of the product information, given the sponsor is only requesting the rheumatoid arthritis indication, especially in relation to exclusion of safety information related to the other indications, </w:t>
      </w:r>
      <w:r w:rsidR="00393DE6">
        <w:t>for example</w:t>
      </w:r>
      <w:r>
        <w:t xml:space="preserve"> immunogenicity, precautions and adverse effects</w:t>
      </w:r>
      <w:r w:rsidRPr="00413B71">
        <w:t>?</w:t>
      </w:r>
    </w:p>
    <w:p w14:paraId="2C9E1A5D" w14:textId="77777777" w:rsidR="001A2848" w:rsidRPr="00413B71" w:rsidRDefault="001A2848" w:rsidP="00062787">
      <w:pPr>
        <w:pStyle w:val="Numberbullet0"/>
        <w:numPr>
          <w:ilvl w:val="0"/>
          <w:numId w:val="10"/>
        </w:numPr>
      </w:pPr>
      <w:r w:rsidRPr="00413B71">
        <w:t xml:space="preserve">What are </w:t>
      </w:r>
      <w:r>
        <w:t>ACM</w:t>
      </w:r>
      <w:r w:rsidRPr="00413B71">
        <w:t xml:space="preserve">s views on the clinical significance of the differences noted in the </w:t>
      </w:r>
      <w:r w:rsidR="00393DE6">
        <w:t>quality</w:t>
      </w:r>
      <w:r w:rsidRPr="00413B71">
        <w:t xml:space="preserve"> comparability </w:t>
      </w:r>
      <w:r>
        <w:t>analyses</w:t>
      </w:r>
      <w:r w:rsidRPr="00413B71">
        <w:t>?</w:t>
      </w:r>
    </w:p>
    <w:p w14:paraId="4866237F" w14:textId="77777777" w:rsidR="00ED6FF8" w:rsidRPr="00456765" w:rsidRDefault="001A2848" w:rsidP="00894280">
      <w:r w:rsidRPr="00413B71">
        <w:t>The committee is also requested to provide advice on any other issues that it thinks may be relevant to a decision on whether or not to approve this application.</w:t>
      </w:r>
    </w:p>
    <w:p w14:paraId="116CA471" w14:textId="77777777" w:rsidR="00D23139" w:rsidRDefault="00456765" w:rsidP="00894280">
      <w:pPr>
        <w:pStyle w:val="Heading4"/>
      </w:pPr>
      <w:r>
        <w:t xml:space="preserve">Response from </w:t>
      </w:r>
      <w:r w:rsidR="00683EFD">
        <w:t>sponsor</w:t>
      </w:r>
    </w:p>
    <w:p w14:paraId="0FED4CB5" w14:textId="77777777" w:rsidR="00187CC7" w:rsidRDefault="00187CC7" w:rsidP="00187CC7">
      <w:pPr>
        <w:pStyle w:val="Heading5"/>
      </w:pPr>
      <w:r>
        <w:t xml:space="preserve">Response to questions from </w:t>
      </w:r>
      <w:r w:rsidR="00397016">
        <w:t>Delegate</w:t>
      </w:r>
    </w:p>
    <w:p w14:paraId="1DA48470" w14:textId="77777777" w:rsidR="00187CC7" w:rsidRDefault="00187CC7" w:rsidP="00187CC7">
      <w:pPr>
        <w:pStyle w:val="Heading6"/>
      </w:pPr>
      <w:r>
        <w:t>Response to question 1</w:t>
      </w:r>
    </w:p>
    <w:p w14:paraId="0DEA8042" w14:textId="6EC33572" w:rsidR="00EB0AAA" w:rsidRDefault="00393DE6" w:rsidP="00894280">
      <w:r w:rsidRPr="004C0246">
        <w:rPr>
          <w:i/>
        </w:rPr>
        <w:t>Provide an update on the outstanding GMP clearances</w:t>
      </w:r>
      <w:r w:rsidR="00B948BA">
        <w:rPr>
          <w:i/>
        </w:rPr>
        <w:t xml:space="preserve">: </w:t>
      </w:r>
      <w:r w:rsidR="00187CC7">
        <w:t>As noted, there are outstanding GMP clearances that are currently under review and are expected to be resolved</w:t>
      </w:r>
      <w:r w:rsidR="00EB0AAA">
        <w:t>.</w:t>
      </w:r>
    </w:p>
    <w:p w14:paraId="78472922" w14:textId="77777777" w:rsidR="00187CC7" w:rsidRDefault="00187CC7" w:rsidP="00187CC7">
      <w:pPr>
        <w:pStyle w:val="Heading6"/>
      </w:pPr>
      <w:r>
        <w:t>Response to Question 2</w:t>
      </w:r>
    </w:p>
    <w:p w14:paraId="2E6C394D" w14:textId="33245D94" w:rsidR="00187CC7" w:rsidRDefault="00393DE6" w:rsidP="00894280">
      <w:r w:rsidRPr="00894280">
        <w:rPr>
          <w:i/>
        </w:rPr>
        <w:t>Comment on the potential clinical implications of each of the differences noted in the comparability exercise between Hadlima and Humira, as discussed above in the quality evaluation</w:t>
      </w:r>
      <w:r w:rsidR="00B948BA" w:rsidRPr="00894280">
        <w:rPr>
          <w:i/>
        </w:rPr>
        <w:t>:</w:t>
      </w:r>
      <w:r w:rsidR="00B948BA">
        <w:t xml:space="preserve"> </w:t>
      </w:r>
      <w:r w:rsidR="00187CC7">
        <w:t>As the Agency commented, minor differences in some quality attributes were observed between Hadlima and Humira</w:t>
      </w:r>
      <w:r w:rsidR="00187CC7">
        <w:rPr>
          <w:sz w:val="16"/>
          <w:szCs w:val="16"/>
        </w:rPr>
        <w:t xml:space="preserve"> </w:t>
      </w:r>
      <w:r w:rsidR="00187CC7">
        <w:t xml:space="preserve">for the physicochemical properties. The potential </w:t>
      </w:r>
      <w:r w:rsidR="00187CC7">
        <w:lastRenderedPageBreak/>
        <w:t>clinical implication of the differences between Hadlima and Humira</w:t>
      </w:r>
      <w:r w:rsidR="00187CC7">
        <w:rPr>
          <w:sz w:val="16"/>
          <w:szCs w:val="16"/>
        </w:rPr>
        <w:t xml:space="preserve"> </w:t>
      </w:r>
      <w:r w:rsidR="00187CC7">
        <w:t>is discussed in depth as follows.</w:t>
      </w:r>
    </w:p>
    <w:p w14:paraId="161C29B9" w14:textId="04933902" w:rsidR="00187CC7" w:rsidRDefault="003F5F5C" w:rsidP="00187CC7">
      <w:pPr>
        <w:pStyle w:val="ListBullet"/>
      </w:pPr>
      <w:r>
        <w:t>Carbohydrate Structure;</w:t>
      </w:r>
      <w:r w:rsidR="00187CC7" w:rsidRPr="00187CC7">
        <w:t xml:space="preserve"> %</w:t>
      </w:r>
      <w:r w:rsidR="00B948BA">
        <w:t xml:space="preserve"> </w:t>
      </w:r>
      <w:proofErr w:type="spellStart"/>
      <w:r w:rsidR="00187CC7" w:rsidRPr="00187CC7">
        <w:t>Afucose</w:t>
      </w:r>
      <w:proofErr w:type="spellEnd"/>
      <w:r w:rsidR="00187CC7" w:rsidRPr="00187CC7">
        <w:t xml:space="preserve"> and %</w:t>
      </w:r>
      <w:r w:rsidR="00B948BA">
        <w:t xml:space="preserve"> </w:t>
      </w:r>
      <w:r w:rsidR="00187CC7" w:rsidRPr="00187CC7">
        <w:t>G0F</w:t>
      </w:r>
    </w:p>
    <w:p w14:paraId="517965C3" w14:textId="77777777" w:rsidR="00EB0AAA" w:rsidRDefault="00187CC7" w:rsidP="00187CC7">
      <w:pPr>
        <w:ind w:left="380"/>
      </w:pPr>
      <w:r>
        <w:t>The level of %Afucose was slightly higher in Hadlima than that of Humira. However, FcγRIIIa binding and ADCC activities, which are known to be affected by the %Afucose level, of Hadlima and Humira</w:t>
      </w:r>
      <w:r>
        <w:rPr>
          <w:sz w:val="16"/>
          <w:szCs w:val="16"/>
        </w:rPr>
        <w:t xml:space="preserve"> </w:t>
      </w:r>
      <w:r>
        <w:t xml:space="preserve">were similar. In terms of immunogenicity, exogenous antigens generally tend to induce immunogenicity. However, afucosylated glycans such as G0, G1/G1', and G2 and high </w:t>
      </w:r>
      <w:proofErr w:type="spellStart"/>
      <w:r>
        <w:t>mannosylated</w:t>
      </w:r>
      <w:proofErr w:type="spellEnd"/>
      <w:r>
        <w:t xml:space="preserve"> </w:t>
      </w:r>
      <w:proofErr w:type="spellStart"/>
      <w:r>
        <w:t>glycans</w:t>
      </w:r>
      <w:proofErr w:type="spellEnd"/>
      <w:r>
        <w:t xml:space="preserve"> such as M5-M9 are endogenously expressed in humans and are also observed in Humira. This indicates that a negative impact on immunogenicity is not foreseen</w:t>
      </w:r>
      <w:r w:rsidR="003F5F5C">
        <w:t>.</w:t>
      </w:r>
      <w:r w:rsidR="003F5F5C">
        <w:rPr>
          <w:rStyle w:val="FootnoteReference"/>
        </w:rPr>
        <w:footnoteReference w:id="20"/>
      </w:r>
      <w:r>
        <w:t xml:space="preserve"> The scientific literature and the clinical data support that %Afucose would not significantly influence ADCC and other important biological properties in Hadlima and Humira</w:t>
      </w:r>
      <w:r w:rsidR="00EB0AAA">
        <w:t>.</w:t>
      </w:r>
    </w:p>
    <w:p w14:paraId="3941D596" w14:textId="77777777" w:rsidR="00EB0AAA" w:rsidRDefault="00187CC7" w:rsidP="00187CC7">
      <w:pPr>
        <w:ind w:left="380"/>
        <w:rPr>
          <w:sz w:val="23"/>
          <w:szCs w:val="23"/>
        </w:rPr>
      </w:pPr>
      <w:r>
        <w:t xml:space="preserve">The level of %G0F was slightly lower in Hadlima than that of Humira. The </w:t>
      </w:r>
      <w:r w:rsidR="003F5F5C">
        <w:t>a</w:t>
      </w:r>
      <w:r>
        <w:t>pplicant investigated two physiological properties that might potentially be affected by G0F levels: pharmacokinetics (PK) and immunogenicity. With respect to PK, Hadlima and Humira</w:t>
      </w:r>
      <w:r>
        <w:rPr>
          <w:sz w:val="16"/>
          <w:szCs w:val="16"/>
        </w:rPr>
        <w:t xml:space="preserve"> </w:t>
      </w:r>
      <w:r>
        <w:t xml:space="preserve">showed similar FcRn binding activities, and similar PK profiles in non-clinical (PK in cynomolgus monkeys) and clinical studies. </w:t>
      </w:r>
      <w:r w:rsidRPr="00187CC7">
        <w:t>With</w:t>
      </w:r>
      <w:r w:rsidR="003F5F5C">
        <w:t xml:space="preserve"> </w:t>
      </w:r>
      <w:r>
        <w:rPr>
          <w:sz w:val="23"/>
          <w:szCs w:val="23"/>
        </w:rPr>
        <w:t xml:space="preserve">respect to immunogenicity, the abundance (approximately 23%) of the G0F </w:t>
      </w:r>
      <w:proofErr w:type="spellStart"/>
      <w:r>
        <w:rPr>
          <w:sz w:val="23"/>
          <w:szCs w:val="23"/>
        </w:rPr>
        <w:t>glycoform</w:t>
      </w:r>
      <w:proofErr w:type="spellEnd"/>
      <w:r>
        <w:rPr>
          <w:sz w:val="23"/>
          <w:szCs w:val="23"/>
        </w:rPr>
        <w:t xml:space="preserve"> among natural human </w:t>
      </w:r>
      <w:proofErr w:type="spellStart"/>
      <w:r>
        <w:rPr>
          <w:sz w:val="23"/>
          <w:szCs w:val="23"/>
        </w:rPr>
        <w:t>IgGs</w:t>
      </w:r>
      <w:proofErr w:type="spellEnd"/>
      <w:r>
        <w:rPr>
          <w:sz w:val="23"/>
          <w:szCs w:val="23"/>
        </w:rPr>
        <w:t xml:space="preserve"> suggests that this </w:t>
      </w:r>
      <w:proofErr w:type="spellStart"/>
      <w:r>
        <w:rPr>
          <w:sz w:val="23"/>
          <w:szCs w:val="23"/>
        </w:rPr>
        <w:t>glycoform</w:t>
      </w:r>
      <w:proofErr w:type="spellEnd"/>
      <w:r>
        <w:rPr>
          <w:sz w:val="23"/>
          <w:szCs w:val="23"/>
        </w:rPr>
        <w:t xml:space="preserve"> would not be immunogenic</w:t>
      </w:r>
      <w:r w:rsidR="003F5F5C">
        <w:rPr>
          <w:sz w:val="23"/>
          <w:szCs w:val="23"/>
        </w:rPr>
        <w:t>.</w:t>
      </w:r>
      <w:r w:rsidR="003F5F5C">
        <w:rPr>
          <w:rStyle w:val="FootnoteReference"/>
          <w:sz w:val="23"/>
          <w:szCs w:val="23"/>
        </w:rPr>
        <w:footnoteReference w:id="21"/>
      </w:r>
      <w:r>
        <w:rPr>
          <w:sz w:val="23"/>
          <w:szCs w:val="23"/>
        </w:rPr>
        <w:t xml:space="preserve"> The scientific literature and the clinical data support that %G0F would not significantly influence ADCC and other important biological properties in Hadlima and Humira</w:t>
      </w:r>
      <w:r w:rsidR="00EB0AAA">
        <w:rPr>
          <w:sz w:val="23"/>
          <w:szCs w:val="23"/>
        </w:rPr>
        <w:t>.</w:t>
      </w:r>
    </w:p>
    <w:p w14:paraId="2DABBCFA" w14:textId="1EFEB1F2" w:rsidR="00187CC7" w:rsidRDefault="00187CC7" w:rsidP="00187CC7">
      <w:pPr>
        <w:ind w:left="380"/>
      </w:pPr>
      <w:r>
        <w:rPr>
          <w:sz w:val="23"/>
          <w:szCs w:val="23"/>
        </w:rPr>
        <w:t xml:space="preserve">Therefore, the slight difference in </w:t>
      </w:r>
      <w:r w:rsidR="00FE5BC2">
        <w:rPr>
          <w:sz w:val="23"/>
          <w:szCs w:val="23"/>
        </w:rPr>
        <w:t xml:space="preserve">% </w:t>
      </w:r>
      <w:r>
        <w:rPr>
          <w:sz w:val="23"/>
          <w:szCs w:val="23"/>
        </w:rPr>
        <w:t>Afucose and %</w:t>
      </w:r>
      <w:r w:rsidR="00FE5BC2">
        <w:rPr>
          <w:sz w:val="23"/>
          <w:szCs w:val="23"/>
        </w:rPr>
        <w:t xml:space="preserve"> </w:t>
      </w:r>
      <w:r>
        <w:rPr>
          <w:sz w:val="23"/>
          <w:szCs w:val="23"/>
        </w:rPr>
        <w:t>G0F are not considered to have an impact on the biological activity and to be translated into clinically meaningful difference</w:t>
      </w:r>
    </w:p>
    <w:p w14:paraId="307D825C" w14:textId="691BC4CB" w:rsidR="00187CC7" w:rsidRDefault="003F5F5C" w:rsidP="00187CC7">
      <w:pPr>
        <w:pStyle w:val="ListBullet"/>
      </w:pPr>
      <w:r>
        <w:t>Purity and Impurities;</w:t>
      </w:r>
      <w:r w:rsidR="00187CC7">
        <w:t xml:space="preserve"> %</w:t>
      </w:r>
      <w:r w:rsidR="00FE5BC2">
        <w:t xml:space="preserve"> </w:t>
      </w:r>
      <w:r w:rsidR="00187CC7">
        <w:t>Main and %</w:t>
      </w:r>
      <w:r w:rsidR="00FE5BC2">
        <w:t xml:space="preserve"> </w:t>
      </w:r>
      <w:r w:rsidR="00187CC7">
        <w:t>NGHC</w:t>
      </w:r>
    </w:p>
    <w:p w14:paraId="59FEDE75" w14:textId="7BC6DC11" w:rsidR="00187CC7" w:rsidRDefault="00187CC7" w:rsidP="00187CC7">
      <w:pPr>
        <w:ind w:left="369"/>
      </w:pPr>
      <w:r>
        <w:t>%Main (%HC + %LC) of Hadlima analysed was slightly lower in Hadlima than that of Humira, which was attributed to the higher level of NGHC of Hadlima. However, it is known that the absence of glycan at Asn</w:t>
      </w:r>
      <w:r w:rsidR="00FE5BC2">
        <w:rPr>
          <w:vertAlign w:val="subscript"/>
        </w:rPr>
        <w:t>301</w:t>
      </w:r>
      <w:r>
        <w:t>, resulting in unmasking of the region, is not related to immunogenicity</w:t>
      </w:r>
      <w:r w:rsidR="003F5F5C">
        <w:t>.</w:t>
      </w:r>
      <w:r w:rsidR="003F5F5C">
        <w:rPr>
          <w:rStyle w:val="FootnoteReference"/>
        </w:rPr>
        <w:footnoteReference w:id="22"/>
      </w:r>
      <w:r>
        <w:t xml:space="preserve"> In order to justify the difference between Hadlima and Humira, the </w:t>
      </w:r>
      <w:r w:rsidR="003F5F5C">
        <w:t>a</w:t>
      </w:r>
      <w:r>
        <w:t xml:space="preserve">pplicant provided experimental data demonstrating that the NGHC levels detected in Hadlima will not impact on </w:t>
      </w:r>
      <w:proofErr w:type="spellStart"/>
      <w:r>
        <w:t>FcRn</w:t>
      </w:r>
      <w:proofErr w:type="spellEnd"/>
      <w:r>
        <w:t xml:space="preserve"> binding, TNFα binding, and </w:t>
      </w:r>
      <w:proofErr w:type="spellStart"/>
      <w:r>
        <w:t>FcγRIIIa</w:t>
      </w:r>
      <w:proofErr w:type="spellEnd"/>
      <w:r>
        <w:t xml:space="preserve"> binding nor on ADCC activity. Furthermore, the results from an orthogonal analysis showed that %IgG was similar between Hadlima and Humira. Therefore, the slight differences observed in %Main are not considered to be significant and to be translated into clinically meaningful difference.</w:t>
      </w:r>
    </w:p>
    <w:p w14:paraId="21A922F2" w14:textId="3FCDB430" w:rsidR="00187CC7" w:rsidRDefault="003F5F5C" w:rsidP="00187CC7">
      <w:pPr>
        <w:pStyle w:val="ListBullet"/>
      </w:pPr>
      <w:r>
        <w:t>Charge Variants;</w:t>
      </w:r>
      <w:r w:rsidR="00187CC7">
        <w:t xml:space="preserve"> %</w:t>
      </w:r>
      <w:r w:rsidR="00FE5BC2">
        <w:t xml:space="preserve"> </w:t>
      </w:r>
      <w:r w:rsidR="00187CC7">
        <w:t>Acidic and %</w:t>
      </w:r>
      <w:r w:rsidR="00FE5BC2">
        <w:t xml:space="preserve"> </w:t>
      </w:r>
      <w:r w:rsidR="00187CC7">
        <w:t>Basic</w:t>
      </w:r>
    </w:p>
    <w:p w14:paraId="70AE5BBA" w14:textId="51866011" w:rsidR="00EB0AAA" w:rsidRDefault="00187CC7" w:rsidP="00187CC7">
      <w:pPr>
        <w:ind w:left="340"/>
      </w:pPr>
      <w:r>
        <w:t>Charge variants in Hadlima and Humira</w:t>
      </w:r>
      <w:r>
        <w:rPr>
          <w:sz w:val="16"/>
          <w:szCs w:val="16"/>
        </w:rPr>
        <w:t xml:space="preserve"> </w:t>
      </w:r>
      <w:r>
        <w:t>were evaluated. Overall, both assessments showed that Hadlima was found to possess a higher content of acidic variants and a lower content of basic variants, compared to those of Humira</w:t>
      </w:r>
      <w:r w:rsidR="00EB0AAA">
        <w:t>.</w:t>
      </w:r>
    </w:p>
    <w:p w14:paraId="6C01E927" w14:textId="39477BB5" w:rsidR="00187CC7" w:rsidRDefault="00187CC7" w:rsidP="00187CC7">
      <w:pPr>
        <w:ind w:left="340"/>
      </w:pPr>
      <w:r>
        <w:t xml:space="preserve">In order to rule out the residual uncertainty on the differences, acidic and basic variants were, and the impact on TNFα binding and ADCC activities was assessed. In addition, comparative studies using </w:t>
      </w:r>
      <w:proofErr w:type="spellStart"/>
      <w:r>
        <w:t>sialidase</w:t>
      </w:r>
      <w:proofErr w:type="spellEnd"/>
      <w:r>
        <w:t xml:space="preserve"> A or carboxypeptidase B treated Hadlima and Humira</w:t>
      </w:r>
      <w:r>
        <w:rPr>
          <w:sz w:val="16"/>
          <w:szCs w:val="16"/>
        </w:rPr>
        <w:t xml:space="preserve"> </w:t>
      </w:r>
      <w:r>
        <w:t xml:space="preserve">samples were conducted. These results show that the differences in </w:t>
      </w:r>
      <w:r>
        <w:lastRenderedPageBreak/>
        <w:t xml:space="preserve">charged variants are mainly caused by the difference in C-terminal variants, as well as the difference in the content of </w:t>
      </w:r>
      <w:proofErr w:type="spellStart"/>
      <w:r>
        <w:t>sialylated</w:t>
      </w:r>
      <w:proofErr w:type="spellEnd"/>
      <w:r>
        <w:t xml:space="preserve"> N-</w:t>
      </w:r>
      <w:proofErr w:type="spellStart"/>
      <w:r>
        <w:t>glycans</w:t>
      </w:r>
      <w:proofErr w:type="spellEnd"/>
      <w:r>
        <w:t>. The differences in charge variant between Hadlima and Humira</w:t>
      </w:r>
      <w:r>
        <w:rPr>
          <w:sz w:val="16"/>
          <w:szCs w:val="16"/>
        </w:rPr>
        <w:t xml:space="preserve"> </w:t>
      </w:r>
      <w:r>
        <w:t>were investigated across the fractions with regards to TNF-α binding, ADCC, FcRn binding, and complement-dependent cytotoxicity (CDC) activities. The results showed that the difference in charge variants would have no impact on these biological activities. Based on the results from identity and biological activity studies conducted using fractionated samples, it can be concluded that the minor difference in charge variants are not considered to be significant and to be translated into clinically meaningful difference.</w:t>
      </w:r>
    </w:p>
    <w:p w14:paraId="205A5D4E" w14:textId="77777777" w:rsidR="00187CC7" w:rsidRDefault="00C55A80" w:rsidP="00C55A80">
      <w:pPr>
        <w:ind w:left="380"/>
      </w:pPr>
      <w:r w:rsidRPr="00C55A80">
        <w:t>Therefore, based on the a</w:t>
      </w:r>
      <w:r w:rsidR="003F5F5C">
        <w:t>ssessment discussed above, the a</w:t>
      </w:r>
      <w:r w:rsidRPr="00C55A80">
        <w:t>pplicant concludes that the observed minor differences in some quality attributes are considered non-significant, and do not translate into clinical outcomes.</w:t>
      </w:r>
    </w:p>
    <w:p w14:paraId="45BA2E9C" w14:textId="77777777" w:rsidR="00C55A80" w:rsidRDefault="00C55A80" w:rsidP="00C55A80">
      <w:pPr>
        <w:pStyle w:val="Heading6"/>
      </w:pPr>
      <w:r>
        <w:t>Response to Question 3</w:t>
      </w:r>
    </w:p>
    <w:p w14:paraId="5DE13990" w14:textId="2DAD7807" w:rsidR="00EB0AAA" w:rsidRDefault="003F5F5C" w:rsidP="00C55A80">
      <w:r w:rsidRPr="004C0246">
        <w:rPr>
          <w:i/>
        </w:rPr>
        <w:t>Are any further studies planned to investigate the efficacy and safety of Hadlima including any switching studies?</w:t>
      </w:r>
      <w:r w:rsidR="00FE5BC2">
        <w:rPr>
          <w:i/>
        </w:rPr>
        <w:t xml:space="preserve">: </w:t>
      </w:r>
      <w:r w:rsidR="00FE5BC2">
        <w:t xml:space="preserve"> </w:t>
      </w:r>
      <w:r w:rsidR="00C55A80">
        <w:t>The Study SB5-G31-RA already included a switching design and its result clearly showed that the comparable efficacy was maintained after switching and there were no clinical meaningful differences in safety profiles in patients who switched from Humira</w:t>
      </w:r>
      <w:r>
        <w:t xml:space="preserve"> to Hadlima. Therefore, the a</w:t>
      </w:r>
      <w:r w:rsidR="00C55A80">
        <w:t>pplicant does not plan to conduct any further clinical studies investigating the efficacy and safety of Hadlima including any switch studies</w:t>
      </w:r>
      <w:r w:rsidR="00EB0AAA">
        <w:t>.</w:t>
      </w:r>
    </w:p>
    <w:p w14:paraId="246A2088" w14:textId="77777777" w:rsidR="00C55A80" w:rsidRDefault="00C55A80" w:rsidP="00C55A80">
      <w:pPr>
        <w:pStyle w:val="Heading6"/>
      </w:pPr>
      <w:r>
        <w:t>Response to Question 4</w:t>
      </w:r>
    </w:p>
    <w:p w14:paraId="32967753" w14:textId="74093EF0" w:rsidR="00C55A80" w:rsidRDefault="003F5F5C" w:rsidP="00C55A80">
      <w:r w:rsidRPr="004C0246">
        <w:rPr>
          <w:i/>
        </w:rPr>
        <w:t>Please summarise what actions are proposed by the sponsor to inform prescribers and pharmacists that Hadlima is only approved for rheumatoid arthritis and is only available as a 40 mg strength.</w:t>
      </w:r>
      <w:r w:rsidR="00FE5BC2">
        <w:t xml:space="preserve">: </w:t>
      </w:r>
      <w:r w:rsidR="00C55A80">
        <w:t xml:space="preserve">To inform prescribers and pharmacists that Hadlima is only approved for rheumatoid arthritis and is only available as a </w:t>
      </w:r>
      <w:r w:rsidR="00397016">
        <w:t>40 mg</w:t>
      </w:r>
      <w:r w:rsidR="00C55A80">
        <w:t xml:space="preserve"> strength, the Applicant included the following statement under Section ‘D</w:t>
      </w:r>
      <w:r>
        <w:t>osage</w:t>
      </w:r>
      <w:r w:rsidR="00C55A80">
        <w:t xml:space="preserve"> </w:t>
      </w:r>
      <w:r>
        <w:t>and</w:t>
      </w:r>
      <w:r w:rsidR="00C55A80">
        <w:t xml:space="preserve"> A</w:t>
      </w:r>
      <w:r>
        <w:t>dministration</w:t>
      </w:r>
      <w:r w:rsidR="00C55A80">
        <w:t xml:space="preserve">’ of the </w:t>
      </w:r>
      <w:r>
        <w:t>PI</w:t>
      </w:r>
      <w:r w:rsidR="00C55A80">
        <w:t>:</w:t>
      </w:r>
    </w:p>
    <w:p w14:paraId="516C6C44" w14:textId="77777777" w:rsidR="00C55A80" w:rsidRDefault="00C55A80" w:rsidP="00C55A80">
      <w:pPr>
        <w:pStyle w:val="ListBullet"/>
      </w:pPr>
      <w:r>
        <w:t>Hadlima is indicated for treatment of rheumatoid arthritis in adults only.</w:t>
      </w:r>
    </w:p>
    <w:p w14:paraId="4782409F" w14:textId="77777777" w:rsidR="00C55A80" w:rsidRDefault="00C55A80" w:rsidP="00C55A80">
      <w:pPr>
        <w:pStyle w:val="ListBullet"/>
      </w:pPr>
      <w:r>
        <w:t xml:space="preserve">Hadlima is only available as </w:t>
      </w:r>
      <w:r w:rsidR="00397016">
        <w:t>40 mg</w:t>
      </w:r>
      <w:r>
        <w:t xml:space="preserve"> pre-filled syringe and </w:t>
      </w:r>
      <w:r w:rsidR="00397016">
        <w:t>40 mg</w:t>
      </w:r>
      <w:r w:rsidR="003F5F5C">
        <w:t xml:space="preserve"> </w:t>
      </w:r>
      <w:proofErr w:type="spellStart"/>
      <w:r>
        <w:t>PushTouch</w:t>
      </w:r>
      <w:proofErr w:type="spellEnd"/>
      <w:r>
        <w:t xml:space="preserve"> auto-</w:t>
      </w:r>
      <w:r w:rsidR="003F5F5C">
        <w:t>injector.</w:t>
      </w:r>
    </w:p>
    <w:p w14:paraId="6AF5FE62" w14:textId="77777777" w:rsidR="00C55A80" w:rsidRDefault="00C55A80" w:rsidP="00C55A80">
      <w:r>
        <w:t>In addition, the following statement has also been included in each Section ‘</w:t>
      </w:r>
      <w:r w:rsidR="003F5F5C">
        <w:t xml:space="preserve">immunogenicity’, ‘precautions’, and ‘adverse effects’ </w:t>
      </w:r>
      <w:r>
        <w:t xml:space="preserve">of the PI in accordance with the </w:t>
      </w:r>
      <w:r w:rsidR="003F5F5C">
        <w:t>TGA</w:t>
      </w:r>
      <w:r>
        <w:t>’s request:</w:t>
      </w:r>
    </w:p>
    <w:p w14:paraId="7A2CE1A5" w14:textId="77777777" w:rsidR="00C55A80" w:rsidRDefault="00C55A80" w:rsidP="00C55A80">
      <w:pPr>
        <w:ind w:left="720"/>
      </w:pPr>
      <w:r>
        <w:t xml:space="preserve">Hadlima is indicated for treatment of rheumatoid arthritis in adults only. Available safety information for adalimumab treatment in Juvenile Idiopathic Arthritis (Polyarticular Juvenile Idiopathic Arthritis, </w:t>
      </w:r>
      <w:proofErr w:type="spellStart"/>
      <w:r>
        <w:t>Enthesitis</w:t>
      </w:r>
      <w:proofErr w:type="spellEnd"/>
      <w:r>
        <w:t>-Related Arthritis), Psoriatic Arthritis, Ankylosing Spondylitis, Crohn’s Disease in Adults and Children, Ulcerative colitis, Psoriasis in Adults and Children, Hidradenitis Suppurativa in Adults and Adolescents, and Uveitis is also summarised in this section.</w:t>
      </w:r>
    </w:p>
    <w:p w14:paraId="26D97473" w14:textId="73E53DFD" w:rsidR="008E7846" w:rsidRDefault="008E7846" w:rsidP="008E7846">
      <w:pPr>
        <w:pStyle w:val="Heading4"/>
      </w:pPr>
      <w:r>
        <w:lastRenderedPageBreak/>
        <w:t xml:space="preserve">Advisory </w:t>
      </w:r>
      <w:r w:rsidR="00894280">
        <w:t>c</w:t>
      </w:r>
      <w:r>
        <w:t xml:space="preserve">ommittee </w:t>
      </w:r>
      <w:r w:rsidR="00894280">
        <w:t>c</w:t>
      </w:r>
      <w:r>
        <w:t>onsiderations</w:t>
      </w:r>
      <w:r w:rsidR="00456765">
        <w:rPr>
          <w:rStyle w:val="FootnoteReference"/>
        </w:rPr>
        <w:footnoteReference w:id="23"/>
      </w:r>
    </w:p>
    <w:p w14:paraId="7F551CD7" w14:textId="6E91CE5A" w:rsidR="00C55A80" w:rsidRPr="003F5F5C" w:rsidRDefault="00456765" w:rsidP="003F5F5C">
      <w:pPr>
        <w:rPr>
          <w:bCs/>
        </w:rPr>
      </w:pPr>
      <w:r w:rsidRPr="00456765">
        <w:rPr>
          <w:bCs/>
        </w:rPr>
        <w:t xml:space="preserve">The Advisory Committee on Medicines (ACM), having considered the evaluations and the </w:t>
      </w:r>
      <w:r w:rsidR="00397016">
        <w:rPr>
          <w:bCs/>
        </w:rPr>
        <w:t>Delegate</w:t>
      </w:r>
      <w:r w:rsidRPr="00456765">
        <w:rPr>
          <w:bCs/>
        </w:rPr>
        <w:t>’s overview, as well as the sponsor’s response to these documents, advised the following:</w:t>
      </w:r>
    </w:p>
    <w:p w14:paraId="7F4065BA" w14:textId="77777777" w:rsidR="00C55A80" w:rsidRPr="00C55A80" w:rsidRDefault="00C55A80" w:rsidP="003F5F5C">
      <w:r w:rsidRPr="00C55A80">
        <w:t xml:space="preserve">The ACM taking into account the submitted evidence of efficacy, safety and quality, agreed with the </w:t>
      </w:r>
      <w:r w:rsidR="00397016">
        <w:t>Delegate</w:t>
      </w:r>
      <w:r w:rsidRPr="00C55A80">
        <w:t xml:space="preserve"> and considered </w:t>
      </w:r>
      <w:r w:rsidR="00683EFD">
        <w:t>Hadlima</w:t>
      </w:r>
      <w:r w:rsidRPr="00C55A80">
        <w:t xml:space="preserve"> solution for injection in pre-filled syringe and solut</w:t>
      </w:r>
      <w:r w:rsidR="003F5F5C">
        <w:t xml:space="preserve">ion for injection in </w:t>
      </w:r>
      <w:proofErr w:type="spellStart"/>
      <w:r w:rsidR="003F5F5C">
        <w:t>PushTouch</w:t>
      </w:r>
      <w:proofErr w:type="spellEnd"/>
      <w:r w:rsidR="003F5F5C">
        <w:t xml:space="preserve"> </w:t>
      </w:r>
      <w:r w:rsidRPr="00C55A80">
        <w:t xml:space="preserve">auto-injector containing </w:t>
      </w:r>
      <w:r w:rsidR="00397016">
        <w:t>40 mg</w:t>
      </w:r>
      <w:r w:rsidRPr="00C55A80">
        <w:t xml:space="preserve"> of adalimumab to have an overall positive benefit-r</w:t>
      </w:r>
      <w:r w:rsidR="003F5F5C">
        <w:t>isk profile for the indication:</w:t>
      </w:r>
    </w:p>
    <w:p w14:paraId="648B9A10" w14:textId="48FC2C2E" w:rsidR="00C55A80" w:rsidRPr="003F5F5C" w:rsidRDefault="00894280" w:rsidP="003F5F5C">
      <w:pPr>
        <w:ind w:left="720"/>
        <w:rPr>
          <w:i/>
        </w:rPr>
      </w:pPr>
      <w:r>
        <w:rPr>
          <w:i/>
        </w:rPr>
        <w:t>Rheumatoid Arthritis</w:t>
      </w:r>
    </w:p>
    <w:p w14:paraId="5AA23DA4" w14:textId="77777777" w:rsidR="00EB0AAA" w:rsidRPr="003F5F5C" w:rsidRDefault="00C55A80" w:rsidP="003F5F5C">
      <w:pPr>
        <w:ind w:left="720"/>
        <w:rPr>
          <w:i/>
        </w:rPr>
      </w:pPr>
      <w:r w:rsidRPr="003F5F5C">
        <w:rPr>
          <w:i/>
        </w:rPr>
        <w:t>Hadlima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r w:rsidR="00EB0AAA" w:rsidRPr="003F5F5C">
        <w:rPr>
          <w:i/>
        </w:rPr>
        <w:t>.</w:t>
      </w:r>
    </w:p>
    <w:p w14:paraId="1D2390A6" w14:textId="77777777" w:rsidR="006E62E7" w:rsidRPr="003F5F5C" w:rsidRDefault="00C55A80" w:rsidP="003F5F5C">
      <w:pPr>
        <w:ind w:left="720"/>
        <w:rPr>
          <w:i/>
        </w:rPr>
      </w:pPr>
      <w:r w:rsidRPr="003F5F5C">
        <w:rPr>
          <w:i/>
        </w:rPr>
        <w:t>Hadlima can be used alone or in combination with methotrexate</w:t>
      </w:r>
    </w:p>
    <w:p w14:paraId="7871027F" w14:textId="77777777" w:rsidR="006E62E7" w:rsidRPr="006E62E7" w:rsidRDefault="006E62E7" w:rsidP="006E62E7">
      <w:r w:rsidRPr="006E62E7">
        <w:t>In making this recommendation</w:t>
      </w:r>
      <w:r w:rsidR="003F5F5C">
        <w:t xml:space="preserve"> the ACM:</w:t>
      </w:r>
    </w:p>
    <w:p w14:paraId="2279CC4E" w14:textId="77777777" w:rsidR="00EB0AAA" w:rsidRDefault="006E62E7" w:rsidP="006E62E7">
      <w:pPr>
        <w:pStyle w:val="ListBullet"/>
      </w:pPr>
      <w:proofErr w:type="gramStart"/>
      <w:r w:rsidRPr="006E62E7">
        <w:t>noted</w:t>
      </w:r>
      <w:proofErr w:type="gramEnd"/>
      <w:r w:rsidRPr="006E62E7">
        <w:t xml:space="preserve"> the sponsor has only applied for the rheumatoid arthritis indication and not the other indications approved for Humira</w:t>
      </w:r>
      <w:r w:rsidR="00EB0AAA">
        <w:t>.</w:t>
      </w:r>
    </w:p>
    <w:p w14:paraId="359FA414" w14:textId="30F082E2" w:rsidR="006E62E7" w:rsidRPr="006E62E7" w:rsidRDefault="006E62E7" w:rsidP="00894280">
      <w:pPr>
        <w:pStyle w:val="Heading5"/>
        <w:rPr>
          <w:rFonts w:eastAsiaTheme="minorHAnsi"/>
        </w:rPr>
      </w:pPr>
      <w:r w:rsidRPr="006E62E7">
        <w:rPr>
          <w:rFonts w:eastAsiaTheme="minorHAnsi"/>
        </w:rPr>
        <w:t>Prop</w:t>
      </w:r>
      <w:r w:rsidR="00894280">
        <w:rPr>
          <w:rFonts w:eastAsiaTheme="minorHAnsi"/>
        </w:rPr>
        <w:t>osed conditions of registration</w:t>
      </w:r>
    </w:p>
    <w:p w14:paraId="486661A4" w14:textId="77777777" w:rsidR="00EB0AAA" w:rsidRDefault="006E62E7" w:rsidP="006E62E7">
      <w:r w:rsidRPr="006E62E7">
        <w:t xml:space="preserve">The ACM agreed with the </w:t>
      </w:r>
      <w:r w:rsidR="00397016">
        <w:t>Delegate</w:t>
      </w:r>
      <w:r w:rsidRPr="006E62E7">
        <w:t xml:space="preserve"> on the proposed conditions of registration</w:t>
      </w:r>
      <w:r w:rsidR="00EB0AAA">
        <w:t>.</w:t>
      </w:r>
    </w:p>
    <w:p w14:paraId="1ABCAA45" w14:textId="77777777" w:rsidR="006E62E7" w:rsidRPr="006E62E7" w:rsidRDefault="006E62E7" w:rsidP="00894280">
      <w:pPr>
        <w:pStyle w:val="Heading5"/>
        <w:rPr>
          <w:rFonts w:eastAsiaTheme="minorHAnsi"/>
        </w:rPr>
      </w:pPr>
      <w:r w:rsidRPr="006E62E7">
        <w:rPr>
          <w:rFonts w:eastAsiaTheme="minorHAnsi"/>
        </w:rPr>
        <w:t xml:space="preserve">Proposed </w:t>
      </w:r>
      <w:r w:rsidRPr="00894280">
        <w:rPr>
          <w:rFonts w:eastAsiaTheme="minorHAnsi"/>
        </w:rPr>
        <w:t>Product</w:t>
      </w:r>
      <w:r w:rsidRPr="006E62E7">
        <w:rPr>
          <w:rFonts w:eastAsiaTheme="minorHAnsi"/>
        </w:rPr>
        <w:t xml:space="preserve"> Information / Consumer Medici</w:t>
      </w:r>
      <w:r w:rsidR="003F5F5C">
        <w:rPr>
          <w:rFonts w:eastAsiaTheme="minorHAnsi"/>
        </w:rPr>
        <w:t>ne Information amendments</w:t>
      </w:r>
    </w:p>
    <w:p w14:paraId="52DCDCCD" w14:textId="77777777" w:rsidR="00EB0AAA" w:rsidRDefault="006E62E7" w:rsidP="006E62E7">
      <w:r w:rsidRPr="006E62E7">
        <w:t xml:space="preserve">The ACM agreed with the </w:t>
      </w:r>
      <w:r w:rsidR="00397016">
        <w:t>Delegate</w:t>
      </w:r>
      <w:r w:rsidRPr="006E62E7">
        <w:t xml:space="preserve"> to the proposed amendments to the Product Information (PI) and Consumer Medicine Information (CMI)</w:t>
      </w:r>
      <w:r w:rsidR="00EB0AAA">
        <w:t>.</w:t>
      </w:r>
    </w:p>
    <w:p w14:paraId="7E0F861A" w14:textId="639F6DAE" w:rsidR="006E62E7" w:rsidRPr="006E62E7" w:rsidRDefault="003F5F5C" w:rsidP="00894280">
      <w:pPr>
        <w:pStyle w:val="Heading5"/>
        <w:rPr>
          <w:rFonts w:eastAsiaTheme="minorHAnsi"/>
        </w:rPr>
      </w:pPr>
      <w:r>
        <w:rPr>
          <w:rFonts w:eastAsiaTheme="minorHAnsi"/>
        </w:rPr>
        <w:t xml:space="preserve">Specific </w:t>
      </w:r>
      <w:r w:rsidR="00894280" w:rsidRPr="00894280">
        <w:rPr>
          <w:rFonts w:eastAsiaTheme="minorHAnsi"/>
        </w:rPr>
        <w:t>a</w:t>
      </w:r>
      <w:r w:rsidRPr="00894280">
        <w:rPr>
          <w:rFonts w:eastAsiaTheme="minorHAnsi"/>
        </w:rPr>
        <w:t>dvice</w:t>
      </w:r>
    </w:p>
    <w:p w14:paraId="34988749" w14:textId="77777777" w:rsidR="006E62E7" w:rsidRPr="006E62E7" w:rsidRDefault="006E62E7" w:rsidP="006E62E7">
      <w:r w:rsidRPr="006E62E7">
        <w:t xml:space="preserve">The ACM advised the following in response to the </w:t>
      </w:r>
      <w:r w:rsidR="00397016">
        <w:t>Delegate</w:t>
      </w:r>
      <w:r w:rsidRPr="006E62E7">
        <w:t>’s specific questions on the submission:</w:t>
      </w:r>
    </w:p>
    <w:p w14:paraId="5A8ACE77" w14:textId="77777777" w:rsidR="006E62E7" w:rsidRPr="006E62E7" w:rsidRDefault="006E62E7" w:rsidP="00062787">
      <w:pPr>
        <w:pStyle w:val="Numberbullet0"/>
        <w:numPr>
          <w:ilvl w:val="0"/>
          <w:numId w:val="12"/>
        </w:numPr>
        <w:rPr>
          <w:b/>
          <w:i/>
        </w:rPr>
      </w:pPr>
      <w:r w:rsidRPr="006E62E7">
        <w:rPr>
          <w:b/>
          <w:i/>
        </w:rPr>
        <w:t xml:space="preserve">What are ACMs views on the similarity of efficacy between Hadlima and Humira to support the rheumatoid arthritis indication </w:t>
      </w:r>
      <w:r w:rsidR="003F5F5C">
        <w:rPr>
          <w:b/>
          <w:i/>
        </w:rPr>
        <w:t>for this biosimilar adalimumab?</w:t>
      </w:r>
    </w:p>
    <w:p w14:paraId="1A1F87FF" w14:textId="77777777" w:rsidR="006E62E7" w:rsidRPr="006E62E7" w:rsidRDefault="006E62E7" w:rsidP="006E62E7">
      <w:r w:rsidRPr="006E62E7">
        <w:rPr>
          <w:rFonts w:eastAsiaTheme="minorHAnsi" w:cs="Cambria"/>
          <w:color w:val="000000"/>
        </w:rPr>
        <w:t>The ACM agreed that there are no significant differences in clinical efficacy between Hadlima and Humira.</w:t>
      </w:r>
    </w:p>
    <w:p w14:paraId="46B0F02B" w14:textId="77777777" w:rsidR="006E62E7" w:rsidRPr="006E62E7" w:rsidRDefault="006E62E7" w:rsidP="006E62E7">
      <w:pPr>
        <w:pStyle w:val="Numberbullet0"/>
        <w:rPr>
          <w:b/>
          <w:i/>
        </w:rPr>
      </w:pPr>
      <w:r w:rsidRPr="006E62E7">
        <w:rPr>
          <w:b/>
          <w:i/>
        </w:rPr>
        <w:t xml:space="preserve">What are ACMs views on the comparability of the safety </w:t>
      </w:r>
      <w:r w:rsidR="003F5F5C">
        <w:rPr>
          <w:b/>
          <w:i/>
        </w:rPr>
        <w:t>profiles of Hadlima and Humira?</w:t>
      </w:r>
    </w:p>
    <w:p w14:paraId="0CFA73BF" w14:textId="6AA63FF0" w:rsidR="00EB0AAA" w:rsidRDefault="006E62E7" w:rsidP="003F5F5C">
      <w:r w:rsidRPr="006E62E7">
        <w:t>The ACM was of the view that the safety profiles of Hadlima and Humira were comparable. The safety profiles for the Hadlima and Humira reported during the pivotal study (</w:t>
      </w:r>
      <w:r w:rsidR="00EC177F">
        <w:t>Study </w:t>
      </w:r>
      <w:r w:rsidRPr="006E62E7">
        <w:t>SB5</w:t>
      </w:r>
      <w:r w:rsidR="00EC177F">
        <w:noBreakHyphen/>
      </w:r>
      <w:r w:rsidRPr="006E62E7">
        <w:t>G31-RA) were very similar</w:t>
      </w:r>
      <w:r w:rsidR="00EB0AAA">
        <w:t>.</w:t>
      </w:r>
    </w:p>
    <w:p w14:paraId="7F371CDB" w14:textId="77777777" w:rsidR="006E62E7" w:rsidRPr="006E62E7" w:rsidRDefault="006E62E7" w:rsidP="00D36CEF">
      <w:pPr>
        <w:pStyle w:val="Numberbullet0"/>
        <w:keepNext/>
        <w:rPr>
          <w:b/>
          <w:i/>
        </w:rPr>
      </w:pPr>
      <w:r w:rsidRPr="006E62E7">
        <w:rPr>
          <w:b/>
          <w:i/>
        </w:rPr>
        <w:lastRenderedPageBreak/>
        <w:t>What are ACMs views on the differences noted in ACR response rates in ADA positive patients o</w:t>
      </w:r>
      <w:r w:rsidR="003F5F5C">
        <w:rPr>
          <w:b/>
          <w:i/>
        </w:rPr>
        <w:t>n Hadlima compared with Humira?</w:t>
      </w:r>
    </w:p>
    <w:p w14:paraId="005AFFCA" w14:textId="77777777" w:rsidR="00EB0AAA" w:rsidRDefault="006E62E7" w:rsidP="003F5F5C">
      <w:r w:rsidRPr="006E62E7">
        <w:t xml:space="preserve">The ACM noted the substantial difference in the ACR response rates in the ADA positive patients on Hadlima when compared with Humira in the ACR20 group. The difference was smaller in the ACR 50 group and there was no difference in the ACR 70 group. Approximately one-third of patients developed ADA at </w:t>
      </w:r>
      <w:r w:rsidR="000B7CBE">
        <w:t>Week</w:t>
      </w:r>
      <w:r w:rsidRPr="006E62E7">
        <w:t xml:space="preserve"> 24 in both treatment arms. The PI should adequately cover this issue</w:t>
      </w:r>
      <w:r w:rsidR="00EB0AAA">
        <w:t>.</w:t>
      </w:r>
    </w:p>
    <w:p w14:paraId="3E13902C" w14:textId="77777777" w:rsidR="006E62E7" w:rsidRPr="006E62E7" w:rsidRDefault="006E62E7" w:rsidP="006E62E7">
      <w:pPr>
        <w:pStyle w:val="Numberbullet0"/>
        <w:rPr>
          <w:b/>
          <w:i/>
        </w:rPr>
      </w:pPr>
      <w:r w:rsidRPr="006E62E7">
        <w:rPr>
          <w:b/>
          <w:i/>
        </w:rPr>
        <w:t xml:space="preserve">What are ACMs views on the presentation of the product information, given the sponsor is only requesting the rheumatoid arthritis indication, especially in relation to exclusion of safety information related to the other indications, </w:t>
      </w:r>
      <w:r w:rsidR="00393DE6">
        <w:rPr>
          <w:b/>
          <w:i/>
        </w:rPr>
        <w:t>for example</w:t>
      </w:r>
      <w:r w:rsidRPr="006E62E7">
        <w:rPr>
          <w:b/>
          <w:i/>
        </w:rPr>
        <w:t xml:space="preserve"> immunogenicity, p</w:t>
      </w:r>
      <w:r w:rsidR="003F5F5C">
        <w:rPr>
          <w:b/>
          <w:i/>
        </w:rPr>
        <w:t>recautions and adverse effects?</w:t>
      </w:r>
    </w:p>
    <w:p w14:paraId="0F8EACC6" w14:textId="77777777" w:rsidR="006E62E7" w:rsidRPr="006E62E7" w:rsidRDefault="006E62E7" w:rsidP="006E62E7">
      <w:r w:rsidRPr="006E62E7">
        <w:t>The ACM recommends the inclusion of all safety data, including safety data relating to the other indications not applied for by the sponsor, to be included in the PI.</w:t>
      </w:r>
    </w:p>
    <w:p w14:paraId="6F86E00C" w14:textId="77777777" w:rsidR="006E62E7" w:rsidRPr="006E62E7" w:rsidRDefault="006E62E7" w:rsidP="006E62E7">
      <w:pPr>
        <w:pStyle w:val="Numberbullet0"/>
        <w:rPr>
          <w:b/>
          <w:i/>
        </w:rPr>
      </w:pPr>
      <w:r w:rsidRPr="006E62E7">
        <w:rPr>
          <w:b/>
          <w:i/>
        </w:rPr>
        <w:t xml:space="preserve">What are ACMs views on the clinical significance of the differences noted in the </w:t>
      </w:r>
      <w:r w:rsidR="003F5F5C">
        <w:rPr>
          <w:b/>
          <w:i/>
        </w:rPr>
        <w:t xml:space="preserve">quality module </w:t>
      </w:r>
      <w:r w:rsidRPr="006E62E7">
        <w:rPr>
          <w:b/>
          <w:i/>
        </w:rPr>
        <w:t xml:space="preserve">comparability analyses? </w:t>
      </w:r>
    </w:p>
    <w:p w14:paraId="244E2E70" w14:textId="77777777" w:rsidR="00EB0AAA" w:rsidRDefault="006E62E7" w:rsidP="006E62E7">
      <w:pPr>
        <w:autoSpaceDE w:val="0"/>
        <w:autoSpaceDN w:val="0"/>
        <w:adjustRightInd w:val="0"/>
        <w:spacing w:before="0" w:after="0" w:line="240" w:lineRule="auto"/>
        <w:rPr>
          <w:rFonts w:eastAsiaTheme="minorHAnsi" w:cs="Cambria"/>
          <w:color w:val="000000"/>
        </w:rPr>
      </w:pPr>
      <w:r w:rsidRPr="006E62E7">
        <w:rPr>
          <w:rFonts w:eastAsiaTheme="minorHAnsi" w:cs="Cambria"/>
          <w:color w:val="000000"/>
        </w:rPr>
        <w:t xml:space="preserve">The ACM considered the differences raised by the </w:t>
      </w:r>
      <w:r w:rsidR="003F5F5C">
        <w:rPr>
          <w:rFonts w:eastAsiaTheme="minorHAnsi" w:cs="Cambria"/>
          <w:color w:val="000000"/>
        </w:rPr>
        <w:t>quality module</w:t>
      </w:r>
      <w:r w:rsidRPr="006E62E7">
        <w:rPr>
          <w:rFonts w:eastAsiaTheme="minorHAnsi" w:cs="Cambria"/>
          <w:color w:val="000000"/>
        </w:rPr>
        <w:t xml:space="preserve"> comparability analyses and was of the view that they are acceptable</w:t>
      </w:r>
      <w:r w:rsidR="00EB0AAA">
        <w:rPr>
          <w:rFonts w:eastAsiaTheme="minorHAnsi" w:cs="Cambria"/>
          <w:color w:val="000000"/>
        </w:rPr>
        <w:t>.</w:t>
      </w:r>
    </w:p>
    <w:p w14:paraId="66583EC0" w14:textId="77777777" w:rsidR="00C55A80" w:rsidRPr="00C55A80" w:rsidRDefault="006E62E7" w:rsidP="00894280">
      <w:r w:rsidRPr="006E62E7">
        <w:t>The ACM advised that implementation by the sponsor of the recommendations outlined above to the satisfaction of the TGA, in addition to the evidence of efficacy and safety provided would support the safe and effective use of these products</w:t>
      </w:r>
    </w:p>
    <w:p w14:paraId="626C3133" w14:textId="77777777" w:rsidR="008E7846" w:rsidRPr="002E238E" w:rsidRDefault="008E7846" w:rsidP="00894280">
      <w:pPr>
        <w:pStyle w:val="Heading3"/>
      </w:pPr>
      <w:bookmarkStart w:id="246" w:name="_Toc247691532"/>
      <w:bookmarkStart w:id="247" w:name="_Toc314842516"/>
      <w:bookmarkStart w:id="248" w:name="_Toc8816509"/>
      <w:bookmarkEnd w:id="127"/>
      <w:bookmarkEnd w:id="244"/>
      <w:bookmarkEnd w:id="245"/>
      <w:r w:rsidRPr="00894280">
        <w:t>Outcome</w:t>
      </w:r>
      <w:bookmarkEnd w:id="246"/>
      <w:bookmarkEnd w:id="247"/>
      <w:bookmarkEnd w:id="248"/>
    </w:p>
    <w:p w14:paraId="6BA86F7B" w14:textId="77777777" w:rsidR="00D23139" w:rsidRPr="00D23139" w:rsidRDefault="00D23139" w:rsidP="00D23139">
      <w:bookmarkStart w:id="249" w:name="_Toc247691533"/>
      <w:bookmarkStart w:id="250" w:name="_Toc314842517"/>
      <w:r w:rsidRPr="00D23139">
        <w:t xml:space="preserve">Based on a review of quality, safety and efficacy, TGA approved the registration of </w:t>
      </w:r>
      <w:r w:rsidR="00316E5D">
        <w:t xml:space="preserve">Hadlima adalimumab 40 mg solution for injection in syringe or auto-injector </w:t>
      </w:r>
      <w:r w:rsidRPr="00D23139">
        <w:t>indicated for:</w:t>
      </w:r>
    </w:p>
    <w:p w14:paraId="37C9A87C" w14:textId="77777777" w:rsidR="00316E5D" w:rsidRPr="00533141" w:rsidRDefault="00316E5D" w:rsidP="003F5F5C">
      <w:pPr>
        <w:ind w:left="720"/>
        <w:rPr>
          <w:i/>
        </w:rPr>
      </w:pPr>
      <w:r w:rsidRPr="00533141">
        <w:rPr>
          <w:i/>
        </w:rPr>
        <w:t>Rheumatoid Arthritis</w:t>
      </w:r>
    </w:p>
    <w:p w14:paraId="4E517EFA" w14:textId="77777777" w:rsidR="00316E5D" w:rsidRPr="00533141" w:rsidRDefault="00316E5D" w:rsidP="003F5F5C">
      <w:pPr>
        <w:ind w:left="720"/>
        <w:rPr>
          <w:i/>
        </w:rPr>
      </w:pPr>
      <w:r w:rsidRPr="00533141">
        <w:rPr>
          <w:i/>
        </w:rPr>
        <w:t>Hadlima is indicated for reducing signs and symptoms, as well as inhibiting the progression of structural damage in adult patients wi</w:t>
      </w:r>
      <w:r>
        <w:rPr>
          <w:i/>
        </w:rPr>
        <w:t>th moderate to seve</w:t>
      </w:r>
      <w:r w:rsidRPr="00533141">
        <w:rPr>
          <w:i/>
        </w:rPr>
        <w:t>rely active rheumatoid arthritis. This includes the treatment of p</w:t>
      </w:r>
      <w:r>
        <w:rPr>
          <w:i/>
        </w:rPr>
        <w:t xml:space="preserve">atients with recently diagnosed </w:t>
      </w:r>
      <w:r w:rsidRPr="00533141">
        <w:rPr>
          <w:i/>
        </w:rPr>
        <w:t>moderate to severely active disease who have not received methotrexate.</w:t>
      </w:r>
    </w:p>
    <w:p w14:paraId="2781262C" w14:textId="77777777" w:rsidR="00D23139" w:rsidRPr="00D23139" w:rsidRDefault="00316E5D" w:rsidP="003F5F5C">
      <w:pPr>
        <w:ind w:left="720"/>
      </w:pPr>
      <w:r w:rsidRPr="00533141">
        <w:rPr>
          <w:i/>
        </w:rPr>
        <w:t>Hadlima can be used alone or in combination with methotrexate.</w:t>
      </w:r>
    </w:p>
    <w:p w14:paraId="20A2284C" w14:textId="77777777" w:rsidR="00D23139" w:rsidRPr="00D23139" w:rsidRDefault="00D23139" w:rsidP="00D23139">
      <w:pPr>
        <w:pStyle w:val="Heading4"/>
      </w:pPr>
      <w:r w:rsidRPr="00D23139">
        <w:t>Specific conditions of registration applying to these goods</w:t>
      </w:r>
    </w:p>
    <w:p w14:paraId="07F0BBF0" w14:textId="77777777" w:rsidR="00DD1209" w:rsidRDefault="00DD1209" w:rsidP="00894280">
      <w:pPr>
        <w:pStyle w:val="ListBullet"/>
      </w:pPr>
      <w:r w:rsidRPr="00DD1209">
        <w:t xml:space="preserve">The </w:t>
      </w:r>
      <w:proofErr w:type="spellStart"/>
      <w:r w:rsidR="00683EFD" w:rsidRPr="00894280">
        <w:t>Hadlima</w:t>
      </w:r>
      <w:proofErr w:type="spellEnd"/>
      <w:r w:rsidRPr="00DD1209">
        <w:t xml:space="preserve"> EU-Risk Management Plan (EU-RMP), version 1.2, dated 11 May 2017</w:t>
      </w:r>
      <w:r>
        <w:t xml:space="preserve"> </w:t>
      </w:r>
      <w:r w:rsidRPr="00DD1209">
        <w:t>(data lock point 1 December 2015), with Australian Spe</w:t>
      </w:r>
      <w:r>
        <w:t xml:space="preserve">cific Annex (version 3.0, dated </w:t>
      </w:r>
      <w:r w:rsidRPr="00DD1209">
        <w:t>17 October 2017) , which must be updated with revised p</w:t>
      </w:r>
      <w:r>
        <w:t xml:space="preserve">atient-directed additional risk </w:t>
      </w:r>
      <w:r w:rsidRPr="00DD1209">
        <w:t>minimisation tools (see below) included with submis</w:t>
      </w:r>
      <w:r>
        <w:t xml:space="preserve">sion PM-2016-03457-1-3, and any </w:t>
      </w:r>
      <w:r w:rsidRPr="00DD1209">
        <w:t>subsequent revisions, as agreed with the TGA will be implemented in Australia.</w:t>
      </w:r>
    </w:p>
    <w:p w14:paraId="39668EE0" w14:textId="77777777" w:rsidR="00DD1209" w:rsidRPr="00DD1209" w:rsidRDefault="00DD1209" w:rsidP="00DD1209">
      <w:pPr>
        <w:pStyle w:val="ListBullet"/>
      </w:pPr>
      <w:r w:rsidRPr="00DD1209">
        <w:t>The Patient Alert Card must be implemented to the satisfaction of the TGA. Draft</w:t>
      </w:r>
      <w:r>
        <w:t xml:space="preserve"> </w:t>
      </w:r>
      <w:r w:rsidRPr="00DD1209">
        <w:t>materials must be provided to the TGA for review prior to supply.</w:t>
      </w:r>
    </w:p>
    <w:p w14:paraId="2E83F30E" w14:textId="77777777" w:rsidR="00DD1209" w:rsidRPr="00DD1209" w:rsidRDefault="00DD1209" w:rsidP="00DD1209">
      <w:pPr>
        <w:pStyle w:val="ListBullet"/>
      </w:pPr>
      <w:r w:rsidRPr="00DD1209">
        <w:t>Batch Release Testing</w:t>
      </w:r>
    </w:p>
    <w:p w14:paraId="17102519" w14:textId="77777777" w:rsidR="00DD1209" w:rsidRPr="00DD1209" w:rsidRDefault="00DD1209" w:rsidP="00DD1209">
      <w:pPr>
        <w:pStyle w:val="ListBullet2"/>
      </w:pPr>
      <w:r w:rsidRPr="00DD1209">
        <w:t xml:space="preserve">It is a condition of registration that all batches of </w:t>
      </w:r>
      <w:r w:rsidR="00683EFD">
        <w:t>Hadlima</w:t>
      </w:r>
      <w:r w:rsidRPr="00DD1209">
        <w:t xml:space="preserve"> adalimumab (rch)</w:t>
      </w:r>
      <w:r>
        <w:t xml:space="preserve"> </w:t>
      </w:r>
      <w:r w:rsidRPr="00DD1209">
        <w:t>imported into Australia must comply with the product details and</w:t>
      </w:r>
      <w:r>
        <w:t xml:space="preserve"> </w:t>
      </w:r>
      <w:r w:rsidRPr="00DD1209">
        <w:t>specifications approved during evaluation and</w:t>
      </w:r>
      <w:r>
        <w:t xml:space="preserve"> detailed in the Certified </w:t>
      </w:r>
      <w:r w:rsidRPr="00DD1209">
        <w:t>Product Details (CPD).</w:t>
      </w:r>
    </w:p>
    <w:p w14:paraId="616BEEB8" w14:textId="77777777" w:rsidR="00DD1209" w:rsidRPr="00DD1209" w:rsidRDefault="00DD1209" w:rsidP="00DD1209">
      <w:pPr>
        <w:pStyle w:val="ListBullet2"/>
      </w:pPr>
      <w:r w:rsidRPr="00DD1209">
        <w:t>It is a condition of registration that each ba</w:t>
      </w:r>
      <w:r>
        <w:t xml:space="preserve">tch of </w:t>
      </w:r>
      <w:r w:rsidR="00683EFD">
        <w:t>Hadlima</w:t>
      </w:r>
      <w:r>
        <w:t xml:space="preserve"> adalimumab (rch) </w:t>
      </w:r>
      <w:r w:rsidRPr="00DD1209">
        <w:t>imported into Australia is not released fo</w:t>
      </w:r>
      <w:r>
        <w:t xml:space="preserve">r sale until samples and/or the </w:t>
      </w:r>
      <w:r w:rsidRPr="00DD1209">
        <w:lastRenderedPageBreak/>
        <w:t xml:space="preserve">manufacturer’s release data have been assessed and </w:t>
      </w:r>
      <w:r>
        <w:t xml:space="preserve">endorsed for release by </w:t>
      </w:r>
      <w:r w:rsidRPr="00DD1209">
        <w:t>the TGA Laboratories Branch.</w:t>
      </w:r>
    </w:p>
    <w:p w14:paraId="04B2035B" w14:textId="141D389D" w:rsidR="00DD1209" w:rsidRPr="00DD1209" w:rsidRDefault="00DD1209" w:rsidP="00894280">
      <w:pPr>
        <w:pStyle w:val="ListBullet"/>
      </w:pPr>
      <w:r w:rsidRPr="00DD1209">
        <w:t>Compliance with Certified Product Details (CPD): The Certified Product Details (CPD),</w:t>
      </w:r>
      <w:r>
        <w:t xml:space="preserve"> </w:t>
      </w:r>
      <w:r w:rsidRPr="00DD1209">
        <w:t>as described in Guidance 7: Certified Product Detai</w:t>
      </w:r>
      <w:r>
        <w:t xml:space="preserve">ls of the Australian Regulatory </w:t>
      </w:r>
      <w:r w:rsidRPr="00DD1209">
        <w:t xml:space="preserve">Guidelines for Prescription Medicines (ARGPM) </w:t>
      </w:r>
      <w:r w:rsidR="00894280">
        <w:t>&lt;</w:t>
      </w:r>
      <w:hyperlink r:id="rId19" w:history="1">
        <w:r w:rsidR="00894280" w:rsidRPr="00894280">
          <w:rPr>
            <w:rStyle w:val="Hyperlink"/>
          </w:rPr>
          <w:t>https://www.tga.gov.au/guidance-7-certified-product-details</w:t>
        </w:r>
      </w:hyperlink>
      <w:r w:rsidR="00894280">
        <w:t>&gt;</w:t>
      </w:r>
      <w:r w:rsidRPr="00DD1209">
        <w:t>, in PDF format, for the ab</w:t>
      </w:r>
      <w:r>
        <w:t xml:space="preserve">ove products should be provided </w:t>
      </w:r>
      <w:r w:rsidRPr="00DD1209">
        <w:t>upon registration of these therapeutic goods. In add</w:t>
      </w:r>
      <w:r>
        <w:t xml:space="preserve">ition, an updated CPD should be </w:t>
      </w:r>
      <w:r w:rsidRPr="00DD1209">
        <w:t>provided when changes to finished product spec</w:t>
      </w:r>
      <w:r>
        <w:t xml:space="preserve">ifications and test methods are </w:t>
      </w:r>
      <w:r w:rsidRPr="00DD1209">
        <w:t>approved in a Category 3 application or notified through a self-assessable change</w:t>
      </w:r>
      <w:r w:rsidR="003F5F5C">
        <w:t>.</w:t>
      </w:r>
    </w:p>
    <w:p w14:paraId="3C376CDC" w14:textId="77777777" w:rsidR="008E7846" w:rsidRDefault="00A80B5B" w:rsidP="00894280">
      <w:pPr>
        <w:pStyle w:val="Heading2"/>
      </w:pPr>
      <w:bookmarkStart w:id="251" w:name="_Toc8816510"/>
      <w:proofErr w:type="gramStart"/>
      <w:r>
        <w:t>Attachment 1.</w:t>
      </w:r>
      <w:proofErr w:type="gramEnd"/>
      <w:r>
        <w:t xml:space="preserve"> </w:t>
      </w:r>
      <w:r w:rsidR="008E7846">
        <w:t xml:space="preserve">Product </w:t>
      </w:r>
      <w:r w:rsidR="00AA0ED0" w:rsidRPr="00894280">
        <w:t>I</w:t>
      </w:r>
      <w:r w:rsidR="008E7846" w:rsidRPr="00894280">
        <w:t>nformation</w:t>
      </w:r>
      <w:bookmarkEnd w:id="249"/>
      <w:bookmarkEnd w:id="250"/>
      <w:bookmarkEnd w:id="251"/>
    </w:p>
    <w:p w14:paraId="3558139B" w14:textId="77777777" w:rsidR="00C80137" w:rsidRDefault="006136D7" w:rsidP="00894280">
      <w:pPr>
        <w:rPr>
          <w:color w:val="000000"/>
          <w:lang w:eastAsia="en-AU"/>
        </w:rPr>
      </w:pPr>
      <w:r w:rsidRPr="002B3624">
        <w:t xml:space="preserve">The </w:t>
      </w:r>
      <w:r>
        <w:t>PI</w:t>
      </w:r>
      <w:r w:rsidRPr="002B3624">
        <w:t xml:space="preserve"> for </w:t>
      </w:r>
      <w:r w:rsidR="006E62E7">
        <w:t>Hadlima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r w:rsidR="006E62E7">
        <w:t>&gt;.</w:t>
      </w:r>
    </w:p>
    <w:p w14:paraId="67119573" w14:textId="77777777" w:rsidR="00291957" w:rsidRDefault="008E7846" w:rsidP="006E62E7">
      <w:pPr>
        <w:autoSpaceDE w:val="0"/>
        <w:autoSpaceDN w:val="0"/>
        <w:adjustRightInd w:val="0"/>
        <w:spacing w:after="0"/>
        <w:rPr>
          <w:lang w:eastAsia="ja-JP"/>
        </w:rPr>
      </w:pPr>
      <w:r w:rsidRPr="00C80137">
        <w:rPr>
          <w:b/>
        </w:rPr>
        <w:br w:type="page"/>
      </w:r>
    </w:p>
    <w:p w14:paraId="289F483A" w14:textId="77777777" w:rsidR="00C80137" w:rsidRPr="001D043B" w:rsidRDefault="00C80137" w:rsidP="00A20571">
      <w:pPr>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6AE493C" w14:textId="77777777" w:rsidTr="00A05FA4">
        <w:trPr>
          <w:trHeight w:hRule="exact" w:val="704"/>
        </w:trPr>
        <w:tc>
          <w:tcPr>
            <w:tcW w:w="9175" w:type="dxa"/>
          </w:tcPr>
          <w:p w14:paraId="01A29EAF" w14:textId="77777777" w:rsidR="001C32CD" w:rsidRPr="00487162" w:rsidRDefault="001C32CD" w:rsidP="00A05FA4">
            <w:pPr>
              <w:pStyle w:val="TGASignoff"/>
            </w:pPr>
            <w:r w:rsidRPr="00487162">
              <w:lastRenderedPageBreak/>
              <w:t>Therapeutic Goods Administration</w:t>
            </w:r>
          </w:p>
        </w:tc>
      </w:tr>
      <w:tr w:rsidR="001C32CD" w:rsidRPr="004C239D" w14:paraId="2BFA4B1E" w14:textId="77777777" w:rsidTr="00A05FA4">
        <w:trPr>
          <w:trHeight w:val="1221"/>
        </w:trPr>
        <w:tc>
          <w:tcPr>
            <w:tcW w:w="9175" w:type="dxa"/>
            <w:tcMar>
              <w:top w:w="28" w:type="dxa"/>
            </w:tcMar>
          </w:tcPr>
          <w:p w14:paraId="773C5C56" w14:textId="77777777" w:rsidR="001C32CD" w:rsidRPr="00487162" w:rsidRDefault="001C32CD" w:rsidP="00A05FA4">
            <w:pPr>
              <w:pStyle w:val="Address"/>
            </w:pPr>
            <w:r w:rsidRPr="00487162">
              <w:t>PO Box 100 Woden ACT 2606 Australia</w:t>
            </w:r>
          </w:p>
          <w:p w14:paraId="61AF36DE" w14:textId="77777777" w:rsidR="001C32CD" w:rsidRPr="00487162" w:rsidRDefault="001C32CD" w:rsidP="00A05FA4">
            <w:pPr>
              <w:pStyle w:val="Address"/>
            </w:pPr>
            <w:r w:rsidRPr="00487162">
              <w:t xml:space="preserve">Email: </w:t>
            </w:r>
            <w:hyperlink r:id="rId25" w:history="1">
              <w:r w:rsidRPr="004C239D">
                <w:rPr>
                  <w:rStyle w:val="Hyperlink"/>
                </w:rPr>
                <w:t>info@tga.gov.au</w:t>
              </w:r>
            </w:hyperlink>
            <w:r w:rsidR="0069652B">
              <w:t xml:space="preserve"> </w:t>
            </w:r>
            <w:r w:rsidRPr="00487162">
              <w:t>Phone: 1800 020 653</w:t>
            </w:r>
            <w:r w:rsidR="0069652B">
              <w:t xml:space="preserve"> </w:t>
            </w:r>
            <w:r w:rsidRPr="00487162">
              <w:t>Fax: 02 6232 8605</w:t>
            </w:r>
          </w:p>
          <w:p w14:paraId="19D8C495" w14:textId="77777777" w:rsidR="001C32CD" w:rsidRPr="004C239D" w:rsidRDefault="00DA49C5"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3C208036"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7B7CD" w15:done="0"/>
  <w15:commentEx w15:paraId="745E2A82" w15:done="0"/>
  <w15:commentEx w15:paraId="7EE3298E" w15:done="0"/>
  <w15:commentEx w15:paraId="1D801C7C" w15:done="0"/>
  <w15:commentEx w15:paraId="6BBE36FA" w15:done="0"/>
  <w15:commentEx w15:paraId="5A14792C" w15:done="0"/>
  <w15:commentEx w15:paraId="1533D0F6" w15:done="0"/>
  <w15:commentEx w15:paraId="58918568" w15:done="0"/>
  <w15:commentEx w15:paraId="39E68273" w15:done="0"/>
  <w15:commentEx w15:paraId="08EE0518" w15:done="0"/>
  <w15:commentEx w15:paraId="67A27708" w15:paraIdParent="08EE0518" w15:done="0"/>
  <w15:commentEx w15:paraId="7FE429C1" w15:done="0"/>
  <w15:commentEx w15:paraId="1685C48A" w15:done="0"/>
  <w15:commentEx w15:paraId="6F22E0C0" w15:done="0"/>
  <w15:commentEx w15:paraId="7585C82B" w15:done="0"/>
  <w15:commentEx w15:paraId="28150789" w15:done="0"/>
  <w15:commentEx w15:paraId="396BD53F" w15:done="0"/>
  <w15:commentEx w15:paraId="49CEC7E5" w15:done="0"/>
  <w15:commentEx w15:paraId="6D6CDB53" w15:done="0"/>
  <w15:commentEx w15:paraId="55357394" w15:paraIdParent="6D6CDB53" w15:done="0"/>
  <w15:commentEx w15:paraId="1CD76DB7" w15:done="0"/>
  <w15:commentEx w15:paraId="2C6FF767" w15:done="0"/>
  <w15:commentEx w15:paraId="0F98D0F0" w15:done="0"/>
  <w15:commentEx w15:paraId="773ADFCB" w15:done="0"/>
  <w15:commentEx w15:paraId="3E6568FD" w15:paraIdParent="773ADFCB" w15:done="0"/>
  <w15:commentEx w15:paraId="7494374A" w15:done="0"/>
  <w15:commentEx w15:paraId="56B8CEC9" w15:done="0"/>
  <w15:commentEx w15:paraId="751A033F" w15:done="0"/>
  <w15:commentEx w15:paraId="062C38D0" w15:done="0"/>
  <w15:commentEx w15:paraId="66C9D286" w15:paraIdParent="062C38D0" w15:done="0"/>
  <w15:commentEx w15:paraId="45CE28D8" w15:done="0"/>
  <w15:commentEx w15:paraId="676CDFDB" w15:paraIdParent="45CE28D8" w15:done="0"/>
  <w15:commentEx w15:paraId="21521AC4" w15:done="0"/>
  <w15:commentEx w15:paraId="01FB8159" w15:done="0"/>
  <w15:commentEx w15:paraId="44AC4286" w15:done="0"/>
  <w15:commentEx w15:paraId="289DF7BE" w15:done="0"/>
  <w15:commentEx w15:paraId="6CC27330" w15:done="0"/>
  <w15:commentEx w15:paraId="4F3607A5" w15:done="0"/>
  <w15:commentEx w15:paraId="18F09198" w15:done="0"/>
  <w15:commentEx w15:paraId="66D02AB1" w15:done="0"/>
  <w15:commentEx w15:paraId="021565A5" w15:done="0"/>
  <w15:commentEx w15:paraId="5B02BBC4" w15:done="0"/>
  <w15:commentEx w15:paraId="50D97EE4" w15:done="0"/>
  <w15:commentEx w15:paraId="12EA2486" w15:done="0"/>
  <w15:commentEx w15:paraId="03DC948F" w15:done="0"/>
  <w15:commentEx w15:paraId="3B87E5BF" w15:done="0"/>
  <w15:commentEx w15:paraId="724D913A" w15:done="0"/>
  <w15:commentEx w15:paraId="088ADE48" w15:done="0"/>
  <w15:commentEx w15:paraId="328471A2" w15:done="0"/>
  <w15:commentEx w15:paraId="5C039989" w15:paraIdParent="328471A2" w15:done="0"/>
  <w15:commentEx w15:paraId="579708A3" w15:done="0"/>
  <w15:commentEx w15:paraId="6785ABA6" w15:done="0"/>
  <w15:commentEx w15:paraId="327BBEB1" w15:done="0"/>
  <w15:commentEx w15:paraId="1EF3E256" w15:done="0"/>
  <w15:commentEx w15:paraId="6E5253BD" w15:done="0"/>
  <w15:commentEx w15:paraId="0D3ED297" w15:done="0"/>
  <w15:commentEx w15:paraId="5A71911A" w15:done="0"/>
  <w15:commentEx w15:paraId="3E219A10" w15:done="0"/>
  <w15:commentEx w15:paraId="2EDDF967" w15:done="0"/>
  <w15:commentEx w15:paraId="2A201BED" w15:done="0"/>
  <w15:commentEx w15:paraId="1CEE2662" w15:done="0"/>
  <w15:commentEx w15:paraId="7DCE18B0" w15:done="0"/>
  <w15:commentEx w15:paraId="6696113F" w15:done="0"/>
  <w15:commentEx w15:paraId="02A4CC7F" w15:paraIdParent="6696113F" w15:done="0"/>
  <w15:commentEx w15:paraId="1098DFB5" w15:done="0"/>
  <w15:commentEx w15:paraId="419EECE7" w15:done="0"/>
  <w15:commentEx w15:paraId="3DAD9A7B" w15:paraIdParent="419EECE7" w15:done="0"/>
  <w15:commentEx w15:paraId="5AA0F713" w15:done="0"/>
  <w15:commentEx w15:paraId="3592393C" w15:paraIdParent="5AA0F713" w15:done="0"/>
  <w15:commentEx w15:paraId="53CAD10F" w15:done="0"/>
  <w15:commentEx w15:paraId="26C31008" w15:done="0"/>
  <w15:commentEx w15:paraId="4EDEF746" w15:done="0"/>
  <w15:commentEx w15:paraId="7CA94595" w15:paraIdParent="4EDEF746" w15:done="0"/>
  <w15:commentEx w15:paraId="53D6577B" w15:done="0"/>
  <w15:commentEx w15:paraId="27961D46" w15:done="0"/>
  <w15:commentEx w15:paraId="38AF5A66" w15:done="0"/>
  <w15:commentEx w15:paraId="13462ADE" w15:done="0"/>
  <w15:commentEx w15:paraId="0DF58986" w15:paraIdParent="13462ADE" w15:done="0"/>
  <w15:commentEx w15:paraId="60E6DAAE" w15:done="0"/>
  <w15:commentEx w15:paraId="0767B83D" w15:done="0"/>
  <w15:commentEx w15:paraId="6E29E8D7" w15:done="0"/>
  <w15:commentEx w15:paraId="3016AC1F" w15:done="0"/>
  <w15:commentEx w15:paraId="58D661E3" w15:done="0"/>
  <w15:commentEx w15:paraId="76F6CC32" w15:done="0"/>
  <w15:commentEx w15:paraId="55418E29" w15:done="0"/>
  <w15:commentEx w15:paraId="0CB55369" w15:done="0"/>
  <w15:commentEx w15:paraId="0EA99896" w15:done="0"/>
  <w15:commentEx w15:paraId="122A4D6E" w15:done="0"/>
  <w15:commentEx w15:paraId="1B4F7D7F" w15:done="0"/>
  <w15:commentEx w15:paraId="02F4D548" w15:done="0"/>
  <w15:commentEx w15:paraId="1D66591D" w15:done="0"/>
  <w15:commentEx w15:paraId="7C7EF05A" w15:done="0"/>
  <w15:commentEx w15:paraId="7A758007" w15:done="0"/>
  <w15:commentEx w15:paraId="4434F733" w15:done="0"/>
  <w15:commentEx w15:paraId="5D252C9A" w15:done="0"/>
  <w15:commentEx w15:paraId="714ED4EB" w15:done="0"/>
  <w15:commentEx w15:paraId="762D01E9" w15:done="0"/>
  <w15:commentEx w15:paraId="0A7591C2" w15:done="0"/>
  <w15:commentEx w15:paraId="5639B17C" w15:done="0"/>
  <w15:commentEx w15:paraId="1FF95308" w15:done="0"/>
  <w15:commentEx w15:paraId="6F2A7F80" w15:done="0"/>
  <w15:commentEx w15:paraId="7E5AB5D0" w15:done="0"/>
  <w15:commentEx w15:paraId="3DBBF6AE" w15:done="0"/>
  <w15:commentEx w15:paraId="0AFD87EC" w15:paraIdParent="3DBBF6AE" w15:done="0"/>
  <w15:commentEx w15:paraId="5F93CB54" w15:done="0"/>
  <w15:commentEx w15:paraId="0CAA8CA2" w15:paraIdParent="5F93CB54" w15:done="0"/>
  <w15:commentEx w15:paraId="2D806097" w15:done="0"/>
  <w15:commentEx w15:paraId="78FDEF9C" w15:done="0"/>
  <w15:commentEx w15:paraId="7E526AE4" w15:done="0"/>
  <w15:commentEx w15:paraId="40DE2809" w15:done="0"/>
  <w15:commentEx w15:paraId="17A291C7" w15:done="0"/>
  <w15:commentEx w15:paraId="7021269F" w15:done="0"/>
  <w15:commentEx w15:paraId="25B2BE8F" w15:done="0"/>
  <w15:commentEx w15:paraId="3C2BA156" w15:done="0"/>
  <w15:commentEx w15:paraId="55452CE5" w15:done="0"/>
  <w15:commentEx w15:paraId="2457E97F" w15:done="0"/>
  <w15:commentEx w15:paraId="59D828D4" w15:done="0"/>
  <w15:commentEx w15:paraId="62C818A2" w15:done="0"/>
  <w15:commentEx w15:paraId="54A32C79" w15:done="0"/>
  <w15:commentEx w15:paraId="12EE0789" w15:done="0"/>
  <w15:commentEx w15:paraId="5F035D3B" w15:done="0"/>
  <w15:commentEx w15:paraId="50A3C39F" w15:done="0"/>
  <w15:commentEx w15:paraId="08D21314" w15:done="0"/>
  <w15:commentEx w15:paraId="05767305" w15:done="0"/>
  <w15:commentEx w15:paraId="1FDB7483" w15:done="0"/>
  <w15:commentEx w15:paraId="664FC93A" w15:paraIdParent="1FDB7483" w15:done="0"/>
  <w15:commentEx w15:paraId="35949516" w15:done="0"/>
  <w15:commentEx w15:paraId="6E009604" w15:done="0"/>
  <w15:commentEx w15:paraId="20283D2B" w15:done="0"/>
  <w15:commentEx w15:paraId="47643AE2" w15:done="0"/>
  <w15:commentEx w15:paraId="2FA02553" w15:paraIdParent="47643AE2" w15:done="0"/>
  <w15:commentEx w15:paraId="6B458776" w15:done="0"/>
  <w15:commentEx w15:paraId="211D690C" w15:paraIdParent="6B458776" w15:done="0"/>
  <w15:commentEx w15:paraId="1FB674BF" w15:done="0"/>
  <w15:commentEx w15:paraId="714CC012" w15:done="0"/>
  <w15:commentEx w15:paraId="35A98639" w15:done="0"/>
  <w15:commentEx w15:paraId="1ED77491" w15:done="0"/>
  <w15:commentEx w15:paraId="46ADA0AC" w15:done="0"/>
  <w15:commentEx w15:paraId="0DF9D2C2" w15:done="0"/>
  <w15:commentEx w15:paraId="0A3DA0A7" w15:paraIdParent="0DF9D2C2" w15:done="0"/>
  <w15:commentEx w15:paraId="4D92823C" w15:done="0"/>
  <w15:commentEx w15:paraId="3B29D250" w15:paraIdParent="4D92823C" w15:done="0"/>
  <w15:commentEx w15:paraId="2C53B0BB" w15:done="0"/>
  <w15:commentEx w15:paraId="7D46FE36" w15:done="0"/>
  <w15:commentEx w15:paraId="16F06CAE" w15:done="0"/>
  <w15:commentEx w15:paraId="5D69C6B4" w15:done="0"/>
  <w15:commentEx w15:paraId="53921754" w15:done="0"/>
  <w15:commentEx w15:paraId="7AC55C91" w15:done="0"/>
  <w15:commentEx w15:paraId="5E012330" w15:done="0"/>
  <w15:commentEx w15:paraId="49622B23" w15:done="0"/>
  <w15:commentEx w15:paraId="11F41111" w15:done="0"/>
  <w15:commentEx w15:paraId="7BD2443C" w15:paraIdParent="11F41111" w15:done="0"/>
  <w15:commentEx w15:paraId="205152E2" w15:done="0"/>
  <w15:commentEx w15:paraId="77DB9B2F" w15:paraIdParent="205152E2" w15:done="0"/>
  <w15:commentEx w15:paraId="0340DD8F" w15:done="0"/>
  <w15:commentEx w15:paraId="29EA5C33" w15:done="0"/>
  <w15:commentEx w15:paraId="12E95A38" w15:done="0"/>
  <w15:commentEx w15:paraId="4C5DA497" w15:done="0"/>
  <w15:commentEx w15:paraId="45259AB0" w15:paraIdParent="4C5DA497" w15:done="0"/>
  <w15:commentEx w15:paraId="24AFD3CC" w15:done="0"/>
  <w15:commentEx w15:paraId="0DF367F1" w15:done="0"/>
  <w15:commentEx w15:paraId="4D5D3EA6" w15:done="0"/>
  <w15:commentEx w15:paraId="5D132692" w15:done="0"/>
  <w15:commentEx w15:paraId="6D492E1F" w15:done="0"/>
  <w15:commentEx w15:paraId="3A1A7D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22ACC" w14:textId="77777777" w:rsidR="009E353B" w:rsidRDefault="009E353B" w:rsidP="00C40A36">
      <w:pPr>
        <w:spacing w:after="0"/>
      </w:pPr>
      <w:r>
        <w:separator/>
      </w:r>
    </w:p>
  </w:endnote>
  <w:endnote w:type="continuationSeparator" w:id="0">
    <w:p w14:paraId="288F3311" w14:textId="77777777" w:rsidR="009E353B" w:rsidRDefault="009E353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E353B" w:rsidRPr="00487162" w14:paraId="6CC56FC7" w14:textId="77777777" w:rsidTr="00DB750B">
      <w:trPr>
        <w:trHeight w:val="269"/>
      </w:trPr>
      <w:tc>
        <w:tcPr>
          <w:tcW w:w="7371" w:type="dxa"/>
          <w:tcMar>
            <w:top w:w="142" w:type="dxa"/>
            <w:bottom w:w="0" w:type="dxa"/>
          </w:tcMar>
        </w:tcPr>
        <w:p w14:paraId="6B36C4D2" w14:textId="35B20CA8" w:rsidR="009E353B" w:rsidRPr="00487162" w:rsidRDefault="009E353B" w:rsidP="00D36CEF">
          <w:pPr>
            <w:pStyle w:val="Footer"/>
          </w:pPr>
          <w:r>
            <w:t xml:space="preserve">AusPAR - </w:t>
          </w:r>
          <w:r w:rsidRPr="000058A9">
            <w:t xml:space="preserve">HADLIMA - Adalimumab - Samsung Bioepis AU Pty Ltd - PM-2016-03547-1-3 </w:t>
          </w:r>
          <w:r>
            <w:t>–</w:t>
          </w:r>
          <w:r w:rsidRPr="000058A9">
            <w:t xml:space="preserve"> </w:t>
          </w:r>
          <w:r>
            <w:t>FINAL 13 March 2019</w:t>
          </w:r>
        </w:p>
      </w:tc>
      <w:tc>
        <w:tcPr>
          <w:tcW w:w="1490" w:type="dxa"/>
          <w:tcMar>
            <w:top w:w="142" w:type="dxa"/>
            <w:bottom w:w="0" w:type="dxa"/>
          </w:tcMar>
        </w:tcPr>
        <w:p w14:paraId="2F29AC58" w14:textId="77777777" w:rsidR="009E353B" w:rsidRPr="00487162" w:rsidRDefault="009E353B" w:rsidP="00DB750B">
          <w:pPr>
            <w:pStyle w:val="Footer"/>
            <w:jc w:val="right"/>
          </w:pPr>
          <w:r w:rsidRPr="00487162">
            <w:t xml:space="preserve">Page </w:t>
          </w:r>
          <w:r>
            <w:fldChar w:fldCharType="begin"/>
          </w:r>
          <w:r>
            <w:instrText xml:space="preserve"> PAGE  \* Arabic </w:instrText>
          </w:r>
          <w:r>
            <w:fldChar w:fldCharType="separate"/>
          </w:r>
          <w:r w:rsidR="00DA49C5">
            <w:rPr>
              <w:noProof/>
            </w:rPr>
            <w:t>50</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DA49C5">
            <w:rPr>
              <w:noProof/>
            </w:rPr>
            <w:t>69</w:t>
          </w:r>
          <w:r>
            <w:rPr>
              <w:noProof/>
            </w:rPr>
            <w:fldChar w:fldCharType="end"/>
          </w:r>
        </w:p>
      </w:tc>
    </w:tr>
  </w:tbl>
  <w:p w14:paraId="6D5E0DE4" w14:textId="77777777" w:rsidR="009E353B" w:rsidRDefault="009E353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E353B" w:rsidRPr="00487162" w14:paraId="799DF84F" w14:textId="77777777" w:rsidTr="00E45619">
      <w:trPr>
        <w:trHeight w:val="269"/>
      </w:trPr>
      <w:tc>
        <w:tcPr>
          <w:tcW w:w="4519" w:type="dxa"/>
          <w:tcBorders>
            <w:top w:val="single" w:sz="4" w:space="0" w:color="auto"/>
          </w:tcBorders>
          <w:tcMar>
            <w:top w:w="142" w:type="dxa"/>
            <w:bottom w:w="0" w:type="dxa"/>
          </w:tcMar>
        </w:tcPr>
        <w:p w14:paraId="0A2E1318" w14:textId="77777777" w:rsidR="009E353B" w:rsidRPr="00487162" w:rsidRDefault="009E353B" w:rsidP="00FE1DEE">
          <w:pPr>
            <w:pStyle w:val="Footer"/>
          </w:pPr>
          <w:r w:rsidRPr="00487162">
            <w:t>Document title, Part #, Section # - Section title</w:t>
          </w:r>
        </w:p>
        <w:p w14:paraId="249F2350" w14:textId="77777777" w:rsidR="009E353B" w:rsidRPr="00487162" w:rsidRDefault="009E353B" w:rsidP="00FE1DEE">
          <w:pPr>
            <w:pStyle w:val="Footer"/>
          </w:pPr>
          <w:r w:rsidRPr="00487162">
            <w:t>V1.0 October 2010</w:t>
          </w:r>
        </w:p>
      </w:tc>
      <w:tc>
        <w:tcPr>
          <w:tcW w:w="4342" w:type="dxa"/>
          <w:tcBorders>
            <w:top w:val="single" w:sz="4" w:space="0" w:color="auto"/>
          </w:tcBorders>
          <w:tcMar>
            <w:top w:w="142" w:type="dxa"/>
            <w:bottom w:w="0" w:type="dxa"/>
          </w:tcMar>
        </w:tcPr>
        <w:p w14:paraId="081A7242" w14:textId="34AF02EE" w:rsidR="009E353B" w:rsidRPr="00487162" w:rsidRDefault="009E35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77</w:t>
          </w:r>
          <w:r>
            <w:rPr>
              <w:noProof/>
            </w:rPr>
            <w:fldChar w:fldCharType="end"/>
          </w:r>
        </w:p>
      </w:tc>
    </w:tr>
  </w:tbl>
  <w:p w14:paraId="3C4BE097" w14:textId="77777777" w:rsidR="009E353B" w:rsidRDefault="009E35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0AF61" w14:textId="77777777" w:rsidR="009E353B" w:rsidRPr="001C32CD" w:rsidRDefault="009E353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E353B" w14:paraId="2549BAB9" w14:textId="77777777" w:rsidTr="0010601F">
      <w:trPr>
        <w:trHeight w:val="108"/>
      </w:trPr>
      <w:tc>
        <w:tcPr>
          <w:tcW w:w="8875" w:type="dxa"/>
          <w:gridSpan w:val="2"/>
          <w:tcBorders>
            <w:bottom w:val="single" w:sz="4" w:space="0" w:color="auto"/>
          </w:tcBorders>
          <w:tcMar>
            <w:right w:w="284" w:type="dxa"/>
          </w:tcMar>
        </w:tcPr>
        <w:p w14:paraId="4696BE6A" w14:textId="77777777" w:rsidR="009E353B" w:rsidRDefault="009E353B" w:rsidP="006E08B3">
          <w:pPr>
            <w:pStyle w:val="Heading3"/>
          </w:pPr>
          <w:r>
            <w:t>Copyright</w:t>
          </w:r>
        </w:p>
        <w:p w14:paraId="2013C772" w14:textId="77777777" w:rsidR="009E353B" w:rsidRDefault="009E353B" w:rsidP="006E08B3">
          <w:r>
            <w:rPr>
              <w:rFonts w:cs="Arial"/>
            </w:rPr>
            <w:t>©</w:t>
          </w:r>
          <w:r>
            <w:t xml:space="preserve"> Commonwealth of Australia [add year]</w:t>
          </w:r>
        </w:p>
        <w:p w14:paraId="31D71936" w14:textId="77777777" w:rsidR="009E353B" w:rsidRDefault="009E353B" w:rsidP="006E08B3"/>
        <w:p w14:paraId="23EEFA52" w14:textId="77777777" w:rsidR="009E353B" w:rsidRDefault="009E353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205DD21" w14:textId="77777777" w:rsidR="009E353B" w:rsidRDefault="009E353B" w:rsidP="006E08B3"/>
        <w:p w14:paraId="5600FD73" w14:textId="77777777" w:rsidR="009E353B" w:rsidRDefault="009E353B" w:rsidP="006E08B3">
          <w:pPr>
            <w:pStyle w:val="Heading3"/>
          </w:pPr>
          <w:r>
            <w:t>Confidentiality</w:t>
          </w:r>
        </w:p>
        <w:p w14:paraId="7F080309" w14:textId="77777777" w:rsidR="009E353B" w:rsidRDefault="009E35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1695D70" w14:textId="77777777" w:rsidR="009E353B" w:rsidRDefault="009E353B" w:rsidP="006E08B3"/>
        <w:p w14:paraId="7232848D" w14:textId="77777777" w:rsidR="009E353B" w:rsidRDefault="009E353B" w:rsidP="006E08B3">
          <w:r>
            <w:t>For submission made by individuals, all personal details, other than your name, will be removed from your submission before it is published on the TGA’s Internet site.</w:t>
          </w:r>
        </w:p>
        <w:p w14:paraId="17140099" w14:textId="77777777" w:rsidR="009E353B" w:rsidRDefault="009E353B" w:rsidP="006E08B3"/>
        <w:p w14:paraId="7567AC4B" w14:textId="77777777" w:rsidR="009E353B" w:rsidRDefault="009E353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E353B" w14:paraId="5BB047EE" w14:textId="77777777" w:rsidTr="0010601F">
      <w:trPr>
        <w:trHeight w:val="417"/>
      </w:trPr>
      <w:tc>
        <w:tcPr>
          <w:tcW w:w="4519" w:type="dxa"/>
          <w:tcBorders>
            <w:top w:val="single" w:sz="4" w:space="0" w:color="auto"/>
          </w:tcBorders>
          <w:tcMar>
            <w:top w:w="142" w:type="dxa"/>
            <w:bottom w:w="0" w:type="dxa"/>
          </w:tcMar>
        </w:tcPr>
        <w:p w14:paraId="188D2041" w14:textId="77777777" w:rsidR="009E353B" w:rsidRDefault="009E353B" w:rsidP="006E08B3">
          <w:r>
            <w:t>Document title, Part #, Section # - Section title</w:t>
          </w:r>
        </w:p>
        <w:p w14:paraId="791B174E" w14:textId="77777777" w:rsidR="009E353B" w:rsidRDefault="009E353B" w:rsidP="006E08B3">
          <w:r>
            <w:t>V1.0 October 2010</w:t>
          </w:r>
        </w:p>
      </w:tc>
      <w:tc>
        <w:tcPr>
          <w:tcW w:w="4356" w:type="dxa"/>
          <w:tcBorders>
            <w:top w:val="single" w:sz="4" w:space="0" w:color="auto"/>
          </w:tcBorders>
          <w:tcMar>
            <w:top w:w="142" w:type="dxa"/>
            <w:bottom w:w="0" w:type="dxa"/>
          </w:tcMar>
        </w:tcPr>
        <w:p w14:paraId="1F5A064C" w14:textId="2F84E736" w:rsidR="009E353B" w:rsidRDefault="009E35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77</w:t>
          </w:r>
          <w:r>
            <w:rPr>
              <w:noProof/>
            </w:rPr>
            <w:fldChar w:fldCharType="end"/>
          </w:r>
          <w:r>
            <w:t xml:space="preserve"> </w:t>
          </w:r>
        </w:p>
      </w:tc>
    </w:tr>
  </w:tbl>
  <w:p w14:paraId="14C469C1" w14:textId="77777777" w:rsidR="009E353B" w:rsidRDefault="009E3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86F2B" w14:textId="77777777" w:rsidR="009E353B" w:rsidRDefault="009E353B" w:rsidP="00C40A36">
      <w:pPr>
        <w:spacing w:after="0"/>
      </w:pPr>
      <w:r>
        <w:separator/>
      </w:r>
    </w:p>
  </w:footnote>
  <w:footnote w:type="continuationSeparator" w:id="0">
    <w:p w14:paraId="4156A224" w14:textId="77777777" w:rsidR="009E353B" w:rsidRDefault="009E353B" w:rsidP="00C40A36">
      <w:pPr>
        <w:spacing w:after="0"/>
      </w:pPr>
      <w:r>
        <w:continuationSeparator/>
      </w:r>
    </w:p>
  </w:footnote>
  <w:footnote w:id="1">
    <w:p w14:paraId="1EA3C373" w14:textId="77777777" w:rsidR="009E353B" w:rsidRPr="00CF05D4" w:rsidRDefault="009E353B">
      <w:pPr>
        <w:pStyle w:val="FootnoteText"/>
        <w:rPr>
          <w:lang w:val="en-US"/>
        </w:rPr>
      </w:pPr>
      <w:r>
        <w:rPr>
          <w:rStyle w:val="FootnoteReference"/>
        </w:rPr>
        <w:footnoteRef/>
      </w:r>
      <w:r>
        <w:t xml:space="preserve"> </w:t>
      </w:r>
      <w:r>
        <w:rPr>
          <w:lang w:val="en-US"/>
        </w:rPr>
        <w:t>Please note that during the course of this submission the requested indications were revised.</w:t>
      </w:r>
    </w:p>
  </w:footnote>
  <w:footnote w:id="2">
    <w:p w14:paraId="554DCB45" w14:textId="2CBFCBCB" w:rsidR="009E353B" w:rsidRPr="00D848EB" w:rsidRDefault="009E353B">
      <w:pPr>
        <w:pStyle w:val="FootnoteText"/>
        <w:rPr>
          <w:lang w:val="en-US"/>
        </w:rPr>
      </w:pPr>
      <w:r>
        <w:rPr>
          <w:rStyle w:val="FootnoteReference"/>
        </w:rPr>
        <w:footnoteRef/>
      </w:r>
      <w:r>
        <w:t xml:space="preserve"> The submission in Canada was approved in May 2018 after the registration in Australia.</w:t>
      </w:r>
    </w:p>
  </w:footnote>
  <w:footnote w:id="3">
    <w:p w14:paraId="5BB98635" w14:textId="1AF92323" w:rsidR="009E353B" w:rsidRPr="00D848EB" w:rsidRDefault="009E353B" w:rsidP="00BD7536">
      <w:pPr>
        <w:pStyle w:val="FootnoteText"/>
        <w:rPr>
          <w:lang w:val="en-US"/>
        </w:rPr>
      </w:pPr>
      <w:r>
        <w:rPr>
          <w:rStyle w:val="FootnoteReference"/>
        </w:rPr>
        <w:footnoteRef/>
      </w:r>
      <w:r>
        <w:t xml:space="preserve"> </w:t>
      </w:r>
      <w:r>
        <w:rPr>
          <w:lang w:val="en-US"/>
        </w:rPr>
        <w:t xml:space="preserve">At the time of approval all required GMP clearances </w:t>
      </w:r>
      <w:r w:rsidRPr="00BD7536">
        <w:t>were</w:t>
      </w:r>
      <w:r>
        <w:rPr>
          <w:lang w:val="en-US"/>
        </w:rPr>
        <w:t xml:space="preserve"> in place.</w:t>
      </w:r>
    </w:p>
  </w:footnote>
  <w:footnote w:id="4">
    <w:p w14:paraId="5E6CD0B1" w14:textId="77777777" w:rsidR="009E353B" w:rsidRPr="00D768AD" w:rsidRDefault="009E353B" w:rsidP="00D768AD">
      <w:pPr>
        <w:pStyle w:val="FootnoteText"/>
        <w:rPr>
          <w:rStyle w:val="FootnoteReference"/>
          <w:vertAlign w:val="baseline"/>
        </w:rPr>
      </w:pPr>
    </w:p>
  </w:footnote>
  <w:footnote w:id="5">
    <w:p w14:paraId="5D84C909" w14:textId="77777777" w:rsidR="009E353B" w:rsidRPr="00EB0AAA" w:rsidRDefault="009E353B" w:rsidP="000E5AD2">
      <w:pPr>
        <w:pStyle w:val="FootnoteText"/>
        <w:rPr>
          <w:lang w:val="en-US"/>
        </w:rPr>
      </w:pPr>
      <w:r>
        <w:rPr>
          <w:rStyle w:val="FootnoteReference"/>
        </w:rPr>
        <w:footnoteRef/>
      </w:r>
      <w:r>
        <w:t xml:space="preserve"> </w:t>
      </w:r>
      <w:r w:rsidRPr="000E5AD2">
        <w:t>Guideline</w:t>
      </w:r>
      <w:r w:rsidRPr="00EB0AAA">
        <w:t xml:space="preserve"> on Similar Biological Medicinal Products Containing Monoclonal Antibodies – Non-clinical and Clinical Issues: EMA/CHMP/BMWP/403543/2010</w:t>
      </w:r>
    </w:p>
  </w:footnote>
  <w:footnote w:id="6">
    <w:p w14:paraId="4A214EBD" w14:textId="77777777" w:rsidR="009E353B" w:rsidRPr="008415AC" w:rsidRDefault="009E353B" w:rsidP="000E5AD2">
      <w:pPr>
        <w:pStyle w:val="FootnoteText"/>
        <w:rPr>
          <w:lang w:val="en-US"/>
        </w:rPr>
      </w:pPr>
      <w:r>
        <w:rPr>
          <w:rStyle w:val="FootnoteReference"/>
        </w:rPr>
        <w:footnoteRef/>
      </w:r>
      <w:r>
        <w:t xml:space="preserve"> </w:t>
      </w:r>
      <w:proofErr w:type="gramStart"/>
      <w:r>
        <w:rPr>
          <w:lang w:val="en-US"/>
        </w:rPr>
        <w:t xml:space="preserve">EMA/CHMP/ICH/731268/1998 - ICH </w:t>
      </w:r>
      <w:r w:rsidRPr="000E5AD2">
        <w:t>guideline</w:t>
      </w:r>
      <w:r>
        <w:rPr>
          <w:lang w:val="en-US"/>
        </w:rPr>
        <w:t xml:space="preserve"> S6 (R1) – Preclinical safety evaluation of biotechnology-derived pharmaceuticals.</w:t>
      </w:r>
      <w:proofErr w:type="gramEnd"/>
    </w:p>
  </w:footnote>
  <w:footnote w:id="7">
    <w:p w14:paraId="7AD674C9" w14:textId="77777777" w:rsidR="009E353B" w:rsidRPr="00614DAC" w:rsidRDefault="009E353B" w:rsidP="000E5AD2">
      <w:pPr>
        <w:pStyle w:val="FootnoteText"/>
        <w:rPr>
          <w:lang w:val="en-US"/>
        </w:rPr>
      </w:pPr>
      <w:r>
        <w:rPr>
          <w:rStyle w:val="FootnoteReference"/>
        </w:rPr>
        <w:footnoteRef/>
      </w:r>
      <w:r>
        <w:t xml:space="preserve"> </w:t>
      </w:r>
      <w:r>
        <w:rPr>
          <w:lang w:val="en-US"/>
        </w:rPr>
        <w:t>EMA/</w:t>
      </w:r>
      <w:r w:rsidRPr="000E5AD2">
        <w:t>CHMP</w:t>
      </w:r>
      <w:r>
        <w:rPr>
          <w:lang w:val="en-US"/>
        </w:rPr>
        <w:t>/BMWP/403543/2010 – Guideline on similar biological medicinal products containing monoclonal antibodies: nonclinical and clinical issues.</w:t>
      </w:r>
    </w:p>
  </w:footnote>
  <w:footnote w:id="8">
    <w:p w14:paraId="104B31D7" w14:textId="77777777" w:rsidR="009E353B" w:rsidRPr="009612AD" w:rsidRDefault="009E353B" w:rsidP="000E5AD2">
      <w:pPr>
        <w:pStyle w:val="FootnoteText"/>
      </w:pPr>
      <w:r>
        <w:rPr>
          <w:rStyle w:val="FootnoteReference"/>
        </w:rPr>
        <w:footnoteRef/>
      </w:r>
      <w:r>
        <w:t xml:space="preserve"> </w:t>
      </w:r>
      <w:r w:rsidRPr="000E5AD2">
        <w:t>Pregnancy</w:t>
      </w:r>
      <w:r>
        <w:t xml:space="preserve"> </w:t>
      </w:r>
      <w:r w:rsidRPr="009612AD">
        <w:t>Category C</w:t>
      </w:r>
      <w:r>
        <w:t xml:space="preserve"> is classified as ‘</w:t>
      </w:r>
      <w:r w:rsidRPr="009612AD">
        <w:t>Drugs which, owing to their pharmacological effects, have caused or may be suspected of causing, harmful effects on the human fetus or neonate without causing malformations. These effects may be reversible. Accompanying texts should be consulted for further details.</w:t>
      </w:r>
      <w:r>
        <w:t>’</w:t>
      </w:r>
    </w:p>
  </w:footnote>
  <w:footnote w:id="9">
    <w:p w14:paraId="2FC3D175" w14:textId="77777777" w:rsidR="009E353B" w:rsidRPr="009612AD" w:rsidRDefault="009E353B" w:rsidP="000E5AD2">
      <w:pPr>
        <w:pStyle w:val="FootnoteText"/>
        <w:rPr>
          <w:lang w:val="en-US"/>
        </w:rPr>
      </w:pPr>
      <w:r>
        <w:rPr>
          <w:rStyle w:val="FootnoteReference"/>
        </w:rPr>
        <w:footnoteRef/>
      </w:r>
      <w:r>
        <w:t xml:space="preserve"> </w:t>
      </w:r>
      <w:r w:rsidRPr="000E5AD2">
        <w:t>This</w:t>
      </w:r>
      <w:r>
        <w:rPr>
          <w:lang w:val="en-US"/>
        </w:rPr>
        <w:t xml:space="preserve"> request was revised after the first round clinical evaluation to only include the RA indication.</w:t>
      </w:r>
    </w:p>
  </w:footnote>
  <w:footnote w:id="10">
    <w:p w14:paraId="7083D711" w14:textId="069953D4" w:rsidR="009E353B" w:rsidRPr="004C0246" w:rsidRDefault="009E353B" w:rsidP="000E5AD2">
      <w:pPr>
        <w:pStyle w:val="FootnoteText"/>
        <w:rPr>
          <w:lang w:val="en-GB"/>
        </w:rPr>
      </w:pPr>
      <w:r>
        <w:rPr>
          <w:rStyle w:val="FootnoteReference"/>
        </w:rPr>
        <w:footnoteRef/>
      </w:r>
      <w:r>
        <w:t xml:space="preserve"> </w:t>
      </w:r>
      <w:r w:rsidRPr="00C9463E">
        <w:t>https://www.tga.gov.au/publication/evaluation-biosimilars</w:t>
      </w:r>
    </w:p>
  </w:footnote>
  <w:footnote w:id="11">
    <w:p w14:paraId="4958B29C" w14:textId="44D487BF" w:rsidR="009E353B" w:rsidRPr="004C0246" w:rsidRDefault="009E353B" w:rsidP="000E5AD2">
      <w:pPr>
        <w:pStyle w:val="FootnoteText"/>
        <w:rPr>
          <w:lang w:val="en-GB"/>
        </w:rPr>
      </w:pPr>
      <w:r>
        <w:rPr>
          <w:rStyle w:val="FootnoteReference"/>
        </w:rPr>
        <w:footnoteRef/>
      </w:r>
      <w:r>
        <w:t xml:space="preserve"> </w:t>
      </w:r>
      <w:r w:rsidRPr="000E5AD2">
        <w:rPr>
          <w:sz w:val="17"/>
          <w:szCs w:val="17"/>
        </w:rPr>
        <w:t>http://www.ema.europa.eu/docs/en_GB/document_library/Scientific_guideline/2012/06/WC500128686.pdf</w:t>
      </w:r>
    </w:p>
  </w:footnote>
  <w:footnote w:id="12">
    <w:p w14:paraId="12FB41D5" w14:textId="77777777" w:rsidR="009E353B" w:rsidRPr="0069652B" w:rsidRDefault="009E353B" w:rsidP="000E5AD2">
      <w:pPr>
        <w:pStyle w:val="FootnoteText"/>
        <w:rPr>
          <w:lang w:val="en-US"/>
        </w:rPr>
      </w:pPr>
      <w:r>
        <w:rPr>
          <w:rStyle w:val="FootnoteReference"/>
        </w:rPr>
        <w:footnoteRef/>
      </w:r>
      <w:r>
        <w:t xml:space="preserve"> </w:t>
      </w:r>
      <w:r w:rsidRPr="000E5AD2">
        <w:t>EMA</w:t>
      </w:r>
      <w:r>
        <w:t>/CHMP/42832/2005 Rev 1 Guideline on similar biological medicinal products containing biotechnology-derived proteins as active substance: non-clinical and clinical issues.</w:t>
      </w:r>
    </w:p>
  </w:footnote>
  <w:footnote w:id="13">
    <w:p w14:paraId="4C1941D9" w14:textId="77777777" w:rsidR="009E353B" w:rsidRPr="0069652B" w:rsidRDefault="009E353B" w:rsidP="006F6ADA">
      <w:pPr>
        <w:pStyle w:val="FootnoteText"/>
        <w:rPr>
          <w:lang w:val="en-US"/>
        </w:rPr>
      </w:pPr>
      <w:r>
        <w:rPr>
          <w:rStyle w:val="FootnoteReference"/>
        </w:rPr>
        <w:footnoteRef/>
      </w:r>
      <w:r>
        <w:t xml:space="preserve"> </w:t>
      </w:r>
      <w:r w:rsidRPr="006F6ADA">
        <w:t>EMA</w:t>
      </w:r>
      <w:r>
        <w:t>/CHMP/BMWP/403543/2010 Guideline on similar biological medicinal products containing monoclonal antibodies – non-clinical and clinical issues</w:t>
      </w:r>
    </w:p>
  </w:footnote>
  <w:footnote w:id="14">
    <w:p w14:paraId="000007E3" w14:textId="77777777" w:rsidR="009E353B" w:rsidRPr="00670D09" w:rsidRDefault="009E353B" w:rsidP="006F6ADA">
      <w:pPr>
        <w:pStyle w:val="FootnoteText"/>
        <w:rPr>
          <w:lang w:val="en-US"/>
        </w:rPr>
      </w:pPr>
      <w:r>
        <w:rPr>
          <w:rStyle w:val="FootnoteReference"/>
        </w:rPr>
        <w:footnoteRef/>
      </w:r>
      <w:r>
        <w:t xml:space="preserve"> </w:t>
      </w:r>
      <w:proofErr w:type="spellStart"/>
      <w:r>
        <w:rPr>
          <w:rFonts w:eastAsia="MS Minngs"/>
        </w:rPr>
        <w:t>AUC</w:t>
      </w:r>
      <w:r>
        <w:rPr>
          <w:vertAlign w:val="subscript"/>
        </w:rPr>
        <w:t>inf</w:t>
      </w:r>
      <w:proofErr w:type="spellEnd"/>
      <w:r>
        <w:rPr>
          <w:vertAlign w:val="subscript"/>
        </w:rPr>
        <w:t xml:space="preserve"> </w:t>
      </w:r>
      <w:r w:rsidRPr="00670D09">
        <w:t>:</w:t>
      </w:r>
      <w:r>
        <w:rPr>
          <w:vertAlign w:val="subscript"/>
        </w:rPr>
        <w:t xml:space="preserve"> </w:t>
      </w:r>
      <w:r>
        <w:rPr>
          <w:rFonts w:eastAsia="MS Minngs"/>
        </w:rPr>
        <w:t>Area Under</w:t>
      </w:r>
      <w:r>
        <w:rPr>
          <w:lang w:val="en-US"/>
        </w:rPr>
        <w:t xml:space="preserve"> </w:t>
      </w:r>
      <w:r w:rsidRPr="006F6ADA">
        <w:t>Concentration</w:t>
      </w:r>
      <w:r>
        <w:rPr>
          <w:lang w:val="en-US"/>
        </w:rPr>
        <w:t>-Time curve from time zero to infinity</w:t>
      </w:r>
    </w:p>
  </w:footnote>
  <w:footnote w:id="15">
    <w:p w14:paraId="1C3B5214" w14:textId="77777777" w:rsidR="009E353B" w:rsidRPr="00670D09" w:rsidRDefault="009E353B">
      <w:pPr>
        <w:pStyle w:val="FootnoteText"/>
        <w:rPr>
          <w:lang w:val="en-US"/>
        </w:rPr>
      </w:pPr>
      <w:r>
        <w:rPr>
          <w:rStyle w:val="FootnoteReference"/>
        </w:rPr>
        <w:footnoteRef/>
      </w:r>
      <w:r>
        <w:t xml:space="preserve"> </w:t>
      </w:r>
      <w:proofErr w:type="spellStart"/>
      <w:r>
        <w:t>C</w:t>
      </w:r>
      <w:r>
        <w:rPr>
          <w:vertAlign w:val="subscript"/>
        </w:rPr>
        <w:t>max</w:t>
      </w:r>
      <w:proofErr w:type="spellEnd"/>
      <w:r>
        <w:rPr>
          <w:vertAlign w:val="subscript"/>
        </w:rPr>
        <w:t xml:space="preserve"> </w:t>
      </w:r>
      <w:r>
        <w:t>:</w:t>
      </w:r>
      <w:r w:rsidRPr="00670D09">
        <w:rPr>
          <w:rFonts w:eastAsia="MS Minngs"/>
        </w:rPr>
        <w:t xml:space="preserve"> </w:t>
      </w:r>
      <w:r>
        <w:rPr>
          <w:rFonts w:eastAsia="MS Minngs"/>
        </w:rPr>
        <w:t>Maximum serum concentration</w:t>
      </w:r>
    </w:p>
  </w:footnote>
  <w:footnote w:id="16">
    <w:p w14:paraId="2AC88F1A" w14:textId="77777777" w:rsidR="009E353B" w:rsidRPr="00670D09" w:rsidRDefault="009E353B">
      <w:pPr>
        <w:pStyle w:val="FootnoteText"/>
        <w:rPr>
          <w:lang w:val="en-US"/>
        </w:rPr>
      </w:pPr>
      <w:r>
        <w:rPr>
          <w:rStyle w:val="FootnoteReference"/>
        </w:rPr>
        <w:footnoteRef/>
      </w:r>
      <w:r>
        <w:t xml:space="preserve"> AUC</w:t>
      </w:r>
      <w:r>
        <w:rPr>
          <w:vertAlign w:val="subscript"/>
        </w:rPr>
        <w:t xml:space="preserve">last : </w:t>
      </w:r>
      <w:r>
        <w:t>AUC-Time curve from time zero to last detectable drug concentration</w:t>
      </w:r>
    </w:p>
  </w:footnote>
  <w:footnote w:id="17">
    <w:p w14:paraId="6B26A4CC" w14:textId="77777777" w:rsidR="009E353B" w:rsidRPr="00670D09" w:rsidRDefault="009E353B" w:rsidP="006F6ADA">
      <w:pPr>
        <w:pStyle w:val="FootnoteText"/>
        <w:rPr>
          <w:lang w:val="en-US"/>
        </w:rPr>
      </w:pPr>
      <w:r>
        <w:rPr>
          <w:rStyle w:val="FootnoteReference"/>
        </w:rPr>
        <w:footnoteRef/>
      </w:r>
      <w:r>
        <w:t xml:space="preserve"> </w:t>
      </w:r>
      <w:r w:rsidRPr="006F6ADA">
        <w:t>DAS28</w:t>
      </w:r>
      <w:r w:rsidRPr="00FA02D5">
        <w:t xml:space="preserve"> scores</w:t>
      </w:r>
      <w:r>
        <w:t>;</w:t>
      </w:r>
      <w:r w:rsidRPr="00670D09">
        <w:t xml:space="preserve"> </w:t>
      </w:r>
      <w:r w:rsidRPr="00D7252D">
        <w:t>Disease activity score and DAS28 is a measure of the activity of rheumatoid arthritis. The DAS is based upon treatment decisions of rheumatologists in daily clinical practice.</w:t>
      </w:r>
    </w:p>
  </w:footnote>
  <w:footnote w:id="18">
    <w:p w14:paraId="70CAF905" w14:textId="77777777" w:rsidR="009E353B" w:rsidRDefault="009E353B" w:rsidP="00FA3A5F">
      <w:pPr>
        <w:pStyle w:val="FootnoteText"/>
      </w:pPr>
      <w:r>
        <w:rPr>
          <w:rStyle w:val="FootnoteReference"/>
        </w:rPr>
        <w:footnoteRef/>
      </w:r>
      <w:r>
        <w:t xml:space="preserve"> </w:t>
      </w:r>
      <w:r w:rsidRPr="00F12492">
        <w:rPr>
          <w:i/>
        </w:rPr>
        <w:t>Routine risk minimisation</w:t>
      </w:r>
      <w:r>
        <w:t xml:space="preserve"> activities </w:t>
      </w:r>
      <w:r w:rsidRPr="00FA3A5F">
        <w:t>may</w:t>
      </w:r>
      <w:r>
        <w:t xml:space="preserve"> be limited to ensuring that suitable warnings are included in the product information or by careful use of labelling and packaging.</w:t>
      </w:r>
    </w:p>
    <w:p w14:paraId="35C01A45" w14:textId="77777777" w:rsidR="009E353B" w:rsidRDefault="009E353B" w:rsidP="004D15A2">
      <w:pPr>
        <w:pStyle w:val="FootnoteText"/>
      </w:pPr>
      <w:r w:rsidRPr="00F12492">
        <w:rPr>
          <w:i/>
        </w:rPr>
        <w:t>Routine pharmacovigilance</w:t>
      </w:r>
      <w:r>
        <w:t xml:space="preserve"> practices involve the following activities:</w:t>
      </w:r>
    </w:p>
    <w:p w14:paraId="25BCA0CF" w14:textId="77777777" w:rsidR="009E353B" w:rsidRDefault="009E353B" w:rsidP="004D15A2">
      <w:pPr>
        <w:pStyle w:val="FootnoteText"/>
        <w:numPr>
          <w:ilvl w:val="0"/>
          <w:numId w:val="5"/>
        </w:numPr>
      </w:pPr>
      <w:r>
        <w:t>All suspected adverse reactions that are reported to the personnel of the company are collected and collated in an accessible manner;</w:t>
      </w:r>
    </w:p>
    <w:p w14:paraId="5071F393" w14:textId="77777777" w:rsidR="009E353B" w:rsidRDefault="009E353B" w:rsidP="004D15A2">
      <w:pPr>
        <w:pStyle w:val="FootnoteText"/>
        <w:numPr>
          <w:ilvl w:val="0"/>
          <w:numId w:val="5"/>
        </w:numPr>
      </w:pPr>
      <w:r>
        <w:t>Reporting to regulatory authorities;</w:t>
      </w:r>
    </w:p>
    <w:p w14:paraId="3E9A2818" w14:textId="77777777" w:rsidR="009E353B" w:rsidRDefault="009E353B" w:rsidP="004D15A2">
      <w:pPr>
        <w:pStyle w:val="FootnoteText"/>
        <w:numPr>
          <w:ilvl w:val="0"/>
          <w:numId w:val="5"/>
        </w:numPr>
      </w:pPr>
      <w:r>
        <w:t>Continuous monitoring of the safety profiles of approved products including signal detection and updating of labeling;</w:t>
      </w:r>
    </w:p>
    <w:p w14:paraId="3B00E474" w14:textId="77777777" w:rsidR="009E353B" w:rsidRDefault="009E353B" w:rsidP="004D15A2">
      <w:pPr>
        <w:pStyle w:val="FootnoteText"/>
        <w:numPr>
          <w:ilvl w:val="0"/>
          <w:numId w:val="5"/>
        </w:numPr>
      </w:pPr>
      <w:r>
        <w:t>Submission of PSURs;</w:t>
      </w:r>
    </w:p>
    <w:p w14:paraId="2C4917C6" w14:textId="77777777" w:rsidR="009E353B" w:rsidRPr="00F12492" w:rsidRDefault="009E353B" w:rsidP="004D15A2">
      <w:pPr>
        <w:pStyle w:val="FootnoteText"/>
        <w:numPr>
          <w:ilvl w:val="0"/>
          <w:numId w:val="5"/>
        </w:numPr>
        <w:rPr>
          <w:lang w:val="en-US"/>
        </w:rPr>
      </w:pPr>
      <w:r>
        <w:t>Meeting other local regulatory agency requirements.</w:t>
      </w:r>
    </w:p>
  </w:footnote>
  <w:footnote w:id="19">
    <w:p w14:paraId="0F432E03" w14:textId="45D85DCD" w:rsidR="009E353B" w:rsidRPr="0082450F" w:rsidRDefault="009E353B" w:rsidP="00FA3A5F">
      <w:pPr>
        <w:pStyle w:val="FootnoteText"/>
        <w:rPr>
          <w:lang w:val="en-US"/>
        </w:rPr>
      </w:pPr>
      <w:r>
        <w:rPr>
          <w:rStyle w:val="FootnoteReference"/>
        </w:rPr>
        <w:footnoteRef/>
      </w:r>
      <w:r>
        <w:t xml:space="preserve"> Clarification: </w:t>
      </w:r>
      <w:proofErr w:type="spellStart"/>
      <w:r w:rsidRPr="00936013">
        <w:t>Imraldi</w:t>
      </w:r>
      <w:proofErr w:type="spellEnd"/>
      <w:r w:rsidRPr="00936013">
        <w:t xml:space="preserve"> is now available in </w:t>
      </w:r>
      <w:r w:rsidRPr="00FA3A5F">
        <w:t>the</w:t>
      </w:r>
      <w:r w:rsidRPr="00936013">
        <w:t xml:space="preserve"> auto-injector presentation in the EU, and that the product is now approved in Canada under the name Hadlima </w:t>
      </w:r>
      <w:r>
        <w:t>(</w:t>
      </w:r>
      <w:proofErr w:type="spellStart"/>
      <w:r>
        <w:t>Hadlima</w:t>
      </w:r>
      <w:proofErr w:type="spellEnd"/>
      <w:r w:rsidRPr="00936013">
        <w:t xml:space="preserve"> PFS and </w:t>
      </w:r>
      <w:proofErr w:type="spellStart"/>
      <w:r w:rsidRPr="00936013">
        <w:t>Hadlima</w:t>
      </w:r>
      <w:proofErr w:type="spellEnd"/>
      <w:r w:rsidRPr="00936013">
        <w:t xml:space="preserve"> </w:t>
      </w:r>
      <w:proofErr w:type="spellStart"/>
      <w:r w:rsidRPr="00936013">
        <w:t>PushTouch</w:t>
      </w:r>
      <w:proofErr w:type="spellEnd"/>
      <w:r>
        <w:t>)</w:t>
      </w:r>
    </w:p>
  </w:footnote>
  <w:footnote w:id="20">
    <w:p w14:paraId="0B21D469" w14:textId="77777777" w:rsidR="009E353B" w:rsidRPr="003F5F5C" w:rsidRDefault="009E353B" w:rsidP="00894280">
      <w:pPr>
        <w:pStyle w:val="FootnoteText"/>
      </w:pPr>
      <w:r>
        <w:rPr>
          <w:rStyle w:val="FootnoteReference"/>
        </w:rPr>
        <w:footnoteRef/>
      </w:r>
      <w:r>
        <w:t xml:space="preserve"> </w:t>
      </w:r>
      <w:proofErr w:type="spellStart"/>
      <w:r w:rsidRPr="00894280">
        <w:t>Jefferis</w:t>
      </w:r>
      <w:proofErr w:type="spellEnd"/>
      <w:r w:rsidRPr="003F5F5C">
        <w:t xml:space="preserve">, R 2005 CCE IX: Review Glycosylation of Recombinant Antibody Therapeutics. </w:t>
      </w:r>
      <w:proofErr w:type="gramStart"/>
      <w:r w:rsidRPr="003F5F5C">
        <w:rPr>
          <w:i/>
        </w:rPr>
        <w:t>Biotechnol.</w:t>
      </w:r>
      <w:proofErr w:type="gramEnd"/>
      <w:r w:rsidRPr="003F5F5C">
        <w:rPr>
          <w:i/>
        </w:rPr>
        <w:t xml:space="preserve"> </w:t>
      </w:r>
      <w:proofErr w:type="gramStart"/>
      <w:r w:rsidRPr="003F5F5C">
        <w:rPr>
          <w:i/>
        </w:rPr>
        <w:t>Prog.</w:t>
      </w:r>
      <w:proofErr w:type="gramEnd"/>
      <w:r w:rsidRPr="003F5F5C">
        <w:t xml:space="preserve"> 2005, 21, 11-16</w:t>
      </w:r>
    </w:p>
  </w:footnote>
  <w:footnote w:id="21">
    <w:p w14:paraId="2BDE6C94" w14:textId="77777777" w:rsidR="009E353B" w:rsidRPr="003F5F5C" w:rsidRDefault="009E353B" w:rsidP="00894280">
      <w:pPr>
        <w:pStyle w:val="FootnoteText"/>
        <w:rPr>
          <w:rStyle w:val="FootnoteTextChar"/>
          <w:highlight w:val="yellow"/>
        </w:rPr>
      </w:pPr>
      <w:r>
        <w:rPr>
          <w:rStyle w:val="FootnoteReference"/>
        </w:rPr>
        <w:footnoteRef/>
      </w:r>
      <w:r>
        <w:t xml:space="preserve"> </w:t>
      </w:r>
      <w:proofErr w:type="gramStart"/>
      <w:r w:rsidRPr="003F5F5C">
        <w:t>Farooq M et al. 1997 EGC1 Glycosylation of polyclonal and paraprotein lgG in multiple myeloma.</w:t>
      </w:r>
      <w:proofErr w:type="gramEnd"/>
      <w:r w:rsidRPr="003F5F5C">
        <w:t xml:space="preserve"> </w:t>
      </w:r>
      <w:r w:rsidRPr="003F5F5C">
        <w:rPr>
          <w:rStyle w:val="FootnoteTextChar"/>
          <w:i/>
        </w:rPr>
        <w:t>Glycoconjugate Journal</w:t>
      </w:r>
      <w:r w:rsidRPr="003F5F5C">
        <w:rPr>
          <w:rStyle w:val="FootnoteTextChar"/>
        </w:rPr>
        <w:t xml:space="preserve"> </w:t>
      </w:r>
      <w:r>
        <w:rPr>
          <w:rStyle w:val="FootnoteTextChar"/>
        </w:rPr>
        <w:t>1997;</w:t>
      </w:r>
      <w:r w:rsidRPr="003F5F5C">
        <w:rPr>
          <w:rStyle w:val="FootnoteTextChar"/>
        </w:rPr>
        <w:t xml:space="preserve"> 14: 489-492</w:t>
      </w:r>
    </w:p>
  </w:footnote>
  <w:footnote w:id="22">
    <w:p w14:paraId="0EF83898" w14:textId="77777777" w:rsidR="009E353B" w:rsidRPr="003F5F5C" w:rsidRDefault="009E353B" w:rsidP="00894280">
      <w:pPr>
        <w:pStyle w:val="FootnoteText"/>
      </w:pPr>
      <w:r>
        <w:rPr>
          <w:rStyle w:val="FootnoteReference"/>
        </w:rPr>
        <w:footnoteRef/>
      </w:r>
      <w:r>
        <w:t xml:space="preserve"> </w:t>
      </w:r>
      <w:r w:rsidRPr="003F5F5C">
        <w:t>Jung ST et al, 2011 Bypassing glycosylation: engineering aglycosylated full-length</w:t>
      </w:r>
      <w:r>
        <w:t xml:space="preserve"> </w:t>
      </w:r>
      <w:r w:rsidRPr="003F5F5C">
        <w:t>IgG antibodies for human therapy</w:t>
      </w:r>
      <w:r>
        <w:t xml:space="preserve"> </w:t>
      </w:r>
      <w:r w:rsidRPr="003F5F5C">
        <w:rPr>
          <w:i/>
        </w:rPr>
        <w:t xml:space="preserve">Current Opinion in Biotechnology </w:t>
      </w:r>
      <w:r>
        <w:t>2011;</w:t>
      </w:r>
      <w:r w:rsidRPr="003F5F5C">
        <w:t xml:space="preserve"> 22:</w:t>
      </w:r>
      <w:r>
        <w:t xml:space="preserve"> </w:t>
      </w:r>
      <w:r w:rsidRPr="003F5F5C">
        <w:t>858–867</w:t>
      </w:r>
    </w:p>
  </w:footnote>
  <w:footnote w:id="23">
    <w:p w14:paraId="639FD5FD" w14:textId="77777777" w:rsidR="009E353B" w:rsidRDefault="009E353B" w:rsidP="00894280">
      <w:pPr>
        <w:pStyle w:val="FootnoteText"/>
      </w:pPr>
      <w:r>
        <w:rPr>
          <w:rStyle w:val="FootnoteReference"/>
        </w:rPr>
        <w:footnoteRef/>
      </w:r>
      <w:r>
        <w:t xml:space="preserve"> </w:t>
      </w:r>
      <w:r w:rsidRPr="00894280">
        <w:t>The</w:t>
      </w:r>
      <w:r>
        <w:t xml:space="preserv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5E142A6" w14:textId="77777777" w:rsidR="009E353B" w:rsidRPr="00456765" w:rsidRDefault="009E353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E0185" w14:textId="77777777" w:rsidR="009E353B" w:rsidRDefault="009E353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B751A" w14:textId="77777777" w:rsidR="009E353B" w:rsidRDefault="009E353B">
    <w:pPr>
      <w:rPr>
        <w:noProof/>
        <w:lang w:eastAsia="en-AU"/>
      </w:rPr>
    </w:pPr>
    <w:r w:rsidRPr="00347824">
      <w:rPr>
        <w:noProof/>
        <w:lang w:eastAsia="en-AU"/>
      </w:rPr>
      <w:drawing>
        <wp:anchor distT="0" distB="0" distL="114300" distR="114300" simplePos="0" relativeHeight="251659264" behindDoc="1" locked="0" layoutInCell="1" allowOverlap="1" wp14:anchorId="20A887AF" wp14:editId="7C6A00D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3185F14" w14:textId="77777777" w:rsidR="009E353B" w:rsidRDefault="009E353B" w:rsidP="00593AD1">
    <w:pPr>
      <w:pStyle w:val="HeaderNoLine"/>
    </w:pPr>
    <w:r>
      <w:rPr>
        <w:noProof/>
        <w:lang w:eastAsia="en-AU"/>
      </w:rPr>
      <w:drawing>
        <wp:inline distT="0" distB="0" distL="0" distR="0" wp14:anchorId="09AE2D44" wp14:editId="7A0B4D5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DABFE" w14:textId="77777777" w:rsidR="009E353B" w:rsidRDefault="009E35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08E5B" w14:textId="77777777" w:rsidR="009E353B" w:rsidRDefault="009E353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6A4AB" w14:textId="77777777" w:rsidR="009E353B" w:rsidRDefault="009E353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AA21" w14:textId="77777777" w:rsidR="009E353B" w:rsidRDefault="009E35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9ACF" w14:textId="77777777" w:rsidR="009E353B" w:rsidRDefault="009E353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7C214" w14:textId="77777777" w:rsidR="009E353B" w:rsidRDefault="009E353B" w:rsidP="006E08B3">
    <w:r>
      <w:t>Therapeutic Goods Administration</w:t>
    </w:r>
  </w:p>
  <w:p w14:paraId="45CD4EC2" w14:textId="77777777" w:rsidR="009E353B" w:rsidRDefault="009E353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9FE9DBE"/>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79647F18"/>
    <w:lvl w:ilvl="0">
      <w:start w:val="1"/>
      <w:numFmt w:val="bullet"/>
      <w:lvlText w:val=""/>
      <w:lvlJc w:val="left"/>
      <w:pPr>
        <w:tabs>
          <w:tab w:val="num" w:pos="360"/>
        </w:tabs>
        <w:ind w:left="360" w:hanging="360"/>
      </w:pPr>
      <w:rPr>
        <w:rFonts w:ascii="Symbol" w:hAnsi="Symbol" w:hint="default"/>
      </w:r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E66C7B6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473A3B2D"/>
    <w:multiLevelType w:val="hybridMultilevel"/>
    <w:tmpl w:val="83E2E73A"/>
    <w:lvl w:ilvl="0" w:tplc="251AA20E">
      <w:numFmt w:val="bullet"/>
      <w:lvlText w:val="-"/>
      <w:lvlJc w:val="left"/>
      <w:pPr>
        <w:ind w:left="720" w:hanging="360"/>
      </w:pPr>
      <w:rPr>
        <w:rFonts w:ascii="Cambria" w:eastAsia="Batang"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2"/>
        </w:tabs>
        <w:ind w:left="1022" w:hanging="1022"/>
      </w:pPr>
      <w:rPr>
        <w:rFonts w:hint="default"/>
      </w:rPr>
    </w:lvl>
    <w:lvl w:ilvl="2">
      <w:start w:val="1"/>
      <w:numFmt w:val="decimal"/>
      <w:lvlText w:val="%1.%2.%3."/>
      <w:lvlJc w:val="left"/>
      <w:pPr>
        <w:tabs>
          <w:tab w:val="num" w:pos="1815"/>
        </w:tabs>
        <w:ind w:left="1815"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0"/>
  </w:num>
  <w:num w:numId="2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QzM7Q0tjQ2NTO3MDBV0lEKTi0uzszPAykwrAUAlrfPiCwAAAA="/>
  </w:docVars>
  <w:rsids>
    <w:rsidRoot w:val="00F413F6"/>
    <w:rsid w:val="00002031"/>
    <w:rsid w:val="00004734"/>
    <w:rsid w:val="000058A9"/>
    <w:rsid w:val="00006B22"/>
    <w:rsid w:val="00007A5D"/>
    <w:rsid w:val="0001276A"/>
    <w:rsid w:val="00017790"/>
    <w:rsid w:val="000246AE"/>
    <w:rsid w:val="00025C67"/>
    <w:rsid w:val="00042CCD"/>
    <w:rsid w:val="00044772"/>
    <w:rsid w:val="0005559E"/>
    <w:rsid w:val="000604D6"/>
    <w:rsid w:val="00062787"/>
    <w:rsid w:val="00071331"/>
    <w:rsid w:val="000734D8"/>
    <w:rsid w:val="00077775"/>
    <w:rsid w:val="000855DE"/>
    <w:rsid w:val="00090471"/>
    <w:rsid w:val="00091C90"/>
    <w:rsid w:val="00096AA7"/>
    <w:rsid w:val="000A0030"/>
    <w:rsid w:val="000A3AED"/>
    <w:rsid w:val="000B2BC4"/>
    <w:rsid w:val="000B3532"/>
    <w:rsid w:val="000B3A75"/>
    <w:rsid w:val="000B7CBE"/>
    <w:rsid w:val="000C00C2"/>
    <w:rsid w:val="000C0615"/>
    <w:rsid w:val="000C690F"/>
    <w:rsid w:val="000D1295"/>
    <w:rsid w:val="000D391B"/>
    <w:rsid w:val="000D3D6D"/>
    <w:rsid w:val="000D4FC7"/>
    <w:rsid w:val="000E5AD2"/>
    <w:rsid w:val="000E6196"/>
    <w:rsid w:val="000F2572"/>
    <w:rsid w:val="000F4869"/>
    <w:rsid w:val="000F5B42"/>
    <w:rsid w:val="000F6E6F"/>
    <w:rsid w:val="0010601F"/>
    <w:rsid w:val="0010788A"/>
    <w:rsid w:val="00107A31"/>
    <w:rsid w:val="00110EA5"/>
    <w:rsid w:val="00112F56"/>
    <w:rsid w:val="00124ACD"/>
    <w:rsid w:val="00125318"/>
    <w:rsid w:val="001305A2"/>
    <w:rsid w:val="00133238"/>
    <w:rsid w:val="001333DA"/>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86C65"/>
    <w:rsid w:val="00187CC7"/>
    <w:rsid w:val="001A2158"/>
    <w:rsid w:val="001A2848"/>
    <w:rsid w:val="001A525F"/>
    <w:rsid w:val="001B09F9"/>
    <w:rsid w:val="001B5C90"/>
    <w:rsid w:val="001B6448"/>
    <w:rsid w:val="001B7E12"/>
    <w:rsid w:val="001C32CD"/>
    <w:rsid w:val="001C3936"/>
    <w:rsid w:val="001D2984"/>
    <w:rsid w:val="001D6B7E"/>
    <w:rsid w:val="001E07CF"/>
    <w:rsid w:val="001E59F1"/>
    <w:rsid w:val="001F2CEE"/>
    <w:rsid w:val="001F49EB"/>
    <w:rsid w:val="001F6CBA"/>
    <w:rsid w:val="00201D4E"/>
    <w:rsid w:val="002076C9"/>
    <w:rsid w:val="00210176"/>
    <w:rsid w:val="00212873"/>
    <w:rsid w:val="00220B8A"/>
    <w:rsid w:val="002257F3"/>
    <w:rsid w:val="00227092"/>
    <w:rsid w:val="00233456"/>
    <w:rsid w:val="002339A5"/>
    <w:rsid w:val="00233ED8"/>
    <w:rsid w:val="00257848"/>
    <w:rsid w:val="0027084A"/>
    <w:rsid w:val="00286434"/>
    <w:rsid w:val="00286C59"/>
    <w:rsid w:val="00291957"/>
    <w:rsid w:val="002937BC"/>
    <w:rsid w:val="002942D1"/>
    <w:rsid w:val="0029501A"/>
    <w:rsid w:val="002A3721"/>
    <w:rsid w:val="002B1638"/>
    <w:rsid w:val="002B25FE"/>
    <w:rsid w:val="002B3624"/>
    <w:rsid w:val="002D0952"/>
    <w:rsid w:val="002D0EB7"/>
    <w:rsid w:val="002E40B3"/>
    <w:rsid w:val="002E4C9A"/>
    <w:rsid w:val="002F11F8"/>
    <w:rsid w:val="002F3F56"/>
    <w:rsid w:val="002F44B5"/>
    <w:rsid w:val="00311AC0"/>
    <w:rsid w:val="00316E5D"/>
    <w:rsid w:val="003176FC"/>
    <w:rsid w:val="00321955"/>
    <w:rsid w:val="0032583B"/>
    <w:rsid w:val="00327883"/>
    <w:rsid w:val="0033247E"/>
    <w:rsid w:val="00335504"/>
    <w:rsid w:val="00340C18"/>
    <w:rsid w:val="00341B2D"/>
    <w:rsid w:val="003442FD"/>
    <w:rsid w:val="00347824"/>
    <w:rsid w:val="00350567"/>
    <w:rsid w:val="003521E8"/>
    <w:rsid w:val="00370CE3"/>
    <w:rsid w:val="003728F3"/>
    <w:rsid w:val="00373BB9"/>
    <w:rsid w:val="0037496E"/>
    <w:rsid w:val="00383221"/>
    <w:rsid w:val="00386150"/>
    <w:rsid w:val="003874CE"/>
    <w:rsid w:val="00390900"/>
    <w:rsid w:val="00392E61"/>
    <w:rsid w:val="00393154"/>
    <w:rsid w:val="00393DE6"/>
    <w:rsid w:val="00397016"/>
    <w:rsid w:val="003A2B7E"/>
    <w:rsid w:val="003A7F6C"/>
    <w:rsid w:val="003B4801"/>
    <w:rsid w:val="003B4D60"/>
    <w:rsid w:val="003B5224"/>
    <w:rsid w:val="003B7E39"/>
    <w:rsid w:val="003C58DC"/>
    <w:rsid w:val="003D1E62"/>
    <w:rsid w:val="003E0B99"/>
    <w:rsid w:val="003E0D57"/>
    <w:rsid w:val="003E1B82"/>
    <w:rsid w:val="003E2486"/>
    <w:rsid w:val="003E30D0"/>
    <w:rsid w:val="003E3208"/>
    <w:rsid w:val="003E6437"/>
    <w:rsid w:val="003E70A4"/>
    <w:rsid w:val="003F0B04"/>
    <w:rsid w:val="003F5F5C"/>
    <w:rsid w:val="0040134E"/>
    <w:rsid w:val="0042126B"/>
    <w:rsid w:val="004334C7"/>
    <w:rsid w:val="00440A2D"/>
    <w:rsid w:val="00441C3F"/>
    <w:rsid w:val="00444148"/>
    <w:rsid w:val="004564A7"/>
    <w:rsid w:val="00456765"/>
    <w:rsid w:val="004617BF"/>
    <w:rsid w:val="00463658"/>
    <w:rsid w:val="004637A0"/>
    <w:rsid w:val="004718B9"/>
    <w:rsid w:val="004722CC"/>
    <w:rsid w:val="00487FF9"/>
    <w:rsid w:val="004936E4"/>
    <w:rsid w:val="00494E60"/>
    <w:rsid w:val="00497487"/>
    <w:rsid w:val="004A0B50"/>
    <w:rsid w:val="004A4579"/>
    <w:rsid w:val="004A6189"/>
    <w:rsid w:val="004A7390"/>
    <w:rsid w:val="004B04CC"/>
    <w:rsid w:val="004B7B76"/>
    <w:rsid w:val="004C0246"/>
    <w:rsid w:val="004C239D"/>
    <w:rsid w:val="004C2DCA"/>
    <w:rsid w:val="004C3B1B"/>
    <w:rsid w:val="004C61D2"/>
    <w:rsid w:val="004D15A2"/>
    <w:rsid w:val="004D39E5"/>
    <w:rsid w:val="004D676B"/>
    <w:rsid w:val="004E41DC"/>
    <w:rsid w:val="004F0C4A"/>
    <w:rsid w:val="004F0F38"/>
    <w:rsid w:val="004F47D6"/>
    <w:rsid w:val="00500337"/>
    <w:rsid w:val="00501921"/>
    <w:rsid w:val="00512DD1"/>
    <w:rsid w:val="00530354"/>
    <w:rsid w:val="00533141"/>
    <w:rsid w:val="0053625B"/>
    <w:rsid w:val="005434C6"/>
    <w:rsid w:val="00543B39"/>
    <w:rsid w:val="00546154"/>
    <w:rsid w:val="00550096"/>
    <w:rsid w:val="00553242"/>
    <w:rsid w:val="00555280"/>
    <w:rsid w:val="00557FF9"/>
    <w:rsid w:val="00562327"/>
    <w:rsid w:val="00570539"/>
    <w:rsid w:val="005711D5"/>
    <w:rsid w:val="00575517"/>
    <w:rsid w:val="00576378"/>
    <w:rsid w:val="00577130"/>
    <w:rsid w:val="00577945"/>
    <w:rsid w:val="00577E38"/>
    <w:rsid w:val="00585322"/>
    <w:rsid w:val="005857C6"/>
    <w:rsid w:val="00592F6E"/>
    <w:rsid w:val="005931BB"/>
    <w:rsid w:val="00593AD1"/>
    <w:rsid w:val="005A0034"/>
    <w:rsid w:val="005A0780"/>
    <w:rsid w:val="005A3C52"/>
    <w:rsid w:val="005A5A3E"/>
    <w:rsid w:val="005A68B6"/>
    <w:rsid w:val="005B092C"/>
    <w:rsid w:val="005C3656"/>
    <w:rsid w:val="005C5570"/>
    <w:rsid w:val="005C79A4"/>
    <w:rsid w:val="005D5442"/>
    <w:rsid w:val="005D5CAB"/>
    <w:rsid w:val="005E1B2D"/>
    <w:rsid w:val="005F3A90"/>
    <w:rsid w:val="005F7B1B"/>
    <w:rsid w:val="00603F32"/>
    <w:rsid w:val="00605AD4"/>
    <w:rsid w:val="00611D22"/>
    <w:rsid w:val="006125C3"/>
    <w:rsid w:val="006136D7"/>
    <w:rsid w:val="00614C99"/>
    <w:rsid w:val="00625A6E"/>
    <w:rsid w:val="00625CDF"/>
    <w:rsid w:val="00630211"/>
    <w:rsid w:val="00630678"/>
    <w:rsid w:val="00632398"/>
    <w:rsid w:val="00637FFC"/>
    <w:rsid w:val="00640FC3"/>
    <w:rsid w:val="00642020"/>
    <w:rsid w:val="0065337B"/>
    <w:rsid w:val="0065419D"/>
    <w:rsid w:val="006604D8"/>
    <w:rsid w:val="00664A5B"/>
    <w:rsid w:val="0066735C"/>
    <w:rsid w:val="00670D09"/>
    <w:rsid w:val="006763D2"/>
    <w:rsid w:val="00680C08"/>
    <w:rsid w:val="00683EFD"/>
    <w:rsid w:val="0068486D"/>
    <w:rsid w:val="006916A0"/>
    <w:rsid w:val="006931B1"/>
    <w:rsid w:val="0069652B"/>
    <w:rsid w:val="006A15C0"/>
    <w:rsid w:val="006C06C7"/>
    <w:rsid w:val="006C3E2A"/>
    <w:rsid w:val="006C5849"/>
    <w:rsid w:val="006C642F"/>
    <w:rsid w:val="006C6CAA"/>
    <w:rsid w:val="006D03E5"/>
    <w:rsid w:val="006D2AD0"/>
    <w:rsid w:val="006D3D79"/>
    <w:rsid w:val="006D5505"/>
    <w:rsid w:val="006D5D3E"/>
    <w:rsid w:val="006E08B3"/>
    <w:rsid w:val="006E2959"/>
    <w:rsid w:val="006E2D7B"/>
    <w:rsid w:val="006E62E7"/>
    <w:rsid w:val="006F17AC"/>
    <w:rsid w:val="006F25B8"/>
    <w:rsid w:val="006F572E"/>
    <w:rsid w:val="006F6ADA"/>
    <w:rsid w:val="00701252"/>
    <w:rsid w:val="007020D2"/>
    <w:rsid w:val="007046D6"/>
    <w:rsid w:val="00705DB0"/>
    <w:rsid w:val="00706CDA"/>
    <w:rsid w:val="007135AC"/>
    <w:rsid w:val="00722765"/>
    <w:rsid w:val="00722B57"/>
    <w:rsid w:val="00730F8A"/>
    <w:rsid w:val="00735A8C"/>
    <w:rsid w:val="007417EE"/>
    <w:rsid w:val="0074253D"/>
    <w:rsid w:val="0074429B"/>
    <w:rsid w:val="00754EA7"/>
    <w:rsid w:val="007615BC"/>
    <w:rsid w:val="00762F05"/>
    <w:rsid w:val="007652FF"/>
    <w:rsid w:val="00767680"/>
    <w:rsid w:val="00770CAC"/>
    <w:rsid w:val="00770EF1"/>
    <w:rsid w:val="00773EF7"/>
    <w:rsid w:val="00774E1D"/>
    <w:rsid w:val="007765D8"/>
    <w:rsid w:val="0077675A"/>
    <w:rsid w:val="00780355"/>
    <w:rsid w:val="007819FD"/>
    <w:rsid w:val="00783DCD"/>
    <w:rsid w:val="00785717"/>
    <w:rsid w:val="00785721"/>
    <w:rsid w:val="00793A59"/>
    <w:rsid w:val="00795FCD"/>
    <w:rsid w:val="007A46F5"/>
    <w:rsid w:val="007B6132"/>
    <w:rsid w:val="007B6E9F"/>
    <w:rsid w:val="007B7F83"/>
    <w:rsid w:val="007C1216"/>
    <w:rsid w:val="007C1AF7"/>
    <w:rsid w:val="007C4788"/>
    <w:rsid w:val="007C6B9B"/>
    <w:rsid w:val="007D5963"/>
    <w:rsid w:val="007F53CA"/>
    <w:rsid w:val="007F5F60"/>
    <w:rsid w:val="00805D27"/>
    <w:rsid w:val="00806DCB"/>
    <w:rsid w:val="0081698C"/>
    <w:rsid w:val="00821776"/>
    <w:rsid w:val="0082450F"/>
    <w:rsid w:val="008321F5"/>
    <w:rsid w:val="00832369"/>
    <w:rsid w:val="00834660"/>
    <w:rsid w:val="00836BC2"/>
    <w:rsid w:val="00841904"/>
    <w:rsid w:val="0085032E"/>
    <w:rsid w:val="0085156D"/>
    <w:rsid w:val="0085641B"/>
    <w:rsid w:val="00857136"/>
    <w:rsid w:val="00875A6B"/>
    <w:rsid w:val="00876353"/>
    <w:rsid w:val="00885B11"/>
    <w:rsid w:val="00886D15"/>
    <w:rsid w:val="00887DD8"/>
    <w:rsid w:val="00891BA9"/>
    <w:rsid w:val="00894280"/>
    <w:rsid w:val="00896018"/>
    <w:rsid w:val="008960DD"/>
    <w:rsid w:val="0089635C"/>
    <w:rsid w:val="008A2B9D"/>
    <w:rsid w:val="008A3D9F"/>
    <w:rsid w:val="008A5E0B"/>
    <w:rsid w:val="008A6D59"/>
    <w:rsid w:val="008B0E5E"/>
    <w:rsid w:val="008B4B03"/>
    <w:rsid w:val="008B596F"/>
    <w:rsid w:val="008C0638"/>
    <w:rsid w:val="008C159F"/>
    <w:rsid w:val="008C1623"/>
    <w:rsid w:val="008C1850"/>
    <w:rsid w:val="008C51A9"/>
    <w:rsid w:val="008E7846"/>
    <w:rsid w:val="008F02E5"/>
    <w:rsid w:val="008F1CCC"/>
    <w:rsid w:val="008F2967"/>
    <w:rsid w:val="008F6943"/>
    <w:rsid w:val="00902A21"/>
    <w:rsid w:val="00914774"/>
    <w:rsid w:val="00920330"/>
    <w:rsid w:val="00920B2E"/>
    <w:rsid w:val="00921857"/>
    <w:rsid w:val="009219D7"/>
    <w:rsid w:val="00922D53"/>
    <w:rsid w:val="00923B70"/>
    <w:rsid w:val="00924482"/>
    <w:rsid w:val="00930237"/>
    <w:rsid w:val="00930A23"/>
    <w:rsid w:val="009324C3"/>
    <w:rsid w:val="00933652"/>
    <w:rsid w:val="00936013"/>
    <w:rsid w:val="00937C17"/>
    <w:rsid w:val="00940A89"/>
    <w:rsid w:val="009417F0"/>
    <w:rsid w:val="009446CF"/>
    <w:rsid w:val="00946EA5"/>
    <w:rsid w:val="00946EE2"/>
    <w:rsid w:val="00947E93"/>
    <w:rsid w:val="009501BC"/>
    <w:rsid w:val="009612AD"/>
    <w:rsid w:val="00963C08"/>
    <w:rsid w:val="009752A5"/>
    <w:rsid w:val="0098199A"/>
    <w:rsid w:val="0098585A"/>
    <w:rsid w:val="009A0B87"/>
    <w:rsid w:val="009A4CED"/>
    <w:rsid w:val="009A690D"/>
    <w:rsid w:val="009B1D12"/>
    <w:rsid w:val="009B416B"/>
    <w:rsid w:val="009C1291"/>
    <w:rsid w:val="009C4BD5"/>
    <w:rsid w:val="009D097A"/>
    <w:rsid w:val="009D3303"/>
    <w:rsid w:val="009D7B77"/>
    <w:rsid w:val="009E0BB0"/>
    <w:rsid w:val="009E2454"/>
    <w:rsid w:val="009E353B"/>
    <w:rsid w:val="009E3FBB"/>
    <w:rsid w:val="009F7353"/>
    <w:rsid w:val="00A04F85"/>
    <w:rsid w:val="00A05E17"/>
    <w:rsid w:val="00A05FA4"/>
    <w:rsid w:val="00A102E4"/>
    <w:rsid w:val="00A12C42"/>
    <w:rsid w:val="00A14DF7"/>
    <w:rsid w:val="00A15DC5"/>
    <w:rsid w:val="00A20571"/>
    <w:rsid w:val="00A3246D"/>
    <w:rsid w:val="00A36FA7"/>
    <w:rsid w:val="00A44DDB"/>
    <w:rsid w:val="00A475B7"/>
    <w:rsid w:val="00A47AF7"/>
    <w:rsid w:val="00A47C3E"/>
    <w:rsid w:val="00A50226"/>
    <w:rsid w:val="00A53A7C"/>
    <w:rsid w:val="00A60BAD"/>
    <w:rsid w:val="00A63101"/>
    <w:rsid w:val="00A80B5B"/>
    <w:rsid w:val="00A833B6"/>
    <w:rsid w:val="00A84E36"/>
    <w:rsid w:val="00A964D1"/>
    <w:rsid w:val="00AA0ED0"/>
    <w:rsid w:val="00AA1D72"/>
    <w:rsid w:val="00AB2F1D"/>
    <w:rsid w:val="00AB4938"/>
    <w:rsid w:val="00AC2B40"/>
    <w:rsid w:val="00AC2BB2"/>
    <w:rsid w:val="00AC2C3C"/>
    <w:rsid w:val="00AC4FC7"/>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5618"/>
    <w:rsid w:val="00B35696"/>
    <w:rsid w:val="00B37D17"/>
    <w:rsid w:val="00B4175E"/>
    <w:rsid w:val="00B41C85"/>
    <w:rsid w:val="00B452CE"/>
    <w:rsid w:val="00B54C25"/>
    <w:rsid w:val="00B60B95"/>
    <w:rsid w:val="00B71F88"/>
    <w:rsid w:val="00B76B91"/>
    <w:rsid w:val="00B77EB1"/>
    <w:rsid w:val="00B811C6"/>
    <w:rsid w:val="00B836D6"/>
    <w:rsid w:val="00B855B0"/>
    <w:rsid w:val="00B91287"/>
    <w:rsid w:val="00B92E08"/>
    <w:rsid w:val="00B948BA"/>
    <w:rsid w:val="00B97764"/>
    <w:rsid w:val="00BC4099"/>
    <w:rsid w:val="00BC622A"/>
    <w:rsid w:val="00BD6CAB"/>
    <w:rsid w:val="00BD7536"/>
    <w:rsid w:val="00BE0A78"/>
    <w:rsid w:val="00BE79F0"/>
    <w:rsid w:val="00BF046D"/>
    <w:rsid w:val="00BF1190"/>
    <w:rsid w:val="00BF2CCB"/>
    <w:rsid w:val="00BF5D04"/>
    <w:rsid w:val="00C009AA"/>
    <w:rsid w:val="00C05C12"/>
    <w:rsid w:val="00C1164D"/>
    <w:rsid w:val="00C145C9"/>
    <w:rsid w:val="00C16861"/>
    <w:rsid w:val="00C33F9D"/>
    <w:rsid w:val="00C346AB"/>
    <w:rsid w:val="00C404A6"/>
    <w:rsid w:val="00C40A36"/>
    <w:rsid w:val="00C44419"/>
    <w:rsid w:val="00C45E7B"/>
    <w:rsid w:val="00C471B1"/>
    <w:rsid w:val="00C55A80"/>
    <w:rsid w:val="00C571FF"/>
    <w:rsid w:val="00C61134"/>
    <w:rsid w:val="00C6316B"/>
    <w:rsid w:val="00C634A9"/>
    <w:rsid w:val="00C64586"/>
    <w:rsid w:val="00C70D53"/>
    <w:rsid w:val="00C73D0B"/>
    <w:rsid w:val="00C772FF"/>
    <w:rsid w:val="00C7771F"/>
    <w:rsid w:val="00C80137"/>
    <w:rsid w:val="00C801AF"/>
    <w:rsid w:val="00C80256"/>
    <w:rsid w:val="00C85C4F"/>
    <w:rsid w:val="00C9090E"/>
    <w:rsid w:val="00C9463E"/>
    <w:rsid w:val="00C94AA3"/>
    <w:rsid w:val="00C94CD4"/>
    <w:rsid w:val="00C9747E"/>
    <w:rsid w:val="00CA4829"/>
    <w:rsid w:val="00CA7EF5"/>
    <w:rsid w:val="00CB1249"/>
    <w:rsid w:val="00CB6BC0"/>
    <w:rsid w:val="00CC1B7C"/>
    <w:rsid w:val="00CC727F"/>
    <w:rsid w:val="00CD4EFC"/>
    <w:rsid w:val="00CF05D4"/>
    <w:rsid w:val="00CF15C3"/>
    <w:rsid w:val="00CF2B6F"/>
    <w:rsid w:val="00CF2F3E"/>
    <w:rsid w:val="00CF58B6"/>
    <w:rsid w:val="00CF5FC1"/>
    <w:rsid w:val="00D0062D"/>
    <w:rsid w:val="00D017ED"/>
    <w:rsid w:val="00D026B1"/>
    <w:rsid w:val="00D02A3B"/>
    <w:rsid w:val="00D040D3"/>
    <w:rsid w:val="00D04C65"/>
    <w:rsid w:val="00D109BA"/>
    <w:rsid w:val="00D201D2"/>
    <w:rsid w:val="00D223E7"/>
    <w:rsid w:val="00D224FE"/>
    <w:rsid w:val="00D23139"/>
    <w:rsid w:val="00D27DD1"/>
    <w:rsid w:val="00D36CEF"/>
    <w:rsid w:val="00D425BB"/>
    <w:rsid w:val="00D62A99"/>
    <w:rsid w:val="00D64853"/>
    <w:rsid w:val="00D6493E"/>
    <w:rsid w:val="00D7195D"/>
    <w:rsid w:val="00D7301E"/>
    <w:rsid w:val="00D768AD"/>
    <w:rsid w:val="00D76E7F"/>
    <w:rsid w:val="00D81329"/>
    <w:rsid w:val="00D83AE1"/>
    <w:rsid w:val="00D848EB"/>
    <w:rsid w:val="00D855D4"/>
    <w:rsid w:val="00D865B3"/>
    <w:rsid w:val="00D902C9"/>
    <w:rsid w:val="00D93466"/>
    <w:rsid w:val="00D9507C"/>
    <w:rsid w:val="00DA1124"/>
    <w:rsid w:val="00DA49C5"/>
    <w:rsid w:val="00DB6124"/>
    <w:rsid w:val="00DB750B"/>
    <w:rsid w:val="00DB75B7"/>
    <w:rsid w:val="00DC6E02"/>
    <w:rsid w:val="00DD1209"/>
    <w:rsid w:val="00DD21A0"/>
    <w:rsid w:val="00DD28CD"/>
    <w:rsid w:val="00DD6242"/>
    <w:rsid w:val="00DE02AE"/>
    <w:rsid w:val="00DE2A48"/>
    <w:rsid w:val="00DE70EF"/>
    <w:rsid w:val="00DE7D71"/>
    <w:rsid w:val="00DF1D7F"/>
    <w:rsid w:val="00DF4BE4"/>
    <w:rsid w:val="00E02FB4"/>
    <w:rsid w:val="00E07453"/>
    <w:rsid w:val="00E078B4"/>
    <w:rsid w:val="00E13FC7"/>
    <w:rsid w:val="00E2027A"/>
    <w:rsid w:val="00E20571"/>
    <w:rsid w:val="00E22CD5"/>
    <w:rsid w:val="00E23478"/>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93F23"/>
    <w:rsid w:val="00E93F81"/>
    <w:rsid w:val="00E95CAE"/>
    <w:rsid w:val="00EB0798"/>
    <w:rsid w:val="00EB0AAA"/>
    <w:rsid w:val="00EB40AD"/>
    <w:rsid w:val="00EB586E"/>
    <w:rsid w:val="00EB5FC8"/>
    <w:rsid w:val="00EC177F"/>
    <w:rsid w:val="00EC463D"/>
    <w:rsid w:val="00EC7A85"/>
    <w:rsid w:val="00ED2922"/>
    <w:rsid w:val="00ED2F76"/>
    <w:rsid w:val="00ED3CAD"/>
    <w:rsid w:val="00ED5A41"/>
    <w:rsid w:val="00ED6FF8"/>
    <w:rsid w:val="00EE0E08"/>
    <w:rsid w:val="00EE1DE8"/>
    <w:rsid w:val="00EE27C2"/>
    <w:rsid w:val="00EE65D1"/>
    <w:rsid w:val="00EF4BAD"/>
    <w:rsid w:val="00EF59DC"/>
    <w:rsid w:val="00F033EC"/>
    <w:rsid w:val="00F04F68"/>
    <w:rsid w:val="00F12670"/>
    <w:rsid w:val="00F14B27"/>
    <w:rsid w:val="00F17735"/>
    <w:rsid w:val="00F2391D"/>
    <w:rsid w:val="00F30165"/>
    <w:rsid w:val="00F3148D"/>
    <w:rsid w:val="00F325C5"/>
    <w:rsid w:val="00F32FE0"/>
    <w:rsid w:val="00F33B4F"/>
    <w:rsid w:val="00F35298"/>
    <w:rsid w:val="00F370CF"/>
    <w:rsid w:val="00F413F6"/>
    <w:rsid w:val="00F47333"/>
    <w:rsid w:val="00F47E37"/>
    <w:rsid w:val="00F521AB"/>
    <w:rsid w:val="00F53C07"/>
    <w:rsid w:val="00F54B65"/>
    <w:rsid w:val="00F609F7"/>
    <w:rsid w:val="00F6110D"/>
    <w:rsid w:val="00F640B6"/>
    <w:rsid w:val="00F66DF2"/>
    <w:rsid w:val="00F80E40"/>
    <w:rsid w:val="00F848D9"/>
    <w:rsid w:val="00F952C9"/>
    <w:rsid w:val="00FA02D5"/>
    <w:rsid w:val="00FA3A5F"/>
    <w:rsid w:val="00FA5B82"/>
    <w:rsid w:val="00FA639E"/>
    <w:rsid w:val="00FA7BAA"/>
    <w:rsid w:val="00FB225D"/>
    <w:rsid w:val="00FC1FCA"/>
    <w:rsid w:val="00FC25E4"/>
    <w:rsid w:val="00FC4EF7"/>
    <w:rsid w:val="00FD0824"/>
    <w:rsid w:val="00FD119B"/>
    <w:rsid w:val="00FD1EDC"/>
    <w:rsid w:val="00FD3572"/>
    <w:rsid w:val="00FE1DEE"/>
    <w:rsid w:val="00FE2BBD"/>
    <w:rsid w:val="00FE5BC2"/>
    <w:rsid w:val="00FF2126"/>
    <w:rsid w:val="00FF356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74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9428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30678"/>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30165"/>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3E1B82"/>
    <w:rPr>
      <w:rFonts w:ascii="Cambria" w:eastAsia="Cambria" w:hAnsi="Cambria" w:cs="Times New Roman"/>
      <w:sz w:val="19"/>
    </w:rPr>
  </w:style>
  <w:style w:type="paragraph" w:customStyle="1" w:styleId="Bulletlist">
    <w:name w:val="Bullet list"/>
    <w:basedOn w:val="Normal"/>
    <w:link w:val="BulletlistChar"/>
    <w:qFormat/>
    <w:rsid w:val="003E1B82"/>
    <w:pPr>
      <w:numPr>
        <w:numId w:val="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3E1B82"/>
    <w:rPr>
      <w:rFonts w:ascii="Cambria" w:eastAsia="Times New Roman" w:hAnsi="Cambria" w:cs="Times New Roman"/>
      <w:snapToGrid w:val="0"/>
      <w:kern w:val="2"/>
      <w:sz w:val="23"/>
    </w:rPr>
  </w:style>
  <w:style w:type="paragraph" w:customStyle="1" w:styleId="Default">
    <w:name w:val="Default"/>
    <w:rsid w:val="00187CC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uidanceText-Bulleted">
    <w:name w:val="Guidance Text-Bulleted"/>
    <w:basedOn w:val="Normal"/>
    <w:rsid w:val="00D9507C"/>
    <w:pPr>
      <w:autoSpaceDE w:val="0"/>
      <w:autoSpaceDN w:val="0"/>
      <w:adjustRightInd w:val="0"/>
      <w:spacing w:before="0" w:after="0" w:line="276" w:lineRule="auto"/>
      <w:ind w:left="720"/>
    </w:pPr>
    <w:rPr>
      <w:rFonts w:asciiTheme="minorHAnsi" w:eastAsia="Times New Roman" w:hAnsiTheme="minorHAnsi" w:cstheme="majorHAnsi"/>
      <w:lang w:eastAsia="en-AU"/>
    </w:rPr>
  </w:style>
  <w:style w:type="paragraph" w:customStyle="1" w:styleId="Bulletpoint">
    <w:name w:val="Bullet point"/>
    <w:basedOn w:val="Normal"/>
    <w:rsid w:val="00062787"/>
    <w:pPr>
      <w:numPr>
        <w:numId w:val="13"/>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06278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62787"/>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062787"/>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062787"/>
    <w:pPr>
      <w:keepNext/>
      <w:spacing w:before="0" w:after="110" w:line="252" w:lineRule="auto"/>
      <w:outlineLvl w:val="3"/>
    </w:pPr>
    <w:rPr>
      <w:rFonts w:eastAsia="Times New Roman"/>
      <w:i/>
      <w:snapToGrid w:val="0"/>
      <w:kern w:val="16"/>
      <w:szCs w:val="24"/>
    </w:rPr>
  </w:style>
  <w:style w:type="paragraph" w:customStyle="1" w:styleId="Tabletitle0">
    <w:name w:val="Table title"/>
    <w:basedOn w:val="Normal"/>
    <w:next w:val="Normal"/>
    <w:rsid w:val="002B25FE"/>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89428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30678"/>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30165"/>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3E1B82"/>
    <w:rPr>
      <w:rFonts w:ascii="Cambria" w:eastAsia="Cambria" w:hAnsi="Cambria" w:cs="Times New Roman"/>
      <w:sz w:val="19"/>
    </w:rPr>
  </w:style>
  <w:style w:type="paragraph" w:customStyle="1" w:styleId="Bulletlist">
    <w:name w:val="Bullet list"/>
    <w:basedOn w:val="Normal"/>
    <w:link w:val="BulletlistChar"/>
    <w:qFormat/>
    <w:rsid w:val="003E1B82"/>
    <w:pPr>
      <w:numPr>
        <w:numId w:val="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3E1B82"/>
    <w:rPr>
      <w:rFonts w:ascii="Cambria" w:eastAsia="Times New Roman" w:hAnsi="Cambria" w:cs="Times New Roman"/>
      <w:snapToGrid w:val="0"/>
      <w:kern w:val="2"/>
      <w:sz w:val="23"/>
    </w:rPr>
  </w:style>
  <w:style w:type="paragraph" w:customStyle="1" w:styleId="Default">
    <w:name w:val="Default"/>
    <w:rsid w:val="00187CC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uidanceText-Bulleted">
    <w:name w:val="Guidance Text-Bulleted"/>
    <w:basedOn w:val="Normal"/>
    <w:rsid w:val="00D9507C"/>
    <w:pPr>
      <w:autoSpaceDE w:val="0"/>
      <w:autoSpaceDN w:val="0"/>
      <w:adjustRightInd w:val="0"/>
      <w:spacing w:before="0" w:after="0" w:line="276" w:lineRule="auto"/>
      <w:ind w:left="720"/>
    </w:pPr>
    <w:rPr>
      <w:rFonts w:asciiTheme="minorHAnsi" w:eastAsia="Times New Roman" w:hAnsiTheme="minorHAnsi" w:cstheme="majorHAnsi"/>
      <w:lang w:eastAsia="en-AU"/>
    </w:rPr>
  </w:style>
  <w:style w:type="paragraph" w:customStyle="1" w:styleId="Bulletpoint">
    <w:name w:val="Bullet point"/>
    <w:basedOn w:val="Normal"/>
    <w:rsid w:val="00062787"/>
    <w:pPr>
      <w:numPr>
        <w:numId w:val="13"/>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062787"/>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062787"/>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062787"/>
    <w:pPr>
      <w:keepNext/>
      <w:spacing w:before="0" w:after="110" w:line="252" w:lineRule="auto"/>
      <w:outlineLvl w:val="1"/>
    </w:pPr>
    <w:rPr>
      <w:rFonts w:eastAsia="Times New Roman"/>
      <w:b/>
      <w:snapToGrid w:val="0"/>
      <w:kern w:val="16"/>
      <w:szCs w:val="24"/>
    </w:rPr>
  </w:style>
  <w:style w:type="paragraph" w:customStyle="1" w:styleId="AssessmentSubsection2">
    <w:name w:val="Assessment Subsection 2"/>
    <w:basedOn w:val="Normal"/>
    <w:next w:val="Standard"/>
    <w:rsid w:val="00062787"/>
    <w:pPr>
      <w:keepNext/>
      <w:spacing w:before="0" w:after="110" w:line="252" w:lineRule="auto"/>
      <w:outlineLvl w:val="3"/>
    </w:pPr>
    <w:rPr>
      <w:rFonts w:eastAsia="Times New Roman"/>
      <w:i/>
      <w:snapToGrid w:val="0"/>
      <w:kern w:val="16"/>
      <w:szCs w:val="24"/>
    </w:rPr>
  </w:style>
  <w:style w:type="paragraph" w:customStyle="1" w:styleId="Tabletitle0">
    <w:name w:val="Table title"/>
    <w:basedOn w:val="Normal"/>
    <w:next w:val="Normal"/>
    <w:rsid w:val="002B25FE"/>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13507">
      <w:bodyDiv w:val="1"/>
      <w:marLeft w:val="0"/>
      <w:marRight w:val="0"/>
      <w:marTop w:val="0"/>
      <w:marBottom w:val="0"/>
      <w:divBdr>
        <w:top w:val="none" w:sz="0" w:space="0" w:color="auto"/>
        <w:left w:val="none" w:sz="0" w:space="0" w:color="auto"/>
        <w:bottom w:val="none" w:sz="0" w:space="0" w:color="auto"/>
        <w:right w:val="none" w:sz="0" w:space="0" w:color="auto"/>
      </w:divBdr>
    </w:div>
    <w:div w:id="1748376412">
      <w:bodyDiv w:val="1"/>
      <w:marLeft w:val="0"/>
      <w:marRight w:val="0"/>
      <w:marTop w:val="0"/>
      <w:marBottom w:val="0"/>
      <w:divBdr>
        <w:top w:val="none" w:sz="0" w:space="0" w:color="auto"/>
        <w:left w:val="none" w:sz="0" w:space="0" w:color="auto"/>
        <w:bottom w:val="none" w:sz="0" w:space="0" w:color="auto"/>
        <w:right w:val="none" w:sz="0" w:space="0" w:color="auto"/>
      </w:divBdr>
    </w:div>
    <w:div w:id="180257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36" Type="http://schemas.microsoft.com/office/2011/relationships/people" Target="people.xml"/><Relationship Id="rId10" Type="http://schemas.openxmlformats.org/officeDocument/2006/relationships/hyperlink" Target="mailto:tga.copyright@tga.gov.au" TargetMode="External"/><Relationship Id="rId19" Type="http://schemas.openxmlformats.org/officeDocument/2006/relationships/hyperlink" Target="https://www.tga.gov.au/guidance-7-certified-product-details"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4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700F4-B4A8-4058-B8E2-4ECF24C1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88</TotalTime>
  <Pages>69</Pages>
  <Words>27279</Words>
  <Characters>155495</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Australian Public Assessment Report for Adalimumab</vt:lpstr>
    </vt:vector>
  </TitlesOfParts>
  <Company/>
  <LinksUpToDate>false</LinksUpToDate>
  <CharactersWithSpaces>182410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dc:title>
  <dc:subject>Prescription medicines</dc:subject>
  <dc:creator>Therapeutic Goods Administration</dc:creator>
  <cp:keywords>AusPARs</cp:keywords>
  <cp:lastPrinted>2019-01-07T05:37:00Z</cp:lastPrinted>
  <dcterms:created xsi:type="dcterms:W3CDTF">2019-05-15T01:14:00Z</dcterms:created>
  <dcterms:modified xsi:type="dcterms:W3CDTF">2019-05-16T04:27:00Z</dcterms:modified>
  <cp:category/>
</cp:coreProperties>
</file>