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AE06591" w14:textId="77777777" w:rsidTr="00BF1190">
        <w:trPr>
          <w:trHeight w:val="1863"/>
        </w:trPr>
        <w:tc>
          <w:tcPr>
            <w:tcW w:w="3652" w:type="dxa"/>
            <w:tcBorders>
              <w:top w:val="nil"/>
              <w:left w:val="nil"/>
              <w:bottom w:val="nil"/>
              <w:right w:val="nil"/>
            </w:tcBorders>
          </w:tcPr>
          <w:p w14:paraId="178600FB" w14:textId="4E05C04D" w:rsidR="008E7846" w:rsidRPr="00096AA7" w:rsidRDefault="004605FC" w:rsidP="005A3A45">
            <w:pPr>
              <w:pStyle w:val="Date"/>
              <w:framePr w:hSpace="0" w:wrap="auto" w:vAnchor="margin" w:hAnchor="text" w:yAlign="inline"/>
              <w:suppressOverlap w:val="0"/>
            </w:pPr>
            <w:r>
              <w:t>June</w:t>
            </w:r>
            <w:r w:rsidR="006D1E27">
              <w:t xml:space="preserve"> </w:t>
            </w:r>
            <w:r w:rsidR="00D82B8C" w:rsidRPr="005A3A45">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5550E10" w14:textId="77777777" w:rsidTr="0032583B">
        <w:trPr>
          <w:trHeight w:val="868"/>
        </w:trPr>
        <w:tc>
          <w:tcPr>
            <w:tcW w:w="9079" w:type="dxa"/>
          </w:tcPr>
          <w:p w14:paraId="5DA530FC" w14:textId="77777777" w:rsidR="0032583B" w:rsidRPr="00A964D1" w:rsidRDefault="0032583B" w:rsidP="005A3A45">
            <w:pPr>
              <w:pStyle w:val="Title"/>
              <w:framePr w:hSpace="0" w:wrap="auto" w:vAnchor="margin" w:yAlign="inline"/>
            </w:pPr>
            <w:r w:rsidRPr="00A964D1">
              <w:t xml:space="preserve">Australian </w:t>
            </w:r>
            <w:r w:rsidRPr="005A3A45">
              <w:t>Public</w:t>
            </w:r>
            <w:r w:rsidRPr="00A964D1">
              <w:t xml:space="preserve"> Assessment Report for </w:t>
            </w:r>
            <w:r w:rsidR="00D82B8C">
              <w:t>A</w:t>
            </w:r>
            <w:r w:rsidR="00D82B8C" w:rsidRPr="00D82B8C">
              <w:t>dalimumab</w:t>
            </w:r>
          </w:p>
        </w:tc>
      </w:tr>
      <w:tr w:rsidR="0032583B" w:rsidRPr="00B64760" w14:paraId="3CD4DF9F" w14:textId="77777777" w:rsidTr="0032583B">
        <w:tc>
          <w:tcPr>
            <w:tcW w:w="9079" w:type="dxa"/>
          </w:tcPr>
          <w:p w14:paraId="4B093F79" w14:textId="69921DB2" w:rsidR="0032583B" w:rsidRPr="005A3A45" w:rsidRDefault="0032583B" w:rsidP="005A3A45">
            <w:pPr>
              <w:pStyle w:val="Subtitle"/>
              <w:framePr w:hSpace="0" w:wrap="auto" w:vAnchor="margin" w:yAlign="inline"/>
            </w:pPr>
            <w:r w:rsidRPr="008E7846">
              <w:t xml:space="preserve">Proprietary Product Name: </w:t>
            </w:r>
            <w:proofErr w:type="spellStart"/>
            <w:r w:rsidR="00D82B8C">
              <w:t>Amgevita</w:t>
            </w:r>
            <w:proofErr w:type="spellEnd"/>
          </w:p>
        </w:tc>
      </w:tr>
      <w:tr w:rsidR="0032583B" w:rsidRPr="00B64760" w14:paraId="34AEA3D8" w14:textId="77777777" w:rsidTr="0032583B">
        <w:trPr>
          <w:trHeight w:val="486"/>
        </w:trPr>
        <w:tc>
          <w:tcPr>
            <w:tcW w:w="9079" w:type="dxa"/>
          </w:tcPr>
          <w:p w14:paraId="4D93A85C" w14:textId="258A162C" w:rsidR="0032583B" w:rsidRPr="008E7846" w:rsidRDefault="0032583B" w:rsidP="005A3A45">
            <w:pPr>
              <w:pStyle w:val="Subtitle"/>
              <w:framePr w:hSpace="0" w:wrap="auto" w:vAnchor="margin" w:yAlign="inline"/>
            </w:pPr>
            <w:r w:rsidRPr="008E7846">
              <w:t>Sponsor:</w:t>
            </w:r>
            <w:r w:rsidR="005602B8">
              <w:t xml:space="preserve"> </w:t>
            </w:r>
            <w:r w:rsidR="00D82B8C" w:rsidRPr="00D82B8C">
              <w:t>Amgen Australia Pty Ltd</w:t>
            </w:r>
          </w:p>
        </w:tc>
      </w:tr>
    </w:tbl>
    <w:p w14:paraId="2AD067D1" w14:textId="77777777" w:rsidR="008E7846" w:rsidRPr="0085156D" w:rsidRDefault="008E7846" w:rsidP="0085156D">
      <w:r w:rsidRPr="0085156D">
        <w:br w:type="page"/>
      </w:r>
    </w:p>
    <w:p w14:paraId="182B884E" w14:textId="77777777" w:rsidR="008E7846" w:rsidRPr="001F6CBA" w:rsidRDefault="008E7846" w:rsidP="005A3A45">
      <w:pPr>
        <w:pStyle w:val="NonTOCHeading2"/>
      </w:pPr>
      <w:r w:rsidRPr="001F6CBA">
        <w:lastRenderedPageBreak/>
        <w:t xml:space="preserve">About the </w:t>
      </w:r>
      <w:r w:rsidRPr="005A3A45">
        <w:t>Therapeutic</w:t>
      </w:r>
      <w:r w:rsidRPr="001F6CBA">
        <w:t xml:space="preserve"> Goods Administration (TGA)</w:t>
      </w:r>
    </w:p>
    <w:p w14:paraId="5918E7D5" w14:textId="77777777" w:rsidR="008E7846" w:rsidRDefault="008E7846" w:rsidP="005A3A45">
      <w:pPr>
        <w:pStyle w:val="ListBullet"/>
      </w:pPr>
      <w:r>
        <w:t xml:space="preserve">The Therapeutic Goods Administration (TGA) is </w:t>
      </w:r>
      <w:r w:rsidR="00E624A5">
        <w:t xml:space="preserve">part </w:t>
      </w:r>
      <w:r>
        <w:t xml:space="preserve">of the Australian Government Department of Health and is responsible for </w:t>
      </w:r>
      <w:r w:rsidRPr="005A3A45">
        <w:t>regulating</w:t>
      </w:r>
      <w:r>
        <w:t xml:space="preserve"> medicines and medical devices.</w:t>
      </w:r>
    </w:p>
    <w:p w14:paraId="2B82CBDE"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53D3D64B"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00D0E280"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688E0783"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2BC32394" w14:textId="77777777" w:rsidR="008E7846" w:rsidRDefault="008E7846" w:rsidP="005A3A45">
      <w:pPr>
        <w:pStyle w:val="NonTOCHeading2"/>
      </w:pPr>
      <w:r>
        <w:t xml:space="preserve">About </w:t>
      </w:r>
      <w:proofErr w:type="spellStart"/>
      <w:r w:rsidRPr="005A3A45">
        <w:t>AusPARs</w:t>
      </w:r>
      <w:proofErr w:type="spellEnd"/>
    </w:p>
    <w:p w14:paraId="7838B4C9" w14:textId="77777777" w:rsidR="008E7846" w:rsidRDefault="008E7846" w:rsidP="005A3A45">
      <w:pPr>
        <w:pStyle w:val="ListBullet"/>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27C82EC" w14:textId="77777777" w:rsidR="008E7846" w:rsidRDefault="008E7846" w:rsidP="008E7846">
      <w:pPr>
        <w:pStyle w:val="ListBullet"/>
        <w:numPr>
          <w:ilvl w:val="0"/>
          <w:numId w:val="3"/>
        </w:numPr>
        <w:ind w:left="357" w:hanging="357"/>
      </w:pPr>
      <w:r>
        <w:t>AusPARs are prepared and published by the TGA.</w:t>
      </w:r>
    </w:p>
    <w:p w14:paraId="6DB773F8"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31E8E1F0"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E307CF1"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353611B4" w14:textId="77777777" w:rsidR="00924482" w:rsidRPr="00DF1D7F" w:rsidRDefault="00924482" w:rsidP="00F54B65">
      <w:pPr>
        <w:pStyle w:val="LegalSubheading"/>
        <w:spacing w:before="3120"/>
      </w:pPr>
      <w:r w:rsidRPr="00DF1D7F">
        <w:t>Copyright</w:t>
      </w:r>
    </w:p>
    <w:p w14:paraId="7651EC4C" w14:textId="02184090" w:rsidR="00924482" w:rsidRDefault="00924482" w:rsidP="00924482">
      <w:pPr>
        <w:pStyle w:val="LegalCopy"/>
      </w:pPr>
      <w:r w:rsidRPr="00191B3B">
        <w:rPr>
          <w:rFonts w:cs="Arial"/>
          <w:lang w:val="en-GB"/>
        </w:rPr>
        <w:t>© Comm</w:t>
      </w:r>
      <w:r>
        <w:rPr>
          <w:rFonts w:cs="Arial"/>
          <w:lang w:val="en-GB"/>
        </w:rPr>
        <w:t>onwealth of Australia 201</w:t>
      </w:r>
      <w:r w:rsidR="005A3A45">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3FE30B82"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43D4349" w14:textId="77777777" w:rsidR="0089635C" w:rsidRPr="0089635C" w:rsidRDefault="0089635C" w:rsidP="0010788A">
          <w:pPr>
            <w:pStyle w:val="Contents"/>
          </w:pPr>
          <w:r w:rsidRPr="0010788A">
            <w:t>Contents</w:t>
          </w:r>
        </w:p>
        <w:bookmarkStart w:id="2" w:name="_GoBack"/>
        <w:bookmarkEnd w:id="2"/>
        <w:p w14:paraId="40D5DCE6" w14:textId="77777777" w:rsidR="004A1F7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9244637" w:history="1">
            <w:r w:rsidR="004A1F75" w:rsidRPr="00657E72">
              <w:rPr>
                <w:rStyle w:val="Hyperlink"/>
                <w:noProof/>
              </w:rPr>
              <w:t>List of common abbreviations</w:t>
            </w:r>
            <w:r w:rsidR="004A1F75">
              <w:rPr>
                <w:noProof/>
                <w:webHidden/>
              </w:rPr>
              <w:tab/>
            </w:r>
            <w:r w:rsidR="004A1F75">
              <w:rPr>
                <w:noProof/>
                <w:webHidden/>
              </w:rPr>
              <w:fldChar w:fldCharType="begin"/>
            </w:r>
            <w:r w:rsidR="004A1F75">
              <w:rPr>
                <w:noProof/>
                <w:webHidden/>
              </w:rPr>
              <w:instrText xml:space="preserve"> PAGEREF _Toc519244637 \h </w:instrText>
            </w:r>
            <w:r w:rsidR="004A1F75">
              <w:rPr>
                <w:noProof/>
                <w:webHidden/>
              </w:rPr>
            </w:r>
            <w:r w:rsidR="004A1F75">
              <w:rPr>
                <w:noProof/>
                <w:webHidden/>
              </w:rPr>
              <w:fldChar w:fldCharType="separate"/>
            </w:r>
            <w:r w:rsidR="004A1F75">
              <w:rPr>
                <w:noProof/>
                <w:webHidden/>
              </w:rPr>
              <w:t>5</w:t>
            </w:r>
            <w:r w:rsidR="004A1F75">
              <w:rPr>
                <w:noProof/>
                <w:webHidden/>
              </w:rPr>
              <w:fldChar w:fldCharType="end"/>
            </w:r>
          </w:hyperlink>
        </w:p>
        <w:p w14:paraId="6788281D" w14:textId="77777777" w:rsidR="004A1F75" w:rsidRDefault="004A1F75">
          <w:pPr>
            <w:pStyle w:val="TOC2"/>
            <w:rPr>
              <w:rFonts w:asciiTheme="minorHAnsi" w:eastAsiaTheme="minorEastAsia" w:hAnsiTheme="minorHAnsi" w:cstheme="minorBidi"/>
              <w:b w:val="0"/>
              <w:noProof/>
              <w:sz w:val="22"/>
              <w:lang w:eastAsia="en-AU"/>
            </w:rPr>
          </w:pPr>
          <w:hyperlink w:anchor="_Toc519244638" w:history="1">
            <w:r w:rsidRPr="00657E72">
              <w:rPr>
                <w:rStyle w:val="Hyperlink"/>
                <w:noProof/>
              </w:rPr>
              <w:t>I. Introduction to product submission</w:t>
            </w:r>
            <w:r>
              <w:rPr>
                <w:noProof/>
                <w:webHidden/>
              </w:rPr>
              <w:tab/>
            </w:r>
            <w:r>
              <w:rPr>
                <w:noProof/>
                <w:webHidden/>
              </w:rPr>
              <w:fldChar w:fldCharType="begin"/>
            </w:r>
            <w:r>
              <w:rPr>
                <w:noProof/>
                <w:webHidden/>
              </w:rPr>
              <w:instrText xml:space="preserve"> PAGEREF _Toc519244638 \h </w:instrText>
            </w:r>
            <w:r>
              <w:rPr>
                <w:noProof/>
                <w:webHidden/>
              </w:rPr>
            </w:r>
            <w:r>
              <w:rPr>
                <w:noProof/>
                <w:webHidden/>
              </w:rPr>
              <w:fldChar w:fldCharType="separate"/>
            </w:r>
            <w:r>
              <w:rPr>
                <w:noProof/>
                <w:webHidden/>
              </w:rPr>
              <w:t>8</w:t>
            </w:r>
            <w:r>
              <w:rPr>
                <w:noProof/>
                <w:webHidden/>
              </w:rPr>
              <w:fldChar w:fldCharType="end"/>
            </w:r>
          </w:hyperlink>
        </w:p>
        <w:p w14:paraId="6D77C217" w14:textId="77777777" w:rsidR="004A1F75" w:rsidRDefault="004A1F75">
          <w:pPr>
            <w:pStyle w:val="TOC3"/>
            <w:rPr>
              <w:rFonts w:asciiTheme="minorHAnsi" w:eastAsiaTheme="minorEastAsia" w:hAnsiTheme="minorHAnsi" w:cstheme="minorBidi"/>
              <w:noProof/>
              <w:lang w:eastAsia="en-AU"/>
            </w:rPr>
          </w:pPr>
          <w:hyperlink w:anchor="_Toc519244639" w:history="1">
            <w:r w:rsidRPr="00657E72">
              <w:rPr>
                <w:rStyle w:val="Hyperlink"/>
                <w:noProof/>
                <w:lang w:eastAsia="en-AU"/>
              </w:rPr>
              <w:t>Submission details</w:t>
            </w:r>
            <w:r>
              <w:rPr>
                <w:noProof/>
                <w:webHidden/>
              </w:rPr>
              <w:tab/>
            </w:r>
            <w:r>
              <w:rPr>
                <w:noProof/>
                <w:webHidden/>
              </w:rPr>
              <w:fldChar w:fldCharType="begin"/>
            </w:r>
            <w:r>
              <w:rPr>
                <w:noProof/>
                <w:webHidden/>
              </w:rPr>
              <w:instrText xml:space="preserve"> PAGEREF _Toc519244639 \h </w:instrText>
            </w:r>
            <w:r>
              <w:rPr>
                <w:noProof/>
                <w:webHidden/>
              </w:rPr>
            </w:r>
            <w:r>
              <w:rPr>
                <w:noProof/>
                <w:webHidden/>
              </w:rPr>
              <w:fldChar w:fldCharType="separate"/>
            </w:r>
            <w:r>
              <w:rPr>
                <w:noProof/>
                <w:webHidden/>
              </w:rPr>
              <w:t>8</w:t>
            </w:r>
            <w:r>
              <w:rPr>
                <w:noProof/>
                <w:webHidden/>
              </w:rPr>
              <w:fldChar w:fldCharType="end"/>
            </w:r>
          </w:hyperlink>
        </w:p>
        <w:p w14:paraId="265DD93A" w14:textId="77777777" w:rsidR="004A1F75" w:rsidRDefault="004A1F75">
          <w:pPr>
            <w:pStyle w:val="TOC3"/>
            <w:rPr>
              <w:rFonts w:asciiTheme="minorHAnsi" w:eastAsiaTheme="minorEastAsia" w:hAnsiTheme="minorHAnsi" w:cstheme="minorBidi"/>
              <w:noProof/>
              <w:lang w:eastAsia="en-AU"/>
            </w:rPr>
          </w:pPr>
          <w:hyperlink w:anchor="_Toc519244640" w:history="1">
            <w:r w:rsidRPr="00657E72">
              <w:rPr>
                <w:rStyle w:val="Hyperlink"/>
                <w:noProof/>
              </w:rPr>
              <w:t>Product background</w:t>
            </w:r>
            <w:r>
              <w:rPr>
                <w:noProof/>
                <w:webHidden/>
              </w:rPr>
              <w:tab/>
            </w:r>
            <w:r>
              <w:rPr>
                <w:noProof/>
                <w:webHidden/>
              </w:rPr>
              <w:fldChar w:fldCharType="begin"/>
            </w:r>
            <w:r>
              <w:rPr>
                <w:noProof/>
                <w:webHidden/>
              </w:rPr>
              <w:instrText xml:space="preserve"> PAGEREF _Toc519244640 \h </w:instrText>
            </w:r>
            <w:r>
              <w:rPr>
                <w:noProof/>
                <w:webHidden/>
              </w:rPr>
            </w:r>
            <w:r>
              <w:rPr>
                <w:noProof/>
                <w:webHidden/>
              </w:rPr>
              <w:fldChar w:fldCharType="separate"/>
            </w:r>
            <w:r>
              <w:rPr>
                <w:noProof/>
                <w:webHidden/>
              </w:rPr>
              <w:t>10</w:t>
            </w:r>
            <w:r>
              <w:rPr>
                <w:noProof/>
                <w:webHidden/>
              </w:rPr>
              <w:fldChar w:fldCharType="end"/>
            </w:r>
          </w:hyperlink>
        </w:p>
        <w:p w14:paraId="79635D0F" w14:textId="77777777" w:rsidR="004A1F75" w:rsidRDefault="004A1F75">
          <w:pPr>
            <w:pStyle w:val="TOC3"/>
            <w:rPr>
              <w:rFonts w:asciiTheme="minorHAnsi" w:eastAsiaTheme="minorEastAsia" w:hAnsiTheme="minorHAnsi" w:cstheme="minorBidi"/>
              <w:noProof/>
              <w:lang w:eastAsia="en-AU"/>
            </w:rPr>
          </w:pPr>
          <w:hyperlink w:anchor="_Toc519244641" w:history="1">
            <w:r w:rsidRPr="00657E72">
              <w:rPr>
                <w:rStyle w:val="Hyperlink"/>
                <w:noProof/>
              </w:rPr>
              <w:t>Regulatory status</w:t>
            </w:r>
            <w:r>
              <w:rPr>
                <w:noProof/>
                <w:webHidden/>
              </w:rPr>
              <w:tab/>
            </w:r>
            <w:r>
              <w:rPr>
                <w:noProof/>
                <w:webHidden/>
              </w:rPr>
              <w:fldChar w:fldCharType="begin"/>
            </w:r>
            <w:r>
              <w:rPr>
                <w:noProof/>
                <w:webHidden/>
              </w:rPr>
              <w:instrText xml:space="preserve"> PAGEREF _Toc519244641 \h </w:instrText>
            </w:r>
            <w:r>
              <w:rPr>
                <w:noProof/>
                <w:webHidden/>
              </w:rPr>
            </w:r>
            <w:r>
              <w:rPr>
                <w:noProof/>
                <w:webHidden/>
              </w:rPr>
              <w:fldChar w:fldCharType="separate"/>
            </w:r>
            <w:r>
              <w:rPr>
                <w:noProof/>
                <w:webHidden/>
              </w:rPr>
              <w:t>10</w:t>
            </w:r>
            <w:r>
              <w:rPr>
                <w:noProof/>
                <w:webHidden/>
              </w:rPr>
              <w:fldChar w:fldCharType="end"/>
            </w:r>
          </w:hyperlink>
        </w:p>
        <w:p w14:paraId="73F6043A" w14:textId="77777777" w:rsidR="004A1F75" w:rsidRDefault="004A1F75">
          <w:pPr>
            <w:pStyle w:val="TOC3"/>
            <w:rPr>
              <w:rFonts w:asciiTheme="minorHAnsi" w:eastAsiaTheme="minorEastAsia" w:hAnsiTheme="minorHAnsi" w:cstheme="minorBidi"/>
              <w:noProof/>
              <w:lang w:eastAsia="en-AU"/>
            </w:rPr>
          </w:pPr>
          <w:hyperlink w:anchor="_Toc519244642" w:history="1">
            <w:r w:rsidRPr="00657E72">
              <w:rPr>
                <w:rStyle w:val="Hyperlink"/>
                <w:noProof/>
              </w:rPr>
              <w:t>Product Information</w:t>
            </w:r>
            <w:r>
              <w:rPr>
                <w:noProof/>
                <w:webHidden/>
              </w:rPr>
              <w:tab/>
            </w:r>
            <w:r>
              <w:rPr>
                <w:noProof/>
                <w:webHidden/>
              </w:rPr>
              <w:fldChar w:fldCharType="begin"/>
            </w:r>
            <w:r>
              <w:rPr>
                <w:noProof/>
                <w:webHidden/>
              </w:rPr>
              <w:instrText xml:space="preserve"> PAGEREF _Toc519244642 \h </w:instrText>
            </w:r>
            <w:r>
              <w:rPr>
                <w:noProof/>
                <w:webHidden/>
              </w:rPr>
            </w:r>
            <w:r>
              <w:rPr>
                <w:noProof/>
                <w:webHidden/>
              </w:rPr>
              <w:fldChar w:fldCharType="separate"/>
            </w:r>
            <w:r>
              <w:rPr>
                <w:noProof/>
                <w:webHidden/>
              </w:rPr>
              <w:t>11</w:t>
            </w:r>
            <w:r>
              <w:rPr>
                <w:noProof/>
                <w:webHidden/>
              </w:rPr>
              <w:fldChar w:fldCharType="end"/>
            </w:r>
          </w:hyperlink>
        </w:p>
        <w:p w14:paraId="400D27F8" w14:textId="77777777" w:rsidR="004A1F75" w:rsidRDefault="004A1F75">
          <w:pPr>
            <w:pStyle w:val="TOC2"/>
            <w:rPr>
              <w:rFonts w:asciiTheme="minorHAnsi" w:eastAsiaTheme="minorEastAsia" w:hAnsiTheme="minorHAnsi" w:cstheme="minorBidi"/>
              <w:b w:val="0"/>
              <w:noProof/>
              <w:sz w:val="22"/>
              <w:lang w:eastAsia="en-AU"/>
            </w:rPr>
          </w:pPr>
          <w:hyperlink w:anchor="_Toc519244643" w:history="1">
            <w:r w:rsidRPr="00657E72">
              <w:rPr>
                <w:rStyle w:val="Hyperlink"/>
                <w:noProof/>
              </w:rPr>
              <w:t>II. Registration timeline</w:t>
            </w:r>
            <w:r>
              <w:rPr>
                <w:noProof/>
                <w:webHidden/>
              </w:rPr>
              <w:tab/>
            </w:r>
            <w:r>
              <w:rPr>
                <w:noProof/>
                <w:webHidden/>
              </w:rPr>
              <w:fldChar w:fldCharType="begin"/>
            </w:r>
            <w:r>
              <w:rPr>
                <w:noProof/>
                <w:webHidden/>
              </w:rPr>
              <w:instrText xml:space="preserve"> PAGEREF _Toc519244643 \h </w:instrText>
            </w:r>
            <w:r>
              <w:rPr>
                <w:noProof/>
                <w:webHidden/>
              </w:rPr>
            </w:r>
            <w:r>
              <w:rPr>
                <w:noProof/>
                <w:webHidden/>
              </w:rPr>
              <w:fldChar w:fldCharType="separate"/>
            </w:r>
            <w:r>
              <w:rPr>
                <w:noProof/>
                <w:webHidden/>
              </w:rPr>
              <w:t>12</w:t>
            </w:r>
            <w:r>
              <w:rPr>
                <w:noProof/>
                <w:webHidden/>
              </w:rPr>
              <w:fldChar w:fldCharType="end"/>
            </w:r>
          </w:hyperlink>
        </w:p>
        <w:p w14:paraId="53C33B85" w14:textId="77777777" w:rsidR="004A1F75" w:rsidRDefault="004A1F75">
          <w:pPr>
            <w:pStyle w:val="TOC2"/>
            <w:rPr>
              <w:rFonts w:asciiTheme="minorHAnsi" w:eastAsiaTheme="minorEastAsia" w:hAnsiTheme="minorHAnsi" w:cstheme="minorBidi"/>
              <w:b w:val="0"/>
              <w:noProof/>
              <w:sz w:val="22"/>
              <w:lang w:eastAsia="en-AU"/>
            </w:rPr>
          </w:pPr>
          <w:hyperlink w:anchor="_Toc519244644" w:history="1">
            <w:r w:rsidRPr="00657E72">
              <w:rPr>
                <w:rStyle w:val="Hyperlink"/>
                <w:noProof/>
              </w:rPr>
              <w:t>III. Quality findings</w:t>
            </w:r>
            <w:r>
              <w:rPr>
                <w:noProof/>
                <w:webHidden/>
              </w:rPr>
              <w:tab/>
            </w:r>
            <w:r>
              <w:rPr>
                <w:noProof/>
                <w:webHidden/>
              </w:rPr>
              <w:fldChar w:fldCharType="begin"/>
            </w:r>
            <w:r>
              <w:rPr>
                <w:noProof/>
                <w:webHidden/>
              </w:rPr>
              <w:instrText xml:space="preserve"> PAGEREF _Toc519244644 \h </w:instrText>
            </w:r>
            <w:r>
              <w:rPr>
                <w:noProof/>
                <w:webHidden/>
              </w:rPr>
            </w:r>
            <w:r>
              <w:rPr>
                <w:noProof/>
                <w:webHidden/>
              </w:rPr>
              <w:fldChar w:fldCharType="separate"/>
            </w:r>
            <w:r>
              <w:rPr>
                <w:noProof/>
                <w:webHidden/>
              </w:rPr>
              <w:t>12</w:t>
            </w:r>
            <w:r>
              <w:rPr>
                <w:noProof/>
                <w:webHidden/>
              </w:rPr>
              <w:fldChar w:fldCharType="end"/>
            </w:r>
          </w:hyperlink>
        </w:p>
        <w:p w14:paraId="03CF42C6" w14:textId="77777777" w:rsidR="004A1F75" w:rsidRDefault="004A1F75">
          <w:pPr>
            <w:pStyle w:val="TOC3"/>
            <w:rPr>
              <w:rFonts w:asciiTheme="minorHAnsi" w:eastAsiaTheme="minorEastAsia" w:hAnsiTheme="minorHAnsi" w:cstheme="minorBidi"/>
              <w:noProof/>
              <w:lang w:eastAsia="en-AU"/>
            </w:rPr>
          </w:pPr>
          <w:hyperlink w:anchor="_Toc519244645" w:history="1">
            <w:r w:rsidRPr="00657E72">
              <w:rPr>
                <w:rStyle w:val="Hyperlink"/>
                <w:noProof/>
              </w:rPr>
              <w:t>Drug substance (active ingredient)</w:t>
            </w:r>
            <w:r>
              <w:rPr>
                <w:noProof/>
                <w:webHidden/>
              </w:rPr>
              <w:tab/>
            </w:r>
            <w:r>
              <w:rPr>
                <w:noProof/>
                <w:webHidden/>
              </w:rPr>
              <w:fldChar w:fldCharType="begin"/>
            </w:r>
            <w:r>
              <w:rPr>
                <w:noProof/>
                <w:webHidden/>
              </w:rPr>
              <w:instrText xml:space="preserve"> PAGEREF _Toc519244645 \h </w:instrText>
            </w:r>
            <w:r>
              <w:rPr>
                <w:noProof/>
                <w:webHidden/>
              </w:rPr>
            </w:r>
            <w:r>
              <w:rPr>
                <w:noProof/>
                <w:webHidden/>
              </w:rPr>
              <w:fldChar w:fldCharType="separate"/>
            </w:r>
            <w:r>
              <w:rPr>
                <w:noProof/>
                <w:webHidden/>
              </w:rPr>
              <w:t>12</w:t>
            </w:r>
            <w:r>
              <w:rPr>
                <w:noProof/>
                <w:webHidden/>
              </w:rPr>
              <w:fldChar w:fldCharType="end"/>
            </w:r>
          </w:hyperlink>
        </w:p>
        <w:p w14:paraId="41415728" w14:textId="77777777" w:rsidR="004A1F75" w:rsidRDefault="004A1F75">
          <w:pPr>
            <w:pStyle w:val="TOC3"/>
            <w:rPr>
              <w:rFonts w:asciiTheme="minorHAnsi" w:eastAsiaTheme="minorEastAsia" w:hAnsiTheme="minorHAnsi" w:cstheme="minorBidi"/>
              <w:noProof/>
              <w:lang w:eastAsia="en-AU"/>
            </w:rPr>
          </w:pPr>
          <w:hyperlink w:anchor="_Toc519244646" w:history="1">
            <w:r w:rsidRPr="00657E72">
              <w:rPr>
                <w:rStyle w:val="Hyperlink"/>
                <w:noProof/>
              </w:rPr>
              <w:t>Drug product</w:t>
            </w:r>
            <w:r>
              <w:rPr>
                <w:noProof/>
                <w:webHidden/>
              </w:rPr>
              <w:tab/>
            </w:r>
            <w:r>
              <w:rPr>
                <w:noProof/>
                <w:webHidden/>
              </w:rPr>
              <w:fldChar w:fldCharType="begin"/>
            </w:r>
            <w:r>
              <w:rPr>
                <w:noProof/>
                <w:webHidden/>
              </w:rPr>
              <w:instrText xml:space="preserve"> PAGEREF _Toc519244646 \h </w:instrText>
            </w:r>
            <w:r>
              <w:rPr>
                <w:noProof/>
                <w:webHidden/>
              </w:rPr>
            </w:r>
            <w:r>
              <w:rPr>
                <w:noProof/>
                <w:webHidden/>
              </w:rPr>
              <w:fldChar w:fldCharType="separate"/>
            </w:r>
            <w:r>
              <w:rPr>
                <w:noProof/>
                <w:webHidden/>
              </w:rPr>
              <w:t>13</w:t>
            </w:r>
            <w:r>
              <w:rPr>
                <w:noProof/>
                <w:webHidden/>
              </w:rPr>
              <w:fldChar w:fldCharType="end"/>
            </w:r>
          </w:hyperlink>
        </w:p>
        <w:p w14:paraId="02B98056" w14:textId="77777777" w:rsidR="004A1F75" w:rsidRDefault="004A1F75">
          <w:pPr>
            <w:pStyle w:val="TOC3"/>
            <w:rPr>
              <w:rFonts w:asciiTheme="minorHAnsi" w:eastAsiaTheme="minorEastAsia" w:hAnsiTheme="minorHAnsi" w:cstheme="minorBidi"/>
              <w:noProof/>
              <w:lang w:eastAsia="en-AU"/>
            </w:rPr>
          </w:pPr>
          <w:hyperlink w:anchor="_Toc519244647" w:history="1">
            <w:r w:rsidRPr="00657E72">
              <w:rPr>
                <w:rStyle w:val="Hyperlink"/>
                <w:noProof/>
              </w:rPr>
              <w:t>Quality summary and conclusions</w:t>
            </w:r>
            <w:r>
              <w:rPr>
                <w:noProof/>
                <w:webHidden/>
              </w:rPr>
              <w:tab/>
            </w:r>
            <w:r>
              <w:rPr>
                <w:noProof/>
                <w:webHidden/>
              </w:rPr>
              <w:fldChar w:fldCharType="begin"/>
            </w:r>
            <w:r>
              <w:rPr>
                <w:noProof/>
                <w:webHidden/>
              </w:rPr>
              <w:instrText xml:space="preserve"> PAGEREF _Toc519244647 \h </w:instrText>
            </w:r>
            <w:r>
              <w:rPr>
                <w:noProof/>
                <w:webHidden/>
              </w:rPr>
            </w:r>
            <w:r>
              <w:rPr>
                <w:noProof/>
                <w:webHidden/>
              </w:rPr>
              <w:fldChar w:fldCharType="separate"/>
            </w:r>
            <w:r>
              <w:rPr>
                <w:noProof/>
                <w:webHidden/>
              </w:rPr>
              <w:t>13</w:t>
            </w:r>
            <w:r>
              <w:rPr>
                <w:noProof/>
                <w:webHidden/>
              </w:rPr>
              <w:fldChar w:fldCharType="end"/>
            </w:r>
          </w:hyperlink>
        </w:p>
        <w:p w14:paraId="217D1ED0" w14:textId="77777777" w:rsidR="004A1F75" w:rsidRDefault="004A1F75">
          <w:pPr>
            <w:pStyle w:val="TOC2"/>
            <w:rPr>
              <w:rFonts w:asciiTheme="minorHAnsi" w:eastAsiaTheme="minorEastAsia" w:hAnsiTheme="minorHAnsi" w:cstheme="minorBidi"/>
              <w:b w:val="0"/>
              <w:noProof/>
              <w:sz w:val="22"/>
              <w:lang w:eastAsia="en-AU"/>
            </w:rPr>
          </w:pPr>
          <w:hyperlink w:anchor="_Toc519244648" w:history="1">
            <w:r w:rsidRPr="00657E72">
              <w:rPr>
                <w:rStyle w:val="Hyperlink"/>
                <w:noProof/>
              </w:rPr>
              <w:t>IV. Nonclinical findings</w:t>
            </w:r>
            <w:r>
              <w:rPr>
                <w:noProof/>
                <w:webHidden/>
              </w:rPr>
              <w:tab/>
            </w:r>
            <w:r>
              <w:rPr>
                <w:noProof/>
                <w:webHidden/>
              </w:rPr>
              <w:fldChar w:fldCharType="begin"/>
            </w:r>
            <w:r>
              <w:rPr>
                <w:noProof/>
                <w:webHidden/>
              </w:rPr>
              <w:instrText xml:space="preserve"> PAGEREF _Toc519244648 \h </w:instrText>
            </w:r>
            <w:r>
              <w:rPr>
                <w:noProof/>
                <w:webHidden/>
              </w:rPr>
            </w:r>
            <w:r>
              <w:rPr>
                <w:noProof/>
                <w:webHidden/>
              </w:rPr>
              <w:fldChar w:fldCharType="separate"/>
            </w:r>
            <w:r>
              <w:rPr>
                <w:noProof/>
                <w:webHidden/>
              </w:rPr>
              <w:t>14</w:t>
            </w:r>
            <w:r>
              <w:rPr>
                <w:noProof/>
                <w:webHidden/>
              </w:rPr>
              <w:fldChar w:fldCharType="end"/>
            </w:r>
          </w:hyperlink>
        </w:p>
        <w:p w14:paraId="5813D48D" w14:textId="77777777" w:rsidR="004A1F75" w:rsidRDefault="004A1F75">
          <w:pPr>
            <w:pStyle w:val="TOC3"/>
            <w:rPr>
              <w:rFonts w:asciiTheme="minorHAnsi" w:eastAsiaTheme="minorEastAsia" w:hAnsiTheme="minorHAnsi" w:cstheme="minorBidi"/>
              <w:noProof/>
              <w:lang w:eastAsia="en-AU"/>
            </w:rPr>
          </w:pPr>
          <w:hyperlink w:anchor="_Toc519244649" w:history="1">
            <w:r w:rsidRPr="00657E72">
              <w:rPr>
                <w:rStyle w:val="Hyperlink"/>
                <w:noProof/>
              </w:rPr>
              <w:t>Introduction</w:t>
            </w:r>
            <w:r>
              <w:rPr>
                <w:noProof/>
                <w:webHidden/>
              </w:rPr>
              <w:tab/>
            </w:r>
            <w:r>
              <w:rPr>
                <w:noProof/>
                <w:webHidden/>
              </w:rPr>
              <w:fldChar w:fldCharType="begin"/>
            </w:r>
            <w:r>
              <w:rPr>
                <w:noProof/>
                <w:webHidden/>
              </w:rPr>
              <w:instrText xml:space="preserve"> PAGEREF _Toc519244649 \h </w:instrText>
            </w:r>
            <w:r>
              <w:rPr>
                <w:noProof/>
                <w:webHidden/>
              </w:rPr>
            </w:r>
            <w:r>
              <w:rPr>
                <w:noProof/>
                <w:webHidden/>
              </w:rPr>
              <w:fldChar w:fldCharType="separate"/>
            </w:r>
            <w:r>
              <w:rPr>
                <w:noProof/>
                <w:webHidden/>
              </w:rPr>
              <w:t>14</w:t>
            </w:r>
            <w:r>
              <w:rPr>
                <w:noProof/>
                <w:webHidden/>
              </w:rPr>
              <w:fldChar w:fldCharType="end"/>
            </w:r>
          </w:hyperlink>
        </w:p>
        <w:p w14:paraId="0BCDFE8A" w14:textId="77777777" w:rsidR="004A1F75" w:rsidRDefault="004A1F75">
          <w:pPr>
            <w:pStyle w:val="TOC3"/>
            <w:rPr>
              <w:rFonts w:asciiTheme="minorHAnsi" w:eastAsiaTheme="minorEastAsia" w:hAnsiTheme="minorHAnsi" w:cstheme="minorBidi"/>
              <w:noProof/>
              <w:lang w:eastAsia="en-AU"/>
            </w:rPr>
          </w:pPr>
          <w:hyperlink w:anchor="_Toc519244650" w:history="1">
            <w:r w:rsidRPr="00657E72">
              <w:rPr>
                <w:rStyle w:val="Hyperlink"/>
                <w:noProof/>
              </w:rPr>
              <w:t>Pharmacology</w:t>
            </w:r>
            <w:r>
              <w:rPr>
                <w:noProof/>
                <w:webHidden/>
              </w:rPr>
              <w:tab/>
            </w:r>
            <w:r>
              <w:rPr>
                <w:noProof/>
                <w:webHidden/>
              </w:rPr>
              <w:fldChar w:fldCharType="begin"/>
            </w:r>
            <w:r>
              <w:rPr>
                <w:noProof/>
                <w:webHidden/>
              </w:rPr>
              <w:instrText xml:space="preserve"> PAGEREF _Toc519244650 \h </w:instrText>
            </w:r>
            <w:r>
              <w:rPr>
                <w:noProof/>
                <w:webHidden/>
              </w:rPr>
            </w:r>
            <w:r>
              <w:rPr>
                <w:noProof/>
                <w:webHidden/>
              </w:rPr>
              <w:fldChar w:fldCharType="separate"/>
            </w:r>
            <w:r>
              <w:rPr>
                <w:noProof/>
                <w:webHidden/>
              </w:rPr>
              <w:t>15</w:t>
            </w:r>
            <w:r>
              <w:rPr>
                <w:noProof/>
                <w:webHidden/>
              </w:rPr>
              <w:fldChar w:fldCharType="end"/>
            </w:r>
          </w:hyperlink>
        </w:p>
        <w:p w14:paraId="78AABB63" w14:textId="77777777" w:rsidR="004A1F75" w:rsidRDefault="004A1F75">
          <w:pPr>
            <w:pStyle w:val="TOC3"/>
            <w:rPr>
              <w:rFonts w:asciiTheme="minorHAnsi" w:eastAsiaTheme="minorEastAsia" w:hAnsiTheme="minorHAnsi" w:cstheme="minorBidi"/>
              <w:noProof/>
              <w:lang w:eastAsia="en-AU"/>
            </w:rPr>
          </w:pPr>
          <w:hyperlink w:anchor="_Toc519244651" w:history="1">
            <w:r w:rsidRPr="00657E72">
              <w:rPr>
                <w:rStyle w:val="Hyperlink"/>
                <w:noProof/>
              </w:rPr>
              <w:t>Pharmacokinetics</w:t>
            </w:r>
            <w:r>
              <w:rPr>
                <w:noProof/>
                <w:webHidden/>
              </w:rPr>
              <w:tab/>
            </w:r>
            <w:r>
              <w:rPr>
                <w:noProof/>
                <w:webHidden/>
              </w:rPr>
              <w:fldChar w:fldCharType="begin"/>
            </w:r>
            <w:r>
              <w:rPr>
                <w:noProof/>
                <w:webHidden/>
              </w:rPr>
              <w:instrText xml:space="preserve"> PAGEREF _Toc519244651 \h </w:instrText>
            </w:r>
            <w:r>
              <w:rPr>
                <w:noProof/>
                <w:webHidden/>
              </w:rPr>
            </w:r>
            <w:r>
              <w:rPr>
                <w:noProof/>
                <w:webHidden/>
              </w:rPr>
              <w:fldChar w:fldCharType="separate"/>
            </w:r>
            <w:r>
              <w:rPr>
                <w:noProof/>
                <w:webHidden/>
              </w:rPr>
              <w:t>17</w:t>
            </w:r>
            <w:r>
              <w:rPr>
                <w:noProof/>
                <w:webHidden/>
              </w:rPr>
              <w:fldChar w:fldCharType="end"/>
            </w:r>
          </w:hyperlink>
        </w:p>
        <w:p w14:paraId="48E3BB34" w14:textId="77777777" w:rsidR="004A1F75" w:rsidRDefault="004A1F75">
          <w:pPr>
            <w:pStyle w:val="TOC3"/>
            <w:rPr>
              <w:rFonts w:asciiTheme="minorHAnsi" w:eastAsiaTheme="minorEastAsia" w:hAnsiTheme="minorHAnsi" w:cstheme="minorBidi"/>
              <w:noProof/>
              <w:lang w:eastAsia="en-AU"/>
            </w:rPr>
          </w:pPr>
          <w:hyperlink w:anchor="_Toc519244652" w:history="1">
            <w:r w:rsidRPr="00657E72">
              <w:rPr>
                <w:rStyle w:val="Hyperlink"/>
                <w:noProof/>
              </w:rPr>
              <w:t>Toxicology</w:t>
            </w:r>
            <w:r>
              <w:rPr>
                <w:noProof/>
                <w:webHidden/>
              </w:rPr>
              <w:tab/>
            </w:r>
            <w:r>
              <w:rPr>
                <w:noProof/>
                <w:webHidden/>
              </w:rPr>
              <w:fldChar w:fldCharType="begin"/>
            </w:r>
            <w:r>
              <w:rPr>
                <w:noProof/>
                <w:webHidden/>
              </w:rPr>
              <w:instrText xml:space="preserve"> PAGEREF _Toc519244652 \h </w:instrText>
            </w:r>
            <w:r>
              <w:rPr>
                <w:noProof/>
                <w:webHidden/>
              </w:rPr>
            </w:r>
            <w:r>
              <w:rPr>
                <w:noProof/>
                <w:webHidden/>
              </w:rPr>
              <w:fldChar w:fldCharType="separate"/>
            </w:r>
            <w:r>
              <w:rPr>
                <w:noProof/>
                <w:webHidden/>
              </w:rPr>
              <w:t>18</w:t>
            </w:r>
            <w:r>
              <w:rPr>
                <w:noProof/>
                <w:webHidden/>
              </w:rPr>
              <w:fldChar w:fldCharType="end"/>
            </w:r>
          </w:hyperlink>
        </w:p>
        <w:p w14:paraId="6391857E" w14:textId="77777777" w:rsidR="004A1F75" w:rsidRDefault="004A1F75">
          <w:pPr>
            <w:pStyle w:val="TOC3"/>
            <w:rPr>
              <w:rFonts w:asciiTheme="minorHAnsi" w:eastAsiaTheme="minorEastAsia" w:hAnsiTheme="minorHAnsi" w:cstheme="minorBidi"/>
              <w:noProof/>
              <w:lang w:eastAsia="en-AU"/>
            </w:rPr>
          </w:pPr>
          <w:hyperlink w:anchor="_Toc519244653" w:history="1">
            <w:r w:rsidRPr="00657E72">
              <w:rPr>
                <w:rStyle w:val="Hyperlink"/>
                <w:noProof/>
              </w:rPr>
              <w:t>Nonclinical summary and conclusions</w:t>
            </w:r>
            <w:r>
              <w:rPr>
                <w:noProof/>
                <w:webHidden/>
              </w:rPr>
              <w:tab/>
            </w:r>
            <w:r>
              <w:rPr>
                <w:noProof/>
                <w:webHidden/>
              </w:rPr>
              <w:fldChar w:fldCharType="begin"/>
            </w:r>
            <w:r>
              <w:rPr>
                <w:noProof/>
                <w:webHidden/>
              </w:rPr>
              <w:instrText xml:space="preserve"> PAGEREF _Toc519244653 \h </w:instrText>
            </w:r>
            <w:r>
              <w:rPr>
                <w:noProof/>
                <w:webHidden/>
              </w:rPr>
            </w:r>
            <w:r>
              <w:rPr>
                <w:noProof/>
                <w:webHidden/>
              </w:rPr>
              <w:fldChar w:fldCharType="separate"/>
            </w:r>
            <w:r>
              <w:rPr>
                <w:noProof/>
                <w:webHidden/>
              </w:rPr>
              <w:t>19</w:t>
            </w:r>
            <w:r>
              <w:rPr>
                <w:noProof/>
                <w:webHidden/>
              </w:rPr>
              <w:fldChar w:fldCharType="end"/>
            </w:r>
          </w:hyperlink>
        </w:p>
        <w:p w14:paraId="60BB172D" w14:textId="77777777" w:rsidR="004A1F75" w:rsidRDefault="004A1F75">
          <w:pPr>
            <w:pStyle w:val="TOC2"/>
            <w:rPr>
              <w:rFonts w:asciiTheme="minorHAnsi" w:eastAsiaTheme="minorEastAsia" w:hAnsiTheme="minorHAnsi" w:cstheme="minorBidi"/>
              <w:b w:val="0"/>
              <w:noProof/>
              <w:sz w:val="22"/>
              <w:lang w:eastAsia="en-AU"/>
            </w:rPr>
          </w:pPr>
          <w:hyperlink w:anchor="_Toc519244654" w:history="1">
            <w:r w:rsidRPr="00657E72">
              <w:rPr>
                <w:rStyle w:val="Hyperlink"/>
                <w:noProof/>
              </w:rPr>
              <w:t>V. Clinical findings</w:t>
            </w:r>
            <w:r>
              <w:rPr>
                <w:noProof/>
                <w:webHidden/>
              </w:rPr>
              <w:tab/>
            </w:r>
            <w:r>
              <w:rPr>
                <w:noProof/>
                <w:webHidden/>
              </w:rPr>
              <w:fldChar w:fldCharType="begin"/>
            </w:r>
            <w:r>
              <w:rPr>
                <w:noProof/>
                <w:webHidden/>
              </w:rPr>
              <w:instrText xml:space="preserve"> PAGEREF _Toc519244654 \h </w:instrText>
            </w:r>
            <w:r>
              <w:rPr>
                <w:noProof/>
                <w:webHidden/>
              </w:rPr>
            </w:r>
            <w:r>
              <w:rPr>
                <w:noProof/>
                <w:webHidden/>
              </w:rPr>
              <w:fldChar w:fldCharType="separate"/>
            </w:r>
            <w:r>
              <w:rPr>
                <w:noProof/>
                <w:webHidden/>
              </w:rPr>
              <w:t>20</w:t>
            </w:r>
            <w:r>
              <w:rPr>
                <w:noProof/>
                <w:webHidden/>
              </w:rPr>
              <w:fldChar w:fldCharType="end"/>
            </w:r>
          </w:hyperlink>
        </w:p>
        <w:p w14:paraId="0475027A" w14:textId="77777777" w:rsidR="004A1F75" w:rsidRDefault="004A1F75">
          <w:pPr>
            <w:pStyle w:val="TOC3"/>
            <w:rPr>
              <w:rFonts w:asciiTheme="minorHAnsi" w:eastAsiaTheme="minorEastAsia" w:hAnsiTheme="minorHAnsi" w:cstheme="minorBidi"/>
              <w:noProof/>
              <w:lang w:eastAsia="en-AU"/>
            </w:rPr>
          </w:pPr>
          <w:hyperlink w:anchor="_Toc519244655" w:history="1">
            <w:r w:rsidRPr="00657E72">
              <w:rPr>
                <w:rStyle w:val="Hyperlink"/>
                <w:noProof/>
              </w:rPr>
              <w:t>Introduction</w:t>
            </w:r>
            <w:r>
              <w:rPr>
                <w:noProof/>
                <w:webHidden/>
              </w:rPr>
              <w:tab/>
            </w:r>
            <w:r>
              <w:rPr>
                <w:noProof/>
                <w:webHidden/>
              </w:rPr>
              <w:fldChar w:fldCharType="begin"/>
            </w:r>
            <w:r>
              <w:rPr>
                <w:noProof/>
                <w:webHidden/>
              </w:rPr>
              <w:instrText xml:space="preserve"> PAGEREF _Toc519244655 \h </w:instrText>
            </w:r>
            <w:r>
              <w:rPr>
                <w:noProof/>
                <w:webHidden/>
              </w:rPr>
            </w:r>
            <w:r>
              <w:rPr>
                <w:noProof/>
                <w:webHidden/>
              </w:rPr>
              <w:fldChar w:fldCharType="separate"/>
            </w:r>
            <w:r>
              <w:rPr>
                <w:noProof/>
                <w:webHidden/>
              </w:rPr>
              <w:t>20</w:t>
            </w:r>
            <w:r>
              <w:rPr>
                <w:noProof/>
                <w:webHidden/>
              </w:rPr>
              <w:fldChar w:fldCharType="end"/>
            </w:r>
          </w:hyperlink>
        </w:p>
        <w:p w14:paraId="17ECAFBB" w14:textId="77777777" w:rsidR="004A1F75" w:rsidRDefault="004A1F75">
          <w:pPr>
            <w:pStyle w:val="TOC3"/>
            <w:rPr>
              <w:rFonts w:asciiTheme="minorHAnsi" w:eastAsiaTheme="minorEastAsia" w:hAnsiTheme="minorHAnsi" w:cstheme="minorBidi"/>
              <w:noProof/>
              <w:lang w:eastAsia="en-AU"/>
            </w:rPr>
          </w:pPr>
          <w:hyperlink w:anchor="_Toc519244656" w:history="1">
            <w:r w:rsidRPr="00657E72">
              <w:rPr>
                <w:rStyle w:val="Hyperlink"/>
                <w:noProof/>
              </w:rPr>
              <w:t>Pharmacokinetics</w:t>
            </w:r>
            <w:r>
              <w:rPr>
                <w:noProof/>
                <w:webHidden/>
              </w:rPr>
              <w:tab/>
            </w:r>
            <w:r>
              <w:rPr>
                <w:noProof/>
                <w:webHidden/>
              </w:rPr>
              <w:fldChar w:fldCharType="begin"/>
            </w:r>
            <w:r>
              <w:rPr>
                <w:noProof/>
                <w:webHidden/>
              </w:rPr>
              <w:instrText xml:space="preserve"> PAGEREF _Toc519244656 \h </w:instrText>
            </w:r>
            <w:r>
              <w:rPr>
                <w:noProof/>
                <w:webHidden/>
              </w:rPr>
            </w:r>
            <w:r>
              <w:rPr>
                <w:noProof/>
                <w:webHidden/>
              </w:rPr>
              <w:fldChar w:fldCharType="separate"/>
            </w:r>
            <w:r>
              <w:rPr>
                <w:noProof/>
                <w:webHidden/>
              </w:rPr>
              <w:t>22</w:t>
            </w:r>
            <w:r>
              <w:rPr>
                <w:noProof/>
                <w:webHidden/>
              </w:rPr>
              <w:fldChar w:fldCharType="end"/>
            </w:r>
          </w:hyperlink>
        </w:p>
        <w:p w14:paraId="6E1E4F41" w14:textId="77777777" w:rsidR="004A1F75" w:rsidRDefault="004A1F75">
          <w:pPr>
            <w:pStyle w:val="TOC3"/>
            <w:rPr>
              <w:rFonts w:asciiTheme="minorHAnsi" w:eastAsiaTheme="minorEastAsia" w:hAnsiTheme="minorHAnsi" w:cstheme="minorBidi"/>
              <w:noProof/>
              <w:lang w:eastAsia="en-AU"/>
            </w:rPr>
          </w:pPr>
          <w:hyperlink w:anchor="_Toc519244657" w:history="1">
            <w:r w:rsidRPr="00657E72">
              <w:rPr>
                <w:rStyle w:val="Hyperlink"/>
                <w:noProof/>
              </w:rPr>
              <w:t>Pharmacodynamics</w:t>
            </w:r>
            <w:r>
              <w:rPr>
                <w:noProof/>
                <w:webHidden/>
              </w:rPr>
              <w:tab/>
            </w:r>
            <w:r>
              <w:rPr>
                <w:noProof/>
                <w:webHidden/>
              </w:rPr>
              <w:fldChar w:fldCharType="begin"/>
            </w:r>
            <w:r>
              <w:rPr>
                <w:noProof/>
                <w:webHidden/>
              </w:rPr>
              <w:instrText xml:space="preserve"> PAGEREF _Toc519244657 \h </w:instrText>
            </w:r>
            <w:r>
              <w:rPr>
                <w:noProof/>
                <w:webHidden/>
              </w:rPr>
            </w:r>
            <w:r>
              <w:rPr>
                <w:noProof/>
                <w:webHidden/>
              </w:rPr>
              <w:fldChar w:fldCharType="separate"/>
            </w:r>
            <w:r>
              <w:rPr>
                <w:noProof/>
                <w:webHidden/>
              </w:rPr>
              <w:t>23</w:t>
            </w:r>
            <w:r>
              <w:rPr>
                <w:noProof/>
                <w:webHidden/>
              </w:rPr>
              <w:fldChar w:fldCharType="end"/>
            </w:r>
          </w:hyperlink>
        </w:p>
        <w:p w14:paraId="1BD364E8" w14:textId="77777777" w:rsidR="004A1F75" w:rsidRDefault="004A1F75">
          <w:pPr>
            <w:pStyle w:val="TOC3"/>
            <w:rPr>
              <w:rFonts w:asciiTheme="minorHAnsi" w:eastAsiaTheme="minorEastAsia" w:hAnsiTheme="minorHAnsi" w:cstheme="minorBidi"/>
              <w:noProof/>
              <w:lang w:eastAsia="en-AU"/>
            </w:rPr>
          </w:pPr>
          <w:hyperlink w:anchor="_Toc519244658" w:history="1">
            <w:r w:rsidRPr="00657E72">
              <w:rPr>
                <w:rStyle w:val="Hyperlink"/>
                <w:noProof/>
              </w:rPr>
              <w:t>Dosage selection for the pivotal studies</w:t>
            </w:r>
            <w:r>
              <w:rPr>
                <w:noProof/>
                <w:webHidden/>
              </w:rPr>
              <w:tab/>
            </w:r>
            <w:r>
              <w:rPr>
                <w:noProof/>
                <w:webHidden/>
              </w:rPr>
              <w:fldChar w:fldCharType="begin"/>
            </w:r>
            <w:r>
              <w:rPr>
                <w:noProof/>
                <w:webHidden/>
              </w:rPr>
              <w:instrText xml:space="preserve"> PAGEREF _Toc519244658 \h </w:instrText>
            </w:r>
            <w:r>
              <w:rPr>
                <w:noProof/>
                <w:webHidden/>
              </w:rPr>
            </w:r>
            <w:r>
              <w:rPr>
                <w:noProof/>
                <w:webHidden/>
              </w:rPr>
              <w:fldChar w:fldCharType="separate"/>
            </w:r>
            <w:r>
              <w:rPr>
                <w:noProof/>
                <w:webHidden/>
              </w:rPr>
              <w:t>24</w:t>
            </w:r>
            <w:r>
              <w:rPr>
                <w:noProof/>
                <w:webHidden/>
              </w:rPr>
              <w:fldChar w:fldCharType="end"/>
            </w:r>
          </w:hyperlink>
        </w:p>
        <w:p w14:paraId="17D2C82A" w14:textId="77777777" w:rsidR="004A1F75" w:rsidRDefault="004A1F75">
          <w:pPr>
            <w:pStyle w:val="TOC3"/>
            <w:rPr>
              <w:rFonts w:asciiTheme="minorHAnsi" w:eastAsiaTheme="minorEastAsia" w:hAnsiTheme="minorHAnsi" w:cstheme="minorBidi"/>
              <w:noProof/>
              <w:lang w:eastAsia="en-AU"/>
            </w:rPr>
          </w:pPr>
          <w:hyperlink w:anchor="_Toc519244659" w:history="1">
            <w:r w:rsidRPr="00657E72">
              <w:rPr>
                <w:rStyle w:val="Hyperlink"/>
                <w:noProof/>
              </w:rPr>
              <w:t>Efficacy</w:t>
            </w:r>
            <w:r>
              <w:rPr>
                <w:noProof/>
                <w:webHidden/>
              </w:rPr>
              <w:tab/>
            </w:r>
            <w:r>
              <w:rPr>
                <w:noProof/>
                <w:webHidden/>
              </w:rPr>
              <w:fldChar w:fldCharType="begin"/>
            </w:r>
            <w:r>
              <w:rPr>
                <w:noProof/>
                <w:webHidden/>
              </w:rPr>
              <w:instrText xml:space="preserve"> PAGEREF _Toc519244659 \h </w:instrText>
            </w:r>
            <w:r>
              <w:rPr>
                <w:noProof/>
                <w:webHidden/>
              </w:rPr>
            </w:r>
            <w:r>
              <w:rPr>
                <w:noProof/>
                <w:webHidden/>
              </w:rPr>
              <w:fldChar w:fldCharType="separate"/>
            </w:r>
            <w:r>
              <w:rPr>
                <w:noProof/>
                <w:webHidden/>
              </w:rPr>
              <w:t>24</w:t>
            </w:r>
            <w:r>
              <w:rPr>
                <w:noProof/>
                <w:webHidden/>
              </w:rPr>
              <w:fldChar w:fldCharType="end"/>
            </w:r>
          </w:hyperlink>
        </w:p>
        <w:p w14:paraId="0C55A95C" w14:textId="77777777" w:rsidR="004A1F75" w:rsidRDefault="004A1F75">
          <w:pPr>
            <w:pStyle w:val="TOC3"/>
            <w:rPr>
              <w:rFonts w:asciiTheme="minorHAnsi" w:eastAsiaTheme="minorEastAsia" w:hAnsiTheme="minorHAnsi" w:cstheme="minorBidi"/>
              <w:noProof/>
              <w:lang w:eastAsia="en-AU"/>
            </w:rPr>
          </w:pPr>
          <w:hyperlink w:anchor="_Toc519244660" w:history="1">
            <w:r w:rsidRPr="00657E72">
              <w:rPr>
                <w:rStyle w:val="Hyperlink"/>
                <w:noProof/>
              </w:rPr>
              <w:t>Safety</w:t>
            </w:r>
            <w:r>
              <w:rPr>
                <w:noProof/>
                <w:webHidden/>
              </w:rPr>
              <w:tab/>
            </w:r>
            <w:r>
              <w:rPr>
                <w:noProof/>
                <w:webHidden/>
              </w:rPr>
              <w:fldChar w:fldCharType="begin"/>
            </w:r>
            <w:r>
              <w:rPr>
                <w:noProof/>
                <w:webHidden/>
              </w:rPr>
              <w:instrText xml:space="preserve"> PAGEREF _Toc519244660 \h </w:instrText>
            </w:r>
            <w:r>
              <w:rPr>
                <w:noProof/>
                <w:webHidden/>
              </w:rPr>
            </w:r>
            <w:r>
              <w:rPr>
                <w:noProof/>
                <w:webHidden/>
              </w:rPr>
              <w:fldChar w:fldCharType="separate"/>
            </w:r>
            <w:r>
              <w:rPr>
                <w:noProof/>
                <w:webHidden/>
              </w:rPr>
              <w:t>25</w:t>
            </w:r>
            <w:r>
              <w:rPr>
                <w:noProof/>
                <w:webHidden/>
              </w:rPr>
              <w:fldChar w:fldCharType="end"/>
            </w:r>
          </w:hyperlink>
        </w:p>
        <w:p w14:paraId="4D4EE771" w14:textId="77777777" w:rsidR="004A1F75" w:rsidRDefault="004A1F75">
          <w:pPr>
            <w:pStyle w:val="TOC3"/>
            <w:rPr>
              <w:rFonts w:asciiTheme="minorHAnsi" w:eastAsiaTheme="minorEastAsia" w:hAnsiTheme="minorHAnsi" w:cstheme="minorBidi"/>
              <w:noProof/>
              <w:lang w:eastAsia="en-AU"/>
            </w:rPr>
          </w:pPr>
          <w:hyperlink w:anchor="_Toc519244661" w:history="1">
            <w:r w:rsidRPr="00657E72">
              <w:rPr>
                <w:rStyle w:val="Hyperlink"/>
                <w:noProof/>
              </w:rPr>
              <w:t>First round benefit-risk assessment</w:t>
            </w:r>
            <w:r>
              <w:rPr>
                <w:noProof/>
                <w:webHidden/>
              </w:rPr>
              <w:tab/>
            </w:r>
            <w:r>
              <w:rPr>
                <w:noProof/>
                <w:webHidden/>
              </w:rPr>
              <w:fldChar w:fldCharType="begin"/>
            </w:r>
            <w:r>
              <w:rPr>
                <w:noProof/>
                <w:webHidden/>
              </w:rPr>
              <w:instrText xml:space="preserve"> PAGEREF _Toc519244661 \h </w:instrText>
            </w:r>
            <w:r>
              <w:rPr>
                <w:noProof/>
                <w:webHidden/>
              </w:rPr>
            </w:r>
            <w:r>
              <w:rPr>
                <w:noProof/>
                <w:webHidden/>
              </w:rPr>
              <w:fldChar w:fldCharType="separate"/>
            </w:r>
            <w:r>
              <w:rPr>
                <w:noProof/>
                <w:webHidden/>
              </w:rPr>
              <w:t>31</w:t>
            </w:r>
            <w:r>
              <w:rPr>
                <w:noProof/>
                <w:webHidden/>
              </w:rPr>
              <w:fldChar w:fldCharType="end"/>
            </w:r>
          </w:hyperlink>
        </w:p>
        <w:p w14:paraId="6711BCA8" w14:textId="77777777" w:rsidR="004A1F75" w:rsidRDefault="004A1F75">
          <w:pPr>
            <w:pStyle w:val="TOC3"/>
            <w:rPr>
              <w:rFonts w:asciiTheme="minorHAnsi" w:eastAsiaTheme="minorEastAsia" w:hAnsiTheme="minorHAnsi" w:cstheme="minorBidi"/>
              <w:noProof/>
              <w:lang w:eastAsia="en-AU"/>
            </w:rPr>
          </w:pPr>
          <w:hyperlink w:anchor="_Toc519244662" w:history="1">
            <w:r w:rsidRPr="00657E72">
              <w:rPr>
                <w:rStyle w:val="Hyperlink"/>
                <w:noProof/>
              </w:rPr>
              <w:t>Second round benefit-risk assessment</w:t>
            </w:r>
            <w:r>
              <w:rPr>
                <w:noProof/>
                <w:webHidden/>
              </w:rPr>
              <w:tab/>
            </w:r>
            <w:r>
              <w:rPr>
                <w:noProof/>
                <w:webHidden/>
              </w:rPr>
              <w:fldChar w:fldCharType="begin"/>
            </w:r>
            <w:r>
              <w:rPr>
                <w:noProof/>
                <w:webHidden/>
              </w:rPr>
              <w:instrText xml:space="preserve"> PAGEREF _Toc519244662 \h </w:instrText>
            </w:r>
            <w:r>
              <w:rPr>
                <w:noProof/>
                <w:webHidden/>
              </w:rPr>
            </w:r>
            <w:r>
              <w:rPr>
                <w:noProof/>
                <w:webHidden/>
              </w:rPr>
              <w:fldChar w:fldCharType="separate"/>
            </w:r>
            <w:r>
              <w:rPr>
                <w:noProof/>
                <w:webHidden/>
              </w:rPr>
              <w:t>32</w:t>
            </w:r>
            <w:r>
              <w:rPr>
                <w:noProof/>
                <w:webHidden/>
              </w:rPr>
              <w:fldChar w:fldCharType="end"/>
            </w:r>
          </w:hyperlink>
        </w:p>
        <w:p w14:paraId="2E7F545F" w14:textId="77777777" w:rsidR="004A1F75" w:rsidRDefault="004A1F75">
          <w:pPr>
            <w:pStyle w:val="TOC2"/>
            <w:rPr>
              <w:rFonts w:asciiTheme="minorHAnsi" w:eastAsiaTheme="minorEastAsia" w:hAnsiTheme="minorHAnsi" w:cstheme="minorBidi"/>
              <w:b w:val="0"/>
              <w:noProof/>
              <w:sz w:val="22"/>
              <w:lang w:eastAsia="en-AU"/>
            </w:rPr>
          </w:pPr>
          <w:hyperlink w:anchor="_Toc519244663" w:history="1">
            <w:r w:rsidRPr="00657E72">
              <w:rPr>
                <w:rStyle w:val="Hyperlink"/>
                <w:noProof/>
              </w:rPr>
              <w:t>VI. Pharmacovigilance findings</w:t>
            </w:r>
            <w:r>
              <w:rPr>
                <w:noProof/>
                <w:webHidden/>
              </w:rPr>
              <w:tab/>
            </w:r>
            <w:r>
              <w:rPr>
                <w:noProof/>
                <w:webHidden/>
              </w:rPr>
              <w:fldChar w:fldCharType="begin"/>
            </w:r>
            <w:r>
              <w:rPr>
                <w:noProof/>
                <w:webHidden/>
              </w:rPr>
              <w:instrText xml:space="preserve"> PAGEREF _Toc519244663 \h </w:instrText>
            </w:r>
            <w:r>
              <w:rPr>
                <w:noProof/>
                <w:webHidden/>
              </w:rPr>
            </w:r>
            <w:r>
              <w:rPr>
                <w:noProof/>
                <w:webHidden/>
              </w:rPr>
              <w:fldChar w:fldCharType="separate"/>
            </w:r>
            <w:r>
              <w:rPr>
                <w:noProof/>
                <w:webHidden/>
              </w:rPr>
              <w:t>34</w:t>
            </w:r>
            <w:r>
              <w:rPr>
                <w:noProof/>
                <w:webHidden/>
              </w:rPr>
              <w:fldChar w:fldCharType="end"/>
            </w:r>
          </w:hyperlink>
        </w:p>
        <w:p w14:paraId="65D48418" w14:textId="77777777" w:rsidR="004A1F75" w:rsidRDefault="004A1F75">
          <w:pPr>
            <w:pStyle w:val="TOC3"/>
            <w:rPr>
              <w:rFonts w:asciiTheme="minorHAnsi" w:eastAsiaTheme="minorEastAsia" w:hAnsiTheme="minorHAnsi" w:cstheme="minorBidi"/>
              <w:noProof/>
              <w:lang w:eastAsia="en-AU"/>
            </w:rPr>
          </w:pPr>
          <w:hyperlink w:anchor="_Toc519244664" w:history="1">
            <w:r w:rsidRPr="00657E72">
              <w:rPr>
                <w:rStyle w:val="Hyperlink"/>
                <w:noProof/>
                <w:lang w:eastAsia="en-AU"/>
              </w:rPr>
              <w:t xml:space="preserve">Risk </w:t>
            </w:r>
            <w:r w:rsidRPr="00657E72">
              <w:rPr>
                <w:rStyle w:val="Hyperlink"/>
                <w:noProof/>
              </w:rPr>
              <w:t>management</w:t>
            </w:r>
            <w:r w:rsidRPr="00657E72">
              <w:rPr>
                <w:rStyle w:val="Hyperlink"/>
                <w:noProof/>
                <w:lang w:eastAsia="en-AU"/>
              </w:rPr>
              <w:t xml:space="preserve"> plan</w:t>
            </w:r>
            <w:r>
              <w:rPr>
                <w:noProof/>
                <w:webHidden/>
              </w:rPr>
              <w:tab/>
            </w:r>
            <w:r>
              <w:rPr>
                <w:noProof/>
                <w:webHidden/>
              </w:rPr>
              <w:fldChar w:fldCharType="begin"/>
            </w:r>
            <w:r>
              <w:rPr>
                <w:noProof/>
                <w:webHidden/>
              </w:rPr>
              <w:instrText xml:space="preserve"> PAGEREF _Toc519244664 \h </w:instrText>
            </w:r>
            <w:r>
              <w:rPr>
                <w:noProof/>
                <w:webHidden/>
              </w:rPr>
            </w:r>
            <w:r>
              <w:rPr>
                <w:noProof/>
                <w:webHidden/>
              </w:rPr>
              <w:fldChar w:fldCharType="separate"/>
            </w:r>
            <w:r>
              <w:rPr>
                <w:noProof/>
                <w:webHidden/>
              </w:rPr>
              <w:t>34</w:t>
            </w:r>
            <w:r>
              <w:rPr>
                <w:noProof/>
                <w:webHidden/>
              </w:rPr>
              <w:fldChar w:fldCharType="end"/>
            </w:r>
          </w:hyperlink>
        </w:p>
        <w:p w14:paraId="24DC86C7" w14:textId="77777777" w:rsidR="004A1F75" w:rsidRDefault="004A1F75">
          <w:pPr>
            <w:pStyle w:val="TOC2"/>
            <w:rPr>
              <w:rFonts w:asciiTheme="minorHAnsi" w:eastAsiaTheme="minorEastAsia" w:hAnsiTheme="minorHAnsi" w:cstheme="minorBidi"/>
              <w:b w:val="0"/>
              <w:noProof/>
              <w:sz w:val="22"/>
              <w:lang w:eastAsia="en-AU"/>
            </w:rPr>
          </w:pPr>
          <w:hyperlink w:anchor="_Toc519244665" w:history="1">
            <w:r w:rsidRPr="00657E72">
              <w:rPr>
                <w:rStyle w:val="Hyperlink"/>
                <w:noProof/>
              </w:rPr>
              <w:t>VII. Overall conclusion and risk/benefit assessment</w:t>
            </w:r>
            <w:r>
              <w:rPr>
                <w:noProof/>
                <w:webHidden/>
              </w:rPr>
              <w:tab/>
            </w:r>
            <w:r>
              <w:rPr>
                <w:noProof/>
                <w:webHidden/>
              </w:rPr>
              <w:fldChar w:fldCharType="begin"/>
            </w:r>
            <w:r>
              <w:rPr>
                <w:noProof/>
                <w:webHidden/>
              </w:rPr>
              <w:instrText xml:space="preserve"> PAGEREF _Toc519244665 \h </w:instrText>
            </w:r>
            <w:r>
              <w:rPr>
                <w:noProof/>
                <w:webHidden/>
              </w:rPr>
            </w:r>
            <w:r>
              <w:rPr>
                <w:noProof/>
                <w:webHidden/>
              </w:rPr>
              <w:fldChar w:fldCharType="separate"/>
            </w:r>
            <w:r>
              <w:rPr>
                <w:noProof/>
                <w:webHidden/>
              </w:rPr>
              <w:t>38</w:t>
            </w:r>
            <w:r>
              <w:rPr>
                <w:noProof/>
                <w:webHidden/>
              </w:rPr>
              <w:fldChar w:fldCharType="end"/>
            </w:r>
          </w:hyperlink>
        </w:p>
        <w:p w14:paraId="3B2B5603" w14:textId="77777777" w:rsidR="004A1F75" w:rsidRDefault="004A1F75">
          <w:pPr>
            <w:pStyle w:val="TOC3"/>
            <w:rPr>
              <w:rFonts w:asciiTheme="minorHAnsi" w:eastAsiaTheme="minorEastAsia" w:hAnsiTheme="minorHAnsi" w:cstheme="minorBidi"/>
              <w:noProof/>
              <w:lang w:eastAsia="en-AU"/>
            </w:rPr>
          </w:pPr>
          <w:hyperlink w:anchor="_Toc519244666" w:history="1">
            <w:r w:rsidRPr="00657E72">
              <w:rPr>
                <w:rStyle w:val="Hyperlink"/>
                <w:noProof/>
              </w:rPr>
              <w:t>Quality</w:t>
            </w:r>
            <w:r>
              <w:rPr>
                <w:noProof/>
                <w:webHidden/>
              </w:rPr>
              <w:tab/>
            </w:r>
            <w:r>
              <w:rPr>
                <w:noProof/>
                <w:webHidden/>
              </w:rPr>
              <w:fldChar w:fldCharType="begin"/>
            </w:r>
            <w:r>
              <w:rPr>
                <w:noProof/>
                <w:webHidden/>
              </w:rPr>
              <w:instrText xml:space="preserve"> PAGEREF _Toc519244666 \h </w:instrText>
            </w:r>
            <w:r>
              <w:rPr>
                <w:noProof/>
                <w:webHidden/>
              </w:rPr>
            </w:r>
            <w:r>
              <w:rPr>
                <w:noProof/>
                <w:webHidden/>
              </w:rPr>
              <w:fldChar w:fldCharType="separate"/>
            </w:r>
            <w:r>
              <w:rPr>
                <w:noProof/>
                <w:webHidden/>
              </w:rPr>
              <w:t>38</w:t>
            </w:r>
            <w:r>
              <w:rPr>
                <w:noProof/>
                <w:webHidden/>
              </w:rPr>
              <w:fldChar w:fldCharType="end"/>
            </w:r>
          </w:hyperlink>
        </w:p>
        <w:p w14:paraId="088F8324" w14:textId="77777777" w:rsidR="004A1F75" w:rsidRDefault="004A1F75">
          <w:pPr>
            <w:pStyle w:val="TOC3"/>
            <w:rPr>
              <w:rFonts w:asciiTheme="minorHAnsi" w:eastAsiaTheme="minorEastAsia" w:hAnsiTheme="minorHAnsi" w:cstheme="minorBidi"/>
              <w:noProof/>
              <w:lang w:eastAsia="en-AU"/>
            </w:rPr>
          </w:pPr>
          <w:hyperlink w:anchor="_Toc519244667" w:history="1">
            <w:r w:rsidRPr="00657E72">
              <w:rPr>
                <w:rStyle w:val="Hyperlink"/>
                <w:noProof/>
              </w:rPr>
              <w:t>Nonclinical</w:t>
            </w:r>
            <w:r>
              <w:rPr>
                <w:noProof/>
                <w:webHidden/>
              </w:rPr>
              <w:tab/>
            </w:r>
            <w:r>
              <w:rPr>
                <w:noProof/>
                <w:webHidden/>
              </w:rPr>
              <w:fldChar w:fldCharType="begin"/>
            </w:r>
            <w:r>
              <w:rPr>
                <w:noProof/>
                <w:webHidden/>
              </w:rPr>
              <w:instrText xml:space="preserve"> PAGEREF _Toc519244667 \h </w:instrText>
            </w:r>
            <w:r>
              <w:rPr>
                <w:noProof/>
                <w:webHidden/>
              </w:rPr>
            </w:r>
            <w:r>
              <w:rPr>
                <w:noProof/>
                <w:webHidden/>
              </w:rPr>
              <w:fldChar w:fldCharType="separate"/>
            </w:r>
            <w:r>
              <w:rPr>
                <w:noProof/>
                <w:webHidden/>
              </w:rPr>
              <w:t>39</w:t>
            </w:r>
            <w:r>
              <w:rPr>
                <w:noProof/>
                <w:webHidden/>
              </w:rPr>
              <w:fldChar w:fldCharType="end"/>
            </w:r>
          </w:hyperlink>
        </w:p>
        <w:p w14:paraId="04A6AB96" w14:textId="77777777" w:rsidR="004A1F75" w:rsidRDefault="004A1F75">
          <w:pPr>
            <w:pStyle w:val="TOC3"/>
            <w:rPr>
              <w:rFonts w:asciiTheme="minorHAnsi" w:eastAsiaTheme="minorEastAsia" w:hAnsiTheme="minorHAnsi" w:cstheme="minorBidi"/>
              <w:noProof/>
              <w:lang w:eastAsia="en-AU"/>
            </w:rPr>
          </w:pPr>
          <w:hyperlink w:anchor="_Toc519244668" w:history="1">
            <w:r w:rsidRPr="00657E72">
              <w:rPr>
                <w:rStyle w:val="Hyperlink"/>
                <w:noProof/>
              </w:rPr>
              <w:t>Clinical</w:t>
            </w:r>
            <w:r>
              <w:rPr>
                <w:noProof/>
                <w:webHidden/>
              </w:rPr>
              <w:tab/>
            </w:r>
            <w:r>
              <w:rPr>
                <w:noProof/>
                <w:webHidden/>
              </w:rPr>
              <w:fldChar w:fldCharType="begin"/>
            </w:r>
            <w:r>
              <w:rPr>
                <w:noProof/>
                <w:webHidden/>
              </w:rPr>
              <w:instrText xml:space="preserve"> PAGEREF _Toc519244668 \h </w:instrText>
            </w:r>
            <w:r>
              <w:rPr>
                <w:noProof/>
                <w:webHidden/>
              </w:rPr>
            </w:r>
            <w:r>
              <w:rPr>
                <w:noProof/>
                <w:webHidden/>
              </w:rPr>
              <w:fldChar w:fldCharType="separate"/>
            </w:r>
            <w:r>
              <w:rPr>
                <w:noProof/>
                <w:webHidden/>
              </w:rPr>
              <w:t>40</w:t>
            </w:r>
            <w:r>
              <w:rPr>
                <w:noProof/>
                <w:webHidden/>
              </w:rPr>
              <w:fldChar w:fldCharType="end"/>
            </w:r>
          </w:hyperlink>
        </w:p>
        <w:p w14:paraId="0911531E" w14:textId="77777777" w:rsidR="004A1F75" w:rsidRDefault="004A1F75">
          <w:pPr>
            <w:pStyle w:val="TOC3"/>
            <w:rPr>
              <w:rFonts w:asciiTheme="minorHAnsi" w:eastAsiaTheme="minorEastAsia" w:hAnsiTheme="minorHAnsi" w:cstheme="minorBidi"/>
              <w:noProof/>
              <w:lang w:eastAsia="en-AU"/>
            </w:rPr>
          </w:pPr>
          <w:hyperlink w:anchor="_Toc519244669" w:history="1">
            <w:r w:rsidRPr="00657E72">
              <w:rPr>
                <w:rStyle w:val="Hyperlink"/>
                <w:noProof/>
                <w:lang w:eastAsia="en-AU"/>
              </w:rPr>
              <w:t>Risk management plan</w:t>
            </w:r>
            <w:r>
              <w:rPr>
                <w:noProof/>
                <w:webHidden/>
              </w:rPr>
              <w:tab/>
            </w:r>
            <w:r>
              <w:rPr>
                <w:noProof/>
                <w:webHidden/>
              </w:rPr>
              <w:fldChar w:fldCharType="begin"/>
            </w:r>
            <w:r>
              <w:rPr>
                <w:noProof/>
                <w:webHidden/>
              </w:rPr>
              <w:instrText xml:space="preserve"> PAGEREF _Toc519244669 \h </w:instrText>
            </w:r>
            <w:r>
              <w:rPr>
                <w:noProof/>
                <w:webHidden/>
              </w:rPr>
            </w:r>
            <w:r>
              <w:rPr>
                <w:noProof/>
                <w:webHidden/>
              </w:rPr>
              <w:fldChar w:fldCharType="separate"/>
            </w:r>
            <w:r>
              <w:rPr>
                <w:noProof/>
                <w:webHidden/>
              </w:rPr>
              <w:t>44</w:t>
            </w:r>
            <w:r>
              <w:rPr>
                <w:noProof/>
                <w:webHidden/>
              </w:rPr>
              <w:fldChar w:fldCharType="end"/>
            </w:r>
          </w:hyperlink>
        </w:p>
        <w:p w14:paraId="78AE4D28" w14:textId="77777777" w:rsidR="004A1F75" w:rsidRDefault="004A1F75">
          <w:pPr>
            <w:pStyle w:val="TOC3"/>
            <w:rPr>
              <w:rFonts w:asciiTheme="minorHAnsi" w:eastAsiaTheme="minorEastAsia" w:hAnsiTheme="minorHAnsi" w:cstheme="minorBidi"/>
              <w:noProof/>
              <w:lang w:eastAsia="en-AU"/>
            </w:rPr>
          </w:pPr>
          <w:hyperlink w:anchor="_Toc519244670" w:history="1">
            <w:r w:rsidRPr="00657E72">
              <w:rPr>
                <w:rStyle w:val="Hyperlink"/>
                <w:noProof/>
              </w:rPr>
              <w:t>Risk-benefit analysis</w:t>
            </w:r>
            <w:r>
              <w:rPr>
                <w:noProof/>
                <w:webHidden/>
              </w:rPr>
              <w:tab/>
            </w:r>
            <w:r>
              <w:rPr>
                <w:noProof/>
                <w:webHidden/>
              </w:rPr>
              <w:fldChar w:fldCharType="begin"/>
            </w:r>
            <w:r>
              <w:rPr>
                <w:noProof/>
                <w:webHidden/>
              </w:rPr>
              <w:instrText xml:space="preserve"> PAGEREF _Toc519244670 \h </w:instrText>
            </w:r>
            <w:r>
              <w:rPr>
                <w:noProof/>
                <w:webHidden/>
              </w:rPr>
            </w:r>
            <w:r>
              <w:rPr>
                <w:noProof/>
                <w:webHidden/>
              </w:rPr>
              <w:fldChar w:fldCharType="separate"/>
            </w:r>
            <w:r>
              <w:rPr>
                <w:noProof/>
                <w:webHidden/>
              </w:rPr>
              <w:t>44</w:t>
            </w:r>
            <w:r>
              <w:rPr>
                <w:noProof/>
                <w:webHidden/>
              </w:rPr>
              <w:fldChar w:fldCharType="end"/>
            </w:r>
          </w:hyperlink>
        </w:p>
        <w:p w14:paraId="51D2FEA0" w14:textId="77777777" w:rsidR="004A1F75" w:rsidRDefault="004A1F75">
          <w:pPr>
            <w:pStyle w:val="TOC3"/>
            <w:rPr>
              <w:rFonts w:asciiTheme="minorHAnsi" w:eastAsiaTheme="minorEastAsia" w:hAnsiTheme="minorHAnsi" w:cstheme="minorBidi"/>
              <w:noProof/>
              <w:lang w:eastAsia="en-AU"/>
            </w:rPr>
          </w:pPr>
          <w:hyperlink w:anchor="_Toc519244671" w:history="1">
            <w:r w:rsidRPr="00657E72">
              <w:rPr>
                <w:rStyle w:val="Hyperlink"/>
                <w:noProof/>
              </w:rPr>
              <w:t>Outcome</w:t>
            </w:r>
            <w:r>
              <w:rPr>
                <w:noProof/>
                <w:webHidden/>
              </w:rPr>
              <w:tab/>
            </w:r>
            <w:r>
              <w:rPr>
                <w:noProof/>
                <w:webHidden/>
              </w:rPr>
              <w:fldChar w:fldCharType="begin"/>
            </w:r>
            <w:r>
              <w:rPr>
                <w:noProof/>
                <w:webHidden/>
              </w:rPr>
              <w:instrText xml:space="preserve"> PAGEREF _Toc519244671 \h </w:instrText>
            </w:r>
            <w:r>
              <w:rPr>
                <w:noProof/>
                <w:webHidden/>
              </w:rPr>
            </w:r>
            <w:r>
              <w:rPr>
                <w:noProof/>
                <w:webHidden/>
              </w:rPr>
              <w:fldChar w:fldCharType="separate"/>
            </w:r>
            <w:r>
              <w:rPr>
                <w:noProof/>
                <w:webHidden/>
              </w:rPr>
              <w:t>48</w:t>
            </w:r>
            <w:r>
              <w:rPr>
                <w:noProof/>
                <w:webHidden/>
              </w:rPr>
              <w:fldChar w:fldCharType="end"/>
            </w:r>
          </w:hyperlink>
        </w:p>
        <w:p w14:paraId="267F2D26" w14:textId="77777777" w:rsidR="004A1F75" w:rsidRDefault="004A1F75">
          <w:pPr>
            <w:pStyle w:val="TOC2"/>
            <w:rPr>
              <w:rFonts w:asciiTheme="minorHAnsi" w:eastAsiaTheme="minorEastAsia" w:hAnsiTheme="minorHAnsi" w:cstheme="minorBidi"/>
              <w:b w:val="0"/>
              <w:noProof/>
              <w:sz w:val="22"/>
              <w:lang w:eastAsia="en-AU"/>
            </w:rPr>
          </w:pPr>
          <w:hyperlink w:anchor="_Toc519244672" w:history="1">
            <w:r w:rsidRPr="00657E72">
              <w:rPr>
                <w:rStyle w:val="Hyperlink"/>
                <w:noProof/>
              </w:rPr>
              <w:t>Attachment 1. Product Information</w:t>
            </w:r>
            <w:r>
              <w:rPr>
                <w:noProof/>
                <w:webHidden/>
              </w:rPr>
              <w:tab/>
            </w:r>
            <w:r>
              <w:rPr>
                <w:noProof/>
                <w:webHidden/>
              </w:rPr>
              <w:fldChar w:fldCharType="begin"/>
            </w:r>
            <w:r>
              <w:rPr>
                <w:noProof/>
                <w:webHidden/>
              </w:rPr>
              <w:instrText xml:space="preserve"> PAGEREF _Toc519244672 \h </w:instrText>
            </w:r>
            <w:r>
              <w:rPr>
                <w:noProof/>
                <w:webHidden/>
              </w:rPr>
            </w:r>
            <w:r>
              <w:rPr>
                <w:noProof/>
                <w:webHidden/>
              </w:rPr>
              <w:fldChar w:fldCharType="separate"/>
            </w:r>
            <w:r>
              <w:rPr>
                <w:noProof/>
                <w:webHidden/>
              </w:rPr>
              <w:t>49</w:t>
            </w:r>
            <w:r>
              <w:rPr>
                <w:noProof/>
                <w:webHidden/>
              </w:rPr>
              <w:fldChar w:fldCharType="end"/>
            </w:r>
          </w:hyperlink>
        </w:p>
        <w:p w14:paraId="77F3C94B" w14:textId="77777777" w:rsidR="004A1F75" w:rsidRDefault="004A1F75">
          <w:pPr>
            <w:pStyle w:val="TOC2"/>
            <w:rPr>
              <w:rFonts w:asciiTheme="minorHAnsi" w:eastAsiaTheme="minorEastAsia" w:hAnsiTheme="minorHAnsi" w:cstheme="minorBidi"/>
              <w:b w:val="0"/>
              <w:noProof/>
              <w:sz w:val="22"/>
              <w:lang w:eastAsia="en-AU"/>
            </w:rPr>
          </w:pPr>
          <w:hyperlink w:anchor="_Toc519244673" w:history="1">
            <w:r w:rsidRPr="00657E72">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_Toc519244673 \h </w:instrText>
            </w:r>
            <w:r>
              <w:rPr>
                <w:noProof/>
                <w:webHidden/>
              </w:rPr>
            </w:r>
            <w:r>
              <w:rPr>
                <w:noProof/>
                <w:webHidden/>
              </w:rPr>
              <w:fldChar w:fldCharType="separate"/>
            </w:r>
            <w:r>
              <w:rPr>
                <w:noProof/>
                <w:webHidden/>
              </w:rPr>
              <w:t>49</w:t>
            </w:r>
            <w:r>
              <w:rPr>
                <w:noProof/>
                <w:webHidden/>
              </w:rPr>
              <w:fldChar w:fldCharType="end"/>
            </w:r>
          </w:hyperlink>
        </w:p>
        <w:p w14:paraId="7E10F4AC" w14:textId="77777777" w:rsidR="003A7F6C" w:rsidRPr="00B811C6" w:rsidRDefault="00DB6124" w:rsidP="00B811C6">
          <w:pPr>
            <w:pStyle w:val="TOC2"/>
          </w:pPr>
          <w:r>
            <w:fldChar w:fldCharType="end"/>
          </w:r>
        </w:p>
      </w:sdtContent>
    </w:sdt>
    <w:bookmarkStart w:id="3" w:name="_Toc314842482" w:displacedByCustomXml="prev"/>
    <w:p w14:paraId="46FD5DB3" w14:textId="77777777" w:rsidR="00F50F44" w:rsidRDefault="00D308A1" w:rsidP="005A3A45">
      <w:pPr>
        <w:pStyle w:val="Heading2"/>
        <w:pageBreakBefore/>
        <w:spacing w:before="0"/>
      </w:pPr>
      <w:bookmarkStart w:id="4" w:name="_Toc351716269"/>
      <w:bookmarkStart w:id="5" w:name="_Toc351718881"/>
      <w:bookmarkStart w:id="6" w:name="_Toc355338616"/>
      <w:bookmarkStart w:id="7" w:name="_Toc356306144"/>
      <w:bookmarkStart w:id="8" w:name="_Toc519244637"/>
      <w:r>
        <w:t>List of c</w:t>
      </w:r>
      <w:r w:rsidR="00441C3F">
        <w:t>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F50F44" w14:paraId="6C30F735" w14:textId="77777777" w:rsidTr="00F50F44">
        <w:trPr>
          <w:cnfStyle w:val="100000000000" w:firstRow="1" w:lastRow="0" w:firstColumn="0" w:lastColumn="0" w:oddVBand="0" w:evenVBand="0" w:oddHBand="0" w:evenHBand="0" w:firstRowFirstColumn="0" w:firstRowLastColumn="0" w:lastRowFirstColumn="0" w:lastRowLastColumn="0"/>
        </w:trPr>
        <w:tc>
          <w:tcPr>
            <w:tcW w:w="1890" w:type="dxa"/>
          </w:tcPr>
          <w:p w14:paraId="0100726D" w14:textId="77777777" w:rsidR="00F50F44" w:rsidRDefault="00F50F44" w:rsidP="00F50F44">
            <w:r>
              <w:t>Abbreviation</w:t>
            </w:r>
          </w:p>
        </w:tc>
        <w:tc>
          <w:tcPr>
            <w:tcW w:w="6911" w:type="dxa"/>
          </w:tcPr>
          <w:p w14:paraId="09325D46" w14:textId="77777777" w:rsidR="00F50F44" w:rsidRDefault="00F50F44" w:rsidP="00F50F44">
            <w:r>
              <w:t>Meaning</w:t>
            </w:r>
          </w:p>
        </w:tc>
      </w:tr>
      <w:tr w:rsidR="00F50F44" w14:paraId="391603FC" w14:textId="77777777" w:rsidTr="00F50F44">
        <w:tc>
          <w:tcPr>
            <w:tcW w:w="1890" w:type="dxa"/>
          </w:tcPr>
          <w:p w14:paraId="2D889B1D" w14:textId="77777777" w:rsidR="00F50F44" w:rsidRDefault="00F50F44" w:rsidP="00F50F44">
            <w:r>
              <w:t>Ab</w:t>
            </w:r>
          </w:p>
        </w:tc>
        <w:tc>
          <w:tcPr>
            <w:tcW w:w="6911" w:type="dxa"/>
          </w:tcPr>
          <w:p w14:paraId="6CB36426" w14:textId="77777777" w:rsidR="00F50F44" w:rsidRDefault="00F50F44" w:rsidP="00F50F44">
            <w:r>
              <w:t>Antibody</w:t>
            </w:r>
          </w:p>
        </w:tc>
      </w:tr>
      <w:tr w:rsidR="00F50F44" w14:paraId="5AE6742A" w14:textId="77777777" w:rsidTr="00F50F44">
        <w:tc>
          <w:tcPr>
            <w:tcW w:w="1890" w:type="dxa"/>
          </w:tcPr>
          <w:p w14:paraId="1CA3AFE5" w14:textId="77777777" w:rsidR="00F50F44" w:rsidRDefault="00F50F44" w:rsidP="00F50F44">
            <w:r w:rsidRPr="006F497A">
              <w:t>ABN</w:t>
            </w:r>
          </w:p>
        </w:tc>
        <w:tc>
          <w:tcPr>
            <w:tcW w:w="6911" w:type="dxa"/>
          </w:tcPr>
          <w:p w14:paraId="4E9F9365" w14:textId="77777777" w:rsidR="00F50F44" w:rsidRDefault="00F50F44" w:rsidP="00F50F44">
            <w:r>
              <w:t>Australian Biological Name</w:t>
            </w:r>
          </w:p>
        </w:tc>
      </w:tr>
      <w:tr w:rsidR="00F50F44" w14:paraId="5FB4FA45" w14:textId="77777777" w:rsidTr="00F50F44">
        <w:tc>
          <w:tcPr>
            <w:tcW w:w="1890" w:type="dxa"/>
          </w:tcPr>
          <w:p w14:paraId="56034D5E" w14:textId="77777777" w:rsidR="00F50F44" w:rsidRDefault="00F50F44" w:rsidP="00F50F44">
            <w:r>
              <w:t>ABP 501</w:t>
            </w:r>
          </w:p>
        </w:tc>
        <w:tc>
          <w:tcPr>
            <w:tcW w:w="6911" w:type="dxa"/>
          </w:tcPr>
          <w:p w14:paraId="57BBEE62" w14:textId="77777777" w:rsidR="00F50F44" w:rsidRDefault="00F50F44" w:rsidP="00F50F44">
            <w:proofErr w:type="spellStart"/>
            <w:r>
              <w:t>Amgevita</w:t>
            </w:r>
            <w:proofErr w:type="spellEnd"/>
            <w:r>
              <w:t xml:space="preserve"> (adalimumab)</w:t>
            </w:r>
          </w:p>
        </w:tc>
      </w:tr>
      <w:tr w:rsidR="00F50F44" w14:paraId="0ED7E2D2" w14:textId="77777777" w:rsidTr="00F50F44">
        <w:tc>
          <w:tcPr>
            <w:tcW w:w="1890" w:type="dxa"/>
          </w:tcPr>
          <w:p w14:paraId="3CF20CA6" w14:textId="77777777" w:rsidR="00F50F44" w:rsidRDefault="00F50F44" w:rsidP="00F50F44">
            <w:r>
              <w:t>ACR</w:t>
            </w:r>
          </w:p>
        </w:tc>
        <w:tc>
          <w:tcPr>
            <w:tcW w:w="6911" w:type="dxa"/>
          </w:tcPr>
          <w:p w14:paraId="2CDBFF24" w14:textId="77777777" w:rsidR="00F50F44" w:rsidRPr="007F409D" w:rsidRDefault="00F50F44" w:rsidP="00F50F44">
            <w:r w:rsidRPr="007F409D">
              <w:t>American College of Rheumatology</w:t>
            </w:r>
          </w:p>
        </w:tc>
      </w:tr>
      <w:tr w:rsidR="00F50F44" w14:paraId="2928FFA0" w14:textId="77777777" w:rsidTr="00F50F44">
        <w:tc>
          <w:tcPr>
            <w:tcW w:w="1890" w:type="dxa"/>
          </w:tcPr>
          <w:p w14:paraId="0B25447F" w14:textId="77777777" w:rsidR="00F50F44" w:rsidRDefault="00F50F44" w:rsidP="00F50F44">
            <w:r>
              <w:t>ACR20</w:t>
            </w:r>
          </w:p>
        </w:tc>
        <w:tc>
          <w:tcPr>
            <w:tcW w:w="6911" w:type="dxa"/>
          </w:tcPr>
          <w:p w14:paraId="2FC16413" w14:textId="77777777" w:rsidR="00F50F44" w:rsidRDefault="00F50F44" w:rsidP="00F50F44">
            <w:r w:rsidRPr="007F409D">
              <w:t>American College of Rheumatology 20% improvement criteria</w:t>
            </w:r>
          </w:p>
        </w:tc>
      </w:tr>
      <w:tr w:rsidR="00F50F44" w14:paraId="6E870A0C" w14:textId="77777777" w:rsidTr="00F50F44">
        <w:tc>
          <w:tcPr>
            <w:tcW w:w="1890" w:type="dxa"/>
          </w:tcPr>
          <w:p w14:paraId="24E364FC" w14:textId="77777777" w:rsidR="00F50F44" w:rsidRDefault="00F50F44" w:rsidP="00F50F44">
            <w:r>
              <w:t>ADA</w:t>
            </w:r>
          </w:p>
        </w:tc>
        <w:tc>
          <w:tcPr>
            <w:tcW w:w="6911" w:type="dxa"/>
          </w:tcPr>
          <w:p w14:paraId="42A5D271" w14:textId="77777777" w:rsidR="00F50F44" w:rsidRPr="00DB60AA" w:rsidRDefault="00F50F44" w:rsidP="00F50F44">
            <w:r>
              <w:t>Anti-drug antibody</w:t>
            </w:r>
          </w:p>
        </w:tc>
      </w:tr>
      <w:tr w:rsidR="00F50F44" w14:paraId="4251C221" w14:textId="77777777" w:rsidTr="00F50F44">
        <w:tc>
          <w:tcPr>
            <w:tcW w:w="1890" w:type="dxa"/>
          </w:tcPr>
          <w:p w14:paraId="4D9955C3" w14:textId="77777777" w:rsidR="00F50F44" w:rsidRDefault="00F50F44" w:rsidP="00F50F44">
            <w:r>
              <w:t>AE</w:t>
            </w:r>
          </w:p>
        </w:tc>
        <w:tc>
          <w:tcPr>
            <w:tcW w:w="6911" w:type="dxa"/>
          </w:tcPr>
          <w:p w14:paraId="0E7BE6CB" w14:textId="241C9AF3" w:rsidR="00F50F44" w:rsidRDefault="00F50F44" w:rsidP="00F50F44">
            <w:r>
              <w:t>Adverse event (not necessarily treatment</w:t>
            </w:r>
            <w:r w:rsidR="006D1E27">
              <w:t xml:space="preserve"> </w:t>
            </w:r>
            <w:r>
              <w:t>related)</w:t>
            </w:r>
          </w:p>
        </w:tc>
      </w:tr>
      <w:tr w:rsidR="00F50F44" w14:paraId="7B408E48" w14:textId="77777777" w:rsidTr="00F50F44">
        <w:tc>
          <w:tcPr>
            <w:tcW w:w="1890" w:type="dxa"/>
          </w:tcPr>
          <w:p w14:paraId="5591314C" w14:textId="77777777" w:rsidR="00F50F44" w:rsidRPr="00AB6217" w:rsidRDefault="00F50F44" w:rsidP="00F50F44">
            <w:r>
              <w:t>Anti-CCP</w:t>
            </w:r>
          </w:p>
        </w:tc>
        <w:tc>
          <w:tcPr>
            <w:tcW w:w="6911" w:type="dxa"/>
          </w:tcPr>
          <w:p w14:paraId="3E1D0B20" w14:textId="77777777" w:rsidR="00F50F44" w:rsidRDefault="00F50F44" w:rsidP="00F50F44">
            <w:r>
              <w:t>Anti-cyclic citrullinated peptide</w:t>
            </w:r>
          </w:p>
        </w:tc>
      </w:tr>
      <w:tr w:rsidR="00F50F44" w14:paraId="10CB6DBA" w14:textId="77777777" w:rsidTr="00F50F44">
        <w:tc>
          <w:tcPr>
            <w:tcW w:w="1890" w:type="dxa"/>
          </w:tcPr>
          <w:p w14:paraId="769F612E" w14:textId="77777777" w:rsidR="00F50F44" w:rsidRDefault="00F50F44" w:rsidP="00F50F44">
            <w:r w:rsidRPr="00AB6217">
              <w:t>ALT</w:t>
            </w:r>
          </w:p>
        </w:tc>
        <w:tc>
          <w:tcPr>
            <w:tcW w:w="6911" w:type="dxa"/>
          </w:tcPr>
          <w:p w14:paraId="5B6019D2" w14:textId="77777777" w:rsidR="00F50F44" w:rsidRPr="00DB60AA" w:rsidRDefault="00F50F44" w:rsidP="00F50F44">
            <w:r>
              <w:t>A</w:t>
            </w:r>
            <w:r w:rsidRPr="00AB6217">
              <w:t>lanine aminotransferase</w:t>
            </w:r>
          </w:p>
        </w:tc>
      </w:tr>
      <w:tr w:rsidR="00F50F44" w14:paraId="41269917" w14:textId="77777777" w:rsidTr="00F50F44">
        <w:tc>
          <w:tcPr>
            <w:tcW w:w="1890" w:type="dxa"/>
          </w:tcPr>
          <w:p w14:paraId="673D2347" w14:textId="77777777" w:rsidR="00F50F44" w:rsidRDefault="00F50F44" w:rsidP="00F50F44">
            <w:r>
              <w:t>ARTG</w:t>
            </w:r>
          </w:p>
        </w:tc>
        <w:tc>
          <w:tcPr>
            <w:tcW w:w="6911" w:type="dxa"/>
          </w:tcPr>
          <w:p w14:paraId="2F7F492A" w14:textId="77777777" w:rsidR="00F50F44" w:rsidRDefault="00F50F44" w:rsidP="00F50F44">
            <w:r w:rsidRPr="00DB60AA">
              <w:t>Australian Register of Therapeutic Goods</w:t>
            </w:r>
          </w:p>
        </w:tc>
      </w:tr>
      <w:tr w:rsidR="00F50F44" w14:paraId="42C1F810" w14:textId="77777777" w:rsidTr="00F50F44">
        <w:tc>
          <w:tcPr>
            <w:tcW w:w="1890" w:type="dxa"/>
          </w:tcPr>
          <w:p w14:paraId="00CBD01D" w14:textId="77777777" w:rsidR="00F50F44" w:rsidRPr="00AB6217" w:rsidRDefault="00F50F44" w:rsidP="00F50F44">
            <w:r w:rsidRPr="00AB6217">
              <w:t>AST</w:t>
            </w:r>
          </w:p>
        </w:tc>
        <w:tc>
          <w:tcPr>
            <w:tcW w:w="6911" w:type="dxa"/>
          </w:tcPr>
          <w:p w14:paraId="25FBAA53" w14:textId="77777777" w:rsidR="00F50F44" w:rsidRDefault="00F50F44" w:rsidP="00F50F44">
            <w:r>
              <w:t>Aspartate aminotransferase</w:t>
            </w:r>
          </w:p>
        </w:tc>
      </w:tr>
      <w:tr w:rsidR="00F50F44" w14:paraId="399B9FE8" w14:textId="77777777" w:rsidTr="00F50F44">
        <w:tc>
          <w:tcPr>
            <w:tcW w:w="1890" w:type="dxa"/>
          </w:tcPr>
          <w:p w14:paraId="26564ED9" w14:textId="77777777" w:rsidR="00F50F44" w:rsidRDefault="00F50F44" w:rsidP="00F50F44">
            <w:r w:rsidRPr="00AB6217">
              <w:t>BCC</w:t>
            </w:r>
          </w:p>
        </w:tc>
        <w:tc>
          <w:tcPr>
            <w:tcW w:w="6911" w:type="dxa"/>
          </w:tcPr>
          <w:p w14:paraId="581BB27F" w14:textId="77777777" w:rsidR="00F50F44" w:rsidRDefault="00F50F44" w:rsidP="00F50F44">
            <w:r w:rsidRPr="008D468D">
              <w:t>Basal cell carcinoma</w:t>
            </w:r>
          </w:p>
        </w:tc>
      </w:tr>
      <w:tr w:rsidR="00F50F44" w14:paraId="7FEB9D6A" w14:textId="77777777" w:rsidTr="00F50F44">
        <w:tc>
          <w:tcPr>
            <w:tcW w:w="1890" w:type="dxa"/>
          </w:tcPr>
          <w:p w14:paraId="22526518" w14:textId="77777777" w:rsidR="00F50F44" w:rsidRDefault="00F50F44" w:rsidP="00F50F44">
            <w:r>
              <w:t>BMI</w:t>
            </w:r>
          </w:p>
        </w:tc>
        <w:tc>
          <w:tcPr>
            <w:tcW w:w="6911" w:type="dxa"/>
          </w:tcPr>
          <w:p w14:paraId="4DFD0D14" w14:textId="7871246E" w:rsidR="00F50F44" w:rsidRDefault="00F50F44" w:rsidP="00F50F44">
            <w:r>
              <w:t>Body</w:t>
            </w:r>
            <w:r w:rsidR="006D1E27">
              <w:t xml:space="preserve"> </w:t>
            </w:r>
            <w:r>
              <w:t>mass index</w:t>
            </w:r>
          </w:p>
        </w:tc>
      </w:tr>
      <w:tr w:rsidR="00F50F44" w14:paraId="02335C9F" w14:textId="77777777" w:rsidTr="00F50F44">
        <w:tc>
          <w:tcPr>
            <w:tcW w:w="1890" w:type="dxa"/>
          </w:tcPr>
          <w:p w14:paraId="0D02F3F5" w14:textId="77777777" w:rsidR="00F50F44" w:rsidRDefault="00F50F44" w:rsidP="00F50F44">
            <w:r>
              <w:t>BSA</w:t>
            </w:r>
          </w:p>
        </w:tc>
        <w:tc>
          <w:tcPr>
            <w:tcW w:w="6911" w:type="dxa"/>
          </w:tcPr>
          <w:p w14:paraId="4555A8A3" w14:textId="77777777" w:rsidR="00F50F44" w:rsidRDefault="00F50F44" w:rsidP="00F50F44">
            <w:r>
              <w:t>Body surface area</w:t>
            </w:r>
          </w:p>
        </w:tc>
      </w:tr>
      <w:tr w:rsidR="00F50F44" w14:paraId="1C6F8292" w14:textId="77777777" w:rsidTr="00F50F44">
        <w:tc>
          <w:tcPr>
            <w:tcW w:w="1890" w:type="dxa"/>
          </w:tcPr>
          <w:p w14:paraId="0774E65B" w14:textId="77777777" w:rsidR="00F50F44" w:rsidRDefault="00F50F44" w:rsidP="00F50F44">
            <w:r>
              <w:t>CNS</w:t>
            </w:r>
          </w:p>
        </w:tc>
        <w:tc>
          <w:tcPr>
            <w:tcW w:w="6911" w:type="dxa"/>
          </w:tcPr>
          <w:p w14:paraId="2AB5D314" w14:textId="77777777" w:rsidR="00F50F44" w:rsidRDefault="00F50F44" w:rsidP="00F50F44">
            <w:r>
              <w:t>Central nervous system</w:t>
            </w:r>
          </w:p>
        </w:tc>
      </w:tr>
      <w:tr w:rsidR="00F50F44" w14:paraId="04E66E25" w14:textId="77777777" w:rsidTr="00F50F44">
        <w:tc>
          <w:tcPr>
            <w:tcW w:w="1890" w:type="dxa"/>
          </w:tcPr>
          <w:p w14:paraId="7CF0DD3C" w14:textId="77777777" w:rsidR="00F50F44" w:rsidRDefault="00F50F44" w:rsidP="00F50F44">
            <w:r>
              <w:t>COX-2</w:t>
            </w:r>
          </w:p>
        </w:tc>
        <w:tc>
          <w:tcPr>
            <w:tcW w:w="6911" w:type="dxa"/>
          </w:tcPr>
          <w:p w14:paraId="3F644636" w14:textId="77777777" w:rsidR="00F50F44" w:rsidRDefault="00F50F44" w:rsidP="00F50F44">
            <w:r>
              <w:t>C</w:t>
            </w:r>
            <w:r w:rsidRPr="00131251">
              <w:t>yclooxygenase-2</w:t>
            </w:r>
          </w:p>
        </w:tc>
      </w:tr>
      <w:tr w:rsidR="00F50F44" w14:paraId="191CE8A1" w14:textId="77777777" w:rsidTr="00F50F44">
        <w:tc>
          <w:tcPr>
            <w:tcW w:w="1890" w:type="dxa"/>
          </w:tcPr>
          <w:p w14:paraId="171C43D5" w14:textId="77777777" w:rsidR="00F50F44" w:rsidRDefault="00F50F44" w:rsidP="00F50F44">
            <w:r>
              <w:t>CPU</w:t>
            </w:r>
          </w:p>
        </w:tc>
        <w:tc>
          <w:tcPr>
            <w:tcW w:w="6911" w:type="dxa"/>
          </w:tcPr>
          <w:p w14:paraId="3262F34F" w14:textId="77777777" w:rsidR="00F50F44" w:rsidRDefault="00F50F44" w:rsidP="00F50F44">
            <w:r>
              <w:t>Clinical pharmacology unit</w:t>
            </w:r>
          </w:p>
        </w:tc>
      </w:tr>
      <w:tr w:rsidR="00F50F44" w14:paraId="638D88F1" w14:textId="77777777" w:rsidTr="00F50F44">
        <w:tc>
          <w:tcPr>
            <w:tcW w:w="1890" w:type="dxa"/>
          </w:tcPr>
          <w:p w14:paraId="0515348B" w14:textId="77777777" w:rsidR="00F50F44" w:rsidRDefault="00F50F44" w:rsidP="00F50F44">
            <w:r>
              <w:t>CRP</w:t>
            </w:r>
          </w:p>
        </w:tc>
        <w:tc>
          <w:tcPr>
            <w:tcW w:w="6911" w:type="dxa"/>
          </w:tcPr>
          <w:p w14:paraId="198D79FC" w14:textId="77777777" w:rsidR="00F50F44" w:rsidRDefault="00F50F44" w:rsidP="00F50F44">
            <w:r>
              <w:t>C-reactive protein</w:t>
            </w:r>
          </w:p>
        </w:tc>
      </w:tr>
      <w:tr w:rsidR="00F50F44" w14:paraId="0E57F5FD" w14:textId="77777777" w:rsidTr="00F50F44">
        <w:tc>
          <w:tcPr>
            <w:tcW w:w="1890" w:type="dxa"/>
          </w:tcPr>
          <w:p w14:paraId="47CB81EE" w14:textId="77777777" w:rsidR="00F50F44" w:rsidRDefault="00F50F44" w:rsidP="00F50F44">
            <w:r>
              <w:t>CSR</w:t>
            </w:r>
          </w:p>
        </w:tc>
        <w:tc>
          <w:tcPr>
            <w:tcW w:w="6911" w:type="dxa"/>
          </w:tcPr>
          <w:p w14:paraId="65447561" w14:textId="11010287" w:rsidR="00F50F44" w:rsidRDefault="00F50F44" w:rsidP="00F50F44">
            <w:r>
              <w:t xml:space="preserve">Clinical </w:t>
            </w:r>
            <w:r w:rsidR="00B1353B">
              <w:t>S</w:t>
            </w:r>
            <w:r>
              <w:t xml:space="preserve">tudy </w:t>
            </w:r>
            <w:r w:rsidR="00B1353B">
              <w:t>R</w:t>
            </w:r>
            <w:r>
              <w:t>eport</w:t>
            </w:r>
          </w:p>
        </w:tc>
      </w:tr>
      <w:tr w:rsidR="00F50F44" w14:paraId="48CF3074" w14:textId="77777777" w:rsidTr="00F50F44">
        <w:tc>
          <w:tcPr>
            <w:tcW w:w="1890" w:type="dxa"/>
          </w:tcPr>
          <w:p w14:paraId="5F84A607" w14:textId="77777777" w:rsidR="00F50F44" w:rsidRDefault="00F50F44" w:rsidP="00F50F44">
            <w:r w:rsidRPr="000A743B">
              <w:t>CTCAE</w:t>
            </w:r>
          </w:p>
        </w:tc>
        <w:tc>
          <w:tcPr>
            <w:tcW w:w="6911" w:type="dxa"/>
          </w:tcPr>
          <w:p w14:paraId="7EE24071" w14:textId="77777777" w:rsidR="00F50F44" w:rsidRDefault="00F50F44" w:rsidP="00F50F44">
            <w:r w:rsidRPr="000A743B">
              <w:t>Common Terminolo</w:t>
            </w:r>
            <w:r>
              <w:t>gy Criteria for Adverse Events</w:t>
            </w:r>
          </w:p>
        </w:tc>
      </w:tr>
      <w:tr w:rsidR="00F50F44" w14:paraId="40C25D01" w14:textId="77777777" w:rsidTr="00F50F44">
        <w:tc>
          <w:tcPr>
            <w:tcW w:w="1890" w:type="dxa"/>
          </w:tcPr>
          <w:p w14:paraId="4F82A04A" w14:textId="77777777" w:rsidR="00F50F44" w:rsidRDefault="00F50F44" w:rsidP="00F50F44">
            <w:r w:rsidRPr="00EC4B7F">
              <w:t>DAS28-CRP</w:t>
            </w:r>
          </w:p>
        </w:tc>
        <w:tc>
          <w:tcPr>
            <w:tcW w:w="6911" w:type="dxa"/>
          </w:tcPr>
          <w:p w14:paraId="614C2207" w14:textId="77777777" w:rsidR="00F50F44" w:rsidRDefault="00F50F44" w:rsidP="00F50F44">
            <w:r w:rsidRPr="00EC4B7F">
              <w:t>Disease Activity Score 28-CRP</w:t>
            </w:r>
          </w:p>
        </w:tc>
      </w:tr>
      <w:tr w:rsidR="00B1353B" w14:paraId="31E484BF" w14:textId="77777777" w:rsidTr="00F50F44">
        <w:tc>
          <w:tcPr>
            <w:tcW w:w="1890" w:type="dxa"/>
          </w:tcPr>
          <w:p w14:paraId="3C254FCF" w14:textId="26C566C9" w:rsidR="00B1353B" w:rsidRPr="00EC4B7F" w:rsidRDefault="00B1353B" w:rsidP="00F50F44">
            <w:r>
              <w:t>DILI</w:t>
            </w:r>
          </w:p>
        </w:tc>
        <w:tc>
          <w:tcPr>
            <w:tcW w:w="6911" w:type="dxa"/>
          </w:tcPr>
          <w:p w14:paraId="7E738C91" w14:textId="7E04E6DC" w:rsidR="00B1353B" w:rsidRPr="00EC4B7F" w:rsidRDefault="00B1353B" w:rsidP="00F50F44">
            <w:r>
              <w:t>Drug induced liver disease</w:t>
            </w:r>
          </w:p>
        </w:tc>
      </w:tr>
      <w:tr w:rsidR="00F50F44" w14:paraId="70EABB0B" w14:textId="77777777" w:rsidTr="00F50F44">
        <w:tc>
          <w:tcPr>
            <w:tcW w:w="1890" w:type="dxa"/>
          </w:tcPr>
          <w:p w14:paraId="7B76CFDE" w14:textId="77777777" w:rsidR="00F50F44" w:rsidRDefault="00F50F44" w:rsidP="00F50F44">
            <w:r>
              <w:t>DMARD</w:t>
            </w:r>
          </w:p>
        </w:tc>
        <w:tc>
          <w:tcPr>
            <w:tcW w:w="6911" w:type="dxa"/>
          </w:tcPr>
          <w:p w14:paraId="1811760E" w14:textId="77777777" w:rsidR="00F50F44" w:rsidRDefault="00F50F44" w:rsidP="00F50F44">
            <w:r>
              <w:t>Disease-modifying anti-rheumatic drug</w:t>
            </w:r>
          </w:p>
        </w:tc>
      </w:tr>
      <w:tr w:rsidR="00F50F44" w14:paraId="0A4DBCD7" w14:textId="77777777" w:rsidTr="00F50F44">
        <w:tc>
          <w:tcPr>
            <w:tcW w:w="1890" w:type="dxa"/>
          </w:tcPr>
          <w:p w14:paraId="78168B88" w14:textId="77777777" w:rsidR="00F50F44" w:rsidRDefault="00F50F44" w:rsidP="00F50F44">
            <w:r>
              <w:t>ECG</w:t>
            </w:r>
          </w:p>
        </w:tc>
        <w:tc>
          <w:tcPr>
            <w:tcW w:w="6911" w:type="dxa"/>
          </w:tcPr>
          <w:p w14:paraId="13F3C809" w14:textId="77777777" w:rsidR="00F50F44" w:rsidRDefault="00F50F44" w:rsidP="00F50F44">
            <w:r>
              <w:t>Electrocardiogram</w:t>
            </w:r>
          </w:p>
        </w:tc>
      </w:tr>
      <w:tr w:rsidR="00F50F44" w14:paraId="1085D13C" w14:textId="77777777" w:rsidTr="00F50F44">
        <w:tc>
          <w:tcPr>
            <w:tcW w:w="1890" w:type="dxa"/>
          </w:tcPr>
          <w:p w14:paraId="63524717" w14:textId="77777777" w:rsidR="00F50F44" w:rsidRDefault="00F50F44" w:rsidP="00F50F44">
            <w:r>
              <w:t>ESR</w:t>
            </w:r>
          </w:p>
        </w:tc>
        <w:tc>
          <w:tcPr>
            <w:tcW w:w="6911" w:type="dxa"/>
          </w:tcPr>
          <w:p w14:paraId="667E2607" w14:textId="77777777" w:rsidR="00F50F44" w:rsidRDefault="00F50F44" w:rsidP="00F50F44">
            <w:r>
              <w:t>Erythrocyte sedimentation rate</w:t>
            </w:r>
          </w:p>
        </w:tc>
      </w:tr>
      <w:tr w:rsidR="00F50F44" w14:paraId="5840EFBA" w14:textId="77777777" w:rsidTr="00F50F44">
        <w:tc>
          <w:tcPr>
            <w:tcW w:w="1890" w:type="dxa"/>
          </w:tcPr>
          <w:p w14:paraId="78B8937B" w14:textId="77777777" w:rsidR="00F50F44" w:rsidRDefault="00F50F44" w:rsidP="00F50F44">
            <w:r>
              <w:t>EU</w:t>
            </w:r>
          </w:p>
        </w:tc>
        <w:tc>
          <w:tcPr>
            <w:tcW w:w="6911" w:type="dxa"/>
          </w:tcPr>
          <w:p w14:paraId="5BFEC7B9" w14:textId="77777777" w:rsidR="00F50F44" w:rsidRDefault="00F50F44" w:rsidP="00F50F44">
            <w:r>
              <w:t>European Union</w:t>
            </w:r>
          </w:p>
        </w:tc>
      </w:tr>
      <w:tr w:rsidR="00F50F44" w14:paraId="5B28E1B0" w14:textId="77777777" w:rsidTr="00F50F44">
        <w:tc>
          <w:tcPr>
            <w:tcW w:w="1890" w:type="dxa"/>
          </w:tcPr>
          <w:p w14:paraId="4E39A583" w14:textId="77777777" w:rsidR="00F50F44" w:rsidRDefault="00F50F44" w:rsidP="00F50F44">
            <w:r>
              <w:t>EULAR</w:t>
            </w:r>
          </w:p>
        </w:tc>
        <w:tc>
          <w:tcPr>
            <w:tcW w:w="6911" w:type="dxa"/>
          </w:tcPr>
          <w:p w14:paraId="148F5E7F" w14:textId="77777777" w:rsidR="00F50F44" w:rsidRDefault="00F50F44" w:rsidP="00F50F44">
            <w:r>
              <w:t>European League Against Rheumatism</w:t>
            </w:r>
          </w:p>
        </w:tc>
      </w:tr>
      <w:tr w:rsidR="00B1353B" w14:paraId="71D3FEC4" w14:textId="77777777" w:rsidTr="00F50F44">
        <w:tc>
          <w:tcPr>
            <w:tcW w:w="1890" w:type="dxa"/>
          </w:tcPr>
          <w:p w14:paraId="530C2DED" w14:textId="6CE1996A" w:rsidR="00B1353B" w:rsidRDefault="00B1353B" w:rsidP="00F50F44">
            <w:r>
              <w:t>IBD</w:t>
            </w:r>
          </w:p>
        </w:tc>
        <w:tc>
          <w:tcPr>
            <w:tcW w:w="6911" w:type="dxa"/>
          </w:tcPr>
          <w:p w14:paraId="154ACE2B" w14:textId="25C76D39" w:rsidR="00B1353B" w:rsidRDefault="00B1353B" w:rsidP="00F50F44">
            <w:r>
              <w:t>Inflammatory bowel disease</w:t>
            </w:r>
          </w:p>
        </w:tc>
      </w:tr>
      <w:tr w:rsidR="00F50F44" w14:paraId="61EF9BDE" w14:textId="77777777" w:rsidTr="00F50F44">
        <w:tc>
          <w:tcPr>
            <w:tcW w:w="1890" w:type="dxa"/>
          </w:tcPr>
          <w:p w14:paraId="4A66F594" w14:textId="77777777" w:rsidR="00F50F44" w:rsidRDefault="00F50F44" w:rsidP="00F50F44">
            <w:r>
              <w:t>IP</w:t>
            </w:r>
          </w:p>
        </w:tc>
        <w:tc>
          <w:tcPr>
            <w:tcW w:w="6911" w:type="dxa"/>
          </w:tcPr>
          <w:p w14:paraId="6AE80408" w14:textId="77777777" w:rsidR="00F50F44" w:rsidRDefault="00F50F44" w:rsidP="00F50F44">
            <w:r>
              <w:t>Investigational product</w:t>
            </w:r>
          </w:p>
        </w:tc>
      </w:tr>
      <w:tr w:rsidR="00F50F44" w14:paraId="060CCAA0" w14:textId="77777777" w:rsidTr="00F50F44">
        <w:tc>
          <w:tcPr>
            <w:tcW w:w="1890" w:type="dxa"/>
          </w:tcPr>
          <w:p w14:paraId="403B8251" w14:textId="77777777" w:rsidR="00F50F44" w:rsidRDefault="00F50F44" w:rsidP="00F50F44">
            <w:r>
              <w:t>IV</w:t>
            </w:r>
          </w:p>
        </w:tc>
        <w:tc>
          <w:tcPr>
            <w:tcW w:w="6911" w:type="dxa"/>
          </w:tcPr>
          <w:p w14:paraId="46034221" w14:textId="77777777" w:rsidR="00F50F44" w:rsidRDefault="00F50F44" w:rsidP="00F50F44">
            <w:r>
              <w:t>Intravenous</w:t>
            </w:r>
          </w:p>
        </w:tc>
      </w:tr>
      <w:tr w:rsidR="00F50F44" w14:paraId="3FCAC5B8" w14:textId="77777777" w:rsidTr="00F50F44">
        <w:tc>
          <w:tcPr>
            <w:tcW w:w="1890" w:type="dxa"/>
          </w:tcPr>
          <w:p w14:paraId="33C61F69" w14:textId="77777777" w:rsidR="00F50F44" w:rsidRPr="00AB6217" w:rsidRDefault="00F50F44" w:rsidP="00F50F44">
            <w:r>
              <w:t>JIA</w:t>
            </w:r>
          </w:p>
        </w:tc>
        <w:tc>
          <w:tcPr>
            <w:tcW w:w="6911" w:type="dxa"/>
          </w:tcPr>
          <w:p w14:paraId="52AFDD54" w14:textId="77777777" w:rsidR="00F50F44" w:rsidRDefault="00F50F44" w:rsidP="00F50F44">
            <w:r>
              <w:t>Juvenile idiopathic arthritis</w:t>
            </w:r>
          </w:p>
        </w:tc>
      </w:tr>
      <w:tr w:rsidR="00F50F44" w14:paraId="2022A3D6" w14:textId="77777777" w:rsidTr="00F50F44">
        <w:tc>
          <w:tcPr>
            <w:tcW w:w="1890" w:type="dxa"/>
          </w:tcPr>
          <w:p w14:paraId="610FF464" w14:textId="77777777" w:rsidR="00F50F44" w:rsidRDefault="00F50F44" w:rsidP="00F50F44">
            <w:r w:rsidRPr="00AB6217">
              <w:t>Hb</w:t>
            </w:r>
          </w:p>
        </w:tc>
        <w:tc>
          <w:tcPr>
            <w:tcW w:w="6911" w:type="dxa"/>
          </w:tcPr>
          <w:p w14:paraId="3C1F8448" w14:textId="77777777" w:rsidR="00F50F44" w:rsidRDefault="00F50F44" w:rsidP="00F50F44">
            <w:r>
              <w:t>Haemoglobin</w:t>
            </w:r>
          </w:p>
        </w:tc>
      </w:tr>
      <w:tr w:rsidR="00F50F44" w14:paraId="41DFEBB1" w14:textId="77777777" w:rsidTr="00F50F44">
        <w:tc>
          <w:tcPr>
            <w:tcW w:w="1890" w:type="dxa"/>
          </w:tcPr>
          <w:p w14:paraId="6BF40EDF" w14:textId="77777777" w:rsidR="00F50F44" w:rsidRDefault="00F50F44" w:rsidP="00F50F44">
            <w:r>
              <w:t>HBsAg</w:t>
            </w:r>
          </w:p>
        </w:tc>
        <w:tc>
          <w:tcPr>
            <w:tcW w:w="6911" w:type="dxa"/>
          </w:tcPr>
          <w:p w14:paraId="0CEB81D1" w14:textId="77777777" w:rsidR="00F50F44" w:rsidRDefault="00F50F44" w:rsidP="00F50F44">
            <w:r>
              <w:t>Hepatitis B virus surface antigen</w:t>
            </w:r>
          </w:p>
        </w:tc>
      </w:tr>
      <w:tr w:rsidR="00F50F44" w14:paraId="1048F8C2" w14:textId="77777777" w:rsidTr="00F50F44">
        <w:tc>
          <w:tcPr>
            <w:tcW w:w="1890" w:type="dxa"/>
          </w:tcPr>
          <w:p w14:paraId="4661CB0E" w14:textId="77777777" w:rsidR="00F50F44" w:rsidRDefault="00F50F44" w:rsidP="00F50F44">
            <w:r>
              <w:t>HBV</w:t>
            </w:r>
          </w:p>
        </w:tc>
        <w:tc>
          <w:tcPr>
            <w:tcW w:w="6911" w:type="dxa"/>
          </w:tcPr>
          <w:p w14:paraId="30B7A530" w14:textId="77777777" w:rsidR="00F50F44" w:rsidRDefault="00F50F44" w:rsidP="00F50F44">
            <w:r>
              <w:t>Hepatitis B virus</w:t>
            </w:r>
          </w:p>
        </w:tc>
      </w:tr>
      <w:tr w:rsidR="00F50F44" w14:paraId="5433E775" w14:textId="77777777" w:rsidTr="00F50F44">
        <w:tc>
          <w:tcPr>
            <w:tcW w:w="1890" w:type="dxa"/>
          </w:tcPr>
          <w:p w14:paraId="5A7BE78B" w14:textId="77777777" w:rsidR="00F50F44" w:rsidRDefault="00F50F44" w:rsidP="00F50F44">
            <w:r>
              <w:t>HCV</w:t>
            </w:r>
          </w:p>
        </w:tc>
        <w:tc>
          <w:tcPr>
            <w:tcW w:w="6911" w:type="dxa"/>
          </w:tcPr>
          <w:p w14:paraId="5E6E9AC2" w14:textId="77777777" w:rsidR="00F50F44" w:rsidRDefault="00F50F44" w:rsidP="00F50F44">
            <w:r>
              <w:t>Hepatitis C virus</w:t>
            </w:r>
          </w:p>
        </w:tc>
      </w:tr>
      <w:tr w:rsidR="00F50F44" w14:paraId="1C0113EC" w14:textId="77777777" w:rsidTr="00F50F44">
        <w:tc>
          <w:tcPr>
            <w:tcW w:w="1890" w:type="dxa"/>
          </w:tcPr>
          <w:p w14:paraId="66434B51" w14:textId="77777777" w:rsidR="00F50F44" w:rsidRDefault="00F50F44" w:rsidP="00F50F44">
            <w:r>
              <w:t>HIV</w:t>
            </w:r>
          </w:p>
        </w:tc>
        <w:tc>
          <w:tcPr>
            <w:tcW w:w="6911" w:type="dxa"/>
          </w:tcPr>
          <w:p w14:paraId="3EAD5E22" w14:textId="77777777" w:rsidR="00F50F44" w:rsidRDefault="00F50F44" w:rsidP="00F50F44">
            <w:r>
              <w:t>Human immunodeficiency virus</w:t>
            </w:r>
          </w:p>
        </w:tc>
      </w:tr>
      <w:tr w:rsidR="00F50F44" w14:paraId="3D7E2100" w14:textId="77777777" w:rsidTr="00F50F44">
        <w:tc>
          <w:tcPr>
            <w:tcW w:w="1890" w:type="dxa"/>
          </w:tcPr>
          <w:p w14:paraId="706608D7" w14:textId="77777777" w:rsidR="00F50F44" w:rsidRDefault="00F50F44" w:rsidP="00F50F44">
            <w:r w:rsidRPr="00E02BEA">
              <w:t>INN</w:t>
            </w:r>
          </w:p>
        </w:tc>
        <w:tc>
          <w:tcPr>
            <w:tcW w:w="6911" w:type="dxa"/>
          </w:tcPr>
          <w:p w14:paraId="156E2495" w14:textId="3C660515" w:rsidR="00F50F44" w:rsidRDefault="00F50F44" w:rsidP="00F50F44">
            <w:r w:rsidRPr="00E02BEA">
              <w:t>International Non</w:t>
            </w:r>
            <w:r>
              <w:t>-</w:t>
            </w:r>
            <w:r w:rsidR="0021339F">
              <w:t>proprietary Name</w:t>
            </w:r>
          </w:p>
        </w:tc>
      </w:tr>
      <w:tr w:rsidR="00F50F44" w14:paraId="016C6C3B" w14:textId="77777777" w:rsidTr="00F50F44">
        <w:tc>
          <w:tcPr>
            <w:tcW w:w="1890" w:type="dxa"/>
          </w:tcPr>
          <w:p w14:paraId="2AC4D1AC" w14:textId="77777777" w:rsidR="00F50F44" w:rsidRPr="00120F17" w:rsidRDefault="00F50F44" w:rsidP="00F50F44">
            <w:r w:rsidRPr="00623243">
              <w:t>LLOQ</w:t>
            </w:r>
          </w:p>
        </w:tc>
        <w:tc>
          <w:tcPr>
            <w:tcW w:w="6911" w:type="dxa"/>
          </w:tcPr>
          <w:p w14:paraId="5BAC70B3" w14:textId="77777777" w:rsidR="00F50F44" w:rsidRDefault="00F50F44" w:rsidP="00F50F44">
            <w:r>
              <w:t>Lower limit of quantification</w:t>
            </w:r>
          </w:p>
        </w:tc>
      </w:tr>
      <w:tr w:rsidR="00F50F44" w14:paraId="1CEEC0F8" w14:textId="77777777" w:rsidTr="00F50F44">
        <w:tc>
          <w:tcPr>
            <w:tcW w:w="1890" w:type="dxa"/>
          </w:tcPr>
          <w:p w14:paraId="3780C7CF" w14:textId="77777777" w:rsidR="00F50F44" w:rsidRPr="00120F17" w:rsidRDefault="00F50F44" w:rsidP="00F50F44">
            <w:r w:rsidRPr="00006FD8">
              <w:t>LOCF</w:t>
            </w:r>
          </w:p>
        </w:tc>
        <w:tc>
          <w:tcPr>
            <w:tcW w:w="6911" w:type="dxa"/>
          </w:tcPr>
          <w:p w14:paraId="627E28C4" w14:textId="77777777" w:rsidR="00F50F44" w:rsidRDefault="00F50F44" w:rsidP="00F50F44">
            <w:r>
              <w:t>Last observation carried forward</w:t>
            </w:r>
          </w:p>
        </w:tc>
      </w:tr>
      <w:tr w:rsidR="00F50F44" w14:paraId="0A6C489E" w14:textId="77777777" w:rsidTr="00F50F44">
        <w:tc>
          <w:tcPr>
            <w:tcW w:w="1890" w:type="dxa"/>
          </w:tcPr>
          <w:p w14:paraId="0E6DB4CD" w14:textId="77777777" w:rsidR="00F50F44" w:rsidRDefault="00F50F44" w:rsidP="00F50F44">
            <w:r w:rsidRPr="00120F17">
              <w:t>LPLV</w:t>
            </w:r>
          </w:p>
        </w:tc>
        <w:tc>
          <w:tcPr>
            <w:tcW w:w="6911" w:type="dxa"/>
          </w:tcPr>
          <w:p w14:paraId="21BDD39F" w14:textId="77777777" w:rsidR="00F50F44" w:rsidRDefault="00F50F44" w:rsidP="00F50F44">
            <w:r>
              <w:t>Last patient, last visit</w:t>
            </w:r>
          </w:p>
        </w:tc>
      </w:tr>
      <w:tr w:rsidR="00F50F44" w14:paraId="0F9F123E" w14:textId="77777777" w:rsidTr="00F50F44">
        <w:tc>
          <w:tcPr>
            <w:tcW w:w="1890" w:type="dxa"/>
          </w:tcPr>
          <w:p w14:paraId="772A7E4E" w14:textId="77777777" w:rsidR="00F50F44" w:rsidRPr="00853E3D" w:rsidRDefault="00F50F44" w:rsidP="00F50F44">
            <w:proofErr w:type="spellStart"/>
            <w:r w:rsidRPr="00006FD8">
              <w:t>mbTNF</w:t>
            </w:r>
            <w:proofErr w:type="spellEnd"/>
            <w:r w:rsidRPr="00006FD8">
              <w:t>-α</w:t>
            </w:r>
          </w:p>
        </w:tc>
        <w:tc>
          <w:tcPr>
            <w:tcW w:w="6911" w:type="dxa"/>
          </w:tcPr>
          <w:p w14:paraId="343C7D48" w14:textId="77777777" w:rsidR="00F50F44" w:rsidRPr="00853E3D" w:rsidRDefault="00F50F44" w:rsidP="00F50F44">
            <w:r>
              <w:t>transmembrane TNF alpha</w:t>
            </w:r>
          </w:p>
        </w:tc>
      </w:tr>
      <w:tr w:rsidR="00F50F44" w14:paraId="777AA2C5" w14:textId="77777777" w:rsidTr="00F50F44">
        <w:tc>
          <w:tcPr>
            <w:tcW w:w="1890" w:type="dxa"/>
          </w:tcPr>
          <w:p w14:paraId="648B9B41" w14:textId="77777777" w:rsidR="00F50F44" w:rsidRDefault="00F50F44" w:rsidP="00F50F44">
            <w:r w:rsidRPr="00853E3D">
              <w:t>MedDRA</w:t>
            </w:r>
          </w:p>
        </w:tc>
        <w:tc>
          <w:tcPr>
            <w:tcW w:w="6911" w:type="dxa"/>
          </w:tcPr>
          <w:p w14:paraId="5ACFF86F" w14:textId="77777777" w:rsidR="00F50F44" w:rsidRDefault="00F50F44" w:rsidP="00F50F44">
            <w:r w:rsidRPr="00853E3D">
              <w:t>Medical Dictionary for Regulatory Activities</w:t>
            </w:r>
          </w:p>
        </w:tc>
      </w:tr>
      <w:tr w:rsidR="00F50F44" w14:paraId="0914E7D6" w14:textId="77777777" w:rsidTr="00F50F44">
        <w:tc>
          <w:tcPr>
            <w:tcW w:w="1890" w:type="dxa"/>
          </w:tcPr>
          <w:p w14:paraId="36C367B6" w14:textId="77777777" w:rsidR="00F50F44" w:rsidRDefault="00F50F44" w:rsidP="00F50F44">
            <w:r>
              <w:t>MTX</w:t>
            </w:r>
          </w:p>
        </w:tc>
        <w:tc>
          <w:tcPr>
            <w:tcW w:w="6911" w:type="dxa"/>
          </w:tcPr>
          <w:p w14:paraId="016E8C9C" w14:textId="77777777" w:rsidR="00F50F44" w:rsidRDefault="00F50F44" w:rsidP="00F50F44">
            <w:r>
              <w:t>M</w:t>
            </w:r>
            <w:r w:rsidRPr="007619E5">
              <w:t>ethotrexate</w:t>
            </w:r>
          </w:p>
        </w:tc>
      </w:tr>
      <w:tr w:rsidR="00F50F44" w14:paraId="2A2811FD" w14:textId="77777777" w:rsidTr="00F50F44">
        <w:tc>
          <w:tcPr>
            <w:tcW w:w="1890" w:type="dxa"/>
          </w:tcPr>
          <w:p w14:paraId="020EA1D6" w14:textId="77777777" w:rsidR="00F50F44" w:rsidRDefault="00F50F44" w:rsidP="00F50F44">
            <w:r>
              <w:t>NSAID</w:t>
            </w:r>
          </w:p>
        </w:tc>
        <w:tc>
          <w:tcPr>
            <w:tcW w:w="6911" w:type="dxa"/>
          </w:tcPr>
          <w:p w14:paraId="06634A5A" w14:textId="77777777" w:rsidR="00F50F44" w:rsidRDefault="00F50F44" w:rsidP="00F50F44">
            <w:r>
              <w:t>Non-steroidal anti-inflammatory drug</w:t>
            </w:r>
          </w:p>
        </w:tc>
      </w:tr>
      <w:tr w:rsidR="00F50F44" w14:paraId="69D5B922" w14:textId="77777777" w:rsidTr="00F50F44">
        <w:tc>
          <w:tcPr>
            <w:tcW w:w="1890" w:type="dxa"/>
          </w:tcPr>
          <w:p w14:paraId="5E46DAF9" w14:textId="77777777" w:rsidR="00F50F44" w:rsidRDefault="00F50F44" w:rsidP="00F50F44">
            <w:r>
              <w:rPr>
                <w:lang w:eastAsia="ja-JP"/>
              </w:rPr>
              <w:t>NYHA</w:t>
            </w:r>
          </w:p>
        </w:tc>
        <w:tc>
          <w:tcPr>
            <w:tcW w:w="6911" w:type="dxa"/>
          </w:tcPr>
          <w:p w14:paraId="5F4B6104" w14:textId="77777777" w:rsidR="00F50F44" w:rsidRDefault="00F50F44" w:rsidP="00F50F44">
            <w:r w:rsidRPr="00E50B3E">
              <w:t>New York Heart Association</w:t>
            </w:r>
          </w:p>
        </w:tc>
      </w:tr>
      <w:tr w:rsidR="00F50F44" w14:paraId="30123CFE" w14:textId="77777777" w:rsidTr="00F50F44">
        <w:tc>
          <w:tcPr>
            <w:tcW w:w="1890" w:type="dxa"/>
          </w:tcPr>
          <w:p w14:paraId="472C2FA8" w14:textId="77777777" w:rsidR="00F50F44" w:rsidRDefault="00F50F44" w:rsidP="00F50F44">
            <w:r>
              <w:t>PASI</w:t>
            </w:r>
          </w:p>
        </w:tc>
        <w:tc>
          <w:tcPr>
            <w:tcW w:w="6911" w:type="dxa"/>
          </w:tcPr>
          <w:p w14:paraId="052D25DD" w14:textId="77777777" w:rsidR="00F50F44" w:rsidRDefault="00F50F44" w:rsidP="00F50F44">
            <w:r>
              <w:t>Psoriasis Area and Severity Index</w:t>
            </w:r>
          </w:p>
        </w:tc>
      </w:tr>
      <w:tr w:rsidR="00F50F44" w14:paraId="3775C1CC" w14:textId="77777777" w:rsidTr="00F50F44">
        <w:tc>
          <w:tcPr>
            <w:tcW w:w="1890" w:type="dxa"/>
          </w:tcPr>
          <w:p w14:paraId="46BAAE78" w14:textId="77777777" w:rsidR="00F50F44" w:rsidRDefault="00F50F44" w:rsidP="00F50F44">
            <w:r>
              <w:t>PBRER</w:t>
            </w:r>
          </w:p>
        </w:tc>
        <w:tc>
          <w:tcPr>
            <w:tcW w:w="6911" w:type="dxa"/>
          </w:tcPr>
          <w:p w14:paraId="02C41567" w14:textId="77777777" w:rsidR="00F50F44" w:rsidRDefault="00F50F44" w:rsidP="00F50F44">
            <w:r>
              <w:t>P</w:t>
            </w:r>
            <w:r w:rsidRPr="00EF6D21">
              <w:t>eriodic benefit-risk evaluation report</w:t>
            </w:r>
          </w:p>
        </w:tc>
      </w:tr>
      <w:tr w:rsidR="00F50F44" w14:paraId="455DA9B1" w14:textId="77777777" w:rsidTr="00F50F44">
        <w:tc>
          <w:tcPr>
            <w:tcW w:w="1890" w:type="dxa"/>
          </w:tcPr>
          <w:p w14:paraId="3B987D7D" w14:textId="77777777" w:rsidR="00F50F44" w:rsidRDefault="00F50F44" w:rsidP="00F50F44">
            <w:r>
              <w:t>PSUR</w:t>
            </w:r>
          </w:p>
        </w:tc>
        <w:tc>
          <w:tcPr>
            <w:tcW w:w="6911" w:type="dxa"/>
          </w:tcPr>
          <w:p w14:paraId="6412EEBD" w14:textId="77777777" w:rsidR="00F50F44" w:rsidRDefault="00F50F44" w:rsidP="00F50F44">
            <w:r>
              <w:t>P</w:t>
            </w:r>
            <w:r w:rsidRPr="00EF6D21">
              <w:t xml:space="preserve">eriodic </w:t>
            </w:r>
            <w:r>
              <w:t>safety update</w:t>
            </w:r>
            <w:r w:rsidRPr="00EF6D21">
              <w:t xml:space="preserve"> report</w:t>
            </w:r>
          </w:p>
        </w:tc>
      </w:tr>
      <w:tr w:rsidR="00F50F44" w14:paraId="04137B92" w14:textId="77777777" w:rsidTr="00F50F44">
        <w:tc>
          <w:tcPr>
            <w:tcW w:w="1890" w:type="dxa"/>
          </w:tcPr>
          <w:p w14:paraId="3543CDC2" w14:textId="77777777" w:rsidR="00F50F44" w:rsidRPr="00120F17" w:rsidRDefault="00F50F44" w:rsidP="00F50F44">
            <w:r>
              <w:t>RA</w:t>
            </w:r>
          </w:p>
        </w:tc>
        <w:tc>
          <w:tcPr>
            <w:tcW w:w="6911" w:type="dxa"/>
          </w:tcPr>
          <w:p w14:paraId="053958E2" w14:textId="77777777" w:rsidR="00F50F44" w:rsidRDefault="00F50F44" w:rsidP="00F50F44">
            <w:r>
              <w:t>Rheumatoid arthritis</w:t>
            </w:r>
          </w:p>
        </w:tc>
      </w:tr>
      <w:tr w:rsidR="00F50F44" w14:paraId="1A47F5BA" w14:textId="77777777" w:rsidTr="00F50F44">
        <w:tc>
          <w:tcPr>
            <w:tcW w:w="1890" w:type="dxa"/>
          </w:tcPr>
          <w:p w14:paraId="7A783C9E" w14:textId="77777777" w:rsidR="00F50F44" w:rsidRPr="00120F17" w:rsidRDefault="00F50F44" w:rsidP="00F50F44">
            <w:r w:rsidRPr="007619E5">
              <w:t>RF</w:t>
            </w:r>
          </w:p>
        </w:tc>
        <w:tc>
          <w:tcPr>
            <w:tcW w:w="6911" w:type="dxa"/>
          </w:tcPr>
          <w:p w14:paraId="71BA7C85" w14:textId="77777777" w:rsidR="00F50F44" w:rsidRDefault="00F50F44" w:rsidP="00F50F44">
            <w:r>
              <w:t>R</w:t>
            </w:r>
            <w:r w:rsidRPr="007619E5">
              <w:t>heumatoid factor</w:t>
            </w:r>
          </w:p>
        </w:tc>
      </w:tr>
      <w:tr w:rsidR="00F50F44" w14:paraId="681E651C" w14:textId="77777777" w:rsidTr="00F50F44">
        <w:tc>
          <w:tcPr>
            <w:tcW w:w="1890" w:type="dxa"/>
          </w:tcPr>
          <w:p w14:paraId="55AA9A57" w14:textId="77777777" w:rsidR="00F50F44" w:rsidRDefault="00F50F44" w:rsidP="00F50F44">
            <w:r w:rsidRPr="00120F17">
              <w:t>SAP</w:t>
            </w:r>
          </w:p>
        </w:tc>
        <w:tc>
          <w:tcPr>
            <w:tcW w:w="6911" w:type="dxa"/>
          </w:tcPr>
          <w:p w14:paraId="0CEFD72C" w14:textId="77777777" w:rsidR="00F50F44" w:rsidRDefault="00F50F44" w:rsidP="00F50F44">
            <w:r>
              <w:t>S</w:t>
            </w:r>
            <w:r w:rsidRPr="00120F17">
              <w:t>tatistical analysis plan</w:t>
            </w:r>
          </w:p>
        </w:tc>
      </w:tr>
      <w:tr w:rsidR="00F50F44" w14:paraId="5EB5C854" w14:textId="77777777" w:rsidTr="00F50F44">
        <w:tc>
          <w:tcPr>
            <w:tcW w:w="1890" w:type="dxa"/>
          </w:tcPr>
          <w:p w14:paraId="7119D0DD" w14:textId="77777777" w:rsidR="00F50F44" w:rsidRDefault="00F50F44" w:rsidP="00F50F44">
            <w:r>
              <w:t>SC</w:t>
            </w:r>
          </w:p>
        </w:tc>
        <w:tc>
          <w:tcPr>
            <w:tcW w:w="6911" w:type="dxa"/>
          </w:tcPr>
          <w:p w14:paraId="066EAB7F" w14:textId="77777777" w:rsidR="00F50F44" w:rsidRDefault="00F50F44" w:rsidP="00F50F44">
            <w:r>
              <w:t>Subcutaneous(ly)</w:t>
            </w:r>
          </w:p>
        </w:tc>
      </w:tr>
      <w:tr w:rsidR="00F50F44" w14:paraId="292FB745" w14:textId="77777777" w:rsidTr="00F50F44">
        <w:tc>
          <w:tcPr>
            <w:tcW w:w="1890" w:type="dxa"/>
          </w:tcPr>
          <w:p w14:paraId="7ED32A42" w14:textId="77777777" w:rsidR="00F50F44" w:rsidRDefault="00F50F44" w:rsidP="00F50F44">
            <w:pPr>
              <w:rPr>
                <w:lang w:eastAsia="ja-JP"/>
              </w:rPr>
            </w:pPr>
            <w:r>
              <w:rPr>
                <w:lang w:eastAsia="ja-JP"/>
              </w:rPr>
              <w:t>SCC</w:t>
            </w:r>
          </w:p>
        </w:tc>
        <w:tc>
          <w:tcPr>
            <w:tcW w:w="6911" w:type="dxa"/>
          </w:tcPr>
          <w:p w14:paraId="06092DD3" w14:textId="77777777" w:rsidR="00F50F44" w:rsidRDefault="00F50F44" w:rsidP="00F50F44">
            <w:r>
              <w:t>Squamous</w:t>
            </w:r>
            <w:r w:rsidRPr="008D468D">
              <w:t xml:space="preserve"> cell carcinoma</w:t>
            </w:r>
          </w:p>
        </w:tc>
      </w:tr>
      <w:tr w:rsidR="00F50F44" w14:paraId="104B1C19" w14:textId="77777777" w:rsidTr="00F50F44">
        <w:tc>
          <w:tcPr>
            <w:tcW w:w="1890" w:type="dxa"/>
          </w:tcPr>
          <w:p w14:paraId="26968DB6" w14:textId="77777777" w:rsidR="00F50F44" w:rsidRDefault="00F50F44" w:rsidP="00F50F44">
            <w:pPr>
              <w:rPr>
                <w:lang w:eastAsia="ja-JP"/>
              </w:rPr>
            </w:pPr>
            <w:r>
              <w:rPr>
                <w:lang w:eastAsia="ja-JP"/>
              </w:rPr>
              <w:t>SD</w:t>
            </w:r>
          </w:p>
        </w:tc>
        <w:tc>
          <w:tcPr>
            <w:tcW w:w="6911" w:type="dxa"/>
          </w:tcPr>
          <w:p w14:paraId="78C74911" w14:textId="77777777" w:rsidR="00F50F44" w:rsidRDefault="00F50F44" w:rsidP="00F50F44">
            <w:r>
              <w:t>Standard deviation</w:t>
            </w:r>
          </w:p>
        </w:tc>
      </w:tr>
      <w:tr w:rsidR="00F50F44" w14:paraId="6058FB45" w14:textId="77777777" w:rsidTr="00F50F44">
        <w:tc>
          <w:tcPr>
            <w:tcW w:w="1890" w:type="dxa"/>
          </w:tcPr>
          <w:p w14:paraId="2C819591" w14:textId="77777777" w:rsidR="00F50F44" w:rsidRDefault="00F50F44" w:rsidP="00F50F44">
            <w:pPr>
              <w:rPr>
                <w:lang w:eastAsia="ja-JP"/>
              </w:rPr>
            </w:pPr>
            <w:proofErr w:type="spellStart"/>
            <w:r>
              <w:rPr>
                <w:lang w:eastAsia="ja-JP"/>
              </w:rPr>
              <w:t>sPGA</w:t>
            </w:r>
            <w:proofErr w:type="spellEnd"/>
          </w:p>
        </w:tc>
        <w:tc>
          <w:tcPr>
            <w:tcW w:w="6911" w:type="dxa"/>
          </w:tcPr>
          <w:p w14:paraId="0253B525" w14:textId="6ECABF5F" w:rsidR="00F50F44" w:rsidRDefault="006D1E27" w:rsidP="00F50F44">
            <w:r>
              <w:t>S</w:t>
            </w:r>
            <w:r w:rsidR="00F50F44" w:rsidRPr="008D468D">
              <w:t>tatic Physician</w:t>
            </w:r>
            <w:r w:rsidR="00F50F44">
              <w:t>’</w:t>
            </w:r>
            <w:r w:rsidR="00F50F44" w:rsidRPr="008D468D">
              <w:t>s Global Assessment</w:t>
            </w:r>
          </w:p>
        </w:tc>
      </w:tr>
      <w:tr w:rsidR="00F50F44" w14:paraId="6981DEEA" w14:textId="77777777" w:rsidTr="00F50F44">
        <w:tc>
          <w:tcPr>
            <w:tcW w:w="1890" w:type="dxa"/>
          </w:tcPr>
          <w:p w14:paraId="50AC7410" w14:textId="77777777" w:rsidR="00F50F44" w:rsidRDefault="00F50F44" w:rsidP="00F50F44">
            <w:r w:rsidRPr="00BC31FD">
              <w:t>sTNF-α</w:t>
            </w:r>
          </w:p>
        </w:tc>
        <w:tc>
          <w:tcPr>
            <w:tcW w:w="6911" w:type="dxa"/>
          </w:tcPr>
          <w:p w14:paraId="02ED6D2C" w14:textId="731C808B" w:rsidR="00F50F44" w:rsidRDefault="006D1E27" w:rsidP="00F50F44">
            <w:r>
              <w:t>S</w:t>
            </w:r>
            <w:r w:rsidR="00F50F44" w:rsidRPr="00BC31FD">
              <w:t>olubl</w:t>
            </w:r>
            <w:r w:rsidR="00F50F44">
              <w:t>e tumour necrosis factor alpha</w:t>
            </w:r>
          </w:p>
        </w:tc>
      </w:tr>
      <w:tr w:rsidR="00F50F44" w14:paraId="44D82B32" w14:textId="77777777" w:rsidTr="00F50F44">
        <w:tc>
          <w:tcPr>
            <w:tcW w:w="1890" w:type="dxa"/>
          </w:tcPr>
          <w:p w14:paraId="36519E1D" w14:textId="77777777" w:rsidR="00F50F44" w:rsidRDefault="00F50F44" w:rsidP="00F50F44">
            <w:r>
              <w:t>TB</w:t>
            </w:r>
          </w:p>
        </w:tc>
        <w:tc>
          <w:tcPr>
            <w:tcW w:w="6911" w:type="dxa"/>
          </w:tcPr>
          <w:p w14:paraId="742B869D" w14:textId="77777777" w:rsidR="00F50F44" w:rsidRDefault="00F50F44" w:rsidP="00F50F44">
            <w:r>
              <w:t>Tuberculosis</w:t>
            </w:r>
          </w:p>
        </w:tc>
      </w:tr>
      <w:tr w:rsidR="00F50F44" w14:paraId="09995C84" w14:textId="77777777" w:rsidTr="00F50F44">
        <w:tc>
          <w:tcPr>
            <w:tcW w:w="1890" w:type="dxa"/>
          </w:tcPr>
          <w:p w14:paraId="33FE083D" w14:textId="77777777" w:rsidR="00F50F44" w:rsidRDefault="00F50F44" w:rsidP="00F50F44">
            <w:r>
              <w:t>TEAE</w:t>
            </w:r>
          </w:p>
        </w:tc>
        <w:tc>
          <w:tcPr>
            <w:tcW w:w="6911" w:type="dxa"/>
          </w:tcPr>
          <w:p w14:paraId="338ED54B" w14:textId="77777777" w:rsidR="00F50F44" w:rsidRDefault="00F50F44" w:rsidP="00F50F44">
            <w:r>
              <w:t>T</w:t>
            </w:r>
            <w:r w:rsidRPr="006158ED">
              <w:t>reatment emergent adverse events</w:t>
            </w:r>
          </w:p>
        </w:tc>
      </w:tr>
      <w:tr w:rsidR="00F50F44" w14:paraId="306C796A" w14:textId="77777777" w:rsidTr="00F50F44">
        <w:tc>
          <w:tcPr>
            <w:tcW w:w="1890" w:type="dxa"/>
          </w:tcPr>
          <w:p w14:paraId="5B7EE541" w14:textId="77777777" w:rsidR="00F50F44" w:rsidRDefault="00F50F44" w:rsidP="00F50F44">
            <w:r>
              <w:t>TNF</w:t>
            </w:r>
          </w:p>
        </w:tc>
        <w:tc>
          <w:tcPr>
            <w:tcW w:w="6911" w:type="dxa"/>
          </w:tcPr>
          <w:p w14:paraId="2E2DDC62" w14:textId="77777777" w:rsidR="00F50F44" w:rsidRDefault="00F50F44" w:rsidP="00F50F44">
            <w:r>
              <w:t>Tumour necrosis factor</w:t>
            </w:r>
          </w:p>
        </w:tc>
      </w:tr>
      <w:tr w:rsidR="00F50F44" w14:paraId="4AFB698E" w14:textId="77777777" w:rsidTr="00F50F44">
        <w:tc>
          <w:tcPr>
            <w:tcW w:w="1890" w:type="dxa"/>
          </w:tcPr>
          <w:p w14:paraId="4C7A9ADE" w14:textId="77777777" w:rsidR="00F50F44" w:rsidRDefault="00F50F44" w:rsidP="00F50F44">
            <w:pPr>
              <w:rPr>
                <w:lang w:eastAsia="ja-JP"/>
              </w:rPr>
            </w:pPr>
            <w:r>
              <w:rPr>
                <w:lang w:eastAsia="ja-JP"/>
              </w:rPr>
              <w:t>ULN</w:t>
            </w:r>
          </w:p>
        </w:tc>
        <w:tc>
          <w:tcPr>
            <w:tcW w:w="6911" w:type="dxa"/>
          </w:tcPr>
          <w:p w14:paraId="16941BCE" w14:textId="77777777" w:rsidR="00F50F44" w:rsidRDefault="00F50F44" w:rsidP="00F50F44">
            <w:r>
              <w:t>Upper limit of normal</w:t>
            </w:r>
          </w:p>
        </w:tc>
      </w:tr>
      <w:tr w:rsidR="00F50F44" w14:paraId="10D71878" w14:textId="77777777" w:rsidTr="00F50F44">
        <w:tc>
          <w:tcPr>
            <w:tcW w:w="1890" w:type="dxa"/>
          </w:tcPr>
          <w:p w14:paraId="2A0D3D83" w14:textId="77777777" w:rsidR="00F50F44" w:rsidRDefault="00F50F44" w:rsidP="00F50F44">
            <w:r>
              <w:t>US</w:t>
            </w:r>
          </w:p>
        </w:tc>
        <w:tc>
          <w:tcPr>
            <w:tcW w:w="6911" w:type="dxa"/>
          </w:tcPr>
          <w:p w14:paraId="58FD84A8" w14:textId="77777777" w:rsidR="00F50F44" w:rsidRDefault="00F50F44" w:rsidP="00F50F44">
            <w:r>
              <w:t>United States</w:t>
            </w:r>
          </w:p>
        </w:tc>
      </w:tr>
      <w:tr w:rsidR="00F50F44" w14:paraId="6EEB1A0C" w14:textId="77777777" w:rsidTr="00F50F44">
        <w:tc>
          <w:tcPr>
            <w:tcW w:w="1890" w:type="dxa"/>
          </w:tcPr>
          <w:p w14:paraId="26D27B9A" w14:textId="77777777" w:rsidR="00F50F44" w:rsidRDefault="00F50F44" w:rsidP="00F50F44">
            <w:r>
              <w:t>UVB</w:t>
            </w:r>
          </w:p>
        </w:tc>
        <w:tc>
          <w:tcPr>
            <w:tcW w:w="6911" w:type="dxa"/>
          </w:tcPr>
          <w:p w14:paraId="73DC8BC6" w14:textId="77777777" w:rsidR="00F50F44" w:rsidRDefault="00F50F44" w:rsidP="00F50F44">
            <w:r>
              <w:t>Ultraviolet B</w:t>
            </w:r>
          </w:p>
        </w:tc>
      </w:tr>
    </w:tbl>
    <w:p w14:paraId="2CFC1572" w14:textId="77777777" w:rsidR="008E7846" w:rsidRDefault="00F53C07" w:rsidP="00881A5C">
      <w:pPr>
        <w:pStyle w:val="Heading2"/>
        <w:pageBreakBefore/>
        <w:spacing w:before="0"/>
      </w:pPr>
      <w:bookmarkStart w:id="9" w:name="_Toc519244638"/>
      <w:r>
        <w:t>I.</w:t>
      </w:r>
      <w:r w:rsidR="008E7846">
        <w:t xml:space="preserve"> Introduction to product submission</w:t>
      </w:r>
      <w:bookmarkEnd w:id="0"/>
      <w:bookmarkEnd w:id="3"/>
      <w:bookmarkEnd w:id="9"/>
    </w:p>
    <w:p w14:paraId="5DCF7ECB" w14:textId="77777777" w:rsidR="008E7846" w:rsidRDefault="008E7846" w:rsidP="008E7846">
      <w:pPr>
        <w:pStyle w:val="Heading3"/>
        <w:rPr>
          <w:lang w:eastAsia="en-AU"/>
        </w:rPr>
      </w:pPr>
      <w:bookmarkStart w:id="10" w:name="_Toc247691502"/>
      <w:bookmarkStart w:id="11" w:name="_Toc314842483"/>
      <w:bookmarkStart w:id="12" w:name="_Toc519244639"/>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14:paraId="450BD5A0" w14:textId="77777777" w:rsidTr="001E6DDC">
        <w:trPr>
          <w:trHeight w:hRule="exact" w:val="454"/>
        </w:trPr>
        <w:tc>
          <w:tcPr>
            <w:tcW w:w="2907" w:type="dxa"/>
          </w:tcPr>
          <w:p w14:paraId="7C401D6A"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42B56C62" w14:textId="77777777" w:rsidR="008E7846" w:rsidRPr="003D1E62" w:rsidRDefault="00D82B8C" w:rsidP="001B5C90">
            <w:r>
              <w:t>Biosimilar medicine</w:t>
            </w:r>
          </w:p>
        </w:tc>
      </w:tr>
      <w:tr w:rsidR="008E7846" w:rsidRPr="003D1E62" w14:paraId="322F0AAE" w14:textId="77777777" w:rsidTr="001E6DDC">
        <w:trPr>
          <w:trHeight w:hRule="exact" w:val="454"/>
        </w:trPr>
        <w:tc>
          <w:tcPr>
            <w:tcW w:w="2907" w:type="dxa"/>
          </w:tcPr>
          <w:p w14:paraId="720F35C9" w14:textId="77777777" w:rsidR="008E7846" w:rsidRPr="003D1E62" w:rsidRDefault="008E7846" w:rsidP="003D1E62">
            <w:r w:rsidRPr="003D1E62">
              <w:rPr>
                <w:i/>
              </w:rPr>
              <w:t>Decision</w:t>
            </w:r>
            <w:r w:rsidRPr="003D1E62">
              <w:t>:</w:t>
            </w:r>
          </w:p>
        </w:tc>
        <w:tc>
          <w:tcPr>
            <w:tcW w:w="6590" w:type="dxa"/>
            <w:gridSpan w:val="2"/>
          </w:tcPr>
          <w:p w14:paraId="4C8F57FB" w14:textId="77777777" w:rsidR="008E7846" w:rsidRPr="003D1E62" w:rsidRDefault="000232F0" w:rsidP="000232F0">
            <w:r>
              <w:t>Approved</w:t>
            </w:r>
          </w:p>
        </w:tc>
      </w:tr>
      <w:tr w:rsidR="008E7846" w:rsidRPr="003D1E62" w14:paraId="76E891D8" w14:textId="77777777" w:rsidTr="001E6DDC">
        <w:trPr>
          <w:trHeight w:hRule="exact" w:val="454"/>
        </w:trPr>
        <w:tc>
          <w:tcPr>
            <w:tcW w:w="2907" w:type="dxa"/>
          </w:tcPr>
          <w:p w14:paraId="51B98E86"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569D984C" w14:textId="77777777" w:rsidR="008E7846" w:rsidRPr="003D1E62" w:rsidRDefault="000232F0" w:rsidP="001B5C90">
            <w:r>
              <w:t>18 October 2017</w:t>
            </w:r>
          </w:p>
        </w:tc>
      </w:tr>
      <w:tr w:rsidR="00ED2922" w:rsidRPr="003D1E62" w14:paraId="583FFB90" w14:textId="77777777" w:rsidTr="001E6DDC">
        <w:trPr>
          <w:trHeight w:hRule="exact" w:val="454"/>
        </w:trPr>
        <w:tc>
          <w:tcPr>
            <w:tcW w:w="2907" w:type="dxa"/>
          </w:tcPr>
          <w:p w14:paraId="532FFD6F" w14:textId="77777777" w:rsidR="00ED2922" w:rsidRPr="00441C3F" w:rsidRDefault="00ED2922" w:rsidP="001B5C90">
            <w:pPr>
              <w:rPr>
                <w:i/>
              </w:rPr>
            </w:pPr>
            <w:r w:rsidRPr="00441C3F">
              <w:rPr>
                <w:i/>
              </w:rPr>
              <w:t>Date of entry onto ARTG</w:t>
            </w:r>
          </w:p>
        </w:tc>
        <w:tc>
          <w:tcPr>
            <w:tcW w:w="6590" w:type="dxa"/>
            <w:gridSpan w:val="2"/>
          </w:tcPr>
          <w:p w14:paraId="731A6FCD" w14:textId="77777777" w:rsidR="00ED2922" w:rsidRPr="00441C3F" w:rsidRDefault="000232F0" w:rsidP="00EC463D">
            <w:pPr>
              <w:rPr>
                <w:i/>
              </w:rPr>
            </w:pPr>
            <w:r>
              <w:t>9 November 2017</w:t>
            </w:r>
          </w:p>
        </w:tc>
      </w:tr>
      <w:tr w:rsidR="008E7846" w:rsidRPr="00487162" w14:paraId="0F0C4263" w14:textId="77777777" w:rsidTr="001E6DDC">
        <w:trPr>
          <w:gridAfter w:val="1"/>
          <w:wAfter w:w="283" w:type="dxa"/>
        </w:trPr>
        <w:tc>
          <w:tcPr>
            <w:tcW w:w="2907" w:type="dxa"/>
          </w:tcPr>
          <w:p w14:paraId="29A2B954" w14:textId="277C3707" w:rsidR="008E7846" w:rsidRPr="00487162" w:rsidRDefault="001B5C90" w:rsidP="00E45619">
            <w:pPr>
              <w:rPr>
                <w:i/>
              </w:rPr>
            </w:pPr>
            <w:r>
              <w:rPr>
                <w:i/>
              </w:rPr>
              <w:t>Active ingredient:</w:t>
            </w:r>
          </w:p>
        </w:tc>
        <w:tc>
          <w:tcPr>
            <w:tcW w:w="6307" w:type="dxa"/>
          </w:tcPr>
          <w:p w14:paraId="62AC8236" w14:textId="77777777" w:rsidR="008E7846" w:rsidRPr="00487162" w:rsidRDefault="00D82B8C" w:rsidP="00E45619">
            <w:r>
              <w:t>A</w:t>
            </w:r>
            <w:r w:rsidRPr="00D82B8C">
              <w:t>dalimumab</w:t>
            </w:r>
          </w:p>
        </w:tc>
      </w:tr>
      <w:tr w:rsidR="008E7846" w:rsidRPr="00487162" w14:paraId="62045AEE" w14:textId="77777777" w:rsidTr="001E6DDC">
        <w:trPr>
          <w:gridAfter w:val="1"/>
          <w:wAfter w:w="283" w:type="dxa"/>
        </w:trPr>
        <w:tc>
          <w:tcPr>
            <w:tcW w:w="2907" w:type="dxa"/>
          </w:tcPr>
          <w:p w14:paraId="645B919A" w14:textId="6357DBFC" w:rsidR="008E7846" w:rsidRPr="00487162" w:rsidRDefault="008E7846" w:rsidP="001B5C90">
            <w:pPr>
              <w:rPr>
                <w:i/>
              </w:rPr>
            </w:pPr>
            <w:r w:rsidRPr="00487162">
              <w:rPr>
                <w:i/>
              </w:rPr>
              <w:t>Product</w:t>
            </w:r>
            <w:r w:rsidR="001B5C90">
              <w:rPr>
                <w:i/>
              </w:rPr>
              <w:t xml:space="preserve"> name:</w:t>
            </w:r>
          </w:p>
        </w:tc>
        <w:tc>
          <w:tcPr>
            <w:tcW w:w="6307" w:type="dxa"/>
          </w:tcPr>
          <w:p w14:paraId="27ED9F48" w14:textId="77777777" w:rsidR="008E7846" w:rsidRPr="00487162" w:rsidRDefault="00D82B8C" w:rsidP="00E45619">
            <w:proofErr w:type="spellStart"/>
            <w:r>
              <w:t>Amgevita</w:t>
            </w:r>
            <w:proofErr w:type="spellEnd"/>
          </w:p>
        </w:tc>
      </w:tr>
      <w:tr w:rsidR="008E7846" w:rsidRPr="00487162" w14:paraId="07958B7A" w14:textId="77777777" w:rsidTr="001E6DDC">
        <w:trPr>
          <w:gridAfter w:val="1"/>
          <w:wAfter w:w="283" w:type="dxa"/>
        </w:trPr>
        <w:tc>
          <w:tcPr>
            <w:tcW w:w="2907" w:type="dxa"/>
          </w:tcPr>
          <w:p w14:paraId="5C214B21"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75E905EF" w14:textId="4A5DB2EB" w:rsidR="00AA53D9" w:rsidRPr="00487162" w:rsidRDefault="00D82B8C" w:rsidP="00341A10">
            <w:r w:rsidRPr="00D82B8C">
              <w:t>Amgen Australia Pty Ltd</w:t>
            </w:r>
            <w:r w:rsidR="00341A10">
              <w:br/>
            </w:r>
            <w:r w:rsidR="00AA53D9">
              <w:t>115 Cotham Road</w:t>
            </w:r>
            <w:r w:rsidR="00B1353B">
              <w:br/>
            </w:r>
            <w:r w:rsidR="00AA53D9">
              <w:t>Kew</w:t>
            </w:r>
            <w:r w:rsidR="00B1353B">
              <w:t>,</w:t>
            </w:r>
            <w:r w:rsidR="00AA53D9">
              <w:t xml:space="preserve"> VIC</w:t>
            </w:r>
            <w:r w:rsidR="00B1353B">
              <w:t>,</w:t>
            </w:r>
            <w:r w:rsidR="00AA53D9">
              <w:t xml:space="preserve"> 3101</w:t>
            </w:r>
          </w:p>
        </w:tc>
      </w:tr>
      <w:tr w:rsidR="008E7846" w:rsidRPr="00487162" w14:paraId="3E46647C" w14:textId="77777777" w:rsidTr="001E6DDC">
        <w:trPr>
          <w:gridAfter w:val="1"/>
          <w:wAfter w:w="283" w:type="dxa"/>
        </w:trPr>
        <w:tc>
          <w:tcPr>
            <w:tcW w:w="2907" w:type="dxa"/>
          </w:tcPr>
          <w:p w14:paraId="0F147F4C" w14:textId="46C52B23" w:rsidR="008E7846" w:rsidRPr="00487162" w:rsidRDefault="001B5C90" w:rsidP="00E45619">
            <w:pPr>
              <w:rPr>
                <w:i/>
              </w:rPr>
            </w:pPr>
            <w:r>
              <w:rPr>
                <w:i/>
              </w:rPr>
              <w:t>Dose form</w:t>
            </w:r>
            <w:r w:rsidR="006D1E27">
              <w:rPr>
                <w:i/>
              </w:rPr>
              <w:t>s</w:t>
            </w:r>
            <w:r>
              <w:rPr>
                <w:i/>
              </w:rPr>
              <w:t>:</w:t>
            </w:r>
          </w:p>
        </w:tc>
        <w:tc>
          <w:tcPr>
            <w:tcW w:w="6307" w:type="dxa"/>
          </w:tcPr>
          <w:p w14:paraId="20642E06" w14:textId="589B9FB2" w:rsidR="008E7846" w:rsidRPr="00487162" w:rsidRDefault="00770053" w:rsidP="0023705B">
            <w:r w:rsidRPr="00770053">
              <w:t>Pre-filled syringe</w:t>
            </w:r>
            <w:r>
              <w:t xml:space="preserve"> </w:t>
            </w:r>
            <w:r w:rsidR="0023705B">
              <w:t xml:space="preserve">and </w:t>
            </w:r>
            <w:r w:rsidR="0023705B" w:rsidRPr="0023705B">
              <w:t xml:space="preserve">Pre-filled syringe </w:t>
            </w:r>
            <w:r w:rsidR="0023705B">
              <w:t xml:space="preserve">with </w:t>
            </w:r>
            <w:r w:rsidR="00D82B8C">
              <w:t>pen injector</w:t>
            </w:r>
          </w:p>
        </w:tc>
      </w:tr>
      <w:tr w:rsidR="008E7846" w:rsidRPr="00487162" w14:paraId="181F2241" w14:textId="77777777" w:rsidTr="001E6DDC">
        <w:trPr>
          <w:gridAfter w:val="1"/>
          <w:wAfter w:w="283" w:type="dxa"/>
        </w:trPr>
        <w:tc>
          <w:tcPr>
            <w:tcW w:w="2907" w:type="dxa"/>
          </w:tcPr>
          <w:p w14:paraId="2D89CDC0" w14:textId="145E54F5" w:rsidR="008E7846" w:rsidRPr="00487162" w:rsidRDefault="00F03C98" w:rsidP="00E45619">
            <w:pPr>
              <w:rPr>
                <w:i/>
              </w:rPr>
            </w:pPr>
            <w:r>
              <w:rPr>
                <w:i/>
              </w:rPr>
              <w:t>Strengths:</w:t>
            </w:r>
          </w:p>
        </w:tc>
        <w:tc>
          <w:tcPr>
            <w:tcW w:w="6307" w:type="dxa"/>
          </w:tcPr>
          <w:p w14:paraId="1AA71D63" w14:textId="77777777" w:rsidR="008E7846" w:rsidRPr="00487162" w:rsidRDefault="00D82B8C" w:rsidP="00E45619">
            <w:r>
              <w:t>20 mg/ 0.4 mL and 40 mg/ 0.8 mL</w:t>
            </w:r>
          </w:p>
        </w:tc>
      </w:tr>
      <w:tr w:rsidR="008E7846" w:rsidRPr="00487162" w14:paraId="4C39FA97" w14:textId="77777777" w:rsidTr="001E6DDC">
        <w:trPr>
          <w:gridAfter w:val="1"/>
          <w:wAfter w:w="283" w:type="dxa"/>
        </w:trPr>
        <w:tc>
          <w:tcPr>
            <w:tcW w:w="2907" w:type="dxa"/>
          </w:tcPr>
          <w:p w14:paraId="7D71CF6E" w14:textId="52BE0F4C" w:rsidR="008E7846" w:rsidRPr="00487162" w:rsidRDefault="008E7846" w:rsidP="00E45619">
            <w:pPr>
              <w:rPr>
                <w:i/>
              </w:rPr>
            </w:pPr>
            <w:r w:rsidRPr="00487162">
              <w:rPr>
                <w:i/>
              </w:rPr>
              <w:t>Container:</w:t>
            </w:r>
          </w:p>
        </w:tc>
        <w:tc>
          <w:tcPr>
            <w:tcW w:w="6307" w:type="dxa"/>
          </w:tcPr>
          <w:p w14:paraId="122FBB88" w14:textId="77777777" w:rsidR="008E7846" w:rsidRPr="00487162" w:rsidRDefault="001E6DDC" w:rsidP="00E45619">
            <w:r>
              <w:t>Pre-filled syringe</w:t>
            </w:r>
          </w:p>
        </w:tc>
      </w:tr>
      <w:tr w:rsidR="008E7846" w:rsidRPr="00487162" w14:paraId="14BB9BFA" w14:textId="77777777" w:rsidTr="001E6DDC">
        <w:trPr>
          <w:gridAfter w:val="1"/>
          <w:wAfter w:w="283" w:type="dxa"/>
        </w:trPr>
        <w:tc>
          <w:tcPr>
            <w:tcW w:w="2907" w:type="dxa"/>
          </w:tcPr>
          <w:p w14:paraId="674F56CF" w14:textId="06A5ADAD" w:rsidR="008E7846" w:rsidRPr="00487162" w:rsidRDefault="008E7846" w:rsidP="00E45619">
            <w:pPr>
              <w:rPr>
                <w:i/>
              </w:rPr>
            </w:pPr>
            <w:r w:rsidRPr="00487162">
              <w:rPr>
                <w:i/>
              </w:rPr>
              <w:t>Pack sizes:</w:t>
            </w:r>
          </w:p>
        </w:tc>
        <w:tc>
          <w:tcPr>
            <w:tcW w:w="6307" w:type="dxa"/>
          </w:tcPr>
          <w:p w14:paraId="69C228E0" w14:textId="77777777" w:rsidR="000232F0" w:rsidRPr="001E6DDC" w:rsidRDefault="001E6DDC" w:rsidP="000232F0">
            <w:pPr>
              <w:rPr>
                <w:rFonts w:asciiTheme="minorHAnsi" w:hAnsiTheme="minorHAnsi"/>
              </w:rPr>
            </w:pPr>
            <w:proofErr w:type="spellStart"/>
            <w:r>
              <w:rPr>
                <w:rFonts w:asciiTheme="minorHAnsi" w:hAnsiTheme="minorHAnsi"/>
              </w:rPr>
              <w:t>Amgevita</w:t>
            </w:r>
            <w:proofErr w:type="spellEnd"/>
            <w:r w:rsidR="000232F0" w:rsidRPr="001E6DDC">
              <w:rPr>
                <w:rFonts w:asciiTheme="minorHAnsi" w:hAnsiTheme="minorHAnsi"/>
              </w:rPr>
              <w:t xml:space="preserve"> 2</w:t>
            </w:r>
            <w:r w:rsidR="00C3267F">
              <w:rPr>
                <w:rFonts w:asciiTheme="minorHAnsi" w:hAnsiTheme="minorHAnsi"/>
              </w:rPr>
              <w:t>0 mg</w:t>
            </w:r>
            <w:r w:rsidR="000232F0" w:rsidRPr="001E6DDC">
              <w:rPr>
                <w:rFonts w:asciiTheme="minorHAnsi" w:hAnsiTheme="minorHAnsi"/>
              </w:rPr>
              <w:t xml:space="preserve"> solution for injection in single-use pre-filled syringe:</w:t>
            </w:r>
          </w:p>
          <w:p w14:paraId="58A705DF" w14:textId="77777777" w:rsidR="000232F0" w:rsidRPr="00341A10" w:rsidRDefault="000232F0" w:rsidP="00341A10">
            <w:pPr>
              <w:pStyle w:val="ListBullet"/>
              <w:spacing w:after="0"/>
            </w:pPr>
            <w:r w:rsidRPr="001E6DDC">
              <w:t xml:space="preserve">Carton </w:t>
            </w:r>
            <w:r w:rsidRPr="00341A10">
              <w:t>containing 1 pre-filled syringe</w:t>
            </w:r>
          </w:p>
          <w:p w14:paraId="1A991674" w14:textId="77777777" w:rsidR="000232F0" w:rsidRPr="001E6DDC" w:rsidRDefault="000232F0" w:rsidP="00341A10">
            <w:pPr>
              <w:pStyle w:val="ListBullet"/>
              <w:spacing w:before="0" w:after="0"/>
            </w:pPr>
            <w:r w:rsidRPr="00341A10">
              <w:t>Carton containing 2 pre</w:t>
            </w:r>
            <w:r w:rsidRPr="001E6DDC">
              <w:t>-filled syringes</w:t>
            </w:r>
          </w:p>
          <w:p w14:paraId="7DFF1CD4" w14:textId="77777777" w:rsidR="000232F0" w:rsidRPr="001E6DDC" w:rsidRDefault="001E6DDC" w:rsidP="000232F0">
            <w:pPr>
              <w:rPr>
                <w:rFonts w:asciiTheme="minorHAnsi" w:hAnsiTheme="minorHAnsi"/>
              </w:rPr>
            </w:pPr>
            <w:proofErr w:type="spellStart"/>
            <w:r>
              <w:rPr>
                <w:rFonts w:asciiTheme="minorHAnsi" w:hAnsiTheme="minorHAnsi"/>
              </w:rPr>
              <w:t>Amgevita</w:t>
            </w:r>
            <w:proofErr w:type="spellEnd"/>
            <w:r w:rsidR="000232F0" w:rsidRPr="001E6DDC">
              <w:rPr>
                <w:rFonts w:asciiTheme="minorHAnsi" w:hAnsiTheme="minorHAnsi"/>
              </w:rPr>
              <w:t xml:space="preserve"> 40 mg solution for injection in single-use pre-filled syringe or pre-filled </w:t>
            </w:r>
            <w:proofErr w:type="spellStart"/>
            <w:r w:rsidR="000232F0" w:rsidRPr="001E6DDC">
              <w:rPr>
                <w:rFonts w:asciiTheme="minorHAnsi" w:hAnsiTheme="minorHAnsi"/>
              </w:rPr>
              <w:t>SureClick</w:t>
            </w:r>
            <w:proofErr w:type="spellEnd"/>
            <w:r w:rsidR="000232F0" w:rsidRPr="001E6DDC">
              <w:rPr>
                <w:rFonts w:asciiTheme="minorHAnsi" w:hAnsiTheme="minorHAnsi"/>
              </w:rPr>
              <w:t xml:space="preserve"> pen (for patient use):</w:t>
            </w:r>
          </w:p>
          <w:p w14:paraId="3F01F62A" w14:textId="77777777" w:rsidR="000232F0" w:rsidRPr="001E6DDC" w:rsidRDefault="000232F0" w:rsidP="00341A10">
            <w:pPr>
              <w:pStyle w:val="ListBullet"/>
              <w:spacing w:after="0"/>
            </w:pPr>
            <w:r w:rsidRPr="001E6DDC">
              <w:t>Carton containing 1 pre-filled syringe or pre-filled pen</w:t>
            </w:r>
          </w:p>
          <w:p w14:paraId="494D7A8E" w14:textId="77777777" w:rsidR="000232F0" w:rsidRPr="001E6DDC" w:rsidRDefault="000232F0" w:rsidP="00341A10">
            <w:pPr>
              <w:pStyle w:val="ListBullet"/>
              <w:spacing w:before="0" w:after="0"/>
            </w:pPr>
            <w:r w:rsidRPr="001E6DDC">
              <w:t>Carton containing 2 pre-filled syringes or pre-filled pens</w:t>
            </w:r>
          </w:p>
          <w:p w14:paraId="3C63767F" w14:textId="77777777" w:rsidR="000232F0" w:rsidRPr="001E6DDC" w:rsidRDefault="000232F0" w:rsidP="00341A10">
            <w:pPr>
              <w:pStyle w:val="ListBullet"/>
              <w:spacing w:before="0" w:after="0"/>
            </w:pPr>
            <w:r w:rsidRPr="001E6DDC">
              <w:t>Carton containing 4 pre-filled syringes or pre-filled pens</w:t>
            </w:r>
          </w:p>
          <w:p w14:paraId="4EC5C8F7" w14:textId="77777777" w:rsidR="008E7846" w:rsidRPr="00487162" w:rsidRDefault="000232F0" w:rsidP="00341A10">
            <w:pPr>
              <w:pStyle w:val="ListBullet"/>
              <w:spacing w:before="0"/>
            </w:pPr>
            <w:r w:rsidRPr="001E6DDC">
              <w:t>Carton containing 6 pre-filled syringes or pre-filled pens.</w:t>
            </w:r>
          </w:p>
        </w:tc>
      </w:tr>
      <w:tr w:rsidR="008E7846" w:rsidRPr="00487162" w14:paraId="7C5F9AB4" w14:textId="77777777" w:rsidTr="001E6DDC">
        <w:trPr>
          <w:gridAfter w:val="1"/>
          <w:wAfter w:w="283" w:type="dxa"/>
        </w:trPr>
        <w:tc>
          <w:tcPr>
            <w:tcW w:w="2907" w:type="dxa"/>
          </w:tcPr>
          <w:p w14:paraId="7C5B7D0A"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5CD8E3D0" w14:textId="77777777" w:rsidR="001E6DDC" w:rsidRPr="0015166F" w:rsidRDefault="001E6DDC" w:rsidP="001E6DDC">
            <w:pPr>
              <w:rPr>
                <w:b/>
                <w:i/>
              </w:rPr>
            </w:pPr>
            <w:r w:rsidRPr="0015166F">
              <w:rPr>
                <w:b/>
                <w:i/>
              </w:rPr>
              <w:t>Rheumatoid Arthritis</w:t>
            </w:r>
          </w:p>
          <w:p w14:paraId="07A89415" w14:textId="77777777" w:rsidR="001E6DDC" w:rsidRPr="00EB27B6" w:rsidRDefault="001E6DDC" w:rsidP="001E6DDC">
            <w:pPr>
              <w:rPr>
                <w:i/>
              </w:rPr>
            </w:pPr>
            <w:proofErr w:type="spellStart"/>
            <w:r>
              <w:rPr>
                <w:i/>
              </w:rPr>
              <w:t>Amgevita</w:t>
            </w:r>
            <w:proofErr w:type="spellEnd"/>
            <w:r w:rsidRPr="00EB27B6">
              <w:rPr>
                <w:i/>
              </w:rPr>
              <w:t xml:space="preserve">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 </w:t>
            </w:r>
            <w:proofErr w:type="spellStart"/>
            <w:r>
              <w:rPr>
                <w:i/>
              </w:rPr>
              <w:t>Amgevita</w:t>
            </w:r>
            <w:proofErr w:type="spellEnd"/>
            <w:r w:rsidRPr="00EB27B6">
              <w:rPr>
                <w:i/>
              </w:rPr>
              <w:t xml:space="preserve"> can be used alone or in combination with methotrexate.</w:t>
            </w:r>
          </w:p>
          <w:p w14:paraId="6945A438" w14:textId="77777777" w:rsidR="001E6DDC" w:rsidRPr="0015166F" w:rsidRDefault="001E6DDC" w:rsidP="00341A10">
            <w:pPr>
              <w:keepNext/>
              <w:keepLines/>
              <w:pageBreakBefore/>
              <w:rPr>
                <w:b/>
                <w:i/>
              </w:rPr>
            </w:pPr>
            <w:r w:rsidRPr="0015166F">
              <w:rPr>
                <w:b/>
                <w:i/>
              </w:rPr>
              <w:t>Juvenile Idiopathic Arthritis</w:t>
            </w:r>
          </w:p>
          <w:p w14:paraId="2FB9FA32" w14:textId="7C4555B3" w:rsidR="001E6DDC" w:rsidRPr="0015166F" w:rsidRDefault="001E6DDC" w:rsidP="00341A10">
            <w:pPr>
              <w:keepNext/>
              <w:keepLines/>
              <w:pageBreakBefore/>
              <w:rPr>
                <w:b/>
                <w:i/>
              </w:rPr>
            </w:pPr>
            <w:proofErr w:type="spellStart"/>
            <w:r w:rsidRPr="0015166F">
              <w:rPr>
                <w:b/>
                <w:i/>
              </w:rPr>
              <w:t>Polyarticula</w:t>
            </w:r>
            <w:r w:rsidR="00341A10">
              <w:rPr>
                <w:b/>
                <w:i/>
              </w:rPr>
              <w:t>r</w:t>
            </w:r>
            <w:proofErr w:type="spellEnd"/>
            <w:r w:rsidR="00341A10">
              <w:rPr>
                <w:b/>
                <w:i/>
              </w:rPr>
              <w:t xml:space="preserve"> Juvenile Idiopathic Arthritis</w:t>
            </w:r>
          </w:p>
          <w:p w14:paraId="0CC021B1" w14:textId="77777777" w:rsidR="001E6DDC" w:rsidRDefault="001E6DDC" w:rsidP="00341A10">
            <w:pPr>
              <w:keepNext/>
              <w:keepLines/>
              <w:pageBreakBefore/>
              <w:rPr>
                <w:i/>
              </w:rPr>
            </w:pPr>
            <w:proofErr w:type="spellStart"/>
            <w:r>
              <w:rPr>
                <w:i/>
              </w:rPr>
              <w:t>Amgevita</w:t>
            </w:r>
            <w:proofErr w:type="spellEnd"/>
            <w:r w:rsidRPr="00EB27B6">
              <w:rPr>
                <w:i/>
              </w:rPr>
              <w:t xml:space="preserve"> in combination with methotrexate is indicated for reducing the signs and symptoms of moderately to severely active polyarticular juvenile idiopathic arthritis in patients 2 years of age and older who have had an inadequate response to one or more disease modifying antirheumatic drugs (DMARDs). </w:t>
            </w:r>
            <w:proofErr w:type="spellStart"/>
            <w:r>
              <w:rPr>
                <w:i/>
              </w:rPr>
              <w:t>Amgevita</w:t>
            </w:r>
            <w:proofErr w:type="spellEnd"/>
            <w:r w:rsidRPr="00EB27B6">
              <w:rPr>
                <w:i/>
              </w:rPr>
              <w:t xml:space="preserve"> can be given as monotherapy in case of intolerance to methotrexate or when continued treatment with methotrexate is inappropriate.</w:t>
            </w:r>
          </w:p>
          <w:p w14:paraId="41D92864" w14:textId="77777777" w:rsidR="001E6DDC" w:rsidRPr="0015166F" w:rsidRDefault="001E6DDC" w:rsidP="00341A10">
            <w:pPr>
              <w:keepNext/>
              <w:keepLines/>
              <w:rPr>
                <w:b/>
                <w:i/>
              </w:rPr>
            </w:pPr>
            <w:r w:rsidRPr="0015166F">
              <w:rPr>
                <w:b/>
                <w:i/>
              </w:rPr>
              <w:t>Enthesitis-Related Arthritis</w:t>
            </w:r>
          </w:p>
          <w:p w14:paraId="42EF5ACC" w14:textId="77777777" w:rsidR="001E6DDC" w:rsidRPr="00EB27B6" w:rsidRDefault="001E6DDC" w:rsidP="001E6DDC">
            <w:pPr>
              <w:rPr>
                <w:i/>
              </w:rPr>
            </w:pPr>
            <w:proofErr w:type="spellStart"/>
            <w:r>
              <w:rPr>
                <w:i/>
              </w:rPr>
              <w:t>Amgevita</w:t>
            </w:r>
            <w:proofErr w:type="spellEnd"/>
            <w:r w:rsidRPr="00EB27B6">
              <w:rPr>
                <w:i/>
              </w:rPr>
              <w:t xml:space="preserve"> is indicated for the treatment of enthesitis-related arthritis in children, who have</w:t>
            </w:r>
            <w:r>
              <w:rPr>
                <w:i/>
              </w:rPr>
              <w:t xml:space="preserve"> </w:t>
            </w:r>
            <w:r w:rsidRPr="00EB27B6">
              <w:rPr>
                <w:i/>
              </w:rPr>
              <w:t>had an inadequate response to, or who are intolerant to, conventional therapy.</w:t>
            </w:r>
          </w:p>
          <w:p w14:paraId="737B0F1C" w14:textId="77777777" w:rsidR="001E6DDC" w:rsidRPr="0015166F" w:rsidRDefault="001E6DDC" w:rsidP="001E6DDC">
            <w:pPr>
              <w:rPr>
                <w:b/>
                <w:i/>
              </w:rPr>
            </w:pPr>
            <w:r w:rsidRPr="0015166F">
              <w:rPr>
                <w:b/>
                <w:i/>
              </w:rPr>
              <w:t>Psoriatic Arthritis</w:t>
            </w:r>
          </w:p>
          <w:p w14:paraId="52FF9E8E" w14:textId="77777777" w:rsidR="001E6DDC" w:rsidRPr="00EB27B6" w:rsidRDefault="001E6DDC" w:rsidP="001E6DDC">
            <w:pPr>
              <w:rPr>
                <w:i/>
              </w:rPr>
            </w:pPr>
            <w:proofErr w:type="spellStart"/>
            <w:r>
              <w:rPr>
                <w:i/>
              </w:rPr>
              <w:t>Amgevita</w:t>
            </w:r>
            <w:proofErr w:type="spellEnd"/>
            <w:r w:rsidRPr="00EB27B6">
              <w:rPr>
                <w:i/>
              </w:rPr>
              <w:t xml:space="preserve"> is indicated for the treatment of signs and symptoms, as well as inhibiting the</w:t>
            </w:r>
            <w:r>
              <w:rPr>
                <w:i/>
              </w:rPr>
              <w:t xml:space="preserve"> </w:t>
            </w:r>
            <w:r w:rsidRPr="00EB27B6">
              <w:rPr>
                <w:i/>
              </w:rPr>
              <w:t>progression of structural damage, of moderately to severely active psoriatic arthritis in adult</w:t>
            </w:r>
            <w:r>
              <w:rPr>
                <w:i/>
              </w:rPr>
              <w:t xml:space="preserve"> </w:t>
            </w:r>
            <w:r w:rsidRPr="00EB27B6">
              <w:rPr>
                <w:i/>
              </w:rPr>
              <w:t>patients where response to previous DMARDs has been inadequate.</w:t>
            </w:r>
          </w:p>
          <w:p w14:paraId="33729151" w14:textId="77777777" w:rsidR="001E6DDC" w:rsidRPr="0015166F" w:rsidRDefault="001E6DDC" w:rsidP="001E6DDC">
            <w:pPr>
              <w:rPr>
                <w:b/>
                <w:i/>
              </w:rPr>
            </w:pPr>
            <w:r w:rsidRPr="0015166F">
              <w:rPr>
                <w:b/>
                <w:i/>
              </w:rPr>
              <w:t>Ankylosing Spondylitis</w:t>
            </w:r>
          </w:p>
          <w:p w14:paraId="4D3DA133" w14:textId="77777777" w:rsidR="001E6DDC" w:rsidRPr="00EB27B6" w:rsidRDefault="001E6DDC" w:rsidP="001E6DDC">
            <w:pPr>
              <w:rPr>
                <w:i/>
              </w:rPr>
            </w:pPr>
            <w:proofErr w:type="spellStart"/>
            <w:r>
              <w:rPr>
                <w:i/>
              </w:rPr>
              <w:t>Amgevita</w:t>
            </w:r>
            <w:proofErr w:type="spellEnd"/>
            <w:r w:rsidRPr="00EB27B6">
              <w:rPr>
                <w:i/>
              </w:rPr>
              <w:t xml:space="preserve"> is indicated for reducing signs and symptoms in patients with active ankylosing</w:t>
            </w:r>
            <w:r>
              <w:rPr>
                <w:i/>
              </w:rPr>
              <w:t xml:space="preserve"> </w:t>
            </w:r>
            <w:r w:rsidRPr="00EB27B6">
              <w:rPr>
                <w:i/>
              </w:rPr>
              <w:t>spondylitis.</w:t>
            </w:r>
          </w:p>
          <w:p w14:paraId="505DF406" w14:textId="77777777" w:rsidR="001E6DDC" w:rsidRPr="0015166F" w:rsidRDefault="001E6DDC" w:rsidP="001E6DDC">
            <w:pPr>
              <w:rPr>
                <w:b/>
                <w:i/>
              </w:rPr>
            </w:pPr>
            <w:r w:rsidRPr="0015166F">
              <w:rPr>
                <w:b/>
                <w:i/>
              </w:rPr>
              <w:t>Crohn’s Disease in Adults and Children (≥6 years)</w:t>
            </w:r>
          </w:p>
          <w:p w14:paraId="3F67637F" w14:textId="77777777" w:rsidR="001E6DDC" w:rsidRPr="00EB27B6" w:rsidRDefault="001E6DDC" w:rsidP="001E6DDC">
            <w:pPr>
              <w:rPr>
                <w:i/>
              </w:rPr>
            </w:pPr>
            <w:proofErr w:type="spellStart"/>
            <w:r>
              <w:rPr>
                <w:i/>
              </w:rPr>
              <w:t>Amgevita</w:t>
            </w:r>
            <w:proofErr w:type="spellEnd"/>
            <w:r w:rsidRPr="00EB27B6">
              <w:rPr>
                <w:i/>
              </w:rPr>
              <w:t xml:space="preserve"> is indicated for the treatment of moderate to severe Crohn’s disease, to reduce the</w:t>
            </w:r>
            <w:r>
              <w:rPr>
                <w:i/>
              </w:rPr>
              <w:t xml:space="preserve"> </w:t>
            </w:r>
            <w:r w:rsidRPr="00EB27B6">
              <w:rPr>
                <w:i/>
              </w:rPr>
              <w:t>signs and symptoms of the disease and to induce and maintain clinical remission in patients;</w:t>
            </w:r>
            <w:r>
              <w:rPr>
                <w:i/>
              </w:rPr>
              <w:t xml:space="preserve"> </w:t>
            </w:r>
            <w:r w:rsidRPr="00EB27B6">
              <w:rPr>
                <w:i/>
              </w:rPr>
              <w:t>- who have had an inadequate response to conventional therapies or,</w:t>
            </w:r>
            <w:r>
              <w:rPr>
                <w:i/>
              </w:rPr>
              <w:t xml:space="preserve"> </w:t>
            </w:r>
            <w:r w:rsidRPr="00EB27B6">
              <w:rPr>
                <w:i/>
              </w:rPr>
              <w:t>- who have lost response to or are intolerant of infliximab.</w:t>
            </w:r>
          </w:p>
          <w:p w14:paraId="7C60C664" w14:textId="77777777" w:rsidR="001E6DDC" w:rsidRPr="0015166F" w:rsidRDefault="001E6DDC" w:rsidP="001E6DDC">
            <w:pPr>
              <w:rPr>
                <w:b/>
                <w:i/>
              </w:rPr>
            </w:pPr>
            <w:r w:rsidRPr="0015166F">
              <w:rPr>
                <w:b/>
                <w:i/>
              </w:rPr>
              <w:t>Ulcerative colitis</w:t>
            </w:r>
          </w:p>
          <w:p w14:paraId="27A7E091" w14:textId="77777777" w:rsidR="001E6DDC" w:rsidRPr="00EB27B6" w:rsidRDefault="001E6DDC" w:rsidP="001E6DDC">
            <w:pPr>
              <w:rPr>
                <w:i/>
              </w:rPr>
            </w:pPr>
            <w:proofErr w:type="spellStart"/>
            <w:r>
              <w:rPr>
                <w:i/>
              </w:rPr>
              <w:t>Amgevita</w:t>
            </w:r>
            <w:proofErr w:type="spellEnd"/>
            <w:r w:rsidRPr="00EB27B6">
              <w:rPr>
                <w:i/>
              </w:rPr>
              <w:t xml:space="preserve"> is indicated for the treatment of moderate to severe ulcerative colitis in adult</w:t>
            </w:r>
            <w:r>
              <w:rPr>
                <w:i/>
              </w:rPr>
              <w:t xml:space="preserve"> </w:t>
            </w:r>
            <w:r w:rsidRPr="00EB27B6">
              <w:rPr>
                <w:i/>
              </w:rPr>
              <w:t>patients who have had an inadequate response to conventional therapy or who are intolerant to</w:t>
            </w:r>
            <w:r>
              <w:rPr>
                <w:i/>
              </w:rPr>
              <w:t xml:space="preserve"> </w:t>
            </w:r>
            <w:r w:rsidRPr="00EB27B6">
              <w:rPr>
                <w:i/>
              </w:rPr>
              <w:t>or have medical contraindications for such therapies. Patients should show a clinical response</w:t>
            </w:r>
            <w:r>
              <w:rPr>
                <w:i/>
              </w:rPr>
              <w:t xml:space="preserve"> </w:t>
            </w:r>
            <w:r w:rsidRPr="00EB27B6">
              <w:rPr>
                <w:i/>
              </w:rPr>
              <w:t>within 8 weeks of treatment to continue treatment beyond that time. (</w:t>
            </w:r>
            <w:proofErr w:type="gramStart"/>
            <w:r w:rsidRPr="00EB27B6">
              <w:rPr>
                <w:i/>
              </w:rPr>
              <w:t>see</w:t>
            </w:r>
            <w:proofErr w:type="gramEnd"/>
            <w:r w:rsidRPr="00EB27B6">
              <w:rPr>
                <w:i/>
              </w:rPr>
              <w:t xml:space="preserve"> CLINICAL TRIALS).</w:t>
            </w:r>
          </w:p>
          <w:p w14:paraId="6E5EE66D" w14:textId="77777777" w:rsidR="001E6DDC" w:rsidRPr="0015166F" w:rsidRDefault="001E6DDC" w:rsidP="001E6DDC">
            <w:pPr>
              <w:rPr>
                <w:b/>
                <w:i/>
              </w:rPr>
            </w:pPr>
            <w:r w:rsidRPr="0015166F">
              <w:rPr>
                <w:b/>
                <w:i/>
              </w:rPr>
              <w:t>Psoriasis in Adults and Children</w:t>
            </w:r>
          </w:p>
          <w:p w14:paraId="49BAD5F0" w14:textId="77777777" w:rsidR="001E6DDC" w:rsidRPr="00EB27B6" w:rsidRDefault="001E6DDC" w:rsidP="001E6DDC">
            <w:pPr>
              <w:rPr>
                <w:i/>
              </w:rPr>
            </w:pPr>
            <w:proofErr w:type="spellStart"/>
            <w:r>
              <w:rPr>
                <w:i/>
              </w:rPr>
              <w:t>Amgevita</w:t>
            </w:r>
            <w:proofErr w:type="spellEnd"/>
            <w:r w:rsidRPr="00EB27B6">
              <w:rPr>
                <w:i/>
              </w:rPr>
              <w:t xml:space="preserve"> is indicated for the treatment of moderate to severe chronic plaque psoriasis</w:t>
            </w:r>
            <w:r>
              <w:rPr>
                <w:i/>
              </w:rPr>
              <w:t xml:space="preserve"> </w:t>
            </w:r>
            <w:r w:rsidRPr="00EB27B6">
              <w:rPr>
                <w:i/>
              </w:rPr>
              <w:t xml:space="preserve">in adult patients who are candidates for systemic therapy or phototherapy. </w:t>
            </w:r>
            <w:proofErr w:type="spellStart"/>
            <w:r>
              <w:rPr>
                <w:i/>
              </w:rPr>
              <w:t>Amgevita</w:t>
            </w:r>
            <w:proofErr w:type="spellEnd"/>
            <w:r w:rsidRPr="00EB27B6">
              <w:rPr>
                <w:i/>
              </w:rPr>
              <w:t xml:space="preserve"> is</w:t>
            </w:r>
            <w:r>
              <w:rPr>
                <w:i/>
              </w:rPr>
              <w:t xml:space="preserve"> </w:t>
            </w:r>
            <w:r w:rsidRPr="00EB27B6">
              <w:rPr>
                <w:i/>
              </w:rPr>
              <w:t>indicated for the treatment of severe chronic plaque psoriasis in children and adolescent</w:t>
            </w:r>
            <w:r>
              <w:rPr>
                <w:i/>
              </w:rPr>
              <w:t xml:space="preserve"> </w:t>
            </w:r>
            <w:r w:rsidRPr="00EB27B6">
              <w:rPr>
                <w:i/>
              </w:rPr>
              <w:t>patients from 4 years of age who have had an inadequate response to or are inappropriate</w:t>
            </w:r>
            <w:r>
              <w:rPr>
                <w:i/>
              </w:rPr>
              <w:t xml:space="preserve"> </w:t>
            </w:r>
            <w:r w:rsidRPr="00EB27B6">
              <w:rPr>
                <w:i/>
              </w:rPr>
              <w:t>candidates for topical therapy and phototherapy.</w:t>
            </w:r>
          </w:p>
          <w:p w14:paraId="1FAE3939" w14:textId="77777777" w:rsidR="001E6DDC" w:rsidRPr="0015166F" w:rsidRDefault="001E6DDC" w:rsidP="001E6DDC">
            <w:pPr>
              <w:rPr>
                <w:b/>
                <w:i/>
              </w:rPr>
            </w:pPr>
            <w:r w:rsidRPr="0015166F">
              <w:rPr>
                <w:b/>
                <w:i/>
              </w:rPr>
              <w:t xml:space="preserve">Hidradenitis </w:t>
            </w:r>
            <w:proofErr w:type="spellStart"/>
            <w:r w:rsidRPr="0015166F">
              <w:rPr>
                <w:b/>
                <w:i/>
              </w:rPr>
              <w:t>Suppurativa</w:t>
            </w:r>
            <w:proofErr w:type="spellEnd"/>
          </w:p>
          <w:p w14:paraId="79D5FBCC" w14:textId="77777777" w:rsidR="001E6DDC" w:rsidRPr="00EB27B6" w:rsidRDefault="001E6DDC" w:rsidP="001E6DDC">
            <w:pPr>
              <w:rPr>
                <w:i/>
              </w:rPr>
            </w:pPr>
            <w:proofErr w:type="spellStart"/>
            <w:r>
              <w:rPr>
                <w:i/>
              </w:rPr>
              <w:t>Amgevita</w:t>
            </w:r>
            <w:proofErr w:type="spellEnd"/>
            <w:r w:rsidRPr="00EB27B6">
              <w:rPr>
                <w:i/>
              </w:rPr>
              <w:t xml:space="preserve"> is indicated for the treatment of active moderate to severe hidradenitis</w:t>
            </w:r>
            <w:r>
              <w:rPr>
                <w:i/>
              </w:rPr>
              <w:t xml:space="preserve"> </w:t>
            </w:r>
            <w:proofErr w:type="spellStart"/>
            <w:r w:rsidRPr="00EB27B6">
              <w:rPr>
                <w:i/>
              </w:rPr>
              <w:t>suppurativa</w:t>
            </w:r>
            <w:proofErr w:type="spellEnd"/>
            <w:r w:rsidRPr="00EB27B6">
              <w:rPr>
                <w:i/>
              </w:rPr>
              <w:t xml:space="preserve"> (acne </w:t>
            </w:r>
            <w:proofErr w:type="spellStart"/>
            <w:r w:rsidRPr="00EB27B6">
              <w:rPr>
                <w:i/>
              </w:rPr>
              <w:t>inversa</w:t>
            </w:r>
            <w:proofErr w:type="spellEnd"/>
            <w:r w:rsidRPr="00EB27B6">
              <w:rPr>
                <w:i/>
              </w:rPr>
              <w:t>) in adult patients with an inadequate response to conventional</w:t>
            </w:r>
            <w:r>
              <w:rPr>
                <w:i/>
              </w:rPr>
              <w:t xml:space="preserve"> </w:t>
            </w:r>
            <w:r w:rsidRPr="00EB27B6">
              <w:rPr>
                <w:i/>
              </w:rPr>
              <w:t xml:space="preserve">systemic hidradenitis </w:t>
            </w:r>
            <w:proofErr w:type="spellStart"/>
            <w:r w:rsidRPr="00EB27B6">
              <w:rPr>
                <w:i/>
              </w:rPr>
              <w:t>suppurativa</w:t>
            </w:r>
            <w:proofErr w:type="spellEnd"/>
            <w:r w:rsidRPr="00EB27B6">
              <w:rPr>
                <w:i/>
              </w:rPr>
              <w:t xml:space="preserve"> therapy.</w:t>
            </w:r>
          </w:p>
          <w:p w14:paraId="2129B4E0" w14:textId="77777777" w:rsidR="001E6DDC" w:rsidRPr="0015166F" w:rsidRDefault="001E6DDC" w:rsidP="001E6DDC">
            <w:pPr>
              <w:rPr>
                <w:b/>
                <w:i/>
              </w:rPr>
            </w:pPr>
            <w:r w:rsidRPr="0015166F">
              <w:rPr>
                <w:b/>
                <w:i/>
              </w:rPr>
              <w:t>Uveitis</w:t>
            </w:r>
          </w:p>
          <w:p w14:paraId="580CC147" w14:textId="77777777" w:rsidR="008E7846" w:rsidRPr="00487162" w:rsidRDefault="001E6DDC" w:rsidP="001E6DDC">
            <w:pPr>
              <w:rPr>
                <w:rFonts w:eastAsia="MS Mincho"/>
                <w:lang w:eastAsia="ja-JP"/>
              </w:rPr>
            </w:pPr>
            <w:proofErr w:type="spellStart"/>
            <w:r>
              <w:rPr>
                <w:i/>
              </w:rPr>
              <w:t>Amgevita</w:t>
            </w:r>
            <w:proofErr w:type="spellEnd"/>
            <w:r w:rsidRPr="00EB27B6">
              <w:rPr>
                <w:i/>
              </w:rPr>
              <w:t xml:space="preserve"> is indicated for the treatment of non-infectious intermediate, posterior and</w:t>
            </w:r>
            <w:r>
              <w:rPr>
                <w:i/>
              </w:rPr>
              <w:t xml:space="preserve"> </w:t>
            </w:r>
            <w:r w:rsidRPr="00EB27B6">
              <w:rPr>
                <w:i/>
              </w:rPr>
              <w:t>pan-uveitis in adult patients who have had an inadequate response to corticosteroids, in</w:t>
            </w:r>
            <w:r>
              <w:rPr>
                <w:i/>
              </w:rPr>
              <w:t xml:space="preserve"> </w:t>
            </w:r>
            <w:r w:rsidRPr="00EB27B6">
              <w:rPr>
                <w:i/>
              </w:rPr>
              <w:t>patients in need of corticosteroid sparing, or in whom corticosteroid treatment is</w:t>
            </w:r>
            <w:r>
              <w:rPr>
                <w:i/>
              </w:rPr>
              <w:t xml:space="preserve"> </w:t>
            </w:r>
            <w:r w:rsidRPr="00EB27B6">
              <w:rPr>
                <w:i/>
              </w:rPr>
              <w:t>inappropriate.</w:t>
            </w:r>
          </w:p>
        </w:tc>
      </w:tr>
      <w:tr w:rsidR="008E7846" w:rsidRPr="00487162" w14:paraId="03AF00EB" w14:textId="77777777" w:rsidTr="001E6DDC">
        <w:trPr>
          <w:gridAfter w:val="1"/>
          <w:wAfter w:w="283" w:type="dxa"/>
        </w:trPr>
        <w:tc>
          <w:tcPr>
            <w:tcW w:w="2907" w:type="dxa"/>
          </w:tcPr>
          <w:p w14:paraId="7ABEEA64" w14:textId="1D0474D5" w:rsidR="008E7846" w:rsidRPr="00487162" w:rsidRDefault="008E7846" w:rsidP="00E45619">
            <w:pPr>
              <w:rPr>
                <w:i/>
              </w:rPr>
            </w:pPr>
            <w:r w:rsidRPr="00487162">
              <w:rPr>
                <w:i/>
              </w:rPr>
              <w:t>Route of administration:</w:t>
            </w:r>
          </w:p>
        </w:tc>
        <w:tc>
          <w:tcPr>
            <w:tcW w:w="6307" w:type="dxa"/>
          </w:tcPr>
          <w:p w14:paraId="0932FA0A" w14:textId="77777777" w:rsidR="008E7846" w:rsidRPr="00487162" w:rsidRDefault="00D82B8C" w:rsidP="00D82B8C">
            <w:r>
              <w:t>S</w:t>
            </w:r>
            <w:r w:rsidRPr="00D82B8C">
              <w:t>ubcutaneous (SC)</w:t>
            </w:r>
          </w:p>
        </w:tc>
      </w:tr>
      <w:tr w:rsidR="008E7846" w:rsidRPr="00487162" w14:paraId="71F8A9DD" w14:textId="77777777" w:rsidTr="001E6DDC">
        <w:trPr>
          <w:gridAfter w:val="1"/>
          <w:wAfter w:w="283" w:type="dxa"/>
        </w:trPr>
        <w:tc>
          <w:tcPr>
            <w:tcW w:w="2907" w:type="dxa"/>
          </w:tcPr>
          <w:p w14:paraId="6BC2DC15" w14:textId="77777777" w:rsidR="008E7846" w:rsidRPr="00487162" w:rsidRDefault="008E7846" w:rsidP="00E45619">
            <w:pPr>
              <w:rPr>
                <w:i/>
              </w:rPr>
            </w:pPr>
            <w:r w:rsidRPr="00487162">
              <w:rPr>
                <w:i/>
              </w:rPr>
              <w:t>Dosage:</w:t>
            </w:r>
          </w:p>
        </w:tc>
        <w:tc>
          <w:tcPr>
            <w:tcW w:w="6307" w:type="dxa"/>
          </w:tcPr>
          <w:p w14:paraId="2D8211FC" w14:textId="77777777" w:rsidR="008E7846" w:rsidRPr="00487162" w:rsidRDefault="000232F0" w:rsidP="000232F0">
            <w:r>
              <w:t xml:space="preserve">This product is for one dose in one patient only. </w:t>
            </w:r>
            <w:r w:rsidR="0073661B">
              <w:t xml:space="preserve">Same as for the innovator product Humira (see Attachment 1 </w:t>
            </w:r>
            <w:r w:rsidR="006D1E27">
              <w:t xml:space="preserve">for the </w:t>
            </w:r>
            <w:r w:rsidR="0073661B">
              <w:t>PI)</w:t>
            </w:r>
          </w:p>
        </w:tc>
      </w:tr>
      <w:tr w:rsidR="008E7846" w:rsidRPr="00487162" w14:paraId="4A5F8F9C" w14:textId="77777777" w:rsidTr="001E6DDC">
        <w:trPr>
          <w:gridAfter w:val="1"/>
          <w:wAfter w:w="283" w:type="dxa"/>
        </w:trPr>
        <w:tc>
          <w:tcPr>
            <w:tcW w:w="2907" w:type="dxa"/>
          </w:tcPr>
          <w:p w14:paraId="6B9981C3" w14:textId="3756449A" w:rsidR="008E7846" w:rsidRPr="00487162" w:rsidRDefault="008E7846" w:rsidP="001B5C90">
            <w:pPr>
              <w:rPr>
                <w:i/>
              </w:rPr>
            </w:pPr>
            <w:r w:rsidRPr="00487162">
              <w:rPr>
                <w:i/>
              </w:rPr>
              <w:t xml:space="preserve">ARTG </w:t>
            </w:r>
            <w:r w:rsidR="001B5C90">
              <w:rPr>
                <w:i/>
              </w:rPr>
              <w:t>n</w:t>
            </w:r>
            <w:r w:rsidRPr="00487162">
              <w:rPr>
                <w:i/>
              </w:rPr>
              <w:t>umbers</w:t>
            </w:r>
            <w:r w:rsidR="001B5C90">
              <w:rPr>
                <w:i/>
              </w:rPr>
              <w:t>:</w:t>
            </w:r>
          </w:p>
        </w:tc>
        <w:tc>
          <w:tcPr>
            <w:tcW w:w="6307" w:type="dxa"/>
          </w:tcPr>
          <w:p w14:paraId="7B14070E" w14:textId="77777777" w:rsidR="008E7846" w:rsidRPr="00487162" w:rsidRDefault="00D82B8C" w:rsidP="00E45619">
            <w:r w:rsidRPr="00D82B8C">
              <w:t>273536, 278701, 278702</w:t>
            </w:r>
          </w:p>
        </w:tc>
      </w:tr>
    </w:tbl>
    <w:p w14:paraId="4F152053" w14:textId="77777777" w:rsidR="008E7846" w:rsidRDefault="008E7846" w:rsidP="007C5835">
      <w:pPr>
        <w:pStyle w:val="Heading3"/>
      </w:pPr>
      <w:bookmarkStart w:id="13" w:name="_Toc247691503"/>
      <w:bookmarkStart w:id="14" w:name="_Toc314842484"/>
      <w:bookmarkStart w:id="15" w:name="_Toc519244640"/>
      <w:r>
        <w:t>Product background</w:t>
      </w:r>
      <w:bookmarkEnd w:id="13"/>
      <w:bookmarkEnd w:id="14"/>
      <w:bookmarkEnd w:id="15"/>
    </w:p>
    <w:p w14:paraId="7885E305" w14:textId="0392A60F" w:rsidR="009650DF" w:rsidRDefault="00940A89" w:rsidP="009650DF">
      <w:r w:rsidRPr="00940A89">
        <w:t xml:space="preserve">This AusPAR describes the application by the </w:t>
      </w:r>
      <w:r w:rsidRPr="007C5835">
        <w:t xml:space="preserve">sponsor </w:t>
      </w:r>
      <w:bookmarkStart w:id="16" w:name="_Toc314842485"/>
      <w:bookmarkStart w:id="17" w:name="_Toc247691504"/>
      <w:r w:rsidR="009650DF" w:rsidRPr="007C5835">
        <w:t xml:space="preserve">to register </w:t>
      </w:r>
      <w:proofErr w:type="spellStart"/>
      <w:r w:rsidR="001E6DDC" w:rsidRPr="007C5835">
        <w:t>Amgevita</w:t>
      </w:r>
      <w:proofErr w:type="spellEnd"/>
      <w:r w:rsidR="009650DF" w:rsidRPr="007C5835">
        <w:t>, which contains active ingredient adalimumab as a biosi</w:t>
      </w:r>
      <w:r w:rsidR="009650DF">
        <w:t xml:space="preserve">milar to </w:t>
      </w:r>
      <w:proofErr w:type="spellStart"/>
      <w:r w:rsidR="001E6DDC">
        <w:t>Humira</w:t>
      </w:r>
      <w:proofErr w:type="spellEnd"/>
      <w:r w:rsidR="009650DF">
        <w:t>.</w:t>
      </w:r>
    </w:p>
    <w:p w14:paraId="436332F9" w14:textId="4BCD017D" w:rsidR="0015166F" w:rsidRDefault="001E6DDC" w:rsidP="009650DF">
      <w:proofErr w:type="spellStart"/>
      <w:r>
        <w:t>Amgevita</w:t>
      </w:r>
      <w:proofErr w:type="spellEnd"/>
      <w:r w:rsidR="009650DF">
        <w:t xml:space="preserve"> is proposed for the same indications approved for </w:t>
      </w:r>
      <w:r>
        <w:t>Humira</w:t>
      </w:r>
      <w:r w:rsidR="009650DF">
        <w:t>: rheumatoid arthritis, polyarticular juvenile idiopathic arthritis, psoriatic arthritis, ankylosing spondylitis, Crohn’s disease in adults and children (</w:t>
      </w:r>
      <w:r w:rsidR="007C5835">
        <w:t>≥</w:t>
      </w:r>
      <w:r w:rsidR="009650DF">
        <w:t xml:space="preserve"> 6 years) and ulcerative colitis. </w:t>
      </w:r>
      <w:r w:rsidR="0015166F">
        <w:t xml:space="preserve">The innovator, </w:t>
      </w:r>
      <w:r>
        <w:t>Humira</w:t>
      </w:r>
      <w:r w:rsidR="009650DF">
        <w:t xml:space="preserve"> received recent approval for a new indication, hidradenitis </w:t>
      </w:r>
      <w:proofErr w:type="spellStart"/>
      <w:r w:rsidR="009650DF">
        <w:t>suppurativa</w:t>
      </w:r>
      <w:proofErr w:type="spellEnd"/>
      <w:r w:rsidR="009650DF">
        <w:t xml:space="preserve"> (acne </w:t>
      </w:r>
      <w:proofErr w:type="spellStart"/>
      <w:r w:rsidR="009650DF">
        <w:t>inversa</w:t>
      </w:r>
      <w:proofErr w:type="spellEnd"/>
      <w:r w:rsidR="009650DF">
        <w:t>) in April 2016.</w:t>
      </w:r>
      <w:r w:rsidR="0015166F" w:rsidRPr="0015166F">
        <w:t xml:space="preserve"> </w:t>
      </w:r>
      <w:r w:rsidR="0015166F">
        <w:t>This application represents the first application in Australia for a biosimilar version of adalimumab, that is</w:t>
      </w:r>
      <w:r w:rsidR="006D1E27">
        <w:t>,</w:t>
      </w:r>
      <w:r w:rsidR="0015166F">
        <w:t xml:space="preserve"> for a biosimilar version of Humira.</w:t>
      </w:r>
    </w:p>
    <w:p w14:paraId="4FA7538C" w14:textId="77777777" w:rsidR="009650DF" w:rsidRDefault="001E6DDC" w:rsidP="007C5835">
      <w:proofErr w:type="spellStart"/>
      <w:r>
        <w:t>Amgevita</w:t>
      </w:r>
      <w:proofErr w:type="spellEnd"/>
      <w:r w:rsidR="0015166F">
        <w:t xml:space="preserve">, like </w:t>
      </w:r>
      <w:proofErr w:type="spellStart"/>
      <w:r w:rsidR="0015166F">
        <w:t>Humira</w:t>
      </w:r>
      <w:proofErr w:type="spellEnd"/>
      <w:r w:rsidR="0015166F">
        <w:t xml:space="preserve">, </w:t>
      </w:r>
      <w:r w:rsidR="009650DF">
        <w:t xml:space="preserve">is administered through the SC route. It is supplied as pre-filled syringes that contain 20 mg adalimumab in 0.4 mL sterile solution (paediatric use formulation) or 40 mg adalimumab in 0.8 mL sterile solution for SC administration. Dose, frequency and duration of administration of </w:t>
      </w:r>
      <w:proofErr w:type="spellStart"/>
      <w:r>
        <w:t>Amgevita</w:t>
      </w:r>
      <w:proofErr w:type="spellEnd"/>
      <w:r w:rsidR="009650DF">
        <w:t xml:space="preserve"> will </w:t>
      </w:r>
      <w:r w:rsidR="0015166F">
        <w:t xml:space="preserve">be the same as for Humira and </w:t>
      </w:r>
      <w:r w:rsidR="009650DF">
        <w:t>vary depending on the indication, with maximum dose proposed as 160 mg at fortnightly intervals for an unspecified duration.</w:t>
      </w:r>
    </w:p>
    <w:p w14:paraId="613CFA93" w14:textId="77777777" w:rsidR="00770053" w:rsidRDefault="003A2E1F" w:rsidP="00770053">
      <w:r>
        <w:t>A</w:t>
      </w:r>
      <w:r w:rsidR="00770053">
        <w:t>dalimumab is a recombinant human immunoglobulin G1 anti-</w:t>
      </w:r>
      <w:r>
        <w:t>tumour necrosis factor alpha (</w:t>
      </w:r>
      <w:r w:rsidR="00770053">
        <w:t>TNFα</w:t>
      </w:r>
      <w:r>
        <w:t>)</w:t>
      </w:r>
      <w:r w:rsidR="00770053">
        <w:t xml:space="preserve"> monoclonal antibody. It binds to human TNFα through tumour necrosis factor receptor superfamily (TNFRSF) 1A (p55) and 1B (p75). Adalimumab is produced by recombinant DNA technology in a mammalian cell expression system. Both </w:t>
      </w:r>
      <w:proofErr w:type="spellStart"/>
      <w:r w:rsidR="001E6DDC">
        <w:t>Amgevita</w:t>
      </w:r>
      <w:proofErr w:type="spellEnd"/>
      <w:r w:rsidR="00770053">
        <w:t xml:space="preserve"> and </w:t>
      </w:r>
      <w:proofErr w:type="spellStart"/>
      <w:r w:rsidR="001E6DDC">
        <w:t>Humira</w:t>
      </w:r>
      <w:proofErr w:type="spellEnd"/>
      <w:r w:rsidR="00770053">
        <w:t xml:space="preserve"> were manufactured with the use of a Chinese hamster ovary (CHO) cell line. The amino acid sequence of </w:t>
      </w:r>
      <w:proofErr w:type="spellStart"/>
      <w:r w:rsidR="001E6DDC">
        <w:t>Amgevita</w:t>
      </w:r>
      <w:proofErr w:type="spellEnd"/>
      <w:r w:rsidR="00770053">
        <w:t xml:space="preserve"> is identical to that of </w:t>
      </w:r>
      <w:r w:rsidR="001E6DDC">
        <w:t>Humira</w:t>
      </w:r>
      <w:r w:rsidR="00770053">
        <w:t>.</w:t>
      </w:r>
    </w:p>
    <w:p w14:paraId="7B65B5A3" w14:textId="77777777" w:rsidR="00770053" w:rsidRDefault="00770053" w:rsidP="00770053">
      <w:r>
        <w:t xml:space="preserve">While the </w:t>
      </w:r>
      <w:r w:rsidR="003A2E1F">
        <w:t xml:space="preserve">clinical evaluation has </w:t>
      </w:r>
      <w:r>
        <w:t>a comprehensive list of relevant guidelines</w:t>
      </w:r>
      <w:r w:rsidR="003A2E1F">
        <w:t xml:space="preserve"> (see below and Attachment 2)</w:t>
      </w:r>
      <w:r>
        <w:t>, guidelines of particular relevance are:</w:t>
      </w:r>
    </w:p>
    <w:p w14:paraId="07F61F10" w14:textId="150B8C76" w:rsidR="00770053" w:rsidRDefault="00770053" w:rsidP="007C5835">
      <w:pPr>
        <w:pStyle w:val="ListBullet"/>
      </w:pPr>
      <w:r>
        <w:t>The TGA specific guideline on the regulation of biosimilar medicines</w:t>
      </w:r>
      <w:r w:rsidR="00561FCF">
        <w:t>,</w:t>
      </w:r>
      <w:r>
        <w:t xml:space="preserve"> Evaluation of biosimilars version 2.0, 17 </w:t>
      </w:r>
      <w:r w:rsidRPr="007C5835">
        <w:t>December</w:t>
      </w:r>
      <w:r>
        <w:t xml:space="preserve"> 2015</w:t>
      </w:r>
      <w:r w:rsidR="00561FCF">
        <w:t>;</w:t>
      </w:r>
    </w:p>
    <w:p w14:paraId="08124B35" w14:textId="77184815" w:rsidR="00770053" w:rsidRDefault="00770053" w:rsidP="003A2E1F">
      <w:pPr>
        <w:pStyle w:val="ListBullet"/>
      </w:pPr>
      <w:r>
        <w:t>EMEA/CHMP/BMWP/42832/2005 Rev</w:t>
      </w:r>
      <w:r w:rsidR="00561FCF">
        <w:t xml:space="preserve"> </w:t>
      </w:r>
      <w:r>
        <w:t>1 Guideline on similar biological medicinal products containing biotechnology-derived proteins as active substance:</w:t>
      </w:r>
      <w:r w:rsidR="005602B8">
        <w:t xml:space="preserve"> </w:t>
      </w:r>
      <w:r>
        <w:t>non-clinical and clinical issues</w:t>
      </w:r>
      <w:r w:rsidR="00561FCF">
        <w:t>;</w:t>
      </w:r>
      <w:r>
        <w:t xml:space="preserve"> and</w:t>
      </w:r>
    </w:p>
    <w:p w14:paraId="40DBF20B" w14:textId="799236D3" w:rsidR="00770053" w:rsidRDefault="00770053" w:rsidP="003A2E1F">
      <w:pPr>
        <w:pStyle w:val="ListBullet"/>
      </w:pPr>
      <w:r>
        <w:t>EMA/CHMP/BMWP/403543/2010 Guideline on similar biological medicinal products containing monoclonal antibodies</w:t>
      </w:r>
      <w:r w:rsidR="00561FCF">
        <w:t xml:space="preserve">, </w:t>
      </w:r>
      <w:r>
        <w:t>non-clinical and clinical issues</w:t>
      </w:r>
      <w:r w:rsidR="00705553">
        <w:t>.</w:t>
      </w:r>
    </w:p>
    <w:p w14:paraId="50E155E7" w14:textId="77777777" w:rsidR="00705553" w:rsidRDefault="00705553" w:rsidP="00705553">
      <w:pPr>
        <w:pStyle w:val="ListBullet"/>
        <w:numPr>
          <w:ilvl w:val="0"/>
          <w:numId w:val="0"/>
        </w:numPr>
      </w:pPr>
      <w:r>
        <w:t>The biosimilar adalimumab proposed in this application is also referred to as ABP</w:t>
      </w:r>
      <w:r w:rsidR="00561FCF">
        <w:t xml:space="preserve"> </w:t>
      </w:r>
      <w:r>
        <w:t>501 in this AusPAR.</w:t>
      </w:r>
    </w:p>
    <w:p w14:paraId="6FA96AD0" w14:textId="77777777" w:rsidR="008E7846" w:rsidRPr="003F31A2" w:rsidRDefault="00386150" w:rsidP="007C5835">
      <w:pPr>
        <w:pStyle w:val="Heading3"/>
      </w:pPr>
      <w:bookmarkStart w:id="18" w:name="_Toc519244641"/>
      <w:r>
        <w:t xml:space="preserve">Regulatory </w:t>
      </w:r>
      <w:r w:rsidRPr="007C5835">
        <w:t>s</w:t>
      </w:r>
      <w:r w:rsidR="008E7846" w:rsidRPr="007C5835">
        <w:t>tatus</w:t>
      </w:r>
      <w:bookmarkEnd w:id="16"/>
      <w:bookmarkEnd w:id="17"/>
      <w:bookmarkEnd w:id="18"/>
    </w:p>
    <w:p w14:paraId="51739CFB" w14:textId="77777777" w:rsidR="003A2E1F" w:rsidRDefault="00940A89" w:rsidP="007C5835">
      <w:bookmarkStart w:id="19" w:name="_Toc247691505"/>
      <w:bookmarkStart w:id="20" w:name="_Toc314842486"/>
      <w:r w:rsidRPr="00940A89">
        <w:t>Th</w:t>
      </w:r>
      <w:r w:rsidR="003A2E1F">
        <w:t xml:space="preserve">is is an application to register a new biosimilar </w:t>
      </w:r>
      <w:r w:rsidRPr="00940A89">
        <w:t>product on the Australian Register of Therapeutic Goods (ARTG)</w:t>
      </w:r>
      <w:r w:rsidR="003A2E1F">
        <w:t>.</w:t>
      </w:r>
    </w:p>
    <w:p w14:paraId="5B5A26EB" w14:textId="49A3EDC1" w:rsidR="003A2E1F" w:rsidRDefault="003A2E1F" w:rsidP="007C5835">
      <w:r>
        <w:t xml:space="preserve">The innovator product, Humira solution for injection which was approved for registration in December 2002 as 40 mg/0.8 </w:t>
      </w:r>
      <w:r w:rsidR="00561FCF">
        <w:t>mL</w:t>
      </w:r>
      <w:r>
        <w:t xml:space="preserve"> vial, prefilled syringe and prefilled syringe with </w:t>
      </w:r>
      <w:proofErr w:type="spellStart"/>
      <w:r>
        <w:t>needleguard</w:t>
      </w:r>
      <w:proofErr w:type="spellEnd"/>
      <w:r>
        <w:t>. 20 mg/0.4 mL presentations were subsequently approved.</w:t>
      </w:r>
    </w:p>
    <w:p w14:paraId="2C93E821" w14:textId="75ACED02" w:rsidR="003A2E1F" w:rsidRDefault="003A2E1F" w:rsidP="003A2E1F">
      <w:r>
        <w:t xml:space="preserve">At the time of submission </w:t>
      </w:r>
      <w:proofErr w:type="spellStart"/>
      <w:r>
        <w:t>Amgevita</w:t>
      </w:r>
      <w:proofErr w:type="spellEnd"/>
      <w:r>
        <w:t xml:space="preserve"> had not been approved in any other regulatory jurisdiction. It has now been approved in the </w:t>
      </w:r>
      <w:r w:rsidR="00561FCF">
        <w:t>United States (</w:t>
      </w:r>
      <w:r>
        <w:t>US</w:t>
      </w:r>
      <w:r w:rsidR="00561FCF">
        <w:t>)</w:t>
      </w:r>
      <w:r>
        <w:t xml:space="preserve"> </w:t>
      </w:r>
      <w:r w:rsidR="006B4CE6">
        <w:t>(23 September 2016)</w:t>
      </w:r>
      <w:r>
        <w:t xml:space="preserve">. </w:t>
      </w:r>
      <w:r w:rsidR="006B4CE6">
        <w:t>A s</w:t>
      </w:r>
      <w:r>
        <w:t>ubmission ha</w:t>
      </w:r>
      <w:r w:rsidR="006B4CE6">
        <w:t>s</w:t>
      </w:r>
      <w:r>
        <w:t xml:space="preserve"> also been approved by the European Medicines Agency (EMA</w:t>
      </w:r>
      <w:r w:rsidR="006B4CE6">
        <w:t>; 22 March 2017</w:t>
      </w:r>
      <w:r>
        <w:t xml:space="preserve">) and </w:t>
      </w:r>
      <w:r w:rsidR="006B4CE6">
        <w:t xml:space="preserve">a submission </w:t>
      </w:r>
      <w:r>
        <w:t>was under consideration by the Health Canada.</w:t>
      </w:r>
    </w:p>
    <w:p w14:paraId="413CFCE6" w14:textId="77777777" w:rsidR="00940A89" w:rsidRDefault="006B4CE6" w:rsidP="00940A89">
      <w:r>
        <w:t>The following table describes the innovator products registered on the ARTG.</w:t>
      </w:r>
    </w:p>
    <w:p w14:paraId="5BBEE543" w14:textId="77777777" w:rsidR="006B4CE6" w:rsidRDefault="006B4CE6" w:rsidP="007C5835">
      <w:pPr>
        <w:pStyle w:val="TableTitle"/>
      </w:pPr>
      <w:r>
        <w:t xml:space="preserve">Table 1: </w:t>
      </w:r>
      <w:proofErr w:type="spellStart"/>
      <w:r>
        <w:t>Humira</w:t>
      </w:r>
      <w:proofErr w:type="spellEnd"/>
      <w:r>
        <w:t xml:space="preserve"> </w:t>
      </w:r>
      <w:r w:rsidRPr="007C5835">
        <w:t>products</w:t>
      </w:r>
      <w:r>
        <w:t xml:space="preserve"> registered in Australia</w:t>
      </w:r>
    </w:p>
    <w:tbl>
      <w:tblPr>
        <w:tblStyle w:val="TableTGAblue"/>
        <w:tblW w:w="0" w:type="auto"/>
        <w:tblLook w:val="04A0" w:firstRow="1" w:lastRow="0" w:firstColumn="1" w:lastColumn="0" w:noHBand="0" w:noVBand="1"/>
      </w:tblPr>
      <w:tblGrid>
        <w:gridCol w:w="2906"/>
        <w:gridCol w:w="2907"/>
        <w:gridCol w:w="2907"/>
      </w:tblGrid>
      <w:tr w:rsidR="006B4CE6" w:rsidRPr="006B4CE6" w14:paraId="615306E6" w14:textId="77777777" w:rsidTr="006B4CE6">
        <w:trPr>
          <w:cnfStyle w:val="100000000000" w:firstRow="1" w:lastRow="0" w:firstColumn="0" w:lastColumn="0" w:oddVBand="0" w:evenVBand="0" w:oddHBand="0" w:evenHBand="0" w:firstRowFirstColumn="0" w:firstRowLastColumn="0" w:lastRowFirstColumn="0" w:lastRowLastColumn="0"/>
          <w:cantSplit/>
        </w:trPr>
        <w:tc>
          <w:tcPr>
            <w:tcW w:w="2906" w:type="dxa"/>
          </w:tcPr>
          <w:p w14:paraId="456E0FC9" w14:textId="77777777" w:rsidR="006B4CE6" w:rsidRPr="00561FCF" w:rsidRDefault="006B4CE6" w:rsidP="007C5835">
            <w:r w:rsidRPr="00561FCF">
              <w:t>Product</w:t>
            </w:r>
          </w:p>
        </w:tc>
        <w:tc>
          <w:tcPr>
            <w:tcW w:w="2907" w:type="dxa"/>
          </w:tcPr>
          <w:p w14:paraId="2A6060B2" w14:textId="77777777" w:rsidR="006B4CE6" w:rsidRPr="00BB0EC2" w:rsidRDefault="006B4CE6" w:rsidP="007C5835">
            <w:r w:rsidRPr="00BB0EC2">
              <w:t>ARTG No</w:t>
            </w:r>
          </w:p>
        </w:tc>
        <w:tc>
          <w:tcPr>
            <w:tcW w:w="2907" w:type="dxa"/>
          </w:tcPr>
          <w:p w14:paraId="4E6A5BDD" w14:textId="77777777" w:rsidR="006B4CE6" w:rsidRPr="00974C58" w:rsidRDefault="006B4CE6" w:rsidP="007C5835">
            <w:r w:rsidRPr="00974C58">
              <w:t>Relationship</w:t>
            </w:r>
          </w:p>
        </w:tc>
      </w:tr>
      <w:tr w:rsidR="006B4CE6" w14:paraId="5D1879B7" w14:textId="77777777" w:rsidTr="006B4CE6">
        <w:tc>
          <w:tcPr>
            <w:tcW w:w="2906" w:type="dxa"/>
          </w:tcPr>
          <w:p w14:paraId="493C88AF" w14:textId="448B19F6" w:rsidR="006B4CE6" w:rsidRPr="007C5835" w:rsidRDefault="006B4CE6" w:rsidP="007C5835">
            <w:pPr>
              <w:rPr>
                <w:sz w:val="20"/>
                <w:szCs w:val="20"/>
              </w:rPr>
            </w:pPr>
            <w:r w:rsidRPr="007C5835">
              <w:rPr>
                <w:sz w:val="20"/>
                <w:szCs w:val="20"/>
              </w:rPr>
              <w:t>Humira adalimumab (rch) 1</w:t>
            </w:r>
            <w:r w:rsidR="00C3267F" w:rsidRPr="007C5835">
              <w:rPr>
                <w:sz w:val="20"/>
                <w:szCs w:val="20"/>
              </w:rPr>
              <w:t>0 mg</w:t>
            </w:r>
            <w:r w:rsidRPr="007C5835">
              <w:rPr>
                <w:sz w:val="20"/>
                <w:szCs w:val="20"/>
              </w:rPr>
              <w:t xml:space="preserve"> solution f</w:t>
            </w:r>
            <w:r w:rsidR="007C5835" w:rsidRPr="007C5835">
              <w:rPr>
                <w:sz w:val="20"/>
                <w:szCs w:val="20"/>
              </w:rPr>
              <w:t>or injection pre-filled syringe</w:t>
            </w:r>
          </w:p>
        </w:tc>
        <w:tc>
          <w:tcPr>
            <w:tcW w:w="2907" w:type="dxa"/>
          </w:tcPr>
          <w:p w14:paraId="32548754" w14:textId="77777777" w:rsidR="006B4CE6" w:rsidRPr="007C5835" w:rsidRDefault="006B4CE6" w:rsidP="007C5835">
            <w:pPr>
              <w:rPr>
                <w:sz w:val="20"/>
                <w:szCs w:val="20"/>
              </w:rPr>
            </w:pPr>
            <w:r w:rsidRPr="007C5835">
              <w:rPr>
                <w:sz w:val="20"/>
                <w:szCs w:val="20"/>
              </w:rPr>
              <w:t>AUST R 216038</w:t>
            </w:r>
          </w:p>
        </w:tc>
        <w:tc>
          <w:tcPr>
            <w:tcW w:w="2907" w:type="dxa"/>
          </w:tcPr>
          <w:p w14:paraId="6FD86E9D" w14:textId="77777777" w:rsidR="006B4CE6" w:rsidRPr="007C5835" w:rsidRDefault="006B4CE6" w:rsidP="007C5835">
            <w:pPr>
              <w:rPr>
                <w:sz w:val="20"/>
                <w:szCs w:val="20"/>
              </w:rPr>
            </w:pPr>
            <w:r w:rsidRPr="007C5835">
              <w:rPr>
                <w:sz w:val="20"/>
                <w:szCs w:val="20"/>
              </w:rPr>
              <w:t>Innovator product.</w:t>
            </w:r>
          </w:p>
        </w:tc>
      </w:tr>
      <w:tr w:rsidR="006B4CE6" w14:paraId="424E8E28" w14:textId="77777777" w:rsidTr="006B4CE6">
        <w:tc>
          <w:tcPr>
            <w:tcW w:w="2906" w:type="dxa"/>
          </w:tcPr>
          <w:p w14:paraId="0F0244EA" w14:textId="77777777" w:rsidR="006B4CE6" w:rsidRPr="007C5835" w:rsidRDefault="006B4CE6" w:rsidP="007C5835">
            <w:pPr>
              <w:rPr>
                <w:sz w:val="20"/>
                <w:szCs w:val="20"/>
              </w:rPr>
            </w:pPr>
            <w:r w:rsidRPr="007C5835">
              <w:rPr>
                <w:sz w:val="20"/>
                <w:szCs w:val="20"/>
              </w:rPr>
              <w:t>Humira adalimumab (rch) 1</w:t>
            </w:r>
            <w:r w:rsidR="00C3267F" w:rsidRPr="007C5835">
              <w:rPr>
                <w:sz w:val="20"/>
                <w:szCs w:val="20"/>
              </w:rPr>
              <w:t>0 mg</w:t>
            </w:r>
            <w:r w:rsidRPr="007C5835">
              <w:rPr>
                <w:sz w:val="20"/>
                <w:szCs w:val="20"/>
              </w:rPr>
              <w:t xml:space="preserve"> solution for injection pre-filled syringe (27 G)</w:t>
            </w:r>
          </w:p>
        </w:tc>
        <w:tc>
          <w:tcPr>
            <w:tcW w:w="2907" w:type="dxa"/>
          </w:tcPr>
          <w:p w14:paraId="651A79E8" w14:textId="77777777" w:rsidR="006B4CE6" w:rsidRPr="007C5835" w:rsidRDefault="006B4CE6" w:rsidP="007C5835">
            <w:pPr>
              <w:rPr>
                <w:sz w:val="20"/>
                <w:szCs w:val="20"/>
              </w:rPr>
            </w:pPr>
            <w:r w:rsidRPr="007C5835">
              <w:rPr>
                <w:sz w:val="20"/>
                <w:szCs w:val="20"/>
              </w:rPr>
              <w:t>AUST R 238700</w:t>
            </w:r>
          </w:p>
        </w:tc>
        <w:tc>
          <w:tcPr>
            <w:tcW w:w="2907" w:type="dxa"/>
          </w:tcPr>
          <w:p w14:paraId="43C39C43" w14:textId="77777777" w:rsidR="006B4CE6" w:rsidRPr="007C5835" w:rsidRDefault="006B4CE6" w:rsidP="007C5835">
            <w:pPr>
              <w:rPr>
                <w:sz w:val="20"/>
                <w:szCs w:val="20"/>
              </w:rPr>
            </w:pPr>
            <w:r w:rsidRPr="007C5835">
              <w:rPr>
                <w:sz w:val="20"/>
                <w:szCs w:val="20"/>
              </w:rPr>
              <w:t>Innovator product.</w:t>
            </w:r>
          </w:p>
        </w:tc>
      </w:tr>
      <w:tr w:rsidR="006B4CE6" w14:paraId="1843CF4B" w14:textId="77777777" w:rsidTr="006B4CE6">
        <w:tc>
          <w:tcPr>
            <w:tcW w:w="2906" w:type="dxa"/>
          </w:tcPr>
          <w:p w14:paraId="5AB069E0" w14:textId="08726DFD" w:rsidR="006B4CE6" w:rsidRPr="007C5835" w:rsidRDefault="006B4CE6" w:rsidP="007C5835">
            <w:pPr>
              <w:rPr>
                <w:sz w:val="20"/>
                <w:szCs w:val="20"/>
              </w:rPr>
            </w:pPr>
            <w:r w:rsidRPr="007C5835">
              <w:rPr>
                <w:sz w:val="20"/>
                <w:szCs w:val="20"/>
              </w:rPr>
              <w:t>Humira adalimumab (rch) 2</w:t>
            </w:r>
            <w:r w:rsidR="00C3267F" w:rsidRPr="007C5835">
              <w:rPr>
                <w:sz w:val="20"/>
                <w:szCs w:val="20"/>
              </w:rPr>
              <w:t>0 mg</w:t>
            </w:r>
            <w:r w:rsidRPr="007C5835">
              <w:rPr>
                <w:sz w:val="20"/>
                <w:szCs w:val="20"/>
              </w:rPr>
              <w:t xml:space="preserve"> solution f</w:t>
            </w:r>
            <w:r w:rsidR="007C5835" w:rsidRPr="007C5835">
              <w:rPr>
                <w:sz w:val="20"/>
                <w:szCs w:val="20"/>
              </w:rPr>
              <w:t>or injection pre-filled syringe</w:t>
            </w:r>
          </w:p>
        </w:tc>
        <w:tc>
          <w:tcPr>
            <w:tcW w:w="2907" w:type="dxa"/>
          </w:tcPr>
          <w:p w14:paraId="3CDA8BF2" w14:textId="77777777" w:rsidR="006B4CE6" w:rsidRPr="007C5835" w:rsidRDefault="006B4CE6" w:rsidP="007C5835">
            <w:pPr>
              <w:rPr>
                <w:sz w:val="20"/>
                <w:szCs w:val="20"/>
              </w:rPr>
            </w:pPr>
            <w:r w:rsidRPr="007C5835">
              <w:rPr>
                <w:sz w:val="20"/>
                <w:szCs w:val="20"/>
              </w:rPr>
              <w:t>AUST R 199411</w:t>
            </w:r>
          </w:p>
        </w:tc>
        <w:tc>
          <w:tcPr>
            <w:tcW w:w="2907" w:type="dxa"/>
          </w:tcPr>
          <w:p w14:paraId="27378707" w14:textId="77777777" w:rsidR="006B4CE6" w:rsidRPr="007C5835" w:rsidRDefault="006B4CE6" w:rsidP="007C5835">
            <w:pPr>
              <w:rPr>
                <w:sz w:val="20"/>
                <w:szCs w:val="20"/>
              </w:rPr>
            </w:pPr>
            <w:r w:rsidRPr="007C5835">
              <w:rPr>
                <w:sz w:val="20"/>
                <w:szCs w:val="20"/>
              </w:rPr>
              <w:t>Innovator product.</w:t>
            </w:r>
          </w:p>
        </w:tc>
      </w:tr>
      <w:tr w:rsidR="006B4CE6" w14:paraId="0B51C48F" w14:textId="77777777" w:rsidTr="006B4CE6">
        <w:tc>
          <w:tcPr>
            <w:tcW w:w="2906" w:type="dxa"/>
          </w:tcPr>
          <w:p w14:paraId="7C74291D" w14:textId="6EA1AB32" w:rsidR="006B4CE6" w:rsidRPr="007C5835" w:rsidRDefault="006B4CE6" w:rsidP="007C5835">
            <w:pPr>
              <w:rPr>
                <w:sz w:val="20"/>
                <w:szCs w:val="20"/>
              </w:rPr>
            </w:pPr>
            <w:r w:rsidRPr="007C5835">
              <w:rPr>
                <w:sz w:val="20"/>
                <w:szCs w:val="20"/>
              </w:rPr>
              <w:t>Humira adalimumab (rch) 4</w:t>
            </w:r>
            <w:r w:rsidR="00C3267F" w:rsidRPr="007C5835">
              <w:rPr>
                <w:sz w:val="20"/>
                <w:szCs w:val="20"/>
              </w:rPr>
              <w:t>0 mg</w:t>
            </w:r>
            <w:r w:rsidR="007C5835" w:rsidRPr="007C5835">
              <w:rPr>
                <w:sz w:val="20"/>
                <w:szCs w:val="20"/>
              </w:rPr>
              <w:t xml:space="preserve"> solution for injection vial</w:t>
            </w:r>
          </w:p>
        </w:tc>
        <w:tc>
          <w:tcPr>
            <w:tcW w:w="2907" w:type="dxa"/>
          </w:tcPr>
          <w:p w14:paraId="0F5A3892" w14:textId="77777777" w:rsidR="006B4CE6" w:rsidRPr="007C5835" w:rsidRDefault="006B4CE6" w:rsidP="007C5835">
            <w:pPr>
              <w:rPr>
                <w:sz w:val="20"/>
                <w:szCs w:val="20"/>
              </w:rPr>
            </w:pPr>
            <w:r w:rsidRPr="007C5835">
              <w:rPr>
                <w:sz w:val="20"/>
                <w:szCs w:val="20"/>
              </w:rPr>
              <w:t>AUST R 95779</w:t>
            </w:r>
          </w:p>
        </w:tc>
        <w:tc>
          <w:tcPr>
            <w:tcW w:w="2907" w:type="dxa"/>
          </w:tcPr>
          <w:p w14:paraId="1338F669" w14:textId="77777777" w:rsidR="006B4CE6" w:rsidRPr="007C5835" w:rsidRDefault="006B4CE6" w:rsidP="007C5835">
            <w:pPr>
              <w:rPr>
                <w:sz w:val="20"/>
                <w:szCs w:val="20"/>
              </w:rPr>
            </w:pPr>
            <w:r w:rsidRPr="007C5835">
              <w:rPr>
                <w:sz w:val="20"/>
                <w:szCs w:val="20"/>
              </w:rPr>
              <w:t>Innovator product.</w:t>
            </w:r>
          </w:p>
        </w:tc>
      </w:tr>
      <w:tr w:rsidR="006B4CE6" w14:paraId="11325ADD" w14:textId="77777777" w:rsidTr="006B4CE6">
        <w:tc>
          <w:tcPr>
            <w:tcW w:w="2906" w:type="dxa"/>
          </w:tcPr>
          <w:p w14:paraId="5AEE4E15" w14:textId="77777777" w:rsidR="006B4CE6" w:rsidRPr="007C5835" w:rsidRDefault="006B4CE6" w:rsidP="007C5835">
            <w:pPr>
              <w:rPr>
                <w:sz w:val="20"/>
                <w:szCs w:val="20"/>
              </w:rPr>
            </w:pPr>
            <w:r w:rsidRPr="007C5835">
              <w:rPr>
                <w:sz w:val="20"/>
                <w:szCs w:val="20"/>
              </w:rPr>
              <w:t>Humira adalimumab (rch) 4</w:t>
            </w:r>
            <w:r w:rsidR="00C3267F" w:rsidRPr="007C5835">
              <w:rPr>
                <w:sz w:val="20"/>
                <w:szCs w:val="20"/>
              </w:rPr>
              <w:t>0 mg</w:t>
            </w:r>
            <w:r w:rsidRPr="007C5835">
              <w:rPr>
                <w:sz w:val="20"/>
                <w:szCs w:val="20"/>
              </w:rPr>
              <w:t xml:space="preserve"> solution for injection pre-filled syringe</w:t>
            </w:r>
          </w:p>
        </w:tc>
        <w:tc>
          <w:tcPr>
            <w:tcW w:w="2907" w:type="dxa"/>
          </w:tcPr>
          <w:p w14:paraId="033654F3" w14:textId="77777777" w:rsidR="006B4CE6" w:rsidRPr="007C5835" w:rsidRDefault="006B4CE6" w:rsidP="007C5835">
            <w:pPr>
              <w:rPr>
                <w:sz w:val="20"/>
                <w:szCs w:val="20"/>
              </w:rPr>
            </w:pPr>
            <w:r w:rsidRPr="007C5835">
              <w:rPr>
                <w:sz w:val="20"/>
                <w:szCs w:val="20"/>
              </w:rPr>
              <w:t>AUST R 199412</w:t>
            </w:r>
          </w:p>
        </w:tc>
        <w:tc>
          <w:tcPr>
            <w:tcW w:w="2907" w:type="dxa"/>
          </w:tcPr>
          <w:p w14:paraId="56658F2B" w14:textId="77777777" w:rsidR="006B4CE6" w:rsidRPr="007C5835" w:rsidRDefault="006B4CE6" w:rsidP="007C5835">
            <w:pPr>
              <w:rPr>
                <w:sz w:val="20"/>
                <w:szCs w:val="20"/>
              </w:rPr>
            </w:pPr>
            <w:r w:rsidRPr="007C5835">
              <w:rPr>
                <w:sz w:val="20"/>
                <w:szCs w:val="20"/>
              </w:rPr>
              <w:t>Innovator product. EU and US equivalent used for comparability studies</w:t>
            </w:r>
            <w:r w:rsidR="00561FCF" w:rsidRPr="007C5835">
              <w:rPr>
                <w:sz w:val="20"/>
                <w:szCs w:val="20"/>
              </w:rPr>
              <w:t>.</w:t>
            </w:r>
          </w:p>
        </w:tc>
      </w:tr>
      <w:tr w:rsidR="006B4CE6" w14:paraId="3FDDCE22" w14:textId="77777777" w:rsidTr="006B4CE6">
        <w:tc>
          <w:tcPr>
            <w:tcW w:w="2906" w:type="dxa"/>
          </w:tcPr>
          <w:p w14:paraId="53D48C87" w14:textId="77777777" w:rsidR="006B4CE6" w:rsidRPr="007C5835" w:rsidRDefault="006B4CE6" w:rsidP="007C5835">
            <w:pPr>
              <w:rPr>
                <w:sz w:val="20"/>
                <w:szCs w:val="20"/>
              </w:rPr>
            </w:pPr>
            <w:r w:rsidRPr="007C5835">
              <w:rPr>
                <w:sz w:val="20"/>
                <w:szCs w:val="20"/>
              </w:rPr>
              <w:t>Humira adalimumab (rch) 4</w:t>
            </w:r>
            <w:r w:rsidR="00C3267F" w:rsidRPr="007C5835">
              <w:rPr>
                <w:sz w:val="20"/>
                <w:szCs w:val="20"/>
              </w:rPr>
              <w:t>0 mg</w:t>
            </w:r>
            <w:r w:rsidRPr="007C5835">
              <w:rPr>
                <w:sz w:val="20"/>
                <w:szCs w:val="20"/>
              </w:rPr>
              <w:t xml:space="preserve"> solution for injection pre-filled pen.</w:t>
            </w:r>
          </w:p>
        </w:tc>
        <w:tc>
          <w:tcPr>
            <w:tcW w:w="2907" w:type="dxa"/>
          </w:tcPr>
          <w:p w14:paraId="1C1FF262" w14:textId="77777777" w:rsidR="006B4CE6" w:rsidRPr="007C5835" w:rsidRDefault="006B4CE6" w:rsidP="007C5835">
            <w:pPr>
              <w:rPr>
                <w:sz w:val="20"/>
                <w:szCs w:val="20"/>
              </w:rPr>
            </w:pPr>
            <w:r w:rsidRPr="007C5835">
              <w:rPr>
                <w:sz w:val="20"/>
                <w:szCs w:val="20"/>
              </w:rPr>
              <w:t>AUST R 199410</w:t>
            </w:r>
          </w:p>
        </w:tc>
        <w:tc>
          <w:tcPr>
            <w:tcW w:w="2907" w:type="dxa"/>
          </w:tcPr>
          <w:p w14:paraId="10A25D31" w14:textId="77777777" w:rsidR="006B4CE6" w:rsidRPr="007C5835" w:rsidRDefault="006B4CE6" w:rsidP="007C5835">
            <w:pPr>
              <w:rPr>
                <w:sz w:val="20"/>
                <w:szCs w:val="20"/>
              </w:rPr>
            </w:pPr>
            <w:r w:rsidRPr="007C5835">
              <w:rPr>
                <w:sz w:val="20"/>
                <w:szCs w:val="20"/>
              </w:rPr>
              <w:t>Innovator product.</w:t>
            </w:r>
          </w:p>
        </w:tc>
      </w:tr>
    </w:tbl>
    <w:p w14:paraId="3B39C412" w14:textId="77777777" w:rsidR="008E7846" w:rsidRDefault="008E7846" w:rsidP="007C5835">
      <w:pPr>
        <w:pStyle w:val="Heading3"/>
      </w:pPr>
      <w:bookmarkStart w:id="21" w:name="_Toc519244642"/>
      <w:r>
        <w:t xml:space="preserve">Product </w:t>
      </w:r>
      <w:r w:rsidRPr="007C5835">
        <w:t>Information</w:t>
      </w:r>
      <w:bookmarkEnd w:id="19"/>
      <w:bookmarkEnd w:id="20"/>
      <w:bookmarkEnd w:id="21"/>
    </w:p>
    <w:p w14:paraId="3223B896" w14:textId="77777777" w:rsidR="00940A89" w:rsidRDefault="006136D7" w:rsidP="007C5835">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1F6D285D" w14:textId="77777777" w:rsidR="00E74A4F" w:rsidRDefault="00E74A4F" w:rsidP="007C5835">
      <w:pPr>
        <w:pStyle w:val="Heading2"/>
        <w:pageBreakBefore/>
        <w:spacing w:before="0"/>
      </w:pPr>
      <w:bookmarkStart w:id="24" w:name="_Toc507501096"/>
      <w:bookmarkStart w:id="25" w:name="_Toc519244643"/>
      <w:r>
        <w:t xml:space="preserve">II. </w:t>
      </w:r>
      <w:r w:rsidRPr="007C5835">
        <w:t>Registration</w:t>
      </w:r>
      <w:r>
        <w:t xml:space="preserve"> timeline</w:t>
      </w:r>
      <w:bookmarkEnd w:id="24"/>
      <w:bookmarkEnd w:id="25"/>
    </w:p>
    <w:p w14:paraId="39B23168" w14:textId="77777777" w:rsidR="00E74A4F" w:rsidRDefault="00E74A4F" w:rsidP="007C5835">
      <w:pPr>
        <w:pStyle w:val="Tabletitle0"/>
      </w:pPr>
      <w:r>
        <w:t>Table 2: Registration timeline for Submission PM-</w:t>
      </w:r>
      <w:r w:rsidRPr="007C5835">
        <w:t>2016</w:t>
      </w:r>
      <w:r>
        <w:t>-00845-1-1</w:t>
      </w:r>
    </w:p>
    <w:tbl>
      <w:tblPr>
        <w:tblStyle w:val="TableTGAblue"/>
        <w:tblW w:w="0" w:type="auto"/>
        <w:tblLook w:val="04A0" w:firstRow="1" w:lastRow="0" w:firstColumn="1" w:lastColumn="0" w:noHBand="0" w:noVBand="1"/>
      </w:tblPr>
      <w:tblGrid>
        <w:gridCol w:w="6204"/>
        <w:gridCol w:w="2516"/>
      </w:tblGrid>
      <w:tr w:rsidR="00E74A4F" w:rsidRPr="00C633D6" w14:paraId="031F1C8A" w14:textId="77777777" w:rsidTr="00E74A4F">
        <w:trPr>
          <w:cnfStyle w:val="100000000000" w:firstRow="1" w:lastRow="0" w:firstColumn="0" w:lastColumn="0" w:oddVBand="0" w:evenVBand="0" w:oddHBand="0" w:evenHBand="0" w:firstRowFirstColumn="0" w:firstRowLastColumn="0" w:lastRowFirstColumn="0" w:lastRowLastColumn="0"/>
        </w:trPr>
        <w:tc>
          <w:tcPr>
            <w:tcW w:w="6204" w:type="dxa"/>
          </w:tcPr>
          <w:p w14:paraId="041E3069" w14:textId="77777777" w:rsidR="00E74A4F" w:rsidRPr="00E74A4F" w:rsidRDefault="00E74A4F" w:rsidP="007C5835">
            <w:r w:rsidRPr="00E74A4F">
              <w:t>Description</w:t>
            </w:r>
          </w:p>
        </w:tc>
        <w:tc>
          <w:tcPr>
            <w:tcW w:w="2516" w:type="dxa"/>
          </w:tcPr>
          <w:p w14:paraId="1533E684" w14:textId="77777777" w:rsidR="00E74A4F" w:rsidRPr="00E74A4F" w:rsidRDefault="00E74A4F" w:rsidP="007C5835">
            <w:r w:rsidRPr="00E74A4F">
              <w:t>Date</w:t>
            </w:r>
          </w:p>
        </w:tc>
      </w:tr>
      <w:tr w:rsidR="00E74A4F" w:rsidRPr="008D5479" w14:paraId="5BD45575" w14:textId="77777777" w:rsidTr="00E74A4F">
        <w:tc>
          <w:tcPr>
            <w:tcW w:w="6204" w:type="dxa"/>
          </w:tcPr>
          <w:p w14:paraId="5B9691A7" w14:textId="77777777" w:rsidR="00E74A4F" w:rsidRPr="007C5835" w:rsidRDefault="00E74A4F" w:rsidP="007C5835">
            <w:pPr>
              <w:rPr>
                <w:sz w:val="20"/>
                <w:szCs w:val="20"/>
              </w:rPr>
            </w:pPr>
            <w:r w:rsidRPr="007C5835">
              <w:rPr>
                <w:sz w:val="20"/>
                <w:szCs w:val="20"/>
              </w:rPr>
              <w:t>Submission dossier accepted and 1st round evaluation commenced</w:t>
            </w:r>
          </w:p>
        </w:tc>
        <w:tc>
          <w:tcPr>
            <w:tcW w:w="2516" w:type="dxa"/>
          </w:tcPr>
          <w:p w14:paraId="3A5EA45D" w14:textId="77777777" w:rsidR="00E74A4F" w:rsidRPr="007C5835" w:rsidRDefault="00E74A4F" w:rsidP="007C5835">
            <w:pPr>
              <w:rPr>
                <w:color w:val="auto"/>
                <w:sz w:val="20"/>
                <w:szCs w:val="20"/>
              </w:rPr>
            </w:pPr>
            <w:r w:rsidRPr="007C5835">
              <w:rPr>
                <w:color w:val="auto"/>
                <w:sz w:val="20"/>
                <w:szCs w:val="20"/>
              </w:rPr>
              <w:t>3 May 2016</w:t>
            </w:r>
          </w:p>
        </w:tc>
      </w:tr>
      <w:tr w:rsidR="00E74A4F" w:rsidRPr="008D5479" w14:paraId="4DD9E9A0" w14:textId="77777777" w:rsidTr="00E74A4F">
        <w:tc>
          <w:tcPr>
            <w:tcW w:w="6204" w:type="dxa"/>
          </w:tcPr>
          <w:p w14:paraId="7BDF42E4" w14:textId="060D6A34" w:rsidR="00E74A4F" w:rsidRPr="007C5835" w:rsidRDefault="00561FCF" w:rsidP="007C5835">
            <w:pPr>
              <w:rPr>
                <w:sz w:val="20"/>
                <w:szCs w:val="20"/>
              </w:rPr>
            </w:pPr>
            <w:r w:rsidRPr="007C5835">
              <w:rPr>
                <w:sz w:val="20"/>
                <w:szCs w:val="20"/>
              </w:rPr>
              <w:t>First</w:t>
            </w:r>
            <w:r w:rsidR="00E74A4F" w:rsidRPr="007C5835">
              <w:rPr>
                <w:sz w:val="20"/>
                <w:szCs w:val="20"/>
              </w:rPr>
              <w:t xml:space="preserve"> round evaluation completed</w:t>
            </w:r>
          </w:p>
        </w:tc>
        <w:tc>
          <w:tcPr>
            <w:tcW w:w="2516" w:type="dxa"/>
          </w:tcPr>
          <w:p w14:paraId="3F16196B" w14:textId="77777777" w:rsidR="00E74A4F" w:rsidRPr="007C5835" w:rsidRDefault="00E74A4F" w:rsidP="007C5835">
            <w:pPr>
              <w:rPr>
                <w:color w:val="auto"/>
                <w:sz w:val="20"/>
                <w:szCs w:val="20"/>
              </w:rPr>
            </w:pPr>
            <w:r w:rsidRPr="007C5835">
              <w:rPr>
                <w:color w:val="auto"/>
                <w:sz w:val="20"/>
                <w:szCs w:val="20"/>
              </w:rPr>
              <w:t>5 October 2016</w:t>
            </w:r>
          </w:p>
        </w:tc>
      </w:tr>
      <w:tr w:rsidR="00E74A4F" w:rsidRPr="00F0799B" w14:paraId="6BEC5C08" w14:textId="77777777" w:rsidTr="00E74A4F">
        <w:tc>
          <w:tcPr>
            <w:tcW w:w="6204" w:type="dxa"/>
          </w:tcPr>
          <w:p w14:paraId="3BE46B1A" w14:textId="4BB005C3" w:rsidR="00E74A4F" w:rsidRPr="007C5835" w:rsidRDefault="00E74A4F" w:rsidP="007C5835">
            <w:pPr>
              <w:rPr>
                <w:sz w:val="20"/>
                <w:szCs w:val="20"/>
              </w:rPr>
            </w:pPr>
            <w:r w:rsidRPr="007C5835">
              <w:rPr>
                <w:sz w:val="20"/>
                <w:szCs w:val="20"/>
              </w:rPr>
              <w:t xml:space="preserve">Sponsor provides responses on questions raised in </w:t>
            </w:r>
            <w:r w:rsidR="00561FCF" w:rsidRPr="007C5835">
              <w:rPr>
                <w:sz w:val="20"/>
                <w:szCs w:val="20"/>
              </w:rPr>
              <w:t xml:space="preserve">first </w:t>
            </w:r>
            <w:r w:rsidRPr="007C5835">
              <w:rPr>
                <w:sz w:val="20"/>
                <w:szCs w:val="20"/>
              </w:rPr>
              <w:t>round evaluation</w:t>
            </w:r>
          </w:p>
        </w:tc>
        <w:tc>
          <w:tcPr>
            <w:tcW w:w="2516" w:type="dxa"/>
          </w:tcPr>
          <w:p w14:paraId="44EDA554" w14:textId="77777777" w:rsidR="00E74A4F" w:rsidRPr="007C5835" w:rsidRDefault="00E74A4F" w:rsidP="007C5835">
            <w:pPr>
              <w:rPr>
                <w:color w:val="auto"/>
                <w:sz w:val="20"/>
                <w:szCs w:val="20"/>
              </w:rPr>
            </w:pPr>
            <w:r w:rsidRPr="007C5835">
              <w:rPr>
                <w:color w:val="auto"/>
                <w:sz w:val="20"/>
                <w:szCs w:val="20"/>
              </w:rPr>
              <w:t>30 November 2016</w:t>
            </w:r>
          </w:p>
        </w:tc>
      </w:tr>
      <w:tr w:rsidR="00E74A4F" w:rsidRPr="00F0799B" w14:paraId="35B3DBDA" w14:textId="77777777" w:rsidTr="00E74A4F">
        <w:tc>
          <w:tcPr>
            <w:tcW w:w="6204" w:type="dxa"/>
          </w:tcPr>
          <w:p w14:paraId="65939AE9" w14:textId="3AD9DE82" w:rsidR="00E74A4F" w:rsidRPr="007C5835" w:rsidRDefault="00561FCF" w:rsidP="007C5835">
            <w:pPr>
              <w:rPr>
                <w:sz w:val="20"/>
                <w:szCs w:val="20"/>
              </w:rPr>
            </w:pPr>
            <w:r w:rsidRPr="007C5835">
              <w:rPr>
                <w:sz w:val="20"/>
                <w:szCs w:val="20"/>
              </w:rPr>
              <w:t xml:space="preserve">Second </w:t>
            </w:r>
            <w:r w:rsidR="00E74A4F" w:rsidRPr="007C5835">
              <w:rPr>
                <w:sz w:val="20"/>
                <w:szCs w:val="20"/>
              </w:rPr>
              <w:t>round evaluation completed</w:t>
            </w:r>
          </w:p>
        </w:tc>
        <w:tc>
          <w:tcPr>
            <w:tcW w:w="2516" w:type="dxa"/>
          </w:tcPr>
          <w:p w14:paraId="6AAACE29" w14:textId="77777777" w:rsidR="00E74A4F" w:rsidRPr="007C5835" w:rsidRDefault="00E74A4F" w:rsidP="007C5835">
            <w:pPr>
              <w:rPr>
                <w:color w:val="auto"/>
                <w:sz w:val="20"/>
                <w:szCs w:val="20"/>
              </w:rPr>
            </w:pPr>
            <w:r w:rsidRPr="007C5835">
              <w:rPr>
                <w:color w:val="auto"/>
                <w:sz w:val="20"/>
                <w:szCs w:val="20"/>
              </w:rPr>
              <w:t>9 January 2017</w:t>
            </w:r>
          </w:p>
        </w:tc>
      </w:tr>
      <w:tr w:rsidR="00E74A4F" w:rsidRPr="00F0799B" w14:paraId="41290689" w14:textId="77777777" w:rsidTr="00E74A4F">
        <w:tc>
          <w:tcPr>
            <w:tcW w:w="6204" w:type="dxa"/>
          </w:tcPr>
          <w:p w14:paraId="500615AF" w14:textId="77777777" w:rsidR="00E74A4F" w:rsidRPr="007C5835" w:rsidRDefault="00E74A4F" w:rsidP="007C5835">
            <w:pPr>
              <w:rPr>
                <w:sz w:val="20"/>
                <w:szCs w:val="20"/>
              </w:rPr>
            </w:pPr>
            <w:r w:rsidRPr="007C5835">
              <w:rPr>
                <w:sz w:val="20"/>
                <w:szCs w:val="20"/>
              </w:rPr>
              <w:t>Request for Advisory Committee advice and/or Delegate’s Overview</w:t>
            </w:r>
          </w:p>
        </w:tc>
        <w:tc>
          <w:tcPr>
            <w:tcW w:w="2516" w:type="dxa"/>
          </w:tcPr>
          <w:p w14:paraId="147AAC19" w14:textId="77777777" w:rsidR="00E74A4F" w:rsidRPr="007C5835" w:rsidRDefault="00DF191E" w:rsidP="007C5835">
            <w:pPr>
              <w:rPr>
                <w:color w:val="auto"/>
                <w:sz w:val="20"/>
                <w:szCs w:val="20"/>
              </w:rPr>
            </w:pPr>
            <w:r w:rsidRPr="007C5835">
              <w:rPr>
                <w:color w:val="auto"/>
                <w:sz w:val="20"/>
                <w:szCs w:val="20"/>
              </w:rPr>
              <w:t>3 July 2017</w:t>
            </w:r>
          </w:p>
        </w:tc>
      </w:tr>
      <w:tr w:rsidR="00E74A4F" w:rsidRPr="00F0799B" w14:paraId="099ADD48" w14:textId="77777777" w:rsidTr="00E74A4F">
        <w:tc>
          <w:tcPr>
            <w:tcW w:w="6204" w:type="dxa"/>
          </w:tcPr>
          <w:p w14:paraId="5DEC8C3C" w14:textId="77777777" w:rsidR="00E74A4F" w:rsidRPr="007C5835" w:rsidRDefault="00E74A4F" w:rsidP="007C5835">
            <w:pPr>
              <w:rPr>
                <w:sz w:val="20"/>
                <w:szCs w:val="20"/>
              </w:rPr>
            </w:pPr>
            <w:r w:rsidRPr="007C5835">
              <w:rPr>
                <w:sz w:val="20"/>
                <w:szCs w:val="20"/>
              </w:rPr>
              <w:t>Sponsor’s response to Delegate’s Overview</w:t>
            </w:r>
          </w:p>
        </w:tc>
        <w:tc>
          <w:tcPr>
            <w:tcW w:w="2516" w:type="dxa"/>
          </w:tcPr>
          <w:p w14:paraId="56CCCB2A" w14:textId="77777777" w:rsidR="00E74A4F" w:rsidRPr="007C5835" w:rsidRDefault="00DF191E" w:rsidP="007C5835">
            <w:pPr>
              <w:rPr>
                <w:color w:val="auto"/>
                <w:sz w:val="20"/>
                <w:szCs w:val="20"/>
              </w:rPr>
            </w:pPr>
            <w:r w:rsidRPr="007C5835">
              <w:rPr>
                <w:color w:val="auto"/>
                <w:sz w:val="20"/>
                <w:szCs w:val="20"/>
              </w:rPr>
              <w:t>18 July 2017</w:t>
            </w:r>
          </w:p>
        </w:tc>
      </w:tr>
      <w:tr w:rsidR="00E74A4F" w:rsidRPr="00F0799B" w14:paraId="08E1B5A4" w14:textId="77777777" w:rsidTr="00E74A4F">
        <w:trPr>
          <w:trHeight w:val="618"/>
        </w:trPr>
        <w:tc>
          <w:tcPr>
            <w:tcW w:w="6204" w:type="dxa"/>
          </w:tcPr>
          <w:p w14:paraId="1527D087" w14:textId="77777777" w:rsidR="00E74A4F" w:rsidRPr="007C5835" w:rsidRDefault="00E74A4F" w:rsidP="007C5835">
            <w:pPr>
              <w:rPr>
                <w:sz w:val="20"/>
                <w:szCs w:val="20"/>
              </w:rPr>
            </w:pPr>
            <w:r w:rsidRPr="007C5835">
              <w:rPr>
                <w:sz w:val="20"/>
                <w:szCs w:val="20"/>
              </w:rPr>
              <w:t>Advisory Committee meeting</w:t>
            </w:r>
          </w:p>
        </w:tc>
        <w:tc>
          <w:tcPr>
            <w:tcW w:w="2516" w:type="dxa"/>
          </w:tcPr>
          <w:p w14:paraId="33777574" w14:textId="77777777" w:rsidR="00E74A4F" w:rsidRPr="007C5835" w:rsidRDefault="00DF191E" w:rsidP="007C5835">
            <w:pPr>
              <w:rPr>
                <w:color w:val="auto"/>
                <w:sz w:val="20"/>
                <w:szCs w:val="20"/>
              </w:rPr>
            </w:pPr>
            <w:r w:rsidRPr="007C5835">
              <w:rPr>
                <w:color w:val="auto"/>
                <w:sz w:val="20"/>
                <w:szCs w:val="20"/>
              </w:rPr>
              <w:t>4 August 2017</w:t>
            </w:r>
          </w:p>
        </w:tc>
      </w:tr>
      <w:tr w:rsidR="00E74A4F" w:rsidRPr="00F0799B" w14:paraId="21E450A2" w14:textId="77777777" w:rsidTr="00E74A4F">
        <w:tc>
          <w:tcPr>
            <w:tcW w:w="6204" w:type="dxa"/>
          </w:tcPr>
          <w:p w14:paraId="56020787" w14:textId="77777777" w:rsidR="00E74A4F" w:rsidRPr="007C5835" w:rsidRDefault="00E74A4F" w:rsidP="007C5835">
            <w:pPr>
              <w:rPr>
                <w:sz w:val="20"/>
                <w:szCs w:val="20"/>
              </w:rPr>
            </w:pPr>
            <w:r w:rsidRPr="007C5835">
              <w:rPr>
                <w:sz w:val="20"/>
                <w:szCs w:val="20"/>
              </w:rPr>
              <w:t>Registration decision</w:t>
            </w:r>
          </w:p>
        </w:tc>
        <w:tc>
          <w:tcPr>
            <w:tcW w:w="2516" w:type="dxa"/>
          </w:tcPr>
          <w:p w14:paraId="26E7B3AA" w14:textId="77777777" w:rsidR="00E74A4F" w:rsidRPr="007C5835" w:rsidRDefault="00E74A4F" w:rsidP="007C5835">
            <w:pPr>
              <w:rPr>
                <w:sz w:val="20"/>
                <w:szCs w:val="20"/>
              </w:rPr>
            </w:pPr>
            <w:r w:rsidRPr="007C5835">
              <w:rPr>
                <w:sz w:val="20"/>
                <w:szCs w:val="20"/>
              </w:rPr>
              <w:t>18 October 2017</w:t>
            </w:r>
          </w:p>
        </w:tc>
      </w:tr>
      <w:tr w:rsidR="00E74A4F" w:rsidRPr="00F0799B" w14:paraId="07DFDDA0" w14:textId="77777777" w:rsidTr="00E74A4F">
        <w:tc>
          <w:tcPr>
            <w:tcW w:w="6204" w:type="dxa"/>
          </w:tcPr>
          <w:p w14:paraId="4EF62274" w14:textId="77777777" w:rsidR="00E74A4F" w:rsidRPr="007C5835" w:rsidRDefault="00E74A4F" w:rsidP="007C5835">
            <w:pPr>
              <w:rPr>
                <w:sz w:val="20"/>
                <w:szCs w:val="20"/>
              </w:rPr>
            </w:pPr>
            <w:r w:rsidRPr="007C5835">
              <w:rPr>
                <w:sz w:val="20"/>
                <w:szCs w:val="20"/>
              </w:rPr>
              <w:t>Entry onto ARTG</w:t>
            </w:r>
          </w:p>
        </w:tc>
        <w:tc>
          <w:tcPr>
            <w:tcW w:w="2516" w:type="dxa"/>
          </w:tcPr>
          <w:p w14:paraId="5394A08B" w14:textId="77777777" w:rsidR="00E74A4F" w:rsidRPr="007C5835" w:rsidRDefault="00E74A4F" w:rsidP="007C5835">
            <w:pPr>
              <w:rPr>
                <w:i/>
                <w:sz w:val="20"/>
                <w:szCs w:val="20"/>
              </w:rPr>
            </w:pPr>
            <w:r w:rsidRPr="007C5835">
              <w:rPr>
                <w:sz w:val="20"/>
                <w:szCs w:val="20"/>
              </w:rPr>
              <w:t>9 November 2017</w:t>
            </w:r>
          </w:p>
        </w:tc>
      </w:tr>
      <w:tr w:rsidR="00E74A4F" w:rsidRPr="008D5479" w14:paraId="10715CA6" w14:textId="77777777" w:rsidTr="00E74A4F">
        <w:tc>
          <w:tcPr>
            <w:tcW w:w="6204" w:type="dxa"/>
          </w:tcPr>
          <w:p w14:paraId="3245F088" w14:textId="37598555" w:rsidR="00E74A4F" w:rsidRPr="007C5835" w:rsidRDefault="00E74A4F" w:rsidP="007C5835">
            <w:pPr>
              <w:rPr>
                <w:sz w:val="20"/>
                <w:szCs w:val="20"/>
              </w:rPr>
            </w:pPr>
            <w:r w:rsidRPr="007C5835">
              <w:rPr>
                <w:sz w:val="20"/>
                <w:szCs w:val="20"/>
              </w:rPr>
              <w:t xml:space="preserve">Number of TGA working days from commencement of evaluation </w:t>
            </w:r>
            <w:r w:rsidR="007C5835">
              <w:rPr>
                <w:sz w:val="20"/>
                <w:szCs w:val="20"/>
              </w:rPr>
              <w:t>to registration decision</w:t>
            </w:r>
            <w:r w:rsidRPr="007C5835">
              <w:rPr>
                <w:sz w:val="20"/>
                <w:szCs w:val="20"/>
              </w:rPr>
              <w:t>*</w:t>
            </w:r>
          </w:p>
        </w:tc>
        <w:tc>
          <w:tcPr>
            <w:tcW w:w="2516" w:type="dxa"/>
          </w:tcPr>
          <w:p w14:paraId="40296E18" w14:textId="77777777" w:rsidR="00E74A4F" w:rsidRPr="007C5835" w:rsidRDefault="00E74A4F" w:rsidP="007C5835">
            <w:pPr>
              <w:rPr>
                <w:color w:val="auto"/>
                <w:sz w:val="20"/>
                <w:szCs w:val="20"/>
              </w:rPr>
            </w:pPr>
            <w:r w:rsidRPr="007C5835">
              <w:rPr>
                <w:color w:val="auto"/>
                <w:sz w:val="20"/>
                <w:szCs w:val="20"/>
              </w:rPr>
              <w:t>245</w:t>
            </w:r>
          </w:p>
        </w:tc>
      </w:tr>
    </w:tbl>
    <w:p w14:paraId="67FBFC2F" w14:textId="77777777" w:rsidR="00E74A4F" w:rsidRPr="008D5479" w:rsidRDefault="00E74A4F" w:rsidP="007C5835">
      <w:pPr>
        <w:pStyle w:val="TableDescription"/>
      </w:pPr>
      <w:r>
        <w:t xml:space="preserve">* Target timeframe for standard applications: 220 </w:t>
      </w:r>
      <w:r w:rsidRPr="007C5835">
        <w:t>working</w:t>
      </w:r>
      <w:r>
        <w:t xml:space="preserve"> days. Statutory timeframe: 255 working days.</w:t>
      </w:r>
    </w:p>
    <w:p w14:paraId="49067389" w14:textId="77777777" w:rsidR="00E74A4F" w:rsidRPr="003602A9" w:rsidRDefault="00E74A4F" w:rsidP="007C5835">
      <w:pPr>
        <w:pStyle w:val="Heading2"/>
      </w:pPr>
      <w:bookmarkStart w:id="26" w:name="_Toc507501097"/>
      <w:bookmarkStart w:id="27" w:name="_Toc519244644"/>
      <w:r>
        <w:t xml:space="preserve">III. </w:t>
      </w:r>
      <w:r w:rsidRPr="007C5835">
        <w:t>Quality</w:t>
      </w:r>
      <w:r>
        <w:t xml:space="preserve"> findings</w:t>
      </w:r>
      <w:bookmarkEnd w:id="26"/>
      <w:bookmarkEnd w:id="27"/>
    </w:p>
    <w:p w14:paraId="178B2E28" w14:textId="77777777" w:rsidR="008E7846" w:rsidRDefault="008E7846" w:rsidP="007C5835">
      <w:pPr>
        <w:pStyle w:val="Heading3"/>
      </w:pPr>
      <w:bookmarkStart w:id="28" w:name="_Toc247691507"/>
      <w:bookmarkStart w:id="29" w:name="_Toc314842488"/>
      <w:bookmarkStart w:id="30" w:name="_Toc519244645"/>
      <w:bookmarkEnd w:id="22"/>
      <w:bookmarkEnd w:id="23"/>
      <w:bookmarkEnd w:id="1"/>
      <w:r w:rsidRPr="008751DC">
        <w:t xml:space="preserve">Drug </w:t>
      </w:r>
      <w:r w:rsidRPr="007C5835">
        <w:t>substance</w:t>
      </w:r>
      <w:r>
        <w:t xml:space="preserve"> (active ingredient)</w:t>
      </w:r>
      <w:bookmarkEnd w:id="28"/>
      <w:bookmarkEnd w:id="29"/>
      <w:bookmarkEnd w:id="30"/>
    </w:p>
    <w:p w14:paraId="517670C6" w14:textId="533A04CE" w:rsidR="00A55DB5" w:rsidRPr="001B6E78" w:rsidRDefault="00A55DB5" w:rsidP="007C5835">
      <w:pPr>
        <w:pStyle w:val="Heading4"/>
      </w:pPr>
      <w:bookmarkStart w:id="31" w:name="_Toc470708259"/>
      <w:r w:rsidRPr="007C5835">
        <w:t>Structure</w:t>
      </w:r>
      <w:bookmarkEnd w:id="31"/>
    </w:p>
    <w:p w14:paraId="47D13744" w14:textId="73D73C08" w:rsidR="00A55DB5" w:rsidRPr="001B6E78" w:rsidRDefault="00A55DB5" w:rsidP="001E6DDC">
      <w:r w:rsidRPr="001B6E78">
        <w:t>ABP 501 is a fully human monoclonal antibody of the immunoglobulin G1 (IgG1) subclass expressed in the Chinese hamster ovary (CHO) cell line and c</w:t>
      </w:r>
      <w:r w:rsidR="00C3267F">
        <w:t xml:space="preserve">onsists of 2 heavy chains (HC) </w:t>
      </w:r>
      <w:r w:rsidRPr="001B6E78">
        <w:t xml:space="preserve">and 2 light chains (LC) of the kappa subclass. ABP 501 contains 32 total cysteine residues involved in both </w:t>
      </w:r>
      <w:proofErr w:type="spellStart"/>
      <w:r w:rsidRPr="001B6E78">
        <w:t>intrachain</w:t>
      </w:r>
      <w:proofErr w:type="spellEnd"/>
      <w:r w:rsidRPr="001B6E78">
        <w:t xml:space="preserve"> and </w:t>
      </w:r>
      <w:proofErr w:type="spellStart"/>
      <w:r w:rsidRPr="001B6E78">
        <w:t>interchain</w:t>
      </w:r>
      <w:proofErr w:type="spellEnd"/>
      <w:r w:rsidRPr="001B6E78">
        <w:t xml:space="preserve"> disul</w:t>
      </w:r>
      <w:r w:rsidR="00C3267F">
        <w:t>ph</w:t>
      </w:r>
      <w:r w:rsidRPr="001B6E78">
        <w:t>ide bonds. Each HC contains 451 amino acids wit</w:t>
      </w:r>
      <w:r w:rsidR="00C3267F">
        <w:t xml:space="preserve">h 4 </w:t>
      </w:r>
      <w:proofErr w:type="spellStart"/>
      <w:r w:rsidR="00C3267F">
        <w:t>intrachain</w:t>
      </w:r>
      <w:proofErr w:type="spellEnd"/>
      <w:r w:rsidR="00C3267F">
        <w:t xml:space="preserve"> disulph</w:t>
      </w:r>
      <w:r w:rsidRPr="001B6E78">
        <w:t>ides. Each LC contains 214 amin</w:t>
      </w:r>
      <w:r w:rsidR="00C3267F">
        <w:t xml:space="preserve">o acids with 2 </w:t>
      </w:r>
      <w:proofErr w:type="spellStart"/>
      <w:r w:rsidR="00C3267F">
        <w:t>intrachain</w:t>
      </w:r>
      <w:proofErr w:type="spellEnd"/>
      <w:r w:rsidR="00C3267F">
        <w:t xml:space="preserve"> disulph</w:t>
      </w:r>
      <w:r w:rsidRPr="001B6E78">
        <w:t>ides. Each HC contains an N-linked glycan at the consensus glycosylation site on Asn301.</w:t>
      </w:r>
    </w:p>
    <w:p w14:paraId="404215A7" w14:textId="23270003" w:rsidR="00A55DB5" w:rsidRDefault="00A55DB5" w:rsidP="001E6DDC">
      <w:r w:rsidRPr="001B6E78">
        <w:t>The molecular formula for the predominant ABP 501 HC isoform (C-terminal glycine) is C</w:t>
      </w:r>
      <w:r w:rsidRPr="001B6E78">
        <w:rPr>
          <w:vertAlign w:val="subscript"/>
        </w:rPr>
        <w:t>219</w:t>
      </w:r>
      <w:r w:rsidRPr="001B6E78">
        <w:t>1H</w:t>
      </w:r>
      <w:r w:rsidRPr="001B6E78">
        <w:rPr>
          <w:vertAlign w:val="subscript"/>
        </w:rPr>
        <w:t>3392</w:t>
      </w:r>
      <w:r w:rsidRPr="001B6E78">
        <w:t>N</w:t>
      </w:r>
      <w:r w:rsidRPr="001B6E78">
        <w:rPr>
          <w:vertAlign w:val="subscript"/>
        </w:rPr>
        <w:t>582</w:t>
      </w:r>
      <w:r w:rsidRPr="001B6E78">
        <w:t>O</w:t>
      </w:r>
      <w:r w:rsidRPr="001B6E78">
        <w:rPr>
          <w:vertAlign w:val="subscript"/>
        </w:rPr>
        <w:t>677</w:t>
      </w:r>
      <w:r w:rsidRPr="001B6E78">
        <w:t>S</w:t>
      </w:r>
      <w:r w:rsidRPr="001B6E78">
        <w:rPr>
          <w:vertAlign w:val="subscript"/>
        </w:rPr>
        <w:t>15</w:t>
      </w:r>
      <w:r w:rsidRPr="001B6E78">
        <w:t>, not including N-linked glycans. The molecular formula for ABP 501 LC is C</w:t>
      </w:r>
      <w:r w:rsidRPr="001B6E78">
        <w:rPr>
          <w:vertAlign w:val="subscript"/>
        </w:rPr>
        <w:t>1027</w:t>
      </w:r>
      <w:r w:rsidRPr="001B6E78">
        <w:t>H</w:t>
      </w:r>
      <w:r w:rsidRPr="001B6E78">
        <w:rPr>
          <w:vertAlign w:val="subscript"/>
        </w:rPr>
        <w:t>1610</w:t>
      </w:r>
      <w:r w:rsidRPr="001B6E78">
        <w:t>N</w:t>
      </w:r>
      <w:r w:rsidRPr="001B6E78">
        <w:rPr>
          <w:vertAlign w:val="subscript"/>
        </w:rPr>
        <w:t>282</w:t>
      </w:r>
      <w:r w:rsidRPr="001B6E78">
        <w:t>O</w:t>
      </w:r>
      <w:r w:rsidRPr="001B6E78">
        <w:rPr>
          <w:vertAlign w:val="subscript"/>
        </w:rPr>
        <w:t>332</w:t>
      </w:r>
      <w:r w:rsidRPr="001B6E78">
        <w:t>S</w:t>
      </w:r>
      <w:r w:rsidRPr="001B6E78">
        <w:rPr>
          <w:vertAlign w:val="subscript"/>
        </w:rPr>
        <w:t>6</w:t>
      </w:r>
      <w:r w:rsidRPr="001B6E78">
        <w:t>. The theoretical mass of glycosylated ABP 501 containing 2 N</w:t>
      </w:r>
      <w:r w:rsidR="00CC594E">
        <w:noBreakHyphen/>
      </w:r>
      <w:r w:rsidRPr="001B6E78">
        <w:t>linked glycans (1 per HC) is 148,081 Da. The experimentally determined predominant ABP 501 mass is 148,083 Da, which is in agreeme</w:t>
      </w:r>
      <w:r w:rsidR="00C3267F">
        <w:t xml:space="preserve">nt with the theoretical value. </w:t>
      </w:r>
      <w:r w:rsidRPr="001B6E78">
        <w:t>A schematic diagram of ABP 501</w:t>
      </w:r>
      <w:r w:rsidR="00C3267F">
        <w:t xml:space="preserve"> is shown </w:t>
      </w:r>
      <w:r w:rsidR="00CC594E">
        <w:t xml:space="preserve">below </w:t>
      </w:r>
      <w:r w:rsidR="00C3267F">
        <w:t>in Figure 1.</w:t>
      </w:r>
    </w:p>
    <w:p w14:paraId="42457B5D" w14:textId="77777777" w:rsidR="00C3267F" w:rsidRPr="001B6E78" w:rsidRDefault="00C3267F" w:rsidP="007C5835">
      <w:pPr>
        <w:pStyle w:val="FigureTitle"/>
      </w:pPr>
      <w:r>
        <w:t xml:space="preserve">Figure 1: </w:t>
      </w:r>
      <w:r w:rsidRPr="007C5835">
        <w:t>Schematic</w:t>
      </w:r>
      <w:r>
        <w:t xml:space="preserve"> diagram of ABP 501</w:t>
      </w:r>
    </w:p>
    <w:p w14:paraId="7E9A7480" w14:textId="77777777" w:rsidR="00C3267F" w:rsidRDefault="00A55DB5" w:rsidP="00C3267F">
      <w:pPr>
        <w:spacing w:line="276" w:lineRule="auto"/>
        <w:rPr>
          <w:rFonts w:asciiTheme="minorHAnsi" w:hAnsiTheme="minorHAnsi"/>
        </w:rPr>
      </w:pPr>
      <w:r w:rsidRPr="001B6E78">
        <w:rPr>
          <w:rFonts w:asciiTheme="minorHAnsi" w:hAnsiTheme="minorHAnsi" w:cs="Arial"/>
          <w:noProof/>
          <w:lang w:eastAsia="en-AU"/>
        </w:rPr>
        <w:drawing>
          <wp:inline distT="0" distB="0" distL="0" distR="0" wp14:anchorId="53351C5A" wp14:editId="378D8C80">
            <wp:extent cx="3404542" cy="3189768"/>
            <wp:effectExtent l="0" t="0" r="5715" b="0"/>
            <wp:docPr id="4" name="Picture 4" descr="Figure 1: Schematic diagram of ABP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2872"/>
                    <a:stretch/>
                  </pic:blipFill>
                  <pic:spPr bwMode="auto">
                    <a:xfrm>
                      <a:off x="0" y="0"/>
                      <a:ext cx="3408959" cy="3193906"/>
                    </a:xfrm>
                    <a:prstGeom prst="rect">
                      <a:avLst/>
                    </a:prstGeom>
                    <a:noFill/>
                    <a:ln>
                      <a:noFill/>
                    </a:ln>
                    <a:extLst>
                      <a:ext uri="{53640926-AAD7-44D8-BBD7-CCE9431645EC}">
                        <a14:shadowObscured xmlns:a14="http://schemas.microsoft.com/office/drawing/2010/main"/>
                      </a:ext>
                    </a:extLst>
                  </pic:spPr>
                </pic:pic>
              </a:graphicData>
            </a:graphic>
          </wp:inline>
        </w:drawing>
      </w:r>
      <w:bookmarkStart w:id="32" w:name="_Toc470708260"/>
    </w:p>
    <w:bookmarkEnd w:id="32"/>
    <w:p w14:paraId="06744AEA" w14:textId="2A38255E" w:rsidR="00A55DB5" w:rsidRPr="001B6E78" w:rsidRDefault="00A55DB5" w:rsidP="007C5835">
      <w:pPr>
        <w:pStyle w:val="Heading4"/>
      </w:pPr>
      <w:r w:rsidRPr="001B6E78">
        <w:t xml:space="preserve">Biological </w:t>
      </w:r>
      <w:r w:rsidRPr="007C5835">
        <w:t>activity</w:t>
      </w:r>
    </w:p>
    <w:p w14:paraId="366AA297" w14:textId="7842AC2B" w:rsidR="00A55DB5" w:rsidRPr="001B6E78" w:rsidRDefault="00A55DB5" w:rsidP="007C5835">
      <w:r w:rsidRPr="001B6E78">
        <w:t>ABP 501 specifically binds to human TNFα and prevents it from binding to TNFα receptor</w:t>
      </w:r>
      <w:r w:rsidR="00CC594E">
        <w:t> </w:t>
      </w:r>
      <w:r w:rsidRPr="001B6E78">
        <w:t>1 (TNFR1, p55TNFR, or TNFRSF1A) and TNFα receptor 2 (TNFR2, p75TNFR, or TNFRSF1B). The in vitro potency assay is a cell</w:t>
      </w:r>
      <w:r w:rsidR="00CC594E">
        <w:t xml:space="preserve"> </w:t>
      </w:r>
      <w:r w:rsidRPr="001B6E78">
        <w:t>based apoptosis inhibition assay in which ABP 501 binds to recombinant purified human TNFα and inhibits it from binding to the TNFR and inducing apoptosis. ABP 501 also binds FcγRs and induces both antibody</w:t>
      </w:r>
      <w:r w:rsidR="00BB0EC2">
        <w:noBreakHyphen/>
      </w:r>
      <w:r w:rsidRPr="001B6E78">
        <w:t>dependent cell-mediated cytotoxicity (ADCC) and complement-dependent cytotoxicity (CDC) in vitro.</w:t>
      </w:r>
    </w:p>
    <w:p w14:paraId="33EC3B72" w14:textId="77777777" w:rsidR="008E7846" w:rsidRDefault="008E7846" w:rsidP="0025261B">
      <w:pPr>
        <w:pStyle w:val="Heading3"/>
      </w:pPr>
      <w:bookmarkStart w:id="33" w:name="_Toc247691508"/>
      <w:bookmarkStart w:id="34" w:name="_Toc314842490"/>
      <w:bookmarkStart w:id="35" w:name="_Toc519244646"/>
      <w:r w:rsidRPr="008751DC">
        <w:t xml:space="preserve">Drug </w:t>
      </w:r>
      <w:r>
        <w:t>p</w:t>
      </w:r>
      <w:r w:rsidRPr="008751DC">
        <w:t>roduct</w:t>
      </w:r>
      <w:bookmarkEnd w:id="33"/>
      <w:bookmarkEnd w:id="34"/>
      <w:bookmarkEnd w:id="35"/>
    </w:p>
    <w:p w14:paraId="08B14DEC" w14:textId="74F74787" w:rsidR="00C3267F" w:rsidRPr="00C3267F" w:rsidRDefault="00C3267F" w:rsidP="00C3267F">
      <w:r>
        <w:t xml:space="preserve">Apart from the active ingredient the drug product contains sucrose, polysorbate 80, </w:t>
      </w:r>
      <w:r w:rsidR="00BB0EC2">
        <w:rPr>
          <w:rFonts w:asciiTheme="minorHAnsi" w:hAnsiTheme="minorHAnsi"/>
        </w:rPr>
        <w:t>g</w:t>
      </w:r>
      <w:r w:rsidRPr="001B6E78">
        <w:rPr>
          <w:rFonts w:asciiTheme="minorHAnsi" w:hAnsiTheme="minorHAnsi"/>
        </w:rPr>
        <w:t>lacial acetic acid</w:t>
      </w:r>
      <w:r>
        <w:rPr>
          <w:rFonts w:asciiTheme="minorHAnsi" w:hAnsiTheme="minorHAnsi"/>
        </w:rPr>
        <w:t xml:space="preserve">, </w:t>
      </w:r>
      <w:r w:rsidR="00BB0EC2">
        <w:rPr>
          <w:rFonts w:asciiTheme="minorHAnsi" w:hAnsiTheme="minorHAnsi"/>
        </w:rPr>
        <w:t>s</w:t>
      </w:r>
      <w:r w:rsidRPr="001B6E78">
        <w:rPr>
          <w:rFonts w:asciiTheme="minorHAnsi" w:hAnsiTheme="minorHAnsi"/>
        </w:rPr>
        <w:t>odium hydroxide</w:t>
      </w:r>
      <w:r>
        <w:rPr>
          <w:rFonts w:asciiTheme="minorHAnsi" w:hAnsiTheme="minorHAnsi"/>
        </w:rPr>
        <w:t xml:space="preserve"> and </w:t>
      </w:r>
      <w:r w:rsidR="00BB0EC2">
        <w:rPr>
          <w:rFonts w:asciiTheme="minorHAnsi" w:hAnsiTheme="minorHAnsi"/>
        </w:rPr>
        <w:t>w</w:t>
      </w:r>
      <w:r w:rsidRPr="001B6E78">
        <w:rPr>
          <w:rFonts w:asciiTheme="minorHAnsi" w:hAnsiTheme="minorHAnsi"/>
        </w:rPr>
        <w:t>ater for injection</w:t>
      </w:r>
      <w:r>
        <w:rPr>
          <w:rFonts w:asciiTheme="minorHAnsi" w:hAnsiTheme="minorHAnsi"/>
        </w:rPr>
        <w:t>.</w:t>
      </w:r>
    </w:p>
    <w:p w14:paraId="1507117B" w14:textId="77777777" w:rsidR="001532E4" w:rsidRDefault="00C3267F" w:rsidP="001E6DDC">
      <w:r>
        <w:t>The r</w:t>
      </w:r>
      <w:r w:rsidR="001532E4">
        <w:t xml:space="preserve">ecommended </w:t>
      </w:r>
      <w:r>
        <w:t>drug product</w:t>
      </w:r>
      <w:r w:rsidR="001532E4">
        <w:t xml:space="preserve"> shelf life (include temperature excursion during shipping if necessary)</w:t>
      </w:r>
      <w:r>
        <w:t xml:space="preserve"> is:</w:t>
      </w:r>
    </w:p>
    <w:p w14:paraId="4B365EBE" w14:textId="4D8000DA" w:rsidR="001532E4" w:rsidRDefault="001532E4" w:rsidP="001E6DDC">
      <w:pPr>
        <w:pStyle w:val="ListBullet"/>
      </w:pPr>
      <w:r>
        <w:t>2°C to 8°C (5°C) for up to 6 months</w:t>
      </w:r>
    </w:p>
    <w:p w14:paraId="7FDD8EAA" w14:textId="4B6D5A2E" w:rsidR="00940A89" w:rsidRDefault="001532E4" w:rsidP="001E6DDC">
      <w:pPr>
        <w:pStyle w:val="ListBullet"/>
      </w:pPr>
      <w:r>
        <w:t>14 days up to 25°C.</w:t>
      </w:r>
      <w:r w:rsidR="00BB0EC2">
        <w:rPr>
          <w:rStyle w:val="FootnoteReference"/>
        </w:rPr>
        <w:footnoteReference w:id="1"/>
      </w:r>
      <w:r>
        <w:t xml:space="preserve"> Once removed from the refrigerator for room temperature storage, </w:t>
      </w:r>
      <w:proofErr w:type="spellStart"/>
      <w:r w:rsidR="001E6DDC">
        <w:t>Amgevita</w:t>
      </w:r>
      <w:proofErr w:type="spellEnd"/>
      <w:r>
        <w:t xml:space="preserve"> must be used within 14 days or discarded, even if it is returned to the refrigerator.</w:t>
      </w:r>
    </w:p>
    <w:p w14:paraId="71B70252" w14:textId="77777777" w:rsidR="00A55DB5" w:rsidRPr="001B6E78" w:rsidRDefault="00A55DB5" w:rsidP="001E6DDC">
      <w:r w:rsidRPr="001B6E78">
        <w:t>Stability data have been generated under stressed and real time conditions to characterise the stability profile of the product. Photostability data demonstrates the product is not photostable.</w:t>
      </w:r>
    </w:p>
    <w:p w14:paraId="14E0F9A7" w14:textId="77777777" w:rsidR="008E7846" w:rsidRPr="0025261B" w:rsidRDefault="008E7846" w:rsidP="0025261B">
      <w:pPr>
        <w:pStyle w:val="Heading3"/>
      </w:pPr>
      <w:bookmarkStart w:id="36" w:name="_Toc247691509"/>
      <w:bookmarkStart w:id="37" w:name="_Toc314842493"/>
      <w:bookmarkStart w:id="38" w:name="_Toc519244647"/>
      <w:r w:rsidRPr="0025261B">
        <w:t>Quality summary and conclusions</w:t>
      </w:r>
      <w:bookmarkEnd w:id="36"/>
      <w:bookmarkEnd w:id="37"/>
      <w:bookmarkEnd w:id="38"/>
    </w:p>
    <w:p w14:paraId="15D64ADF" w14:textId="77777777" w:rsidR="00A55DB5" w:rsidRDefault="00A55DB5" w:rsidP="001E6DDC">
      <w:r w:rsidRPr="00A55DB5">
        <w:t xml:space="preserve">There are no objections on quality grounds to the approval of </w:t>
      </w:r>
      <w:proofErr w:type="spellStart"/>
      <w:r w:rsidR="001E6DDC">
        <w:t>Amgevita</w:t>
      </w:r>
      <w:proofErr w:type="spellEnd"/>
      <w:r w:rsidRPr="00A55DB5">
        <w:t xml:space="preserve"> adalimumab</w:t>
      </w:r>
      <w:r>
        <w:t>.</w:t>
      </w:r>
    </w:p>
    <w:p w14:paraId="59030043" w14:textId="77777777" w:rsidR="00A55DB5" w:rsidRDefault="00A55DB5" w:rsidP="001E6DDC">
      <w:r w:rsidRPr="00A55DB5">
        <w:t xml:space="preserve">All issues raised </w:t>
      </w:r>
      <w:r w:rsidR="00BE5EE0">
        <w:t xml:space="preserve">in the initial product summary </w:t>
      </w:r>
      <w:r w:rsidRPr="00A55DB5">
        <w:t>have been resolved.</w:t>
      </w:r>
    </w:p>
    <w:p w14:paraId="632DED78" w14:textId="3D297113" w:rsidR="00A55DB5" w:rsidRPr="00A55DB5" w:rsidRDefault="00A55DB5" w:rsidP="0025261B">
      <w:pPr>
        <w:pStyle w:val="Heading4"/>
      </w:pPr>
      <w:r w:rsidRPr="001B6E78">
        <w:t xml:space="preserve">Proposed </w:t>
      </w:r>
      <w:r w:rsidRPr="0025261B">
        <w:t>Conditions</w:t>
      </w:r>
      <w:r w:rsidRPr="001B6E78">
        <w:t xml:space="preserve"> of Registration (for Delegate)</w:t>
      </w:r>
    </w:p>
    <w:p w14:paraId="73FBFA58" w14:textId="77777777" w:rsidR="00A55DB5" w:rsidRPr="001B6E78" w:rsidRDefault="00A55DB5" w:rsidP="0025261B">
      <w:pPr>
        <w:pStyle w:val="Numberbullet0"/>
      </w:pPr>
      <w:r w:rsidRPr="001B6E78">
        <w:t xml:space="preserve">Batch Release Testing &amp; </w:t>
      </w:r>
      <w:r w:rsidRPr="0025261B">
        <w:t>Compliance</w:t>
      </w:r>
      <w:r w:rsidRPr="001B6E78">
        <w:t xml:space="preserve"> with Certified Product Details (CPD)</w:t>
      </w:r>
    </w:p>
    <w:p w14:paraId="24BFF56F" w14:textId="77777777" w:rsidR="00A55DB5" w:rsidRPr="001B6E78" w:rsidRDefault="00A55DB5" w:rsidP="001E6DDC">
      <w:pPr>
        <w:pStyle w:val="ListBullet2"/>
      </w:pPr>
      <w:r w:rsidRPr="001B6E78">
        <w:t xml:space="preserve">It is a condition of registration that all batches of </w:t>
      </w:r>
      <w:proofErr w:type="spellStart"/>
      <w:r w:rsidR="001E6DDC">
        <w:t>Amgevita</w:t>
      </w:r>
      <w:proofErr w:type="spellEnd"/>
      <w:r w:rsidRPr="001B6E78">
        <w:t>™ adalimumab (</w:t>
      </w:r>
      <w:proofErr w:type="spellStart"/>
      <w:r w:rsidRPr="001B6E78">
        <w:t>rch</w:t>
      </w:r>
      <w:proofErr w:type="spellEnd"/>
      <w:r w:rsidRPr="001B6E78">
        <w:t>) imported into/manufactured in Australia must comply with the product details and specifications approved during evaluation and detailed in the Certified Product Details (CPD).</w:t>
      </w:r>
    </w:p>
    <w:p w14:paraId="733779B7" w14:textId="03C917CF" w:rsidR="00A55DB5" w:rsidRPr="001B6E78" w:rsidRDefault="00A55DB5" w:rsidP="001E6DDC">
      <w:pPr>
        <w:pStyle w:val="ListBullet2"/>
      </w:pPr>
      <w:r w:rsidRPr="001B6E78">
        <w:t xml:space="preserve">It is a condition of registration that each batch of </w:t>
      </w:r>
      <w:proofErr w:type="spellStart"/>
      <w:r w:rsidR="001E6DDC">
        <w:t>Amgevita</w:t>
      </w:r>
      <w:proofErr w:type="spellEnd"/>
      <w:r w:rsidRPr="001B6E78">
        <w:t>™ adalimumab (</w:t>
      </w:r>
      <w:proofErr w:type="spellStart"/>
      <w:r w:rsidRPr="001B6E78">
        <w:t>rch</w:t>
      </w:r>
      <w:proofErr w:type="spellEnd"/>
      <w:r w:rsidRPr="001B6E78">
        <w:t>) imported into/manufactured in Australia is not released for sale until samples and/or the manufacturer’s release data have been assessed and endorsed for release by the TGA La</w:t>
      </w:r>
      <w:r w:rsidR="0025261B">
        <w:t>boratories Branch.</w:t>
      </w:r>
    </w:p>
    <w:p w14:paraId="32454BE1" w14:textId="77777777" w:rsidR="00A55DB5" w:rsidRPr="001B6E78" w:rsidRDefault="00A55DB5" w:rsidP="00BE5EE0">
      <w:pPr>
        <w:spacing w:line="276" w:lineRule="auto"/>
        <w:ind w:firstLine="360"/>
        <w:rPr>
          <w:rFonts w:asciiTheme="minorHAnsi" w:hAnsiTheme="minorHAnsi"/>
        </w:rPr>
      </w:pPr>
      <w:r w:rsidRPr="001B6E78">
        <w:rPr>
          <w:rFonts w:asciiTheme="minorHAnsi" w:hAnsiTheme="minorHAnsi"/>
        </w:rPr>
        <w:t>The sponsor must supply:</w:t>
      </w:r>
    </w:p>
    <w:p w14:paraId="277CCDE2" w14:textId="77777777" w:rsidR="00A55DB5" w:rsidRPr="001B6E78" w:rsidRDefault="00A55DB5" w:rsidP="001E6DDC">
      <w:pPr>
        <w:pStyle w:val="Numberbullet2"/>
      </w:pPr>
      <w:r w:rsidRPr="001B6E78">
        <w:t>Certificates of Analysis of all active ingredient (drug substance) and final product.</w:t>
      </w:r>
    </w:p>
    <w:p w14:paraId="79F31417" w14:textId="77777777" w:rsidR="00A55DB5" w:rsidRPr="001B6E78" w:rsidRDefault="00A55DB5" w:rsidP="001E6DDC">
      <w:pPr>
        <w:pStyle w:val="Numberbullet2"/>
      </w:pPr>
      <w:r w:rsidRPr="001B6E78">
        <w:t xml:space="preserve">Information on the number of doses to be released in Australia with accompanying expiry dates for the product and diluents (if included). </w:t>
      </w:r>
    </w:p>
    <w:p w14:paraId="7D56B102" w14:textId="77777777" w:rsidR="00A55DB5" w:rsidRPr="001B6E78" w:rsidRDefault="00A55DB5" w:rsidP="001E6DDC">
      <w:pPr>
        <w:pStyle w:val="Numberbullet2"/>
      </w:pPr>
      <w:r w:rsidRPr="001B6E78">
        <w:t>Evidence of the maintenance of registered storage conditions during transport to Australia.</w:t>
      </w:r>
    </w:p>
    <w:p w14:paraId="01D1A745" w14:textId="77777777" w:rsidR="00A55DB5" w:rsidRPr="001B6E78" w:rsidRDefault="00A55DB5" w:rsidP="001E6DDC">
      <w:pPr>
        <w:pStyle w:val="Numberbullet2"/>
      </w:pPr>
      <w:r w:rsidRPr="001B6E78">
        <w:t>Five (5) containers of each batch for testing by the TGA Laboratories Branch together with any necessary standards, impurities and active pharmaceutical ingredients (with their Certificates of Analysis) required for method development and validation.</w:t>
      </w:r>
    </w:p>
    <w:p w14:paraId="630ABA30" w14:textId="77777777" w:rsidR="008E7846" w:rsidRDefault="00E74A4F" w:rsidP="0025261B">
      <w:pPr>
        <w:pStyle w:val="Heading2"/>
      </w:pPr>
      <w:bookmarkStart w:id="39" w:name="_Toc196046439"/>
      <w:bookmarkStart w:id="40" w:name="_Toc247691510"/>
      <w:bookmarkStart w:id="41" w:name="_Toc314842494"/>
      <w:bookmarkStart w:id="42" w:name="_Toc519244648"/>
      <w:r>
        <w:t>IV</w:t>
      </w:r>
      <w:r w:rsidR="008E7846">
        <w:t xml:space="preserve">. </w:t>
      </w:r>
      <w:r w:rsidR="008E7846" w:rsidRPr="0025261B">
        <w:t>Nonclinical</w:t>
      </w:r>
      <w:bookmarkEnd w:id="39"/>
      <w:r w:rsidR="008E7846">
        <w:t xml:space="preserve"> findings</w:t>
      </w:r>
      <w:bookmarkEnd w:id="40"/>
      <w:bookmarkEnd w:id="41"/>
      <w:bookmarkEnd w:id="42"/>
    </w:p>
    <w:p w14:paraId="2D959F27" w14:textId="77777777" w:rsidR="008E7846" w:rsidRDefault="008E7846" w:rsidP="0025261B">
      <w:pPr>
        <w:pStyle w:val="Heading3"/>
      </w:pPr>
      <w:bookmarkStart w:id="43" w:name="_Toc247691511"/>
      <w:bookmarkStart w:id="44" w:name="_Toc314842495"/>
      <w:bookmarkStart w:id="45" w:name="_Toc519244649"/>
      <w:r w:rsidRPr="0025261B">
        <w:t>Introduction</w:t>
      </w:r>
      <w:bookmarkEnd w:id="43"/>
      <w:bookmarkEnd w:id="44"/>
      <w:bookmarkEnd w:id="45"/>
    </w:p>
    <w:p w14:paraId="6007723C" w14:textId="77777777" w:rsidR="009650DF" w:rsidRDefault="009650DF" w:rsidP="001E6DDC">
      <w:pPr>
        <w:pStyle w:val="Heading4"/>
      </w:pPr>
      <w:r>
        <w:t>General comments</w:t>
      </w:r>
    </w:p>
    <w:p w14:paraId="18B64430" w14:textId="678F20F3" w:rsidR="00705553" w:rsidRDefault="009650DF" w:rsidP="009650DF">
      <w:r>
        <w:t>The scope of the nonclinical testing program for ABP</w:t>
      </w:r>
      <w:r w:rsidR="00BB0EC2">
        <w:t xml:space="preserve"> </w:t>
      </w:r>
      <w:r>
        <w:t>501 is in general accordance with the relevant accepted guidance on nonclinical testing of similar biological medicinal products.</w:t>
      </w:r>
      <w:bookmarkStart w:id="46" w:name="_Ref508189482"/>
      <w:r w:rsidR="005A08D6">
        <w:rPr>
          <w:rStyle w:val="FootnoteReference"/>
        </w:rPr>
        <w:footnoteReference w:id="2"/>
      </w:r>
      <w:bookmarkEnd w:id="46"/>
      <w:r>
        <w:t xml:space="preserve"> Data presented consisted of comparative in vitro pharmacology studies on biosimilar adalimumab (referred to herein as ABP</w:t>
      </w:r>
      <w:r w:rsidR="00BB0EC2">
        <w:t xml:space="preserve"> </w:t>
      </w:r>
      <w:r>
        <w:t xml:space="preserve">501) relative to </w:t>
      </w:r>
      <w:r w:rsidR="001E6DDC">
        <w:t>Humira</w:t>
      </w:r>
      <w:r>
        <w:t xml:space="preserve"> comparators. As well, two </w:t>
      </w:r>
      <w:r w:rsidR="00705553">
        <w:t>Good Laboratory Practice (</w:t>
      </w:r>
      <w:r>
        <w:t>GLP</w:t>
      </w:r>
      <w:r w:rsidR="00705553">
        <w:t>)</w:t>
      </w:r>
      <w:r>
        <w:t xml:space="preserve"> repeat dose toxicity studies were conducted in cynomolgus monkeys with concomi</w:t>
      </w:r>
      <w:r w:rsidR="00705553">
        <w:t>tant toxicokinetic assessments.</w:t>
      </w:r>
    </w:p>
    <w:p w14:paraId="2362977E" w14:textId="5F37C7C6" w:rsidR="009650DF" w:rsidRDefault="009650DF" w:rsidP="009650DF">
      <w:r>
        <w:t xml:space="preserve">The </w:t>
      </w:r>
      <w:r w:rsidR="00705553">
        <w:t>s</w:t>
      </w:r>
      <w:r>
        <w:t xml:space="preserve">ponsor used </w:t>
      </w:r>
      <w:r w:rsidR="00705553">
        <w:t>European Union (</w:t>
      </w:r>
      <w:r>
        <w:t>EU</w:t>
      </w:r>
      <w:r w:rsidR="00705553">
        <w:t>)</w:t>
      </w:r>
      <w:r>
        <w:t xml:space="preserve"> and US</w:t>
      </w:r>
      <w:r w:rsidR="00705553">
        <w:t xml:space="preserve"> </w:t>
      </w:r>
      <w:r>
        <w:t xml:space="preserve">sourced </w:t>
      </w:r>
      <w:r w:rsidR="001E6DDC">
        <w:t>Humira</w:t>
      </w:r>
      <w:r>
        <w:t xml:space="preserve"> as comparators. Australian</w:t>
      </w:r>
      <w:r w:rsidR="00705553">
        <w:t xml:space="preserve"> </w:t>
      </w:r>
      <w:r>
        <w:t xml:space="preserve">sourced </w:t>
      </w:r>
      <w:r w:rsidR="001E6DDC">
        <w:t>Humira</w:t>
      </w:r>
      <w:r>
        <w:t xml:space="preserve"> was not used in any of the nonclinical studies and bridging studies were not originally conducted to demonstrate sufficient similarities between the Australian product and comparators, which is required according to TGA guidance on the regulation of biosimilar medicines.</w:t>
      </w:r>
      <w:bookmarkStart w:id="47" w:name="_Ref508189568"/>
      <w:r w:rsidR="005A08D6">
        <w:rPr>
          <w:rStyle w:val="FootnoteReference"/>
        </w:rPr>
        <w:footnoteReference w:id="3"/>
      </w:r>
      <w:bookmarkEnd w:id="47"/>
      <w:r>
        <w:t xml:space="preserve"> The </w:t>
      </w:r>
      <w:r w:rsidR="00705553">
        <w:t>s</w:t>
      </w:r>
      <w:r w:rsidR="005A08D6">
        <w:t>p</w:t>
      </w:r>
      <w:r>
        <w:t>onsor cited various reasons for this omission including the possibility that Australian</w:t>
      </w:r>
      <w:r w:rsidR="00705553">
        <w:t xml:space="preserve"> </w:t>
      </w:r>
      <w:r>
        <w:t xml:space="preserve">sourced </w:t>
      </w:r>
      <w:r w:rsidR="001E6DDC">
        <w:t>Humira</w:t>
      </w:r>
      <w:r>
        <w:t xml:space="preserve"> originates from a supplier common to the EU and US</w:t>
      </w:r>
      <w:r w:rsidR="00705553">
        <w:t xml:space="preserve"> </w:t>
      </w:r>
      <w:r>
        <w:t xml:space="preserve">sourced </w:t>
      </w:r>
      <w:r w:rsidR="001E6DDC">
        <w:t>Humira</w:t>
      </w:r>
      <w:r>
        <w:t xml:space="preserve">. Following additional discussions with the </w:t>
      </w:r>
      <w:r w:rsidR="005A08D6">
        <w:t xml:space="preserve">TGA’s </w:t>
      </w:r>
      <w:r w:rsidR="00BB0EC2">
        <w:t>q</w:t>
      </w:r>
      <w:r>
        <w:t xml:space="preserve">uality evaluation area, the </w:t>
      </w:r>
      <w:r w:rsidR="005A08D6">
        <w:t>s</w:t>
      </w:r>
      <w:r>
        <w:t>ponsor acknowledged the need for bridging studies and submitted an analytical similarity assessment between Australian</w:t>
      </w:r>
      <w:r w:rsidR="005A08D6">
        <w:t xml:space="preserve"> </w:t>
      </w:r>
      <w:r>
        <w:t>sourced and EU and US</w:t>
      </w:r>
      <w:r w:rsidR="005A08D6">
        <w:t xml:space="preserve"> </w:t>
      </w:r>
      <w:r>
        <w:t xml:space="preserve">sourced </w:t>
      </w:r>
      <w:r w:rsidR="001E6DDC">
        <w:t>Humira</w:t>
      </w:r>
      <w:r>
        <w:t>. The assessment was concluded to have demonstrated sufficient analytical similarity between the Australian</w:t>
      </w:r>
      <w:r w:rsidR="005A08D6">
        <w:t xml:space="preserve"> </w:t>
      </w:r>
      <w:r>
        <w:t>sourced product and EU and US</w:t>
      </w:r>
      <w:r w:rsidR="005A08D6">
        <w:t xml:space="preserve"> </w:t>
      </w:r>
      <w:r>
        <w:t xml:space="preserve">sourced comparators used in the dossier by the </w:t>
      </w:r>
      <w:r w:rsidR="00BB0EC2">
        <w:t>q</w:t>
      </w:r>
      <w:r>
        <w:t>uality evaluator, therefore satisfied the TGA</w:t>
      </w:r>
      <w:r w:rsidR="005A08D6">
        <w:t xml:space="preserve"> </w:t>
      </w:r>
      <w:r>
        <w:t>mandated requirement of bridging studies.</w:t>
      </w:r>
    </w:p>
    <w:p w14:paraId="185A7D24" w14:textId="79F7D064" w:rsidR="004334C7" w:rsidRPr="004334C7" w:rsidRDefault="009650DF" w:rsidP="009650DF">
      <w:r>
        <w:t>A number of in vitro comparability studies were included. These concerned the biological attributes of ABP</w:t>
      </w:r>
      <w:r w:rsidR="00BB0EC2">
        <w:t xml:space="preserve"> </w:t>
      </w:r>
      <w:r>
        <w:t>501 relative to EU and US</w:t>
      </w:r>
      <w:r w:rsidR="005A08D6">
        <w:t xml:space="preserve"> </w:t>
      </w:r>
      <w:r>
        <w:t xml:space="preserve">sourced </w:t>
      </w:r>
      <w:r w:rsidR="001E6DDC">
        <w:t>Humira</w:t>
      </w:r>
      <w:r>
        <w:t xml:space="preserve"> (</w:t>
      </w:r>
      <w:r w:rsidR="005A08D6">
        <w:t>that is,</w:t>
      </w:r>
      <w:r>
        <w:t xml:space="preserve"> TNFα binding affinity, apoptosis, ADCC, CDC activity) and are to be evaluated and assessed by the </w:t>
      </w:r>
      <w:r w:rsidR="00BB0EC2">
        <w:t xml:space="preserve">quality </w:t>
      </w:r>
      <w:r w:rsidR="005A08D6">
        <w:t>e</w:t>
      </w:r>
      <w:r>
        <w:t xml:space="preserve">valuator. Salient findings from these studies </w:t>
      </w:r>
      <w:r w:rsidR="005A08D6">
        <w:t>were</w:t>
      </w:r>
      <w:r>
        <w:t xml:space="preserve"> summarised</w:t>
      </w:r>
      <w:r w:rsidR="005A08D6">
        <w:t xml:space="preserve"> and</w:t>
      </w:r>
      <w:r>
        <w:t xml:space="preserve"> ABP</w:t>
      </w:r>
      <w:r w:rsidR="00BB0EC2">
        <w:t xml:space="preserve"> </w:t>
      </w:r>
      <w:r>
        <w:t xml:space="preserve">501 appeared to exhibit adequate comparability to </w:t>
      </w:r>
      <w:r w:rsidR="001E6DDC">
        <w:t>Humira</w:t>
      </w:r>
      <w:r>
        <w:t xml:space="preserve"> with respect to various biological attributes (see below).</w:t>
      </w:r>
    </w:p>
    <w:p w14:paraId="627F82AD" w14:textId="77777777" w:rsidR="008E7846" w:rsidRDefault="008E7846" w:rsidP="008E7846">
      <w:pPr>
        <w:pStyle w:val="Heading3"/>
      </w:pPr>
      <w:bookmarkStart w:id="48" w:name="_Toc247691512"/>
      <w:bookmarkStart w:id="49" w:name="_Toc314842496"/>
      <w:bookmarkStart w:id="50" w:name="_Toc519244650"/>
      <w:r w:rsidRPr="00020030">
        <w:t>Pharmacology</w:t>
      </w:r>
      <w:bookmarkEnd w:id="48"/>
      <w:bookmarkEnd w:id="49"/>
      <w:bookmarkEnd w:id="50"/>
    </w:p>
    <w:p w14:paraId="50C51451" w14:textId="1102864F" w:rsidR="009650DF" w:rsidRDefault="009650DF" w:rsidP="009650DF">
      <w:r>
        <w:t>Adalimumab is a monoclonal antibody that binds to human TNFα and confers anti</w:t>
      </w:r>
      <w:r w:rsidR="00B877A4">
        <w:noBreakHyphen/>
      </w:r>
      <w:r>
        <w:t>inflammatory activity by preventing the binding of TNFα to its soluble and membrane bound receptors. As a biosimilar, ABP</w:t>
      </w:r>
      <w:r w:rsidR="00B877A4">
        <w:t xml:space="preserve"> </w:t>
      </w:r>
      <w:r>
        <w:t>501 is expected to exhibit the same pharmacological actions as</w:t>
      </w:r>
      <w:r w:rsidR="005A08D6">
        <w:t xml:space="preserve"> </w:t>
      </w:r>
      <w:r w:rsidR="001E6DDC">
        <w:t>Humira</w:t>
      </w:r>
      <w:r>
        <w:t xml:space="preserve">. Since the pharmacological activity of adalimumab is already well characterised in the original assessment of </w:t>
      </w:r>
      <w:r w:rsidR="001E6DDC">
        <w:t>Humira</w:t>
      </w:r>
      <w:r>
        <w:t>, the objective of primary pharmacology studies was to demonstrate comparable pharmacology of ABP</w:t>
      </w:r>
      <w:r w:rsidR="00B877A4">
        <w:t xml:space="preserve"> </w:t>
      </w:r>
      <w:r>
        <w:t xml:space="preserve">501 relative to comparator </w:t>
      </w:r>
      <w:r w:rsidR="001E6DDC">
        <w:t>Humira</w:t>
      </w:r>
      <w:r w:rsidR="005A08D6">
        <w:t>. This was</w:t>
      </w:r>
      <w:r>
        <w:t xml:space="preserve"> done as a series of in vitro studies with several lots of </w:t>
      </w:r>
      <w:proofErr w:type="gramStart"/>
      <w:r>
        <w:t>either ABP</w:t>
      </w:r>
      <w:proofErr w:type="gramEnd"/>
      <w:r w:rsidR="00B877A4">
        <w:t xml:space="preserve"> </w:t>
      </w:r>
      <w:r>
        <w:t>501, EU and US</w:t>
      </w:r>
      <w:r w:rsidR="005A08D6">
        <w:t xml:space="preserve"> </w:t>
      </w:r>
      <w:r>
        <w:t xml:space="preserve">sourced </w:t>
      </w:r>
      <w:r w:rsidR="001E6DDC">
        <w:t>Humira</w:t>
      </w:r>
      <w:r w:rsidR="00B877A4">
        <w:t>.</w:t>
      </w:r>
    </w:p>
    <w:p w14:paraId="33A94FBA" w14:textId="53B9F74A" w:rsidR="009650DF" w:rsidRDefault="009650DF" w:rsidP="00F4432B">
      <w:r>
        <w:t>Affinity of ABP</w:t>
      </w:r>
      <w:r w:rsidR="00B877A4">
        <w:t xml:space="preserve"> </w:t>
      </w:r>
      <w:r>
        <w:t>501 for soluble and membrane</w:t>
      </w:r>
      <w:r w:rsidR="00B877A4">
        <w:t xml:space="preserve"> </w:t>
      </w:r>
      <w:r>
        <w:t xml:space="preserve">bound TNFα was comparable to </w:t>
      </w:r>
      <w:r w:rsidR="001E6DDC">
        <w:t>Humira</w:t>
      </w:r>
      <w:r>
        <w:t>. Adalimumab is specific for human TNFα but also has affinity for primate (but not rodent) TNFα; thus demonstration of affinity for TNFα from cynomolgus monkey provided support for their use in toxicity studies. Assays to evaluate the effects of adalimumab on effector functions (as TNFα</w:t>
      </w:r>
      <w:r w:rsidR="00B877A4">
        <w:t xml:space="preserve"> </w:t>
      </w:r>
      <w:r>
        <w:t>induced apoptosis/cytotoxicity and release of IL-8 by effector cells) found ABP</w:t>
      </w:r>
      <w:r w:rsidR="00B877A4">
        <w:t xml:space="preserve"> </w:t>
      </w:r>
      <w:r>
        <w:t xml:space="preserve">501 neutralised the actions of TNFα to a similar extent as </w:t>
      </w:r>
      <w:r w:rsidR="001E6DDC">
        <w:t>Humira</w:t>
      </w:r>
      <w:r>
        <w:t xml:space="preserve">. Although there was considerable variability in activities for the cytotoxicity assays, range of inhibitory activity (as </w:t>
      </w:r>
      <w:r w:rsidR="005A08D6">
        <w:t>50% effective concentration (</w:t>
      </w:r>
      <w:r>
        <w:t>EC</w:t>
      </w:r>
      <w:r w:rsidRPr="004605FC">
        <w:rPr>
          <w:vertAlign w:val="subscript"/>
        </w:rPr>
        <w:t>50</w:t>
      </w:r>
      <w:r w:rsidR="005A08D6">
        <w:t>)</w:t>
      </w:r>
      <w:r>
        <w:t>) was simil</w:t>
      </w:r>
      <w:r w:rsidR="005A08D6">
        <w:t>ar among all three groups. A</w:t>
      </w:r>
      <w:r>
        <w:t xml:space="preserve"> cell based assay ostensibly demonstrated an inability of ABP</w:t>
      </w:r>
      <w:r w:rsidR="00B877A4">
        <w:t xml:space="preserve"> </w:t>
      </w:r>
      <w:r>
        <w:t>501 to inhibit the</w:t>
      </w:r>
      <w:r w:rsidR="00F4432B">
        <w:t xml:space="preserve"> </w:t>
      </w:r>
      <w:r>
        <w:t xml:space="preserve">LTα-induced release of cytokine IL-8 in cultured </w:t>
      </w:r>
      <w:r w:rsidR="0093757C" w:rsidRPr="0093757C">
        <w:t xml:space="preserve">Human umbilical vein endothelial cells (HUVECs) </w:t>
      </w:r>
      <w:r>
        <w:t>as proof that ABP</w:t>
      </w:r>
      <w:r w:rsidR="00B877A4">
        <w:t xml:space="preserve"> </w:t>
      </w:r>
      <w:r>
        <w:t>501 does not interact with LTα; however, the study showed findings from two assays where one assay appeared to illustrate partial inhibition (</w:t>
      </w:r>
      <w:r w:rsidR="005A08D6">
        <w:t xml:space="preserve">approximately </w:t>
      </w:r>
      <w:r>
        <w:t>30% inhibition) by ABP</w:t>
      </w:r>
      <w:r w:rsidR="00B877A4">
        <w:t xml:space="preserve"> </w:t>
      </w:r>
      <w:r>
        <w:t xml:space="preserve">501 relative to </w:t>
      </w:r>
      <w:r w:rsidR="001E6DDC">
        <w:t>Humira</w:t>
      </w:r>
      <w:r>
        <w:t xml:space="preserve"> comparators. In response to a question from the </w:t>
      </w:r>
      <w:r w:rsidR="00B877A4">
        <w:t xml:space="preserve">quality </w:t>
      </w:r>
      <w:r>
        <w:t>eval</w:t>
      </w:r>
      <w:r w:rsidR="00422C81">
        <w:t>uator on this discrepancy, the s</w:t>
      </w:r>
      <w:r>
        <w:t>ponsor submitted a new in vitro study that used an assay technique with improved sensitivity and specificity. The new study confirmed that, similarly to EU and US</w:t>
      </w:r>
      <w:r w:rsidR="00422C81">
        <w:t xml:space="preserve"> </w:t>
      </w:r>
      <w:r>
        <w:t xml:space="preserve">sourced </w:t>
      </w:r>
      <w:r w:rsidR="001E6DDC">
        <w:t>Humira</w:t>
      </w:r>
      <w:r>
        <w:t>, ABP</w:t>
      </w:r>
      <w:r w:rsidR="00B877A4">
        <w:t xml:space="preserve"> </w:t>
      </w:r>
      <w:r>
        <w:t>501 does not inhibit LTα-induced IL-8 release by HUVECs and therefore has no activity against LTα.</w:t>
      </w:r>
    </w:p>
    <w:p w14:paraId="0164666B" w14:textId="53F231B2" w:rsidR="009650DF" w:rsidRDefault="009650DF" w:rsidP="00F4432B">
      <w:r>
        <w:t>Being an IgG1 immunoglobulin, interactions with the Fc-fragment part of adalimumab were also assessed to establish comparability of Fc receptor binding by ABP</w:t>
      </w:r>
      <w:r w:rsidR="00B877A4">
        <w:t xml:space="preserve"> </w:t>
      </w:r>
      <w:r>
        <w:t xml:space="preserve">501 relative to </w:t>
      </w:r>
      <w:r w:rsidR="001E6DDC">
        <w:t>Humira</w:t>
      </w:r>
      <w:r>
        <w:t xml:space="preserve"> comparators. Ranges of mean relative binding to Fcγ receptors </w:t>
      </w:r>
      <w:proofErr w:type="gramStart"/>
      <w:r>
        <w:t>RIa</w:t>
      </w:r>
      <w:proofErr w:type="gramEnd"/>
      <w:r>
        <w:t xml:space="preserve">, RIIa (131H allele variant), RIIIa and FcRn were similar for </w:t>
      </w:r>
      <w:r w:rsidR="00B1353B">
        <w:t>ABP 5</w:t>
      </w:r>
      <w:r>
        <w:t xml:space="preserve">01 and </w:t>
      </w:r>
      <w:r w:rsidR="0093757C">
        <w:t>EU</w:t>
      </w:r>
      <w:r>
        <w:t xml:space="preserve"> and US</w:t>
      </w:r>
      <w:r w:rsidR="0093757C">
        <w:t xml:space="preserve"> </w:t>
      </w:r>
      <w:r>
        <w:t xml:space="preserve">sourced </w:t>
      </w:r>
      <w:r w:rsidR="001E6DDC">
        <w:t>Humira</w:t>
      </w:r>
      <w:r>
        <w:t xml:space="preserve">. Further assessment of binding for FcγRIIIa allele variants 158F and 158V, which have different affinities for IgG1- resulting in varied Fc- effector responses, also found no discernible differences between relative binding of </w:t>
      </w:r>
      <w:r w:rsidR="00B1353B">
        <w:t>ABP 5</w:t>
      </w:r>
      <w:r>
        <w:t xml:space="preserve">01 and </w:t>
      </w:r>
      <w:r w:rsidR="0093757C">
        <w:t>EU</w:t>
      </w:r>
      <w:r>
        <w:t xml:space="preserve"> or </w:t>
      </w:r>
      <w:r w:rsidR="0093757C">
        <w:t xml:space="preserve">US </w:t>
      </w:r>
      <w:r>
        <w:t xml:space="preserve">sourced </w:t>
      </w:r>
      <w:r w:rsidR="001E6DDC">
        <w:t>Humira</w:t>
      </w:r>
      <w:r>
        <w:t xml:space="preserve"> with either FcγRIII variant. Thus, ABP</w:t>
      </w:r>
      <w:r w:rsidR="00B877A4">
        <w:t xml:space="preserve"> </w:t>
      </w:r>
      <w:r>
        <w:t xml:space="preserve">501 is expected to interact with either FcγRIII allele variant comparably to </w:t>
      </w:r>
      <w:r w:rsidR="001E6DDC">
        <w:t>Humira</w:t>
      </w:r>
      <w:r>
        <w:t>.</w:t>
      </w:r>
    </w:p>
    <w:p w14:paraId="03B9D42B" w14:textId="1C22B422" w:rsidR="009650DF" w:rsidRDefault="009650DF" w:rsidP="00F4432B">
      <w:r>
        <w:t xml:space="preserve">Additional studies on effector functions were also described </w:t>
      </w:r>
      <w:r w:rsidR="0093757C">
        <w:t>in the sponsor’s submission</w:t>
      </w:r>
      <w:r>
        <w:t xml:space="preserve"> as part of similarity assessments on biological activity. Detailed analysis of these findings will be provided by the </w:t>
      </w:r>
      <w:r w:rsidR="00B877A4">
        <w:t xml:space="preserve">quality </w:t>
      </w:r>
      <w:r>
        <w:t>evaluator. The interaction between soluble TNFα and cell surface TNFR1 receptors signals apoptosis, and antigen recognition and specificity (Fab fragment function) underpin the anti-apoptotic actions of adalimumab.</w:t>
      </w:r>
    </w:p>
    <w:p w14:paraId="0B0D1911" w14:textId="58083966" w:rsidR="009650DF" w:rsidRDefault="009650DF" w:rsidP="00F4432B">
      <w:r>
        <w:t>Relative potencies of ABP</w:t>
      </w:r>
      <w:r w:rsidR="00B877A4">
        <w:t xml:space="preserve"> </w:t>
      </w:r>
      <w:r>
        <w:t>501, EU and US</w:t>
      </w:r>
      <w:r w:rsidR="0093757C">
        <w:t xml:space="preserve"> </w:t>
      </w:r>
      <w:r>
        <w:t xml:space="preserve">sourced </w:t>
      </w:r>
      <w:r w:rsidR="001E6DDC">
        <w:t>Humira</w:t>
      </w:r>
      <w:r>
        <w:t xml:space="preserve"> as inhibitors of apoptosis were comparable in a cell based assay. However, limited details were provided on how these values were determined and concentration ranges were not specified. With regard to Fc</w:t>
      </w:r>
      <w:r w:rsidR="00F80594">
        <w:noBreakHyphen/>
      </w:r>
      <w:r>
        <w:t xml:space="preserve">related effector functions, ADCC and CDC activities were assessed using cell-based fluorescence assays. For ADCC activity, CHO cells </w:t>
      </w:r>
      <w:r w:rsidR="0093757C">
        <w:t xml:space="preserve">expressing membrane </w:t>
      </w:r>
      <w:r>
        <w:t>bound TNFα served as target cells while FcγRIII-presenting NK-92M1 were effector cells. ABP</w:t>
      </w:r>
      <w:r w:rsidR="00F80594">
        <w:t xml:space="preserve"> </w:t>
      </w:r>
      <w:r>
        <w:t>501 was found to ably induce dose</w:t>
      </w:r>
      <w:r w:rsidR="0093757C">
        <w:t xml:space="preserve"> </w:t>
      </w:r>
      <w:r>
        <w:t>dependent increases in apoptosis and the range of relative activity was similar to that determined for EU and US</w:t>
      </w:r>
      <w:r w:rsidR="0093757C">
        <w:t xml:space="preserve"> </w:t>
      </w:r>
      <w:r>
        <w:t xml:space="preserve">sourced </w:t>
      </w:r>
      <w:r w:rsidR="001E6DDC">
        <w:t>Humira</w:t>
      </w:r>
      <w:r>
        <w:t>. Although data on the affinity of adalimumab for complement C1q were not presented, data on CDC activity assays, which relate to effector functions resulting from this interaction, showe</w:t>
      </w:r>
      <w:r w:rsidR="0093757C">
        <w:t>d that ABP</w:t>
      </w:r>
      <w:r w:rsidR="00F80594">
        <w:t> </w:t>
      </w:r>
      <w:r w:rsidR="0093757C">
        <w:t xml:space="preserve">501 evoked complement </w:t>
      </w:r>
      <w:r>
        <w:t xml:space="preserve">dependent cytotoxicity that was comparable to </w:t>
      </w:r>
      <w:r w:rsidR="001E6DDC">
        <w:t>Humira</w:t>
      </w:r>
      <w:r>
        <w:t>; therefore, it can be inferred that C1q affinity may also be comparable. Recruitment of regulatory macrophages is an Fc-dependent effector response considered relevant to the efficacy of adalimumab, particularly for inflammatory bowel disease indications. Interaction of the Fc-region of TNFα-bound adalimumab and Fcγ receptors on T cells induces regulatory macrophages which promote mucosal healing and</w:t>
      </w:r>
      <w:r w:rsidR="00F4432B">
        <w:t xml:space="preserve"> </w:t>
      </w:r>
      <w:r>
        <w:t>inhibit the proliferation of activated T cells.</w:t>
      </w:r>
      <w:bookmarkStart w:id="51" w:name="_Ref508189543"/>
      <w:r w:rsidR="00875F5D">
        <w:rPr>
          <w:rStyle w:val="FootnoteReference"/>
        </w:rPr>
        <w:footnoteReference w:id="4"/>
      </w:r>
      <w:bookmarkEnd w:id="51"/>
      <w:r>
        <w:t xml:space="preserve"> With respect to ABP</w:t>
      </w:r>
      <w:r w:rsidR="00F80594">
        <w:t xml:space="preserve"> </w:t>
      </w:r>
      <w:r>
        <w:t xml:space="preserve">501, this process was assessed in a mixed lymphocyte reaction (MLR) assay where all three adalimumab types inhibited T cell proliferation to some degree. Attenuation was slightly greater with the </w:t>
      </w:r>
      <w:r w:rsidR="001E6DDC">
        <w:t>Humira</w:t>
      </w:r>
      <w:r>
        <w:t xml:space="preserve"> lots than ABP</w:t>
      </w:r>
      <w:r w:rsidR="00F80594">
        <w:t xml:space="preserve"> </w:t>
      </w:r>
      <w:r>
        <w:t>501 lots (</w:t>
      </w:r>
      <w:r w:rsidR="00F80594">
        <w:t xml:space="preserve">range </w:t>
      </w:r>
      <w:r>
        <w:t>of adalimumab lot activities as percentage of control T</w:t>
      </w:r>
      <w:r w:rsidR="00F80594">
        <w:t xml:space="preserve"> </w:t>
      </w:r>
      <w:r>
        <w:t>cell proliferation: ABP</w:t>
      </w:r>
      <w:r w:rsidR="00F80594">
        <w:t xml:space="preserve"> </w:t>
      </w:r>
      <w:r>
        <w:t>501: 72</w:t>
      </w:r>
      <w:r w:rsidR="00F80594">
        <w:t xml:space="preserve"> to</w:t>
      </w:r>
      <w:r>
        <w:t xml:space="preserve"> 86%; US </w:t>
      </w:r>
      <w:r w:rsidR="001E6DDC">
        <w:t>Humira</w:t>
      </w:r>
      <w:r>
        <w:t>: 63</w:t>
      </w:r>
      <w:r w:rsidR="00F80594">
        <w:t xml:space="preserve"> to </w:t>
      </w:r>
      <w:r>
        <w:t xml:space="preserve">85%; EU </w:t>
      </w:r>
      <w:r w:rsidR="001E6DDC">
        <w:t>Humira</w:t>
      </w:r>
      <w:r>
        <w:t>: 64</w:t>
      </w:r>
      <w:r w:rsidR="00F80594">
        <w:t xml:space="preserve"> to </w:t>
      </w:r>
      <w:r>
        <w:t xml:space="preserve">76%). The link between these findings with regulatory macrophage induction was not immediately evident as this was only shown using US sourced </w:t>
      </w:r>
      <w:r w:rsidR="001E6DDC">
        <w:t>Humira</w:t>
      </w:r>
      <w:r>
        <w:t>. The study also did not disclose whether other mechanisms were investigated to rule out their role in the T</w:t>
      </w:r>
      <w:r w:rsidR="00F80594">
        <w:t xml:space="preserve"> </w:t>
      </w:r>
      <w:r>
        <w:t>cell effects (</w:t>
      </w:r>
      <w:r w:rsidR="00007DAA">
        <w:t>for example,</w:t>
      </w:r>
      <w:r>
        <w:t xml:space="preserve"> apoptosis). In response to a query, the </w:t>
      </w:r>
      <w:r w:rsidR="00007DAA">
        <w:t>s</w:t>
      </w:r>
      <w:r>
        <w:t xml:space="preserve">ponsor submitted additional data that examined reverse signalling activity as an alternative apoptotic mechanism relevant to the extrapolation of </w:t>
      </w:r>
      <w:r w:rsidR="00EC38CE">
        <w:t xml:space="preserve">the inflammatory bowel disease </w:t>
      </w:r>
      <w:r>
        <w:t xml:space="preserve">(IBD) indications. The additional data indicated comparable apoptotic activity evoked by the different types of adalimumab in </w:t>
      </w:r>
      <w:proofErr w:type="spellStart"/>
      <w:r>
        <w:t>tmTNF</w:t>
      </w:r>
      <w:proofErr w:type="spellEnd"/>
      <w:r>
        <w:t xml:space="preserve">α-expressing </w:t>
      </w:r>
      <w:proofErr w:type="spellStart"/>
      <w:r>
        <w:t>Jurkat</w:t>
      </w:r>
      <w:proofErr w:type="spellEnd"/>
      <w:r>
        <w:t xml:space="preserve"> cells. However, it did not address the original question of whether attenuations to T cell proliferation shown in Study R20140036 reflected the involvement of regulatory macrophages or was due to other mechanisms such as reverse signalling.</w:t>
      </w:r>
    </w:p>
    <w:p w14:paraId="10875CEE" w14:textId="43037342" w:rsidR="009650DF" w:rsidRDefault="009650DF" w:rsidP="00F4432B">
      <w:r>
        <w:t>It was also noted in the same study that the extent of attenuation of T</w:t>
      </w:r>
      <w:r w:rsidR="00EC38CE">
        <w:t xml:space="preserve"> </w:t>
      </w:r>
      <w:r>
        <w:t xml:space="preserve">cell proliferation was slightly greater with </w:t>
      </w:r>
      <w:r w:rsidR="0093757C">
        <w:t xml:space="preserve">US </w:t>
      </w:r>
      <w:r w:rsidR="00007DAA">
        <w:t xml:space="preserve">and EU </w:t>
      </w:r>
      <w:r>
        <w:t xml:space="preserve">sourced </w:t>
      </w:r>
      <w:r w:rsidR="001E6DDC">
        <w:t>Humira</w:t>
      </w:r>
      <w:r>
        <w:t xml:space="preserve"> than ABP</w:t>
      </w:r>
      <w:r w:rsidR="00EC38CE">
        <w:t xml:space="preserve"> </w:t>
      </w:r>
      <w:r>
        <w:t xml:space="preserve">501. In response to a question, the </w:t>
      </w:r>
      <w:r w:rsidR="00007DAA">
        <w:t>s</w:t>
      </w:r>
      <w:r>
        <w:t xml:space="preserve">ponsor explained that data points deemed as outliers were included in the final analysis of the original report but when these data points were excluded, the values of all adalimumab tested </w:t>
      </w:r>
      <w:r w:rsidR="00007DAA">
        <w:t>lots were comparable. Thus the s</w:t>
      </w:r>
      <w:r>
        <w:t>ponsor considered ABP</w:t>
      </w:r>
      <w:r w:rsidR="00EC38CE">
        <w:t xml:space="preserve"> </w:t>
      </w:r>
      <w:r>
        <w:t xml:space="preserve">501 comparable to the two </w:t>
      </w:r>
      <w:r w:rsidR="001E6DDC">
        <w:t>Humira</w:t>
      </w:r>
      <w:r>
        <w:t xml:space="preserve"> comparators with respect to attenuated T</w:t>
      </w:r>
      <w:r w:rsidR="00EC38CE">
        <w:t xml:space="preserve"> </w:t>
      </w:r>
      <w:r>
        <w:t>cell proliferation. In the nonclinical evaluator’s view, the range of values ascertained were similar for all three of the different lots of ABP</w:t>
      </w:r>
      <w:r w:rsidR="00EC38CE">
        <w:t xml:space="preserve"> </w:t>
      </w:r>
      <w:r>
        <w:t xml:space="preserve">501 and </w:t>
      </w:r>
      <w:r w:rsidR="0093757C">
        <w:t>US</w:t>
      </w:r>
      <w:r>
        <w:t xml:space="preserve"> and </w:t>
      </w:r>
      <w:r w:rsidR="0093757C">
        <w:t>EU</w:t>
      </w:r>
      <w:r>
        <w:t xml:space="preserve"> sourced </w:t>
      </w:r>
      <w:r w:rsidR="001E6DDC">
        <w:t>Humira</w:t>
      </w:r>
      <w:r>
        <w:t>, even when factoring in the outliers; thus it is agreed that values that denoted T cell attenuation were, overall, similar between ABP</w:t>
      </w:r>
      <w:r w:rsidR="00EC38CE">
        <w:t xml:space="preserve"> </w:t>
      </w:r>
      <w:r>
        <w:t xml:space="preserve">501 and </w:t>
      </w:r>
      <w:r w:rsidR="0093757C">
        <w:t>EU</w:t>
      </w:r>
      <w:r>
        <w:t xml:space="preserve"> and </w:t>
      </w:r>
      <w:r w:rsidR="0093757C">
        <w:t xml:space="preserve">US </w:t>
      </w:r>
      <w:r>
        <w:t xml:space="preserve">sourced </w:t>
      </w:r>
      <w:r w:rsidR="001E6DDC">
        <w:t>Humira</w:t>
      </w:r>
      <w:r>
        <w:t>.</w:t>
      </w:r>
    </w:p>
    <w:p w14:paraId="3404D010" w14:textId="766987A9" w:rsidR="009650DF" w:rsidRDefault="009650DF" w:rsidP="009650DF">
      <w:r>
        <w:t>Nonclinical demonstration of in vivo efficacy was not provided. According to the overarching EMA guideline on biosimilars</w:t>
      </w:r>
      <w:r w:rsidR="00EC38CE">
        <w:t>;</w:t>
      </w:r>
      <w:r w:rsidR="00875F5D">
        <w:rPr>
          <w:rStyle w:val="FootnoteReference"/>
        </w:rPr>
        <w:footnoteReference w:id="5"/>
      </w:r>
      <w:r>
        <w:t xml:space="preserve"> the need for in vivo studies depends on the availability of a relevant in vivo model, which is consistent with the </w:t>
      </w:r>
      <w:r w:rsidR="00007DAA">
        <w:t>s</w:t>
      </w:r>
      <w:r>
        <w:t>ponsor’s reasoning that lack of adalimumab activity against rodent TNFα precluded the need for conducting in vivo studies in these species. The guideline suggests that there might be a need if there are sufficient differences that might predict differences in functional responses (</w:t>
      </w:r>
      <w:r w:rsidR="00007DAA">
        <w:t>for example,</w:t>
      </w:r>
      <w:r>
        <w:t xml:space="preserve"> post-translational modification, </w:t>
      </w:r>
      <w:proofErr w:type="gramStart"/>
      <w:r>
        <w:t>use</w:t>
      </w:r>
      <w:proofErr w:type="gramEnd"/>
      <w:r>
        <w:t xml:space="preserve"> of unusual or novel excipients). Based on the in vitro dataset, there do not appear to be compelling reasons to warrant in vivo studies simply to demonstrate efficacy, especially considering the multiple indications proposed for the product.</w:t>
      </w:r>
    </w:p>
    <w:p w14:paraId="37AECB4A" w14:textId="498652AF" w:rsidR="00875F5D" w:rsidRDefault="009650DF" w:rsidP="00F4432B">
      <w:r>
        <w:t xml:space="preserve">The in vitro </w:t>
      </w:r>
      <w:r w:rsidR="00007DAA">
        <w:t>nonclinical</w:t>
      </w:r>
      <w:r>
        <w:t xml:space="preserve"> data demonstrated mostly adequate comparability of ABP</w:t>
      </w:r>
      <w:r w:rsidR="00EC38CE">
        <w:t xml:space="preserve"> </w:t>
      </w:r>
      <w:r>
        <w:t xml:space="preserve">501 to </w:t>
      </w:r>
      <w:r w:rsidR="001E6DDC">
        <w:t>Humira</w:t>
      </w:r>
      <w:r>
        <w:t xml:space="preserve"> with respect to its affinity and pharmacological activity against TNFα; although it is noted that the level of detail on experimental protocols (not analytical or validation methods) used in in vitro studies was limited. Also, comparable efficacy for regulatory macrophage induction may be uncertain as there were modest differences in the ability of ABP</w:t>
      </w:r>
      <w:r w:rsidR="00EC38CE">
        <w:t xml:space="preserve"> </w:t>
      </w:r>
      <w:r>
        <w:t>501 to attenuate T</w:t>
      </w:r>
      <w:r w:rsidR="00EC38CE">
        <w:t xml:space="preserve"> </w:t>
      </w:r>
      <w:r>
        <w:t xml:space="preserve">cell proliferation compared to </w:t>
      </w:r>
      <w:r w:rsidR="0093757C">
        <w:t>US</w:t>
      </w:r>
      <w:r>
        <w:t xml:space="preserve"> and </w:t>
      </w:r>
      <w:r w:rsidR="0093757C">
        <w:t>EU</w:t>
      </w:r>
      <w:r w:rsidR="00007DAA">
        <w:t xml:space="preserve"> </w:t>
      </w:r>
      <w:r>
        <w:t xml:space="preserve">sourced </w:t>
      </w:r>
      <w:r w:rsidR="001E6DDC">
        <w:t>Humira</w:t>
      </w:r>
      <w:r>
        <w:t>, an action ostensibly related to the induc</w:t>
      </w:r>
      <w:r w:rsidR="00875F5D">
        <w:t>tion of regulatory macrophages.</w:t>
      </w:r>
    </w:p>
    <w:p w14:paraId="47B99AE4" w14:textId="26683CA1" w:rsidR="00875F5D" w:rsidRDefault="009650DF" w:rsidP="00F4432B">
      <w:r>
        <w:t xml:space="preserve">The </w:t>
      </w:r>
      <w:r w:rsidR="00EC38CE">
        <w:t>q</w:t>
      </w:r>
      <w:r>
        <w:t xml:space="preserve">uality </w:t>
      </w:r>
      <w:r w:rsidR="00007DAA">
        <w:t>e</w:t>
      </w:r>
      <w:r>
        <w:t>valuator also commented further on the comparability assessments including those that pertain to biological activity. Biological activity comparability assessments of ABP</w:t>
      </w:r>
      <w:r w:rsidR="00EC38CE">
        <w:t> </w:t>
      </w:r>
      <w:r>
        <w:t xml:space="preserve">501 were considered to have adequately demonstrated similarity to </w:t>
      </w:r>
      <w:r w:rsidR="001E6DDC">
        <w:t>Humira</w:t>
      </w:r>
      <w:r>
        <w:t xml:space="preserve">, relative to criteria based on acceptance ranges. In a query on whether investigations were conducted to confirm that, like innovator </w:t>
      </w:r>
      <w:r w:rsidR="001E6DDC">
        <w:t>Humira</w:t>
      </w:r>
      <w:r>
        <w:t>, ABP</w:t>
      </w:r>
      <w:r w:rsidR="00EC38CE">
        <w:t xml:space="preserve"> </w:t>
      </w:r>
      <w:r>
        <w:t>501 is selective only for TNFα and has no affinity for TNFβ (also kno</w:t>
      </w:r>
      <w:r w:rsidR="00007DAA">
        <w:t>wn as lymphotoxin α</w:t>
      </w:r>
      <w:r w:rsidR="00EC38CE">
        <w:t xml:space="preserve"> or</w:t>
      </w:r>
      <w:r w:rsidR="00007DAA">
        <w:t xml:space="preserve"> LTα), the s</w:t>
      </w:r>
      <w:r>
        <w:t xml:space="preserve">ponsor referred to their submitted </w:t>
      </w:r>
      <w:r w:rsidR="00007DAA">
        <w:t>S</w:t>
      </w:r>
      <w:r>
        <w:t>tudy R20120007 in which a functional assay was conducted as an index of adalimumab affinity for either TNFα or LTα. Briefly, IL-8 release by HUVECs in response to either (recombinant human) TNFα or LTα in the presence or absence of the different adalimumab forms</w:t>
      </w:r>
      <w:r w:rsidR="00F4432B">
        <w:t xml:space="preserve"> was assessed. Summary findings of two assays (conducted on 2</w:t>
      </w:r>
      <w:r w:rsidR="00EC38CE">
        <w:t> </w:t>
      </w:r>
      <w:r w:rsidR="00F4432B">
        <w:t>separate days with data for each day presented as the mean of 3 assay replicates) showed variable results in which data from the first assay suggested some partial activity by ABP</w:t>
      </w:r>
      <w:r w:rsidR="00EC38CE">
        <w:t xml:space="preserve"> </w:t>
      </w:r>
      <w:r w:rsidR="00F4432B">
        <w:t>501 against TNFβ, while the second assay showed lack of activity by ABP</w:t>
      </w:r>
      <w:r w:rsidR="00EC38CE">
        <w:t xml:space="preserve"> </w:t>
      </w:r>
      <w:r w:rsidR="00F4432B">
        <w:t xml:space="preserve">501 comparable with the two Humira types. As mentioned above, </w:t>
      </w:r>
      <w:r w:rsidR="00875F5D">
        <w:t>the s</w:t>
      </w:r>
      <w:r w:rsidR="00F4432B">
        <w:t xml:space="preserve">ponsor submitted a follow-up study after </w:t>
      </w:r>
      <w:r w:rsidR="00875F5D">
        <w:t>the second round evaluation</w:t>
      </w:r>
      <w:r w:rsidR="00F4432B">
        <w:t xml:space="preserve"> which used an improved detection method to assess activity of ABP</w:t>
      </w:r>
      <w:r w:rsidR="00EC38CE">
        <w:t xml:space="preserve"> </w:t>
      </w:r>
      <w:r w:rsidR="00F4432B">
        <w:t>501 against LTα-induced release of IL-8 (Study</w:t>
      </w:r>
      <w:r w:rsidR="00EC38CE">
        <w:t> </w:t>
      </w:r>
      <w:r w:rsidR="00F4432B">
        <w:t xml:space="preserve">20150129). This new study confirmed that </w:t>
      </w:r>
      <w:r w:rsidR="00B1353B">
        <w:t>ABP 5</w:t>
      </w:r>
      <w:r w:rsidR="00F4432B">
        <w:t>01 was comparable to EU</w:t>
      </w:r>
      <w:r w:rsidR="00875F5D">
        <w:t xml:space="preserve"> </w:t>
      </w:r>
      <w:r w:rsidR="00F4432B">
        <w:t>and US sourced Humira in its lack of effect on LTα-ind</w:t>
      </w:r>
      <w:r w:rsidR="00875F5D">
        <w:t>uced release of IL-8 by HUVECs.</w:t>
      </w:r>
    </w:p>
    <w:p w14:paraId="367801D5" w14:textId="17897628" w:rsidR="00F4432B" w:rsidRPr="004334C7" w:rsidRDefault="00F4432B" w:rsidP="00F4432B">
      <w:r>
        <w:t>Overall, all outstanding issues concerning the pharmacological attributes of ABP</w:t>
      </w:r>
      <w:r w:rsidR="00EC38CE">
        <w:t> </w:t>
      </w:r>
      <w:r>
        <w:t>501 relative to EU and US sourced Humira have been addressed and ABP</w:t>
      </w:r>
      <w:r w:rsidR="00EC38CE">
        <w:t> </w:t>
      </w:r>
      <w:r>
        <w:t>501 is concluded to exhibit sufficient pharmacological biosimilarity to EU and US</w:t>
      </w:r>
      <w:r w:rsidR="00EC38CE">
        <w:t xml:space="preserve"> </w:t>
      </w:r>
      <w:r>
        <w:t>sourced Humira.</w:t>
      </w:r>
    </w:p>
    <w:p w14:paraId="34EB1C86" w14:textId="77777777" w:rsidR="008E7846" w:rsidRDefault="008E7846" w:rsidP="008E7846">
      <w:pPr>
        <w:pStyle w:val="Heading3"/>
      </w:pPr>
      <w:bookmarkStart w:id="52" w:name="_Toc247691513"/>
      <w:bookmarkStart w:id="53" w:name="_Toc314842497"/>
      <w:bookmarkStart w:id="54" w:name="_Toc519244651"/>
      <w:r>
        <w:t>Pharmacokinetics</w:t>
      </w:r>
      <w:bookmarkEnd w:id="52"/>
      <w:bookmarkEnd w:id="53"/>
      <w:bookmarkEnd w:id="54"/>
    </w:p>
    <w:p w14:paraId="3AB219D8" w14:textId="417F0A9D" w:rsidR="009650DF" w:rsidRPr="009650DF" w:rsidRDefault="009650DF" w:rsidP="0025261B">
      <w:r>
        <w:t>Toxicokinetic assessments were determined using data from the two 1</w:t>
      </w:r>
      <w:r w:rsidR="00875F5D">
        <w:t xml:space="preserve"> </w:t>
      </w:r>
      <w:r>
        <w:t xml:space="preserve">month repeat dose toxicity studies in cynomolgus monkeys, including a shorter study that was terminated before term on </w:t>
      </w:r>
      <w:r w:rsidR="00EC38CE">
        <w:t xml:space="preserve">Day </w:t>
      </w:r>
      <w:r>
        <w:t>10. Both studies showed similar toxicokinetic parameters (</w:t>
      </w:r>
      <w:r w:rsidR="00875F5D">
        <w:t>peak plasma concentration (</w:t>
      </w:r>
      <w:r>
        <w:t>C</w:t>
      </w:r>
      <w:r w:rsidRPr="00875F5D">
        <w:rPr>
          <w:vertAlign w:val="subscript"/>
        </w:rPr>
        <w:t>max</w:t>
      </w:r>
      <w:r w:rsidR="00875F5D">
        <w:t>) and area under the plasma concentration versus time curve (</w:t>
      </w:r>
      <w:r>
        <w:t>AUC</w:t>
      </w:r>
      <w:r w:rsidR="00875F5D">
        <w:t>)</w:t>
      </w:r>
      <w:r>
        <w:t>) between ABP</w:t>
      </w:r>
      <w:r w:rsidR="00EC38CE">
        <w:t xml:space="preserve"> </w:t>
      </w:r>
      <w:r>
        <w:t xml:space="preserve">501 and US sourced </w:t>
      </w:r>
      <w:r w:rsidR="001E6DDC">
        <w:t>Humira</w:t>
      </w:r>
      <w:r>
        <w:t>. There were subtle differences in the range of peak sera times, with a greater range of times and therefore variability with ABP</w:t>
      </w:r>
      <w:r w:rsidR="00EC38CE">
        <w:t> </w:t>
      </w:r>
      <w:r>
        <w:t xml:space="preserve">501 but the median </w:t>
      </w:r>
      <w:r w:rsidR="00511AD7">
        <w:t>time to peak plasma concentration (</w:t>
      </w:r>
      <w:r>
        <w:t>T</w:t>
      </w:r>
      <w:r w:rsidRPr="00511AD7">
        <w:rPr>
          <w:vertAlign w:val="subscript"/>
        </w:rPr>
        <w:t>max</w:t>
      </w:r>
      <w:r w:rsidR="00511AD7">
        <w:t>)</w:t>
      </w:r>
      <w:r>
        <w:t xml:space="preserve"> fo</w:t>
      </w:r>
      <w:r w:rsidR="00511AD7">
        <w:t>r ABP</w:t>
      </w:r>
      <w:r w:rsidR="00EC38CE">
        <w:t> </w:t>
      </w:r>
      <w:r w:rsidR="00511AD7">
        <w:t xml:space="preserve">501 was the same as for US </w:t>
      </w:r>
      <w:r>
        <w:t xml:space="preserve">sourced </w:t>
      </w:r>
      <w:r w:rsidR="001E6DDC">
        <w:t>Humira</w:t>
      </w:r>
      <w:r>
        <w:t xml:space="preserve">. Extent of accumulation was also similar between the two types of adalimumab (2.6 times </w:t>
      </w:r>
      <w:r w:rsidR="00511AD7">
        <w:t>and</w:t>
      </w:r>
      <w:r>
        <w:t xml:space="preserve"> 2.4</w:t>
      </w:r>
      <w:r w:rsidR="00511AD7">
        <w:t xml:space="preserve"> times higher AUC exposures on D</w:t>
      </w:r>
      <w:r>
        <w:t xml:space="preserve">ay 22 </w:t>
      </w:r>
      <w:r w:rsidR="00511AD7">
        <w:t>compared to</w:t>
      </w:r>
      <w:r>
        <w:t xml:space="preserve"> </w:t>
      </w:r>
      <w:r w:rsidR="00511AD7">
        <w:t>D</w:t>
      </w:r>
      <w:r>
        <w:t xml:space="preserve">ay 1 for </w:t>
      </w:r>
      <w:r w:rsidR="00B1353B">
        <w:t>ABP 5</w:t>
      </w:r>
      <w:r>
        <w:t xml:space="preserve">01 and </w:t>
      </w:r>
      <w:r w:rsidR="001E6DDC">
        <w:t>Humira</w:t>
      </w:r>
      <w:r>
        <w:t>, respectively)</w:t>
      </w:r>
      <w:proofErr w:type="gramStart"/>
      <w:r w:rsidR="00EC38CE">
        <w:t>,</w:t>
      </w:r>
      <w:proofErr w:type="gramEnd"/>
      <w:r>
        <w:t xml:space="preserve"> however this might be due to inapprop</w:t>
      </w:r>
      <w:r w:rsidR="00511AD7">
        <w:t>riate sampling intervals used (D</w:t>
      </w:r>
      <w:r>
        <w:t>ay 1 when median T</w:t>
      </w:r>
      <w:r w:rsidRPr="00511AD7">
        <w:rPr>
          <w:vertAlign w:val="subscript"/>
        </w:rPr>
        <w:t>max</w:t>
      </w:r>
      <w:r>
        <w:t xml:space="preserve"> is </w:t>
      </w:r>
      <w:r w:rsidR="00511AD7">
        <w:t>approximately</w:t>
      </w:r>
      <w:r>
        <w:t xml:space="preserve"> 48 h).</w:t>
      </w:r>
    </w:p>
    <w:p w14:paraId="5D965327" w14:textId="77777777" w:rsidR="001B5C90" w:rsidRDefault="008E7846" w:rsidP="0025261B">
      <w:pPr>
        <w:pStyle w:val="Heading3"/>
      </w:pPr>
      <w:bookmarkStart w:id="55" w:name="_Toc247691514"/>
      <w:bookmarkStart w:id="56" w:name="_Toc314842498"/>
      <w:bookmarkStart w:id="57" w:name="_Toc519244652"/>
      <w:r w:rsidRPr="0025261B">
        <w:t>Toxicology</w:t>
      </w:r>
      <w:bookmarkEnd w:id="55"/>
      <w:bookmarkEnd w:id="56"/>
      <w:bookmarkEnd w:id="57"/>
    </w:p>
    <w:p w14:paraId="6B00D748" w14:textId="3DDC96B5" w:rsidR="009650DF" w:rsidRDefault="009650DF" w:rsidP="0025261B">
      <w:r>
        <w:t>Toxici</w:t>
      </w:r>
      <w:r w:rsidR="00511AD7">
        <w:t xml:space="preserve">ty testing was limited to two 1 </w:t>
      </w:r>
      <w:r>
        <w:t>month GLP-compliant studies on comparative toxicity in cynomolgus monkeys. Either ABP</w:t>
      </w:r>
      <w:r w:rsidR="00EC38CE">
        <w:t xml:space="preserve"> </w:t>
      </w:r>
      <w:r>
        <w:t>501/</w:t>
      </w:r>
      <w:proofErr w:type="spellStart"/>
      <w:r w:rsidR="001E6DDC">
        <w:t>Amgevita</w:t>
      </w:r>
      <w:proofErr w:type="spellEnd"/>
      <w:r>
        <w:t xml:space="preserve"> or </w:t>
      </w:r>
      <w:r w:rsidR="00511AD7">
        <w:t>US sourced</w:t>
      </w:r>
      <w:r>
        <w:t xml:space="preserve"> </w:t>
      </w:r>
      <w:r w:rsidR="001E6DDC">
        <w:t>Humira</w:t>
      </w:r>
      <w:r>
        <w:t xml:space="preserve"> were administered as weekly SC doses of either 32 mg/kg or 157 mg/kg. The lower dose study was</w:t>
      </w:r>
      <w:r w:rsidR="00511AD7">
        <w:t xml:space="preserve"> terminated on D</w:t>
      </w:r>
      <w:r>
        <w:t>ay 10 because of study design limitations (</w:t>
      </w:r>
      <w:r w:rsidR="00511AD7">
        <w:t>that is,</w:t>
      </w:r>
      <w:r>
        <w:t xml:space="preserve"> no placebo control group and dose considered too low).</w:t>
      </w:r>
    </w:p>
    <w:p w14:paraId="1A4FD660" w14:textId="13F81CD6" w:rsidR="009650DF" w:rsidRDefault="009650DF" w:rsidP="00F4432B">
      <w:r>
        <w:t>Consequently only 2 doses were administered and only limited par</w:t>
      </w:r>
      <w:r w:rsidR="00511AD7">
        <w:t xml:space="preserve">ameters were recorded </w:t>
      </w:r>
      <w:proofErr w:type="gramStart"/>
      <w:r w:rsidR="00511AD7">
        <w:t>at</w:t>
      </w:r>
      <w:proofErr w:type="gramEnd"/>
      <w:r w:rsidR="00511AD7">
        <w:t xml:space="preserve"> up to D</w:t>
      </w:r>
      <w:r>
        <w:t>ay 9 of treatment. The higher dose study was completed to term and included a full battery of in-life and post-mortem assessments. The choice of higher dose is acceptable as it provided sufficient multiples of human exposure (</w:t>
      </w:r>
      <w:r w:rsidR="00511AD7">
        <w:t>about</w:t>
      </w:r>
      <w:r>
        <w:t xml:space="preserve"> 75 times the clinical exposure based on serum AUC comparisons from a single administration to the monkeys, and even higher exposure multiples after multiple administrations). Anti-drug antibody development was assessed only in the high dose study. It should be noted that the guideline</w:t>
      </w:r>
      <w:r w:rsidR="00BF3E2C">
        <w:t xml:space="preserve"> recommends that toxicity testing should only be considered with appropriate justification where sufficiently high doses are used to compare toxicities of test biosimilar with reference product.</w:t>
      </w:r>
      <w:r w:rsidR="00D16E71">
        <w:rPr>
          <w:rStyle w:val="FootnoteReference"/>
        </w:rPr>
        <w:footnoteReference w:id="6"/>
      </w:r>
      <w:r>
        <w:t xml:space="preserve"> While the second study fulfils this requirement, comparative toxicity studies are generally not recommended for biosimilars unless there are reasons to suggest different quality attributes between the biosimilar and comparato</w:t>
      </w:r>
      <w:r w:rsidR="00511AD7">
        <w:t>r, a point acknowledged by the s</w:t>
      </w:r>
      <w:r>
        <w:t>ponsor.</w:t>
      </w:r>
    </w:p>
    <w:p w14:paraId="03DFE60A" w14:textId="0BB1D272" w:rsidR="009650DF" w:rsidRDefault="009650DF" w:rsidP="00F4432B">
      <w:r>
        <w:t xml:space="preserve">In the study completed to term there were no mortalities or adverse clinical signs noted in any of the animal groups. Serum chemistry and urinalysis measurements were comparable, while haematological assessments indicated transient elevations in leukocyte and neutrophil counts in the </w:t>
      </w:r>
      <w:r w:rsidR="001E6DDC">
        <w:t>Humira</w:t>
      </w:r>
      <w:r>
        <w:t xml:space="preserve"> tr</w:t>
      </w:r>
      <w:r w:rsidR="00511AD7">
        <w:t>eated groups which resolved by D</w:t>
      </w:r>
      <w:r>
        <w:t xml:space="preserve">ay 29. The transient changes to leukocytes in the </w:t>
      </w:r>
      <w:r w:rsidR="001E6DDC">
        <w:t>Humira</w:t>
      </w:r>
      <w:r>
        <w:t xml:space="preserve"> group are likely to be isolated and spontaneous occurrences as they have not been reported in previous toxicity studies with </w:t>
      </w:r>
      <w:r w:rsidR="001E6DDC">
        <w:t>Humira</w:t>
      </w:r>
      <w:r>
        <w:t>.</w:t>
      </w:r>
      <w:r w:rsidR="00D16E71">
        <w:rPr>
          <w:rStyle w:val="FootnoteReference"/>
        </w:rPr>
        <w:footnoteReference w:id="7"/>
      </w:r>
      <w:r>
        <w:t xml:space="preserve"> In response to a</w:t>
      </w:r>
      <w:r w:rsidR="00511AD7">
        <w:t>n</w:t>
      </w:r>
      <w:r>
        <w:t xml:space="preserve"> enquiry, the </w:t>
      </w:r>
      <w:r w:rsidR="00511AD7">
        <w:t>s</w:t>
      </w:r>
      <w:r>
        <w:t xml:space="preserve">ponsor considered these transient changes as minor differences that likely reflected individual biological variability and stated that in some animals predose levels of leukocytes and neutrophils were already high. As well, the </w:t>
      </w:r>
      <w:r w:rsidR="00511AD7">
        <w:t>s</w:t>
      </w:r>
      <w:r>
        <w:t xml:space="preserve">ponsor pointed to the fact that leukocyte and neutrophil levels in both adalimumab treated groups were comparable to controls by </w:t>
      </w:r>
      <w:r w:rsidR="00511AD7">
        <w:t>D</w:t>
      </w:r>
      <w:r>
        <w:t xml:space="preserve">ay 29 when serum AUC was </w:t>
      </w:r>
      <w:r w:rsidR="00511AD7" w:rsidRPr="00511AD7">
        <w:t xml:space="preserve">approximately </w:t>
      </w:r>
      <w:r>
        <w:t>2.5 fold higher than at the beginning of the study and so it was unlikely that these changes had a pharmacological basis. Furthermore, adalimumab</w:t>
      </w:r>
      <w:r w:rsidR="00511AD7">
        <w:t xml:space="preserve"> </w:t>
      </w:r>
      <w:r>
        <w:t xml:space="preserve">related changes to leukocyte or neutrophil counts are not documented in the approved Product Information document for </w:t>
      </w:r>
      <w:r w:rsidR="001E6DDC">
        <w:t>Humira</w:t>
      </w:r>
      <w:r w:rsidR="00511AD7">
        <w:t>, which the s</w:t>
      </w:r>
      <w:r>
        <w:t>ponsor pointed as evidence that the leukocyte and neutrophil findings were incidental.</w:t>
      </w:r>
    </w:p>
    <w:p w14:paraId="3F88B3D9" w14:textId="517AC3D4" w:rsidR="009650DF" w:rsidRDefault="009650DF" w:rsidP="00F4432B">
      <w:r>
        <w:t xml:space="preserve">Necropsy assessments did not uncover findings in the </w:t>
      </w:r>
      <w:r w:rsidR="00BF3E2C">
        <w:t xml:space="preserve">ABP 501 </w:t>
      </w:r>
      <w:r>
        <w:t xml:space="preserve">group that were distinct from </w:t>
      </w:r>
      <w:r w:rsidR="001E6DDC">
        <w:t>Humira</w:t>
      </w:r>
      <w:r>
        <w:t xml:space="preserve"> or placebo treated animals. There were no treatment</w:t>
      </w:r>
      <w:r w:rsidR="00BF3E2C">
        <w:t xml:space="preserve"> </w:t>
      </w:r>
      <w:r>
        <w:t>related differences in organ weights or gross findings. Histopathology findings showed mild to moderate decreases in germinal centre sizes of lymphoid tissues (axillary and mesenteric lymph nodes and tonsils) in all groups, which were higher in incidences in the ABP</w:t>
      </w:r>
      <w:r w:rsidR="00BF3E2C">
        <w:t xml:space="preserve"> </w:t>
      </w:r>
      <w:r>
        <w:t xml:space="preserve">501 and </w:t>
      </w:r>
      <w:r w:rsidR="001E6DDC">
        <w:t>Humira</w:t>
      </w:r>
      <w:r>
        <w:t xml:space="preserve"> groups. Evaluation of injection sites did not reveal test article reactions distinct from </w:t>
      </w:r>
      <w:r w:rsidR="001E6DDC">
        <w:t>Humira</w:t>
      </w:r>
      <w:r>
        <w:t xml:space="preserve"> or placebo treated groups. Anti-drug antibodies were not detected in any of the adalimumab-treated animals, but the </w:t>
      </w:r>
      <w:r w:rsidR="00511AD7">
        <w:t>s</w:t>
      </w:r>
      <w:r>
        <w:t>ponsor indicated that the detection method may have been affected by circulating levels of adalimumab and thus the findings are unlikely to reflect the immunogenic potential of ABP</w:t>
      </w:r>
      <w:r w:rsidR="00BF3E2C">
        <w:t xml:space="preserve"> </w:t>
      </w:r>
      <w:r>
        <w:t>501 under clinical use conditions. Indeed incidence of anti-ABP</w:t>
      </w:r>
      <w:r w:rsidR="00BF3E2C">
        <w:t xml:space="preserve"> </w:t>
      </w:r>
      <w:r>
        <w:t>501 antibody development in patients was similar to anti-</w:t>
      </w:r>
      <w:r w:rsidR="001E6DDC">
        <w:t>Humira</w:t>
      </w:r>
      <w:r>
        <w:t xml:space="preserve"> antibody development. Overall, in vivo toxicity studies did not identify any unexpected toxicity findings with </w:t>
      </w:r>
      <w:r w:rsidR="00B1353B">
        <w:t>ABP 5</w:t>
      </w:r>
      <w:r>
        <w:t xml:space="preserve">01 or any findings inconsistent to those seen with </w:t>
      </w:r>
      <w:r w:rsidR="001E6DDC">
        <w:t>Humira</w:t>
      </w:r>
      <w:r>
        <w:t>.</w:t>
      </w:r>
    </w:p>
    <w:p w14:paraId="7A6857BB" w14:textId="77777777" w:rsidR="009650DF" w:rsidRPr="00F4432B" w:rsidRDefault="009650DF" w:rsidP="00F4432B">
      <w:pPr>
        <w:pStyle w:val="Heading4"/>
      </w:pPr>
      <w:r>
        <w:t>Local tolerance</w:t>
      </w:r>
    </w:p>
    <w:p w14:paraId="0FFAA137" w14:textId="6DB78CB5" w:rsidR="009650DF" w:rsidRDefault="009650DF" w:rsidP="00F4432B">
      <w:r>
        <w:t>Local tolerance per se of ABP</w:t>
      </w:r>
      <w:r w:rsidR="00BF3E2C">
        <w:t xml:space="preserve"> </w:t>
      </w:r>
      <w:r>
        <w:t>501/</w:t>
      </w:r>
      <w:proofErr w:type="spellStart"/>
      <w:r w:rsidR="001E6DDC">
        <w:t>Amgevita</w:t>
      </w:r>
      <w:proofErr w:type="spellEnd"/>
      <w:r>
        <w:t xml:space="preserve"> at the SC injection site was not assessed, which is acceptable as per guideline</w:t>
      </w:r>
      <w:r w:rsidR="00BF3E2C">
        <w:t xml:space="preserve"> recommendation;</w:t>
      </w:r>
      <w:r w:rsidR="00D16E71">
        <w:rPr>
          <w:rStyle w:val="FootnoteReference"/>
        </w:rPr>
        <w:footnoteReference w:id="8"/>
      </w:r>
      <w:r>
        <w:t xml:space="preserve"> advising against such studies unless the product contains excipients for which there is limited experience or understanding with the clinical route. All excipients included in ABP</w:t>
      </w:r>
      <w:r w:rsidR="00BF3E2C">
        <w:t xml:space="preserve"> </w:t>
      </w:r>
      <w:r>
        <w:t>501/</w:t>
      </w:r>
      <w:proofErr w:type="spellStart"/>
      <w:r w:rsidR="001E6DDC">
        <w:t>Amgevita</w:t>
      </w:r>
      <w:proofErr w:type="spellEnd"/>
      <w:r>
        <w:t xml:space="preserve"> have an established history of use with the SC route. There were no adverse findings reported in either of the two monkey studies (up to 4 weeks treatment) which might suggest poor local tolerance of ABP</w:t>
      </w:r>
      <w:r w:rsidR="00BF3E2C">
        <w:t xml:space="preserve"> </w:t>
      </w:r>
      <w:r>
        <w:t>501 in the clinic.</w:t>
      </w:r>
    </w:p>
    <w:p w14:paraId="1D076D43" w14:textId="77777777" w:rsidR="009650DF" w:rsidRPr="00F4432B" w:rsidRDefault="009650DF" w:rsidP="00F4432B">
      <w:pPr>
        <w:pStyle w:val="Heading4"/>
      </w:pPr>
      <w:r>
        <w:t>Paediatric use</w:t>
      </w:r>
    </w:p>
    <w:p w14:paraId="40F7523F" w14:textId="2705E63E" w:rsidR="009650DF" w:rsidRPr="009650DF" w:rsidRDefault="009650DF" w:rsidP="00F4432B">
      <w:r>
        <w:t xml:space="preserve">As with </w:t>
      </w:r>
      <w:r w:rsidR="001E6DDC">
        <w:t>Humira</w:t>
      </w:r>
      <w:r w:rsidR="005602B8">
        <w:t>,</w:t>
      </w:r>
      <w:r>
        <w:t xml:space="preserve"> the </w:t>
      </w:r>
      <w:r w:rsidR="005602B8">
        <w:t>s</w:t>
      </w:r>
      <w:r>
        <w:t>ponsor has also proposed a number of paediatric indications (Crohn’s disease in children ≥ 6 years and juvenile idiopathic arthritis) for ABP</w:t>
      </w:r>
      <w:r w:rsidR="00BF3E2C">
        <w:t> </w:t>
      </w:r>
      <w:r>
        <w:t>501/</w:t>
      </w:r>
      <w:proofErr w:type="spellStart"/>
      <w:r w:rsidR="001E6DDC">
        <w:t>Amgevita</w:t>
      </w:r>
      <w:proofErr w:type="spellEnd"/>
      <w:r>
        <w:t>. There were no new nonclinical studies in juvenile animals. This is not considered a deficiency as the primary objective of the testing strategy for biosimilar substances is to establish comparability to the innovator biological substance, as outlined in the guideline for similar biological medicinal products containing monoclonal antibodies</w:t>
      </w:r>
      <w:r w:rsidR="00D16E71">
        <w:t>.</w:t>
      </w:r>
      <w:r w:rsidR="00D16E71">
        <w:rPr>
          <w:rStyle w:val="FootnoteReference"/>
        </w:rPr>
        <w:footnoteReference w:id="9"/>
      </w:r>
    </w:p>
    <w:p w14:paraId="6B1B097C" w14:textId="77777777" w:rsidR="008E7846" w:rsidRDefault="008E7846" w:rsidP="00A46675">
      <w:pPr>
        <w:pStyle w:val="Heading3"/>
      </w:pPr>
      <w:bookmarkStart w:id="58" w:name="_Toc247691515"/>
      <w:bookmarkStart w:id="59" w:name="_Toc314842499"/>
      <w:bookmarkStart w:id="60" w:name="_Toc519244653"/>
      <w:r>
        <w:t xml:space="preserve">Nonclinical summary </w:t>
      </w:r>
      <w:r w:rsidRPr="00A46675">
        <w:t>and</w:t>
      </w:r>
      <w:r>
        <w:t xml:space="preserve"> conclusions</w:t>
      </w:r>
      <w:bookmarkEnd w:id="58"/>
      <w:bookmarkEnd w:id="59"/>
      <w:bookmarkEnd w:id="60"/>
    </w:p>
    <w:p w14:paraId="0747C8A5" w14:textId="359DDCC9" w:rsidR="009650DF" w:rsidRDefault="009650DF" w:rsidP="00F4432B">
      <w:pPr>
        <w:pStyle w:val="ListBullet"/>
      </w:pPr>
      <w:r>
        <w:t>The scope of the nonclinical testing program was in general accordance with EU</w:t>
      </w:r>
      <w:r w:rsidR="00BF3E2C">
        <w:t> </w:t>
      </w:r>
      <w:r>
        <w:t>guidelines on similar biological medicines. Data consisted of comparative studies on the pharmacology and toxicity of biosimilar adalimumab (ABP</w:t>
      </w:r>
      <w:r w:rsidR="00BF3E2C">
        <w:t xml:space="preserve"> </w:t>
      </w:r>
      <w:r>
        <w:t xml:space="preserve">501) against comparators </w:t>
      </w:r>
      <w:r w:rsidR="0093757C">
        <w:t>EU</w:t>
      </w:r>
      <w:r>
        <w:t xml:space="preserve"> and </w:t>
      </w:r>
      <w:r w:rsidR="0093757C">
        <w:t xml:space="preserve">US </w:t>
      </w:r>
      <w:r>
        <w:t xml:space="preserve">sourced </w:t>
      </w:r>
      <w:r w:rsidR="001E6DDC">
        <w:t>Humira</w:t>
      </w:r>
      <w:r>
        <w:t>.</w:t>
      </w:r>
    </w:p>
    <w:p w14:paraId="67E91950" w14:textId="36AEFFD8" w:rsidR="009650DF" w:rsidRDefault="009650DF" w:rsidP="00F4432B">
      <w:pPr>
        <w:pStyle w:val="ListBullet"/>
      </w:pPr>
      <w:r>
        <w:t>Pharmacological activity of ABP</w:t>
      </w:r>
      <w:r w:rsidR="00BF3E2C">
        <w:t xml:space="preserve"> </w:t>
      </w:r>
      <w:r>
        <w:t xml:space="preserve">501, as assessed in a series of in vitro binding and functional assays, was generally comparable to </w:t>
      </w:r>
      <w:r w:rsidR="001E6DDC">
        <w:t>Humira</w:t>
      </w:r>
      <w:r>
        <w:t xml:space="preserve"> comparators. In response to a question</w:t>
      </w:r>
      <w:r w:rsidR="005602B8">
        <w:t>,</w:t>
      </w:r>
      <w:r>
        <w:t xml:space="preserve"> new data showed apoptotic activity ascribed to reverse signalling (potentially relevant to extrapolation of IBD indications) by ABP</w:t>
      </w:r>
      <w:r w:rsidR="00B42CBE">
        <w:t xml:space="preserve"> </w:t>
      </w:r>
      <w:r>
        <w:t xml:space="preserve">501 were comparable to </w:t>
      </w:r>
      <w:r w:rsidR="001E6DDC">
        <w:t>Humira</w:t>
      </w:r>
      <w:r>
        <w:t xml:space="preserve"> comparators. A few subtle differences for some of the characteristics were likely limitations of the study designs per se, rather than a reflection of pharmacologically relevant differences between the biosimilar and </w:t>
      </w:r>
      <w:r w:rsidR="001E6DDC">
        <w:t>Humira</w:t>
      </w:r>
      <w:r>
        <w:t xml:space="preserve"> comparators.</w:t>
      </w:r>
    </w:p>
    <w:p w14:paraId="747CF4D1" w14:textId="3A2E1170" w:rsidR="009650DF" w:rsidRDefault="009650DF" w:rsidP="00F4432B">
      <w:pPr>
        <w:pStyle w:val="ListBullet"/>
      </w:pPr>
      <w:r>
        <w:t>Four week GLP comparative toxicity studies were conducted in cynomolgus monkeys using the clinical (SC) route. An initial study was terminated early due to study design flaws. A second study used a higher dose of adalimumab (as ABP</w:t>
      </w:r>
      <w:r w:rsidR="00806644">
        <w:t xml:space="preserve"> </w:t>
      </w:r>
      <w:r>
        <w:t xml:space="preserve">501 or </w:t>
      </w:r>
      <w:proofErr w:type="gramStart"/>
      <w:r w:rsidR="00511AD7">
        <w:t>US</w:t>
      </w:r>
      <w:proofErr w:type="gramEnd"/>
      <w:r w:rsidR="00511AD7">
        <w:t xml:space="preserve"> sourced</w:t>
      </w:r>
      <w:r>
        <w:t xml:space="preserve"> </w:t>
      </w:r>
      <w:r w:rsidR="001E6DDC">
        <w:t>Humira</w:t>
      </w:r>
      <w:r>
        <w:t>) and attained high multiples of human exposure (at least 75 times the clinical exposure based on serum AUC comparisons). The study did not identify any unexpected toxicity findings with ABP</w:t>
      </w:r>
      <w:r w:rsidR="00806644">
        <w:t xml:space="preserve"> </w:t>
      </w:r>
      <w:r>
        <w:t xml:space="preserve">501 or findings inconsistent with those seen with </w:t>
      </w:r>
      <w:r w:rsidR="001E6DDC">
        <w:t>Humira</w:t>
      </w:r>
      <w:r>
        <w:t>. Toxicokinetic parameters were comparable between the biosimilar and comparator. There were no adverse findings in monkeys that indicated poor local tolerance of ABP</w:t>
      </w:r>
      <w:r w:rsidR="00806644">
        <w:t xml:space="preserve"> </w:t>
      </w:r>
      <w:r>
        <w:t>501.</w:t>
      </w:r>
    </w:p>
    <w:p w14:paraId="78C8DF32" w14:textId="4680EB9B" w:rsidR="009650DF" w:rsidRDefault="009650DF" w:rsidP="00F4432B">
      <w:pPr>
        <w:pStyle w:val="ListBullet"/>
      </w:pPr>
      <w:r>
        <w:t>Based on nonclinical studies submitted and addition</w:t>
      </w:r>
      <w:r w:rsidR="005602B8">
        <w:t>al information provided by the s</w:t>
      </w:r>
      <w:r>
        <w:t>ponsor in response to questions a</w:t>
      </w:r>
      <w:r w:rsidR="005602B8">
        <w:t>fter the second round evaluation</w:t>
      </w:r>
      <w:r>
        <w:t xml:space="preserve">, all major concerns identified in the </w:t>
      </w:r>
      <w:r w:rsidR="005602B8">
        <w:t>two rounds of</w:t>
      </w:r>
      <w:r>
        <w:t xml:space="preserve"> nonclinical reports have been resolved. Nonclinical demonstration of comparative in vitro pharmacology, toxicokinetics and toxicity findings between ABP</w:t>
      </w:r>
      <w:r w:rsidR="00C65910">
        <w:t xml:space="preserve"> </w:t>
      </w:r>
      <w:r>
        <w:t xml:space="preserve">501 and EU and </w:t>
      </w:r>
      <w:r w:rsidR="00511AD7">
        <w:t>US sourced</w:t>
      </w:r>
      <w:r>
        <w:t xml:space="preserve"> </w:t>
      </w:r>
      <w:r w:rsidR="001E6DDC">
        <w:t>Humira</w:t>
      </w:r>
      <w:r>
        <w:t xml:space="preserve"> are generally acceptable and there are no nonclinical objections to registration.</w:t>
      </w:r>
    </w:p>
    <w:p w14:paraId="4D27894F" w14:textId="77777777" w:rsidR="009650DF" w:rsidRPr="009650DF" w:rsidRDefault="005602B8" w:rsidP="00A46675">
      <w:pPr>
        <w:pStyle w:val="ListBullet"/>
      </w:pPr>
      <w:r>
        <w:t xml:space="preserve">Amendments to the </w:t>
      </w:r>
      <w:r w:rsidR="009650DF">
        <w:t xml:space="preserve">draft Product Information </w:t>
      </w:r>
      <w:r>
        <w:t xml:space="preserve">were recommended to the Delegate but the details of these are outside </w:t>
      </w:r>
      <w:r w:rsidRPr="00A46675">
        <w:t>the</w:t>
      </w:r>
      <w:r>
        <w:t xml:space="preserve"> scope of this AusPAR</w:t>
      </w:r>
      <w:r w:rsidR="009650DF">
        <w:t>.</w:t>
      </w:r>
    </w:p>
    <w:p w14:paraId="00CB7731" w14:textId="77777777" w:rsidR="008E7846" w:rsidRPr="00254787" w:rsidRDefault="008E7846" w:rsidP="00A46675">
      <w:pPr>
        <w:pStyle w:val="Heading2"/>
      </w:pPr>
      <w:bookmarkStart w:id="61" w:name="_Toc196046462"/>
      <w:bookmarkStart w:id="62" w:name="_Toc247691516"/>
      <w:bookmarkStart w:id="63" w:name="_Toc314842500"/>
      <w:bookmarkStart w:id="64" w:name="_Toc163441353"/>
      <w:bookmarkStart w:id="65" w:name="_Toc163441348"/>
      <w:bookmarkStart w:id="66" w:name="_Toc519244654"/>
      <w:r>
        <w:t xml:space="preserve">V. </w:t>
      </w:r>
      <w:r w:rsidRPr="00254787">
        <w:t>Clinical</w:t>
      </w:r>
      <w:bookmarkEnd w:id="61"/>
      <w:r>
        <w:t xml:space="preserve"> </w:t>
      </w:r>
      <w:r w:rsidR="003A7F6C">
        <w:t>f</w:t>
      </w:r>
      <w:r>
        <w:t>indings</w:t>
      </w:r>
      <w:bookmarkEnd w:id="62"/>
      <w:bookmarkEnd w:id="63"/>
      <w:bookmarkEnd w:id="66"/>
    </w:p>
    <w:p w14:paraId="18A83DF6" w14:textId="77777777" w:rsidR="00C80137" w:rsidRDefault="00C80137" w:rsidP="00D425BB">
      <w:bookmarkStart w:id="67"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095DD1D3" w14:textId="77777777" w:rsidR="008E7846" w:rsidRDefault="008E7846" w:rsidP="00A46675">
      <w:pPr>
        <w:pStyle w:val="Heading3"/>
      </w:pPr>
      <w:bookmarkStart w:id="68" w:name="_Toc247691517"/>
      <w:bookmarkStart w:id="69" w:name="_Toc314842501"/>
      <w:bookmarkStart w:id="70" w:name="_Toc519244655"/>
      <w:r w:rsidRPr="00A46675">
        <w:t>Introduction</w:t>
      </w:r>
      <w:bookmarkEnd w:id="67"/>
      <w:bookmarkEnd w:id="68"/>
      <w:bookmarkEnd w:id="69"/>
      <w:bookmarkEnd w:id="70"/>
    </w:p>
    <w:p w14:paraId="6F474741" w14:textId="77777777" w:rsidR="006C285D" w:rsidRDefault="006C285D" w:rsidP="00F4432B">
      <w:pPr>
        <w:pStyle w:val="Heading4"/>
      </w:pPr>
      <w:r>
        <w:t>Evaluator’s commentary on the background information</w:t>
      </w:r>
    </w:p>
    <w:p w14:paraId="1C8588A1" w14:textId="5ADB8128" w:rsidR="006C285D" w:rsidRDefault="006C285D" w:rsidP="00F4432B">
      <w:pPr>
        <w:pStyle w:val="Heading5"/>
      </w:pPr>
      <w:r>
        <w:t>Lack of</w:t>
      </w:r>
      <w:r w:rsidR="00C65910">
        <w:t xml:space="preserve"> a</w:t>
      </w:r>
      <w:r>
        <w:t xml:space="preserve"> 10 mg presentation</w:t>
      </w:r>
    </w:p>
    <w:p w14:paraId="49D75C08" w14:textId="77777777" w:rsidR="006C285D" w:rsidRDefault="006C285D" w:rsidP="00A46675">
      <w:r>
        <w:t xml:space="preserve">There are paediatric subgroups within the proposed indications for which there is no appropriate dosage form of </w:t>
      </w:r>
      <w:proofErr w:type="spellStart"/>
      <w:r w:rsidR="001E6DDC">
        <w:t>Amgevita</w:t>
      </w:r>
      <w:proofErr w:type="spellEnd"/>
      <w:r>
        <w:t>:</w:t>
      </w:r>
    </w:p>
    <w:p w14:paraId="65F28D0D" w14:textId="5BA0411C" w:rsidR="006C285D" w:rsidRPr="00A46675" w:rsidRDefault="006C285D" w:rsidP="00A46675">
      <w:pPr>
        <w:pStyle w:val="ListBullet"/>
      </w:pPr>
      <w:r>
        <w:t xml:space="preserve">For the Crohn’s </w:t>
      </w:r>
      <w:r w:rsidR="00C65910">
        <w:t xml:space="preserve">disease </w:t>
      </w:r>
      <w:r w:rsidR="005602B8">
        <w:t xml:space="preserve">(CD) </w:t>
      </w:r>
      <w:r>
        <w:t>indication, for paediatric patients with moderate CD, use will be restricted to patients 40</w:t>
      </w:r>
      <w:r w:rsidR="005602B8">
        <w:t xml:space="preserve"> </w:t>
      </w:r>
      <w:r>
        <w:t>kg and over, as there is no 1</w:t>
      </w:r>
      <w:r w:rsidR="00C3267F">
        <w:t>0 mg</w:t>
      </w:r>
      <w:r>
        <w:t xml:space="preserve"> presentation.</w:t>
      </w:r>
      <w:r w:rsidR="005602B8">
        <w:t xml:space="preserve"> </w:t>
      </w:r>
      <w:r>
        <w:t xml:space="preserve">Paediatric patients with severe CD require 20 mg maintenance doses fortnightly and can be accommodated with </w:t>
      </w:r>
      <w:proofErr w:type="spellStart"/>
      <w:r w:rsidR="001E6DDC" w:rsidRPr="00A46675">
        <w:t>Amgevita</w:t>
      </w:r>
      <w:proofErr w:type="spellEnd"/>
      <w:r w:rsidRPr="00A46675">
        <w:t>.</w:t>
      </w:r>
    </w:p>
    <w:p w14:paraId="251A0603" w14:textId="55537355" w:rsidR="006C285D" w:rsidRDefault="006C285D" w:rsidP="00A46675">
      <w:pPr>
        <w:pStyle w:val="ListBullet"/>
      </w:pPr>
      <w:r w:rsidRPr="00A46675">
        <w:t xml:space="preserve">For the </w:t>
      </w:r>
      <w:proofErr w:type="spellStart"/>
      <w:r w:rsidR="00C65910" w:rsidRPr="00A46675">
        <w:t>polyarticular</w:t>
      </w:r>
      <w:proofErr w:type="spellEnd"/>
      <w:r w:rsidR="00C65910" w:rsidRPr="00A46675">
        <w:t xml:space="preserve"> juvenile idiopathic arthritis indication, </w:t>
      </w:r>
      <w:r w:rsidRPr="00A46675">
        <w:t>the use will be restricted to patients 15</w:t>
      </w:r>
      <w:r w:rsidR="005602B8" w:rsidRPr="00A46675">
        <w:t xml:space="preserve"> </w:t>
      </w:r>
      <w:r w:rsidRPr="00A46675">
        <w:t>kg and over, as there is no</w:t>
      </w:r>
      <w:r>
        <w:t xml:space="preserve"> 10 mg presentation.</w:t>
      </w:r>
    </w:p>
    <w:p w14:paraId="72657635" w14:textId="77777777" w:rsidR="006C285D" w:rsidRDefault="006C285D" w:rsidP="006C285D">
      <w:r>
        <w:t>This is not currently reflected in the indication wording, but relevant statements are present in the proposed PI document.</w:t>
      </w:r>
    </w:p>
    <w:p w14:paraId="3974B648" w14:textId="77777777" w:rsidR="006C285D" w:rsidRDefault="006C285D" w:rsidP="00F4432B">
      <w:pPr>
        <w:pStyle w:val="Heading5"/>
      </w:pPr>
      <w:r>
        <w:t>Alignment with indications of the reference product</w:t>
      </w:r>
    </w:p>
    <w:p w14:paraId="4D81B8B4" w14:textId="77777777" w:rsidR="006C285D" w:rsidRDefault="006C285D" w:rsidP="006C285D">
      <w:r>
        <w:t xml:space="preserve">The sponsor states that the indications sought are fully aligned with those registered for </w:t>
      </w:r>
      <w:r w:rsidR="001E6DDC">
        <w:t>Humira</w:t>
      </w:r>
      <w:r>
        <w:t xml:space="preserve"> in Australia. However, hidradenitis </w:t>
      </w:r>
      <w:proofErr w:type="spellStart"/>
      <w:r>
        <w:t>suppurativa</w:t>
      </w:r>
      <w:proofErr w:type="spellEnd"/>
      <w:r>
        <w:t xml:space="preserve">, currently approved for the reference product </w:t>
      </w:r>
      <w:r w:rsidR="001E6DDC">
        <w:t>Humira</w:t>
      </w:r>
      <w:r>
        <w:t xml:space="preserve"> as one of the indications, is not listed. The sponsor should be invited to align the indications of </w:t>
      </w:r>
      <w:proofErr w:type="spellStart"/>
      <w:r w:rsidR="001E6DDC">
        <w:t>Amgevita</w:t>
      </w:r>
      <w:proofErr w:type="spellEnd"/>
      <w:r>
        <w:t xml:space="preserve"> with the indications of the reference product.</w:t>
      </w:r>
    </w:p>
    <w:p w14:paraId="0497B559" w14:textId="77777777" w:rsidR="006C285D" w:rsidRDefault="006C285D" w:rsidP="00F4432B">
      <w:pPr>
        <w:pStyle w:val="Heading5"/>
      </w:pPr>
      <w:r>
        <w:t>Extrapolation of indications</w:t>
      </w:r>
    </w:p>
    <w:p w14:paraId="4B14D6A5" w14:textId="7D7C5B3E" w:rsidR="006C285D" w:rsidRDefault="006C285D" w:rsidP="006C285D">
      <w:r>
        <w:t>The sponsor has conducted equivalence trials in rheumatoid arthritis and psoriasis patients only. The sponsor has proposed the extrapolation indications and provided a justification for this.</w:t>
      </w:r>
    </w:p>
    <w:p w14:paraId="797B646F" w14:textId="77777777" w:rsidR="006C285D" w:rsidRDefault="006C285D" w:rsidP="00F4432B">
      <w:pPr>
        <w:pStyle w:val="Heading5"/>
      </w:pPr>
      <w:r>
        <w:t>Reference product sourcing</w:t>
      </w:r>
    </w:p>
    <w:p w14:paraId="0DC8F721" w14:textId="64A7595F" w:rsidR="006C285D" w:rsidRPr="006C285D" w:rsidRDefault="006C285D" w:rsidP="006C285D">
      <w:r>
        <w:t xml:space="preserve">The </w:t>
      </w:r>
      <w:r w:rsidR="001E6DDC">
        <w:t>Humira</w:t>
      </w:r>
      <w:r>
        <w:t xml:space="preserve"> reference products used in the three bioequivalence studies were sourced either in the EU or in the US. A full justification demonstrating that </w:t>
      </w:r>
      <w:r w:rsidR="001E6DDC">
        <w:t>Humira</w:t>
      </w:r>
      <w:r>
        <w:t xml:space="preserve"> available in Australia is comparable to </w:t>
      </w:r>
      <w:r w:rsidR="001E6DDC">
        <w:t>Humira</w:t>
      </w:r>
      <w:r>
        <w:t xml:space="preserve"> available in the EU and US </w:t>
      </w:r>
      <w:r w:rsidR="0023705B">
        <w:t>wa</w:t>
      </w:r>
      <w:r>
        <w:t>s provided by the sponsor</w:t>
      </w:r>
      <w:r w:rsidR="0023705B">
        <w:t xml:space="preserve"> and </w:t>
      </w:r>
      <w:r>
        <w:t>evaluated.</w:t>
      </w:r>
    </w:p>
    <w:p w14:paraId="71BD69C1" w14:textId="77777777" w:rsidR="00605AD4" w:rsidRDefault="00605AD4" w:rsidP="00605AD4">
      <w:pPr>
        <w:pStyle w:val="Heading4"/>
      </w:pPr>
      <w:bookmarkStart w:id="71" w:name="_Toc196046464"/>
      <w:bookmarkStart w:id="72" w:name="_Toc247691518"/>
      <w:bookmarkStart w:id="73" w:name="_Toc314842502"/>
      <w:r w:rsidRPr="006732B3">
        <w:t xml:space="preserve">Clinical </w:t>
      </w:r>
      <w:r w:rsidR="00EF59DC" w:rsidRPr="006732B3">
        <w:t>r</w:t>
      </w:r>
      <w:r w:rsidRPr="006732B3">
        <w:t>ationale</w:t>
      </w:r>
    </w:p>
    <w:p w14:paraId="0A8EF6DF" w14:textId="355AA97F" w:rsidR="006732B3" w:rsidRDefault="006732B3" w:rsidP="006732B3">
      <w:pPr>
        <w:rPr>
          <w:lang w:eastAsia="ja-JP"/>
        </w:rPr>
      </w:pPr>
      <w:r>
        <w:rPr>
          <w:lang w:eastAsia="ja-JP"/>
        </w:rPr>
        <w:t>ABP 501 (</w:t>
      </w:r>
      <w:proofErr w:type="spellStart"/>
      <w:r>
        <w:rPr>
          <w:lang w:eastAsia="ja-JP"/>
        </w:rPr>
        <w:t>Amgevita</w:t>
      </w:r>
      <w:proofErr w:type="spellEnd"/>
      <w:r>
        <w:rPr>
          <w:lang w:eastAsia="ja-JP"/>
        </w:rPr>
        <w:t>)</w:t>
      </w:r>
      <w:r w:rsidRPr="004E5045">
        <w:rPr>
          <w:lang w:eastAsia="ja-JP"/>
        </w:rPr>
        <w:t xml:space="preserve"> has been developed by </w:t>
      </w:r>
      <w:r w:rsidR="00C65910">
        <w:rPr>
          <w:lang w:eastAsia="ja-JP"/>
        </w:rPr>
        <w:t xml:space="preserve">the sponsor </w:t>
      </w:r>
      <w:r w:rsidRPr="004E5045">
        <w:rPr>
          <w:lang w:eastAsia="ja-JP"/>
        </w:rPr>
        <w:t xml:space="preserve">as a similar biological product to </w:t>
      </w:r>
      <w:r>
        <w:rPr>
          <w:lang w:eastAsia="ja-JP"/>
        </w:rPr>
        <w:t>the reference product Humira. It can serve as an alternative to the reference product, if found to be biosimilar.</w:t>
      </w:r>
    </w:p>
    <w:p w14:paraId="29A16FE7" w14:textId="77777777" w:rsidR="00605AD4" w:rsidRDefault="00605AD4" w:rsidP="00605AD4">
      <w:pPr>
        <w:pStyle w:val="Heading4"/>
      </w:pPr>
      <w:r w:rsidRPr="00D16E71">
        <w:t>Guidance</w:t>
      </w:r>
    </w:p>
    <w:p w14:paraId="314EAECF" w14:textId="356C776A" w:rsidR="00D16E71" w:rsidRDefault="00D16E71" w:rsidP="00D16E71">
      <w:pPr>
        <w:rPr>
          <w:lang w:eastAsia="ja-JP"/>
        </w:rPr>
      </w:pPr>
      <w:r>
        <w:rPr>
          <w:lang w:eastAsia="ja-JP"/>
        </w:rPr>
        <w:t>The following guidelines have been considered in relation to this submission</w:t>
      </w:r>
      <w:r w:rsidR="00C65910">
        <w:rPr>
          <w:lang w:eastAsia="ja-JP"/>
        </w:rPr>
        <w:t>.</w:t>
      </w:r>
    </w:p>
    <w:p w14:paraId="32951663" w14:textId="1D2DF1BB" w:rsidR="00D16E71" w:rsidRDefault="00D16E71" w:rsidP="00D16E71">
      <w:pPr>
        <w:pStyle w:val="Heading5"/>
        <w:rPr>
          <w:lang w:eastAsia="ja-JP"/>
        </w:rPr>
      </w:pPr>
      <w:r>
        <w:rPr>
          <w:lang w:eastAsia="ja-JP"/>
        </w:rPr>
        <w:t>General guidelines</w:t>
      </w:r>
    </w:p>
    <w:p w14:paraId="1C88AFFB" w14:textId="2417B46B" w:rsidR="00D16E71" w:rsidRDefault="00D16E71" w:rsidP="00F3436E">
      <w:pPr>
        <w:pStyle w:val="ListBullet"/>
        <w:rPr>
          <w:lang w:eastAsia="ja-JP"/>
        </w:rPr>
      </w:pPr>
      <w:r>
        <w:rPr>
          <w:lang w:eastAsia="ja-JP"/>
        </w:rPr>
        <w:t>CPMP/ICH/135/95 with TGA comments</w:t>
      </w:r>
      <w:r w:rsidR="00C65910">
        <w:rPr>
          <w:lang w:eastAsia="ja-JP"/>
        </w:rPr>
        <w:t>;</w:t>
      </w:r>
      <w:r>
        <w:rPr>
          <w:lang w:eastAsia="ja-JP"/>
        </w:rPr>
        <w:t xml:space="preserve"> Note for guidance on </w:t>
      </w:r>
      <w:r w:rsidR="00C65910">
        <w:rPr>
          <w:lang w:eastAsia="ja-JP"/>
        </w:rPr>
        <w:t xml:space="preserve">Good Clinical Practice </w:t>
      </w:r>
      <w:r>
        <w:rPr>
          <w:lang w:eastAsia="ja-JP"/>
        </w:rPr>
        <w:t xml:space="preserve">(CPMP/ICH/135/95 </w:t>
      </w:r>
      <w:r w:rsidR="00C65910">
        <w:rPr>
          <w:lang w:eastAsia="ja-JP"/>
        </w:rPr>
        <w:t>a</w:t>
      </w:r>
      <w:r>
        <w:rPr>
          <w:lang w:eastAsia="ja-JP"/>
        </w:rPr>
        <w:t>nnotated with TGA comments)</w:t>
      </w:r>
    </w:p>
    <w:p w14:paraId="42D3E5C2" w14:textId="77777777" w:rsidR="00D16E71" w:rsidRDefault="00D16E71" w:rsidP="00D16E71">
      <w:pPr>
        <w:pStyle w:val="Heading5"/>
        <w:rPr>
          <w:lang w:eastAsia="ja-JP"/>
        </w:rPr>
      </w:pPr>
      <w:r>
        <w:rPr>
          <w:lang w:eastAsia="ja-JP"/>
        </w:rPr>
        <w:t>Guidelines regarding similar biological medicinal products</w:t>
      </w:r>
    </w:p>
    <w:p w14:paraId="56221872" w14:textId="77777777" w:rsidR="00D16E71" w:rsidRDefault="00D16E71" w:rsidP="00D16E71">
      <w:pPr>
        <w:pStyle w:val="Heading6"/>
        <w:rPr>
          <w:lang w:eastAsia="ja-JP"/>
        </w:rPr>
      </w:pPr>
      <w:r>
        <w:rPr>
          <w:lang w:eastAsia="ja-JP"/>
        </w:rPr>
        <w:t>Regulation of biosimilar medicines</w:t>
      </w:r>
    </w:p>
    <w:p w14:paraId="7510A680" w14:textId="77777777" w:rsidR="00D16E71" w:rsidRDefault="00D16E71" w:rsidP="00F3436E">
      <w:pPr>
        <w:pStyle w:val="ListBullet"/>
        <w:rPr>
          <w:lang w:eastAsia="ja-JP"/>
        </w:rPr>
      </w:pPr>
      <w:r>
        <w:rPr>
          <w:lang w:eastAsia="ja-JP"/>
        </w:rPr>
        <w:t>TGA guidance on regulation of biosimilar medicines, Version 2.0, December 2015</w:t>
      </w:r>
    </w:p>
    <w:p w14:paraId="1AD07B95" w14:textId="5DF52558" w:rsidR="00D16E71" w:rsidRDefault="00D16E71" w:rsidP="00F3436E">
      <w:pPr>
        <w:pStyle w:val="ListBullet"/>
        <w:rPr>
          <w:lang w:eastAsia="ja-JP"/>
        </w:rPr>
      </w:pPr>
      <w:r>
        <w:rPr>
          <w:lang w:eastAsia="ja-JP"/>
        </w:rPr>
        <w:t>CHMP/437/04 Rev 1</w:t>
      </w:r>
      <w:r w:rsidR="00C65910">
        <w:rPr>
          <w:lang w:eastAsia="ja-JP"/>
        </w:rPr>
        <w:t xml:space="preserve"> </w:t>
      </w:r>
      <w:r>
        <w:rPr>
          <w:lang w:eastAsia="ja-JP"/>
        </w:rPr>
        <w:t>Guideline on similar biological medicinal products</w:t>
      </w:r>
    </w:p>
    <w:p w14:paraId="4B21B901" w14:textId="75815544" w:rsidR="00D16E71" w:rsidRDefault="00D16E71" w:rsidP="00F3436E">
      <w:pPr>
        <w:pStyle w:val="ListBullet"/>
        <w:rPr>
          <w:lang w:eastAsia="ja-JP"/>
        </w:rPr>
      </w:pPr>
      <w:r>
        <w:rPr>
          <w:lang w:eastAsia="ja-JP"/>
        </w:rPr>
        <w:t>EMEA/CHMP/BMWP/42832/2005 Rev</w:t>
      </w:r>
      <w:r w:rsidR="00C65910">
        <w:rPr>
          <w:lang w:eastAsia="ja-JP"/>
        </w:rPr>
        <w:t xml:space="preserve"> </w:t>
      </w:r>
      <w:r>
        <w:rPr>
          <w:lang w:eastAsia="ja-JP"/>
        </w:rPr>
        <w:t>1 Guideline on similar biological medicinal products containing biotechnology-derived proteins as active substance: non-clinical and clinical issues</w:t>
      </w:r>
    </w:p>
    <w:p w14:paraId="67C325D7" w14:textId="20A68274" w:rsidR="00D16E71" w:rsidRDefault="00D16E71" w:rsidP="00F3436E">
      <w:pPr>
        <w:pStyle w:val="ListBullet"/>
        <w:rPr>
          <w:lang w:eastAsia="ja-JP"/>
        </w:rPr>
      </w:pPr>
      <w:r>
        <w:rPr>
          <w:lang w:eastAsia="ja-JP"/>
        </w:rPr>
        <w:t xml:space="preserve">EMA/CHMP/BWP/247713/2012 </w:t>
      </w:r>
      <w:r w:rsidR="00CD3796">
        <w:rPr>
          <w:lang w:eastAsia="ja-JP"/>
        </w:rPr>
        <w:t xml:space="preserve">Rev 1 </w:t>
      </w:r>
      <w:r>
        <w:rPr>
          <w:lang w:eastAsia="ja-JP"/>
        </w:rPr>
        <w:t>Guideline on similar biological medicinal products containing biotechnology-derived proteins as active substance: quality issues</w:t>
      </w:r>
    </w:p>
    <w:p w14:paraId="448F9813" w14:textId="2EE75BAE" w:rsidR="00D16E71" w:rsidRDefault="00D16E71" w:rsidP="00F3436E">
      <w:pPr>
        <w:pStyle w:val="ListBullet"/>
        <w:rPr>
          <w:lang w:eastAsia="ja-JP"/>
        </w:rPr>
      </w:pPr>
      <w:r>
        <w:rPr>
          <w:lang w:eastAsia="ja-JP"/>
        </w:rPr>
        <w:t>EMA/CHMP/BMWP/403543/2010 Guideline on similar biological medicinal products containing monoclonal antibodies</w:t>
      </w:r>
      <w:r w:rsidR="00CD3796">
        <w:rPr>
          <w:lang w:eastAsia="ja-JP"/>
        </w:rPr>
        <w:t xml:space="preserve">: </w:t>
      </w:r>
      <w:r>
        <w:rPr>
          <w:lang w:eastAsia="ja-JP"/>
        </w:rPr>
        <w:t>non-clinical and clinical issues</w:t>
      </w:r>
    </w:p>
    <w:p w14:paraId="53C9EB1D" w14:textId="665737FC" w:rsidR="00D16E71" w:rsidRDefault="00D16E71" w:rsidP="00F3436E">
      <w:pPr>
        <w:pStyle w:val="ListBullet"/>
        <w:rPr>
          <w:lang w:eastAsia="ja-JP"/>
        </w:rPr>
      </w:pPr>
      <w:r>
        <w:rPr>
          <w:lang w:eastAsia="ja-JP"/>
        </w:rPr>
        <w:t>CPMP/EWP/QWP/1401/98 Rev 1/</w:t>
      </w:r>
      <w:proofErr w:type="spellStart"/>
      <w:r w:rsidR="002B65C3">
        <w:rPr>
          <w:lang w:eastAsia="ja-JP"/>
        </w:rPr>
        <w:t>c</w:t>
      </w:r>
      <w:r>
        <w:rPr>
          <w:lang w:eastAsia="ja-JP"/>
        </w:rPr>
        <w:t>orr</w:t>
      </w:r>
      <w:proofErr w:type="spellEnd"/>
      <w:r>
        <w:rPr>
          <w:lang w:eastAsia="ja-JP"/>
        </w:rPr>
        <w:t xml:space="preserve">** Guideline on the </w:t>
      </w:r>
      <w:r w:rsidR="00CD3796">
        <w:rPr>
          <w:lang w:eastAsia="ja-JP"/>
        </w:rPr>
        <w:t xml:space="preserve">investigation </w:t>
      </w:r>
      <w:r>
        <w:rPr>
          <w:lang w:eastAsia="ja-JP"/>
        </w:rPr>
        <w:t xml:space="preserve">of </w:t>
      </w:r>
      <w:r w:rsidR="00CD3796">
        <w:rPr>
          <w:lang w:eastAsia="ja-JP"/>
        </w:rPr>
        <w:t>bioequivalence</w:t>
      </w:r>
    </w:p>
    <w:p w14:paraId="044DAC0D" w14:textId="77777777" w:rsidR="00D16E71" w:rsidRDefault="00D16E71" w:rsidP="00F3436E">
      <w:pPr>
        <w:pStyle w:val="Heading6"/>
        <w:rPr>
          <w:lang w:eastAsia="ja-JP"/>
        </w:rPr>
      </w:pPr>
      <w:r>
        <w:rPr>
          <w:lang w:eastAsia="ja-JP"/>
        </w:rPr>
        <w:t>General guidelines regarding biological medicinal products/therapeutic proteins</w:t>
      </w:r>
    </w:p>
    <w:p w14:paraId="32CE3382" w14:textId="49DB9D5D" w:rsidR="00D16E71" w:rsidRDefault="00D16E71" w:rsidP="00F3436E">
      <w:pPr>
        <w:pStyle w:val="ListBullet"/>
        <w:rPr>
          <w:lang w:eastAsia="ja-JP"/>
        </w:rPr>
      </w:pPr>
      <w:r>
        <w:rPr>
          <w:lang w:eastAsia="ja-JP"/>
        </w:rPr>
        <w:t>EMEA/CHMP/BMWP/101695/2006</w:t>
      </w:r>
      <w:r w:rsidR="00F3436E">
        <w:rPr>
          <w:lang w:eastAsia="ja-JP"/>
        </w:rPr>
        <w:t xml:space="preserve"> </w:t>
      </w:r>
      <w:r>
        <w:rPr>
          <w:lang w:eastAsia="ja-JP"/>
        </w:rPr>
        <w:t xml:space="preserve">Guideline on </w:t>
      </w:r>
      <w:r w:rsidR="00CD3796">
        <w:rPr>
          <w:lang w:eastAsia="ja-JP"/>
        </w:rPr>
        <w:t>comparability of biotechnology</w:t>
      </w:r>
      <w:r w:rsidR="002B65C3">
        <w:rPr>
          <w:lang w:eastAsia="ja-JP"/>
        </w:rPr>
        <w:noBreakHyphen/>
      </w:r>
      <w:r w:rsidR="00CD3796">
        <w:rPr>
          <w:lang w:eastAsia="ja-JP"/>
        </w:rPr>
        <w:t>derived medicinal products after a change in the manufacturing process: non-clinical and clinical issues</w:t>
      </w:r>
    </w:p>
    <w:p w14:paraId="2B9AD254" w14:textId="20F3D5DB" w:rsidR="00D16E71" w:rsidRDefault="00D16E71" w:rsidP="00F3436E">
      <w:pPr>
        <w:pStyle w:val="ListBullet"/>
        <w:rPr>
          <w:lang w:eastAsia="ja-JP"/>
        </w:rPr>
      </w:pPr>
      <w:r>
        <w:rPr>
          <w:lang w:eastAsia="ja-JP"/>
        </w:rPr>
        <w:t>EMEA/CHMP/BMWP/14327/2006</w:t>
      </w:r>
      <w:r w:rsidR="00F3436E">
        <w:rPr>
          <w:lang w:eastAsia="ja-JP"/>
        </w:rPr>
        <w:t xml:space="preserve"> </w:t>
      </w:r>
      <w:r>
        <w:rPr>
          <w:lang w:eastAsia="ja-JP"/>
        </w:rPr>
        <w:t xml:space="preserve">Guideline on </w:t>
      </w:r>
      <w:r w:rsidR="002B65C3">
        <w:rPr>
          <w:lang w:eastAsia="ja-JP"/>
        </w:rPr>
        <w:t>immunogenicity assessment of biotechnology-derived therapeutic proteins</w:t>
      </w:r>
    </w:p>
    <w:p w14:paraId="6D839AA8" w14:textId="261B49E3" w:rsidR="00D16E71" w:rsidRDefault="00D16E71" w:rsidP="00F3436E">
      <w:pPr>
        <w:pStyle w:val="ListBullet"/>
        <w:rPr>
          <w:lang w:eastAsia="ja-JP"/>
        </w:rPr>
      </w:pPr>
      <w:r>
        <w:rPr>
          <w:lang w:eastAsia="ja-JP"/>
        </w:rPr>
        <w:t>CHMP/EWP/14327/2004</w:t>
      </w:r>
      <w:r w:rsidR="00F3436E">
        <w:rPr>
          <w:lang w:eastAsia="ja-JP"/>
        </w:rPr>
        <w:t xml:space="preserve"> </w:t>
      </w:r>
      <w:r>
        <w:rPr>
          <w:lang w:eastAsia="ja-JP"/>
        </w:rPr>
        <w:t xml:space="preserve">Guideline </w:t>
      </w:r>
      <w:r w:rsidR="002B65C3">
        <w:rPr>
          <w:lang w:eastAsia="ja-JP"/>
        </w:rPr>
        <w:t>on the clinical investigation of the pharmacokinetics of therapeutic proteins</w:t>
      </w:r>
    </w:p>
    <w:p w14:paraId="6CD11D6F" w14:textId="77777777" w:rsidR="00D16E71" w:rsidRDefault="00D16E71" w:rsidP="00F3436E">
      <w:pPr>
        <w:pStyle w:val="Heading6"/>
        <w:rPr>
          <w:lang w:eastAsia="ja-JP"/>
        </w:rPr>
      </w:pPr>
      <w:r>
        <w:rPr>
          <w:lang w:eastAsia="ja-JP"/>
        </w:rPr>
        <w:t>Guidelines regarding products containing monoclonal antibodies</w:t>
      </w:r>
    </w:p>
    <w:p w14:paraId="2D6315A6" w14:textId="77777777" w:rsidR="00D16E71" w:rsidRDefault="00D16E71" w:rsidP="00F3436E">
      <w:pPr>
        <w:pStyle w:val="ListBullet"/>
        <w:rPr>
          <w:lang w:eastAsia="ja-JP"/>
        </w:rPr>
      </w:pPr>
      <w:r>
        <w:rPr>
          <w:lang w:eastAsia="ja-JP"/>
        </w:rPr>
        <w:t>EMA/CHMP/BMWP/86289/2010</w:t>
      </w:r>
      <w:r w:rsidR="00F3436E">
        <w:rPr>
          <w:lang w:eastAsia="ja-JP"/>
        </w:rPr>
        <w:t xml:space="preserve"> </w:t>
      </w:r>
      <w:r>
        <w:rPr>
          <w:lang w:eastAsia="ja-JP"/>
        </w:rPr>
        <w:t>Guideline on immunogenicity assessment of monoclonal antibodies intended for in vivo clinical use</w:t>
      </w:r>
    </w:p>
    <w:p w14:paraId="4D42518D" w14:textId="69F9E711" w:rsidR="00D16E71" w:rsidRDefault="00D16E71" w:rsidP="00F3436E">
      <w:pPr>
        <w:pStyle w:val="ListBullet"/>
        <w:rPr>
          <w:lang w:eastAsia="ja-JP"/>
        </w:rPr>
      </w:pPr>
      <w:r>
        <w:rPr>
          <w:lang w:eastAsia="ja-JP"/>
        </w:rPr>
        <w:t>CPMP/ICH/5721/03</w:t>
      </w:r>
      <w:r w:rsidR="00F3436E">
        <w:rPr>
          <w:lang w:eastAsia="ja-JP"/>
        </w:rPr>
        <w:t xml:space="preserve"> </w:t>
      </w:r>
      <w:r w:rsidR="002B65C3">
        <w:rPr>
          <w:lang w:eastAsia="ja-JP"/>
        </w:rPr>
        <w:t>(</w:t>
      </w:r>
      <w:r>
        <w:rPr>
          <w:lang w:eastAsia="ja-JP"/>
        </w:rPr>
        <w:t>ICH Topic Q 5 E</w:t>
      </w:r>
      <w:r w:rsidR="002B65C3">
        <w:rPr>
          <w:lang w:eastAsia="ja-JP"/>
        </w:rPr>
        <w:t>)</w:t>
      </w:r>
      <w:r>
        <w:rPr>
          <w:lang w:eastAsia="ja-JP"/>
        </w:rPr>
        <w:t xml:space="preserve"> Comparability of </w:t>
      </w:r>
      <w:r w:rsidR="002B65C3">
        <w:rPr>
          <w:lang w:eastAsia="ja-JP"/>
        </w:rPr>
        <w:t>biotechnological</w:t>
      </w:r>
      <w:r>
        <w:rPr>
          <w:lang w:eastAsia="ja-JP"/>
        </w:rPr>
        <w:t>/</w:t>
      </w:r>
      <w:r w:rsidR="002B65C3">
        <w:rPr>
          <w:lang w:eastAsia="ja-JP"/>
        </w:rPr>
        <w:t>b</w:t>
      </w:r>
      <w:r>
        <w:rPr>
          <w:lang w:eastAsia="ja-JP"/>
        </w:rPr>
        <w:t xml:space="preserve">iological </w:t>
      </w:r>
      <w:r w:rsidR="002B65C3">
        <w:rPr>
          <w:lang w:eastAsia="ja-JP"/>
        </w:rPr>
        <w:t>products n</w:t>
      </w:r>
      <w:r>
        <w:rPr>
          <w:lang w:eastAsia="ja-JP"/>
        </w:rPr>
        <w:t xml:space="preserve">ote for </w:t>
      </w:r>
      <w:r w:rsidR="002B65C3">
        <w:rPr>
          <w:lang w:eastAsia="ja-JP"/>
        </w:rPr>
        <w:t>g</w:t>
      </w:r>
      <w:r>
        <w:rPr>
          <w:lang w:eastAsia="ja-JP"/>
        </w:rPr>
        <w:t xml:space="preserve">uidance on </w:t>
      </w:r>
      <w:r w:rsidR="002B65C3">
        <w:rPr>
          <w:lang w:eastAsia="ja-JP"/>
        </w:rPr>
        <w:t>b</w:t>
      </w:r>
      <w:r>
        <w:rPr>
          <w:lang w:eastAsia="ja-JP"/>
        </w:rPr>
        <w:t>iotechnological/</w:t>
      </w:r>
      <w:r w:rsidR="002B65C3">
        <w:rPr>
          <w:lang w:eastAsia="ja-JP"/>
        </w:rPr>
        <w:t>b</w:t>
      </w:r>
      <w:r>
        <w:rPr>
          <w:lang w:eastAsia="ja-JP"/>
        </w:rPr>
        <w:t xml:space="preserve">iological </w:t>
      </w:r>
      <w:r w:rsidR="002B65C3">
        <w:rPr>
          <w:lang w:eastAsia="ja-JP"/>
        </w:rPr>
        <w:t>products subject to changes in their manufacturing process</w:t>
      </w:r>
    </w:p>
    <w:p w14:paraId="043F7CAC" w14:textId="77777777" w:rsidR="00D16E71" w:rsidRDefault="00D16E71" w:rsidP="00F3436E">
      <w:pPr>
        <w:pStyle w:val="Heading5"/>
        <w:rPr>
          <w:lang w:eastAsia="ja-JP"/>
        </w:rPr>
      </w:pPr>
      <w:r>
        <w:rPr>
          <w:lang w:eastAsia="ja-JP"/>
        </w:rPr>
        <w:t>Indication-specific guidelines</w:t>
      </w:r>
    </w:p>
    <w:p w14:paraId="129E7BEC" w14:textId="33226FBD" w:rsidR="00D16E71" w:rsidRDefault="00D16E71" w:rsidP="00F3436E">
      <w:pPr>
        <w:pStyle w:val="ListBullet"/>
        <w:rPr>
          <w:lang w:eastAsia="ja-JP"/>
        </w:rPr>
      </w:pPr>
      <w:r>
        <w:rPr>
          <w:lang w:eastAsia="ja-JP"/>
        </w:rPr>
        <w:t xml:space="preserve">CHMP/EWP/2454/02 </w:t>
      </w:r>
      <w:proofErr w:type="spellStart"/>
      <w:r>
        <w:rPr>
          <w:lang w:eastAsia="ja-JP"/>
        </w:rPr>
        <w:t>corr</w:t>
      </w:r>
      <w:proofErr w:type="spellEnd"/>
      <w:r w:rsidR="00F3436E">
        <w:rPr>
          <w:lang w:eastAsia="ja-JP"/>
        </w:rPr>
        <w:t xml:space="preserve"> </w:t>
      </w:r>
      <w:r>
        <w:rPr>
          <w:lang w:eastAsia="ja-JP"/>
        </w:rPr>
        <w:t xml:space="preserve">Guideline on clinical investigation of medicinal products indicated for the treatment of </w:t>
      </w:r>
      <w:r w:rsidR="002B65C3">
        <w:rPr>
          <w:lang w:eastAsia="ja-JP"/>
        </w:rPr>
        <w:t>psoriasis</w:t>
      </w:r>
    </w:p>
    <w:p w14:paraId="6504D15E" w14:textId="18CF77F6" w:rsidR="00D16E71" w:rsidRPr="00D16E71" w:rsidRDefault="00D16E71" w:rsidP="00F3436E">
      <w:pPr>
        <w:pStyle w:val="ListBullet"/>
      </w:pPr>
      <w:r>
        <w:rPr>
          <w:lang w:eastAsia="ja-JP"/>
        </w:rPr>
        <w:t xml:space="preserve">CPMP/EWP/556/95 </w:t>
      </w:r>
      <w:r w:rsidR="002B65C3">
        <w:rPr>
          <w:lang w:eastAsia="ja-JP"/>
        </w:rPr>
        <w:t>R</w:t>
      </w:r>
      <w:r>
        <w:rPr>
          <w:lang w:eastAsia="ja-JP"/>
        </w:rPr>
        <w:t>ev 1</w:t>
      </w:r>
      <w:r w:rsidR="002B65C3">
        <w:rPr>
          <w:lang w:eastAsia="ja-JP"/>
        </w:rPr>
        <w:t xml:space="preserve"> </w:t>
      </w:r>
      <w:r>
        <w:rPr>
          <w:lang w:eastAsia="ja-JP"/>
        </w:rPr>
        <w:t>Final</w:t>
      </w:r>
      <w:r w:rsidR="00F3436E">
        <w:rPr>
          <w:lang w:eastAsia="ja-JP"/>
        </w:rPr>
        <w:t xml:space="preserve"> </w:t>
      </w:r>
      <w:r w:rsidR="002B65C3">
        <w:rPr>
          <w:lang w:eastAsia="ja-JP"/>
        </w:rPr>
        <w:t xml:space="preserve">points to consider on clinical investigation of medicinal products other than </w:t>
      </w:r>
      <w:r>
        <w:rPr>
          <w:lang w:eastAsia="ja-JP"/>
        </w:rPr>
        <w:t xml:space="preserve">NSAIDS for </w:t>
      </w:r>
      <w:r w:rsidR="002B65C3">
        <w:rPr>
          <w:lang w:eastAsia="ja-JP"/>
        </w:rPr>
        <w:t xml:space="preserve">treatment </w:t>
      </w:r>
      <w:r>
        <w:rPr>
          <w:lang w:eastAsia="ja-JP"/>
        </w:rPr>
        <w:t xml:space="preserve">of </w:t>
      </w:r>
      <w:r w:rsidR="002B65C3">
        <w:rPr>
          <w:lang w:eastAsia="ja-JP"/>
        </w:rPr>
        <w:t xml:space="preserve">rheumatoid arthritis guidelines </w:t>
      </w:r>
      <w:r>
        <w:rPr>
          <w:lang w:eastAsia="ja-JP"/>
        </w:rPr>
        <w:t>regarding products for long-term use</w:t>
      </w:r>
      <w:r w:rsidR="002B65C3">
        <w:rPr>
          <w:lang w:eastAsia="ja-JP"/>
        </w:rPr>
        <w:t xml:space="preserve">; </w:t>
      </w:r>
      <w:r>
        <w:rPr>
          <w:lang w:eastAsia="ja-JP"/>
        </w:rPr>
        <w:t>Rules 1998 (3C) - 3CC6a (pp.</w:t>
      </w:r>
      <w:r w:rsidR="00692239">
        <w:rPr>
          <w:lang w:eastAsia="ja-JP"/>
        </w:rPr>
        <w:t> </w:t>
      </w:r>
      <w:r>
        <w:rPr>
          <w:lang w:eastAsia="ja-JP"/>
        </w:rPr>
        <w:t>127</w:t>
      </w:r>
      <w:r w:rsidR="00692239">
        <w:rPr>
          <w:lang w:eastAsia="ja-JP"/>
        </w:rPr>
        <w:noBreakHyphen/>
      </w:r>
      <w:r>
        <w:rPr>
          <w:lang w:eastAsia="ja-JP"/>
        </w:rPr>
        <w:t>132)</w:t>
      </w:r>
      <w:r w:rsidR="00F3436E">
        <w:rPr>
          <w:lang w:eastAsia="ja-JP"/>
        </w:rPr>
        <w:t xml:space="preserve"> </w:t>
      </w:r>
      <w:r>
        <w:rPr>
          <w:lang w:eastAsia="ja-JP"/>
        </w:rPr>
        <w:t xml:space="preserve">Clinical </w:t>
      </w:r>
      <w:r w:rsidR="00692239">
        <w:rPr>
          <w:lang w:eastAsia="ja-JP"/>
        </w:rPr>
        <w:t>investigation of medicinal products for long-term use</w:t>
      </w:r>
    </w:p>
    <w:p w14:paraId="04E0EBAD" w14:textId="77777777" w:rsidR="00605AD4" w:rsidRDefault="00605AD4" w:rsidP="00605AD4">
      <w:pPr>
        <w:pStyle w:val="Heading4"/>
      </w:pPr>
      <w:r w:rsidRPr="00605AD4">
        <w:t>Contents of the clinical dossier</w:t>
      </w:r>
    </w:p>
    <w:p w14:paraId="43BE0E3C" w14:textId="77777777" w:rsidR="006C285D" w:rsidRDefault="006C285D" w:rsidP="00F4432B">
      <w:pPr>
        <w:pStyle w:val="Heading5"/>
      </w:pPr>
      <w:r>
        <w:t>Scope of the clinical dossier</w:t>
      </w:r>
    </w:p>
    <w:p w14:paraId="6D34EB16" w14:textId="77777777" w:rsidR="006C285D" w:rsidRDefault="006C285D" w:rsidP="006C285D">
      <w:r>
        <w:t xml:space="preserve">The dossier does not contain a full development program. The sponsor supports their biosimilar application with three bioequivalence </w:t>
      </w:r>
      <w:r w:rsidR="006732B3">
        <w:t>as follows</w:t>
      </w:r>
      <w:r>
        <w:t>:</w:t>
      </w:r>
    </w:p>
    <w:p w14:paraId="222B9C49" w14:textId="6A39E278" w:rsidR="006C285D" w:rsidRDefault="00BE3CEB" w:rsidP="00F4432B">
      <w:pPr>
        <w:pStyle w:val="ListBullet"/>
      </w:pPr>
      <w:r>
        <w:t xml:space="preserve">one </w:t>
      </w:r>
      <w:r w:rsidR="006C285D">
        <w:t>pharmacokinetic similarity study (in healthy subjects) (Study 20110217); and</w:t>
      </w:r>
    </w:p>
    <w:p w14:paraId="7E176891" w14:textId="49B20815" w:rsidR="006C285D" w:rsidRDefault="00BE3CEB" w:rsidP="00F4432B">
      <w:pPr>
        <w:pStyle w:val="ListBullet"/>
      </w:pPr>
      <w:proofErr w:type="gramStart"/>
      <w:r>
        <w:t>two</w:t>
      </w:r>
      <w:proofErr w:type="gramEnd"/>
      <w:r>
        <w:t xml:space="preserve"> </w:t>
      </w:r>
      <w:r w:rsidR="006C285D">
        <w:t>efficacy and safety studies (one study with in patients with RA (Study 20120262), one study in patients with psoriasis (Study 20120263)).</w:t>
      </w:r>
    </w:p>
    <w:p w14:paraId="631390E3" w14:textId="77777777" w:rsidR="006C285D" w:rsidRDefault="006C285D" w:rsidP="006C285D">
      <w:r>
        <w:t>Clinical study reports for:</w:t>
      </w:r>
    </w:p>
    <w:p w14:paraId="00AA4B61" w14:textId="4DECFC73" w:rsidR="006C285D" w:rsidRDefault="006C285D" w:rsidP="00F4432B">
      <w:pPr>
        <w:pStyle w:val="ListBullet"/>
      </w:pPr>
      <w:r>
        <w:t xml:space="preserve">Study 20110217: a </w:t>
      </w:r>
      <w:r w:rsidR="006732B3">
        <w:t>P</w:t>
      </w:r>
      <w:r>
        <w:t xml:space="preserve">hase </w:t>
      </w:r>
      <w:r w:rsidR="006732B3">
        <w:t>I</w:t>
      </w:r>
      <w:r>
        <w:t>, 3</w:t>
      </w:r>
      <w:r w:rsidR="006732B3">
        <w:t xml:space="preserve"> </w:t>
      </w:r>
      <w:r>
        <w:t xml:space="preserve">arm parallel </w:t>
      </w:r>
      <w:proofErr w:type="gramStart"/>
      <w:r>
        <w:t>group</w:t>
      </w:r>
      <w:proofErr w:type="gramEnd"/>
      <w:r>
        <w:t>, randomised, single</w:t>
      </w:r>
      <w:r w:rsidR="006732B3">
        <w:t xml:space="preserve"> </w:t>
      </w:r>
      <w:r>
        <w:t>blind, single</w:t>
      </w:r>
      <w:r w:rsidR="006732B3">
        <w:t xml:space="preserve"> </w:t>
      </w:r>
      <w:r>
        <w:t>dose PK similarity study that compared ABP 501 to adalimumab (US) and adalimumab (EU) in 203 healthy men and women.</w:t>
      </w:r>
    </w:p>
    <w:p w14:paraId="201A85D5" w14:textId="77777777" w:rsidR="006C285D" w:rsidRDefault="006C285D" w:rsidP="00F4432B">
      <w:pPr>
        <w:pStyle w:val="ListBullet"/>
      </w:pPr>
      <w:r>
        <w:t xml:space="preserve">Study 20120262: a </w:t>
      </w:r>
      <w:r w:rsidR="006732B3">
        <w:t>P</w:t>
      </w:r>
      <w:r>
        <w:t xml:space="preserve">hase </w:t>
      </w:r>
      <w:r w:rsidR="006732B3">
        <w:t>III</w:t>
      </w:r>
      <w:r>
        <w:t>, double</w:t>
      </w:r>
      <w:r w:rsidR="006732B3">
        <w:t xml:space="preserve"> </w:t>
      </w:r>
      <w:r>
        <w:t>blind, randomised, active comparator</w:t>
      </w:r>
      <w:r w:rsidR="006732B3">
        <w:t xml:space="preserve"> </w:t>
      </w:r>
      <w:r>
        <w:t>controlled study in 526 subjects with moderate to severe rheumatoid arthritis with concomitant methotrexate and oral corticosteroid use evaluating the efficacy and safety of ABP 501 compared with adalimumab (US).</w:t>
      </w:r>
    </w:p>
    <w:p w14:paraId="348CFBB2" w14:textId="179D940F" w:rsidR="006C285D" w:rsidRPr="006C285D" w:rsidRDefault="006C285D" w:rsidP="00F4432B">
      <w:pPr>
        <w:pStyle w:val="ListBullet"/>
      </w:pPr>
      <w:r>
        <w:t xml:space="preserve">Study 20120263: a </w:t>
      </w:r>
      <w:r w:rsidR="006732B3">
        <w:t>P</w:t>
      </w:r>
      <w:r>
        <w:t xml:space="preserve">hase </w:t>
      </w:r>
      <w:r w:rsidR="006732B3">
        <w:t>III</w:t>
      </w:r>
      <w:r>
        <w:t>, double</w:t>
      </w:r>
      <w:r w:rsidR="00BE3CEB">
        <w:t xml:space="preserve"> </w:t>
      </w:r>
      <w:r>
        <w:t>blind, randomised, active comparator</w:t>
      </w:r>
      <w:r w:rsidR="006732B3">
        <w:t xml:space="preserve"> </w:t>
      </w:r>
      <w:r>
        <w:t>controlled study in 350 subjects with moderate to severe psoriasis with no concomitant medications allowed for the treatment of psoriasis evaluating the efficacy and safety of ABP 501 compared with adalimumab (EU).</w:t>
      </w:r>
    </w:p>
    <w:p w14:paraId="1FA0AD4D" w14:textId="77777777" w:rsidR="00605AD4" w:rsidRDefault="00605AD4" w:rsidP="00605AD4">
      <w:pPr>
        <w:pStyle w:val="Heading4"/>
      </w:pPr>
      <w:r w:rsidRPr="00605AD4">
        <w:t>Paediatric data</w:t>
      </w:r>
    </w:p>
    <w:p w14:paraId="722525B2" w14:textId="3ACA1EFC" w:rsidR="006C285D" w:rsidRPr="006C285D" w:rsidRDefault="006C285D" w:rsidP="006C285D">
      <w:r>
        <w:t xml:space="preserve">No paediatric data was submitted. Furthermore, there is no agreed Paediatric Investigation Plan (PIP), as this is not required for biosimilar applications in the EU. </w:t>
      </w:r>
      <w:r w:rsidR="0023705B">
        <w:t>At the time of this evaluation, the sponsor was</w:t>
      </w:r>
      <w:r>
        <w:t xml:space="preserve"> awaiting a waiver from the FDA for not conducting a paediatric assessment.</w:t>
      </w:r>
      <w:r w:rsidR="0023705B">
        <w:rPr>
          <w:rStyle w:val="FootnoteReference"/>
        </w:rPr>
        <w:footnoteReference w:id="10"/>
      </w:r>
    </w:p>
    <w:p w14:paraId="16240122" w14:textId="77777777" w:rsidR="00605AD4" w:rsidRDefault="00605AD4" w:rsidP="00605AD4">
      <w:pPr>
        <w:pStyle w:val="Heading4"/>
      </w:pPr>
      <w:r w:rsidRPr="00605AD4">
        <w:t>Good clinical practice</w:t>
      </w:r>
    </w:p>
    <w:p w14:paraId="7E4C40F3" w14:textId="5538BE9C" w:rsidR="006C285D" w:rsidRPr="006C285D" w:rsidRDefault="006C285D" w:rsidP="006C285D">
      <w:r>
        <w:t xml:space="preserve">All studies contained a statement claiming compliance with </w:t>
      </w:r>
      <w:r w:rsidR="00BE3CEB">
        <w:t xml:space="preserve">Good Clinical Practice </w:t>
      </w:r>
      <w:r>
        <w:t>guidelines.</w:t>
      </w:r>
    </w:p>
    <w:p w14:paraId="4E64B50B" w14:textId="77777777" w:rsidR="008E7846" w:rsidRDefault="008E7846" w:rsidP="00605AD4">
      <w:pPr>
        <w:pStyle w:val="Heading3"/>
      </w:pPr>
      <w:bookmarkStart w:id="74" w:name="_Toc519244656"/>
      <w:r w:rsidRPr="00254787">
        <w:t>Pharmacokinetics</w:t>
      </w:r>
      <w:bookmarkEnd w:id="64"/>
      <w:bookmarkEnd w:id="71"/>
      <w:bookmarkEnd w:id="72"/>
      <w:bookmarkEnd w:id="73"/>
      <w:bookmarkEnd w:id="74"/>
    </w:p>
    <w:p w14:paraId="08825020" w14:textId="77777777" w:rsidR="00605AD4" w:rsidRDefault="00605AD4" w:rsidP="00605AD4">
      <w:pPr>
        <w:pStyle w:val="Heading4"/>
      </w:pPr>
      <w:r>
        <w:t xml:space="preserve">Studies providing pharmacokinetic data </w:t>
      </w:r>
    </w:p>
    <w:p w14:paraId="0A488909" w14:textId="76620BAF" w:rsidR="006C285D" w:rsidRDefault="006C285D" w:rsidP="006C285D">
      <w:r>
        <w:t xml:space="preserve">Studies 20110217, 20120262, and 20120263 provided </w:t>
      </w:r>
      <w:r w:rsidR="00BE3CEB">
        <w:t>pharmacokinetic (</w:t>
      </w:r>
      <w:r>
        <w:t>PK</w:t>
      </w:r>
      <w:r w:rsidR="00BE3CEB">
        <w:t>)</w:t>
      </w:r>
      <w:r>
        <w:t xml:space="preserve"> data (</w:t>
      </w:r>
      <w:r w:rsidR="00BE3CEB">
        <w:t xml:space="preserve">as shown in </w:t>
      </w:r>
      <w:r>
        <w:t xml:space="preserve">Table </w:t>
      </w:r>
      <w:r w:rsidR="006732B3">
        <w:t>2</w:t>
      </w:r>
      <w:r w:rsidR="00BE3CEB">
        <w:t>, below</w:t>
      </w:r>
      <w:r>
        <w:t>).</w:t>
      </w:r>
    </w:p>
    <w:p w14:paraId="1BBDD498" w14:textId="77777777" w:rsidR="006C285D" w:rsidRDefault="006C285D" w:rsidP="006C285D">
      <w:r>
        <w:t xml:space="preserve">Study 20110217 was a dedicated PK study that compared </w:t>
      </w:r>
      <w:proofErr w:type="spellStart"/>
      <w:r w:rsidR="001E6DDC">
        <w:t>Amgevita</w:t>
      </w:r>
      <w:proofErr w:type="spellEnd"/>
      <w:r>
        <w:t xml:space="preserve"> to </w:t>
      </w:r>
      <w:proofErr w:type="spellStart"/>
      <w:r w:rsidR="001E6DDC">
        <w:t>Humira</w:t>
      </w:r>
      <w:proofErr w:type="spellEnd"/>
      <w:r>
        <w:t xml:space="preserve"> in healthy subjects.</w:t>
      </w:r>
    </w:p>
    <w:p w14:paraId="5C919925" w14:textId="77777777" w:rsidR="006C285D" w:rsidRDefault="006C285D" w:rsidP="006C285D">
      <w:r>
        <w:t xml:space="preserve">Studies 20120262 and 20120263 were equivalence studies that compared </w:t>
      </w:r>
      <w:proofErr w:type="spellStart"/>
      <w:r w:rsidR="001E6DDC">
        <w:t>Amgevita</w:t>
      </w:r>
      <w:proofErr w:type="spellEnd"/>
      <w:r>
        <w:t xml:space="preserve"> to </w:t>
      </w:r>
      <w:proofErr w:type="spellStart"/>
      <w:r w:rsidR="001E6DDC">
        <w:t>Humira</w:t>
      </w:r>
      <w:proofErr w:type="spellEnd"/>
      <w:r>
        <w:t xml:space="preserve"> with regard to efficacy in rheumatoid arthritis and psoriasis respectively. The PK component was limited to a comparison of steady state trough concentrations.</w:t>
      </w:r>
    </w:p>
    <w:p w14:paraId="58ACF6AF" w14:textId="77777777" w:rsidR="006C285D" w:rsidRDefault="006C285D" w:rsidP="00F4432B">
      <w:pPr>
        <w:pStyle w:val="TableTitle"/>
      </w:pPr>
      <w:r>
        <w:t xml:space="preserve">Table </w:t>
      </w:r>
      <w:r w:rsidR="00F4432B">
        <w:t>2:</w:t>
      </w:r>
      <w:r>
        <w:t xml:space="preserve"> Submitted pharmacokinetic studies</w:t>
      </w:r>
    </w:p>
    <w:tbl>
      <w:tblPr>
        <w:tblStyle w:val="TableTGAblue"/>
        <w:tblW w:w="8755" w:type="dxa"/>
        <w:tblLayout w:type="fixed"/>
        <w:tblLook w:val="04A0" w:firstRow="1" w:lastRow="0" w:firstColumn="1" w:lastColumn="0" w:noHBand="0" w:noVBand="1"/>
      </w:tblPr>
      <w:tblGrid>
        <w:gridCol w:w="1668"/>
        <w:gridCol w:w="1984"/>
        <w:gridCol w:w="1559"/>
        <w:gridCol w:w="3544"/>
      </w:tblGrid>
      <w:tr w:rsidR="00F4432B" w:rsidRPr="002B05D7" w14:paraId="3D56680B" w14:textId="77777777" w:rsidTr="002B05D7">
        <w:trPr>
          <w:cnfStyle w:val="100000000000" w:firstRow="1" w:lastRow="0" w:firstColumn="0" w:lastColumn="0" w:oddVBand="0" w:evenVBand="0" w:oddHBand="0" w:evenHBand="0" w:firstRowFirstColumn="0" w:firstRowLastColumn="0" w:lastRowFirstColumn="0" w:lastRowLastColumn="0"/>
          <w:cantSplit/>
        </w:trPr>
        <w:tc>
          <w:tcPr>
            <w:tcW w:w="1668" w:type="dxa"/>
          </w:tcPr>
          <w:p w14:paraId="7E807408" w14:textId="77777777" w:rsidR="00F4432B" w:rsidRPr="002B05D7" w:rsidRDefault="00F4432B" w:rsidP="00F4432B">
            <w:pPr>
              <w:rPr>
                <w:b w:val="0"/>
                <w:sz w:val="20"/>
                <w:szCs w:val="20"/>
              </w:rPr>
            </w:pPr>
            <w:r w:rsidRPr="002B05D7">
              <w:rPr>
                <w:sz w:val="20"/>
                <w:szCs w:val="20"/>
              </w:rPr>
              <w:t>PK topic</w:t>
            </w:r>
          </w:p>
        </w:tc>
        <w:tc>
          <w:tcPr>
            <w:tcW w:w="1984" w:type="dxa"/>
          </w:tcPr>
          <w:p w14:paraId="20F05CA8" w14:textId="77777777" w:rsidR="00F4432B" w:rsidRPr="002B05D7" w:rsidRDefault="00F4432B" w:rsidP="00F4432B">
            <w:pPr>
              <w:rPr>
                <w:b w:val="0"/>
                <w:sz w:val="20"/>
                <w:szCs w:val="20"/>
              </w:rPr>
            </w:pPr>
            <w:r w:rsidRPr="002B05D7">
              <w:rPr>
                <w:sz w:val="20"/>
                <w:szCs w:val="20"/>
              </w:rPr>
              <w:t>Subtopic</w:t>
            </w:r>
          </w:p>
        </w:tc>
        <w:tc>
          <w:tcPr>
            <w:tcW w:w="1559" w:type="dxa"/>
          </w:tcPr>
          <w:p w14:paraId="401F5559" w14:textId="77777777" w:rsidR="00F4432B" w:rsidRPr="002B05D7" w:rsidRDefault="00F4432B" w:rsidP="00F4432B">
            <w:pPr>
              <w:rPr>
                <w:b w:val="0"/>
                <w:sz w:val="20"/>
                <w:szCs w:val="20"/>
              </w:rPr>
            </w:pPr>
            <w:r w:rsidRPr="002B05D7">
              <w:rPr>
                <w:sz w:val="20"/>
                <w:szCs w:val="20"/>
              </w:rPr>
              <w:t>Study ID</w:t>
            </w:r>
          </w:p>
        </w:tc>
        <w:tc>
          <w:tcPr>
            <w:tcW w:w="3544" w:type="dxa"/>
          </w:tcPr>
          <w:p w14:paraId="0D1A19A4" w14:textId="2A672479" w:rsidR="00F4432B" w:rsidRPr="002B05D7" w:rsidRDefault="00A07C6A" w:rsidP="00F4432B">
            <w:pPr>
              <w:rPr>
                <w:b w:val="0"/>
                <w:sz w:val="20"/>
                <w:szCs w:val="20"/>
              </w:rPr>
            </w:pPr>
            <w:r>
              <w:rPr>
                <w:sz w:val="20"/>
                <w:szCs w:val="20"/>
              </w:rPr>
              <w:t>Primary PK aim of study</w:t>
            </w:r>
          </w:p>
        </w:tc>
      </w:tr>
      <w:tr w:rsidR="00F4432B" w:rsidRPr="002B05D7" w14:paraId="3C4B7E7A" w14:textId="77777777" w:rsidTr="002B05D7">
        <w:tc>
          <w:tcPr>
            <w:tcW w:w="1668" w:type="dxa"/>
            <w:vMerge w:val="restart"/>
          </w:tcPr>
          <w:p w14:paraId="36E24211" w14:textId="77777777" w:rsidR="00F4432B" w:rsidRPr="002B05D7" w:rsidRDefault="00F4432B" w:rsidP="00F4432B">
            <w:pPr>
              <w:rPr>
                <w:sz w:val="20"/>
                <w:szCs w:val="20"/>
              </w:rPr>
            </w:pPr>
            <w:r w:rsidRPr="002B05D7">
              <w:rPr>
                <w:sz w:val="20"/>
                <w:szCs w:val="20"/>
              </w:rPr>
              <w:t>PK in healthy adults</w:t>
            </w:r>
          </w:p>
        </w:tc>
        <w:tc>
          <w:tcPr>
            <w:tcW w:w="1984" w:type="dxa"/>
          </w:tcPr>
          <w:p w14:paraId="210D5860" w14:textId="77777777" w:rsidR="00F4432B" w:rsidRPr="002B05D7" w:rsidRDefault="00F4432B" w:rsidP="00F4432B">
            <w:pPr>
              <w:rPr>
                <w:sz w:val="20"/>
                <w:szCs w:val="20"/>
              </w:rPr>
            </w:pPr>
            <w:r w:rsidRPr="002B05D7">
              <w:rPr>
                <w:sz w:val="20"/>
                <w:szCs w:val="20"/>
              </w:rPr>
              <w:t xml:space="preserve">General PK </w:t>
            </w:r>
          </w:p>
          <w:p w14:paraId="18041852" w14:textId="77777777" w:rsidR="00F4432B" w:rsidRPr="002B05D7" w:rsidRDefault="00F4432B" w:rsidP="00F4432B">
            <w:pPr>
              <w:rPr>
                <w:sz w:val="20"/>
                <w:szCs w:val="20"/>
              </w:rPr>
            </w:pPr>
            <w:r w:rsidRPr="002B05D7">
              <w:rPr>
                <w:sz w:val="20"/>
                <w:szCs w:val="20"/>
              </w:rPr>
              <w:t>- Single dose</w:t>
            </w:r>
          </w:p>
        </w:tc>
        <w:tc>
          <w:tcPr>
            <w:tcW w:w="1559" w:type="dxa"/>
            <w:vMerge w:val="restart"/>
          </w:tcPr>
          <w:p w14:paraId="7025B32A" w14:textId="77777777" w:rsidR="00F4432B" w:rsidRPr="002B05D7" w:rsidRDefault="00F4432B" w:rsidP="00F4432B">
            <w:pPr>
              <w:rPr>
                <w:sz w:val="20"/>
                <w:szCs w:val="20"/>
              </w:rPr>
            </w:pPr>
            <w:r w:rsidRPr="002B05D7">
              <w:rPr>
                <w:sz w:val="20"/>
                <w:szCs w:val="20"/>
              </w:rPr>
              <w:t>20110217</w:t>
            </w:r>
          </w:p>
        </w:tc>
        <w:tc>
          <w:tcPr>
            <w:tcW w:w="3544" w:type="dxa"/>
            <w:vMerge w:val="restart"/>
          </w:tcPr>
          <w:p w14:paraId="715746FE" w14:textId="21F48A8F" w:rsidR="00F4432B" w:rsidRPr="002B05D7" w:rsidRDefault="00F4432B" w:rsidP="00F4432B">
            <w:pPr>
              <w:rPr>
                <w:sz w:val="20"/>
                <w:szCs w:val="20"/>
              </w:rPr>
            </w:pPr>
            <w:r w:rsidRPr="002B05D7">
              <w:rPr>
                <w:sz w:val="20"/>
                <w:szCs w:val="20"/>
              </w:rPr>
              <w:t xml:space="preserve">To </w:t>
            </w:r>
            <w:r w:rsidRPr="00241B4E">
              <w:rPr>
                <w:sz w:val="20"/>
                <w:szCs w:val="20"/>
              </w:rPr>
              <w:t>demonstrate bioequivalence</w:t>
            </w:r>
            <w:r w:rsidRPr="002B05D7">
              <w:rPr>
                <w:sz w:val="20"/>
                <w:szCs w:val="20"/>
              </w:rPr>
              <w:t xml:space="preserve"> (as assessed principally by area under the serum concentration-time curve </w:t>
            </w:r>
            <w:r w:rsidR="00BE3CEB">
              <w:rPr>
                <w:sz w:val="20"/>
                <w:szCs w:val="20"/>
              </w:rPr>
              <w:t>(</w:t>
            </w:r>
            <w:r w:rsidRPr="002B05D7">
              <w:rPr>
                <w:sz w:val="20"/>
                <w:szCs w:val="20"/>
              </w:rPr>
              <w:t>AUC</w:t>
            </w:r>
            <w:r w:rsidR="00BE3CEB">
              <w:rPr>
                <w:sz w:val="20"/>
                <w:szCs w:val="20"/>
              </w:rPr>
              <w:t>)</w:t>
            </w:r>
            <w:r w:rsidRPr="002B05D7">
              <w:rPr>
                <w:sz w:val="20"/>
                <w:szCs w:val="20"/>
              </w:rPr>
              <w:t xml:space="preserve"> from time 0 extrapolated to infinity </w:t>
            </w:r>
            <w:r w:rsidR="00BE3CEB">
              <w:rPr>
                <w:sz w:val="20"/>
                <w:szCs w:val="20"/>
              </w:rPr>
              <w:t>(</w:t>
            </w:r>
            <w:r w:rsidRPr="002B05D7">
              <w:rPr>
                <w:sz w:val="20"/>
                <w:szCs w:val="20"/>
              </w:rPr>
              <w:t>AUC</w:t>
            </w:r>
            <w:r w:rsidRPr="002B05D7">
              <w:rPr>
                <w:sz w:val="20"/>
                <w:szCs w:val="20"/>
                <w:vertAlign w:val="subscript"/>
              </w:rPr>
              <w:t>inf</w:t>
            </w:r>
            <w:r w:rsidR="00BE3CEB">
              <w:rPr>
                <w:sz w:val="20"/>
                <w:szCs w:val="20"/>
              </w:rPr>
              <w:t>)</w:t>
            </w:r>
            <w:r w:rsidRPr="002B05D7">
              <w:rPr>
                <w:sz w:val="20"/>
                <w:szCs w:val="20"/>
              </w:rPr>
              <w:t xml:space="preserve"> and the maximum observed serum concentration </w:t>
            </w:r>
            <w:r w:rsidR="00BE3CEB">
              <w:rPr>
                <w:sz w:val="20"/>
                <w:szCs w:val="20"/>
              </w:rPr>
              <w:t>(</w:t>
            </w:r>
            <w:r w:rsidRPr="002B05D7">
              <w:rPr>
                <w:sz w:val="20"/>
                <w:szCs w:val="20"/>
              </w:rPr>
              <w:t>C</w:t>
            </w:r>
            <w:r w:rsidRPr="002B05D7">
              <w:rPr>
                <w:sz w:val="20"/>
                <w:szCs w:val="20"/>
                <w:vertAlign w:val="subscript"/>
              </w:rPr>
              <w:t>max</w:t>
            </w:r>
            <w:r w:rsidR="00BE3CEB">
              <w:rPr>
                <w:sz w:val="20"/>
                <w:szCs w:val="20"/>
              </w:rPr>
              <w:t>)</w:t>
            </w:r>
            <w:r w:rsidRPr="002B05D7">
              <w:rPr>
                <w:sz w:val="20"/>
                <w:szCs w:val="20"/>
              </w:rPr>
              <w:t xml:space="preserve">) of ABP 501 following a 40 mg subcutaneous (SC) injection relative to that from a 40 mg SC injection of adalimumab (US) </w:t>
            </w:r>
            <w:r w:rsidR="00BE3CEB">
              <w:rPr>
                <w:sz w:val="20"/>
                <w:szCs w:val="20"/>
              </w:rPr>
              <w:t>(</w:t>
            </w:r>
            <w:r w:rsidRPr="002B05D7">
              <w:rPr>
                <w:sz w:val="20"/>
                <w:szCs w:val="20"/>
              </w:rPr>
              <w:t>Humira</w:t>
            </w:r>
            <w:r w:rsidR="00BE3CEB">
              <w:rPr>
                <w:sz w:val="20"/>
                <w:szCs w:val="20"/>
              </w:rPr>
              <w:t>)</w:t>
            </w:r>
            <w:r w:rsidRPr="002B05D7">
              <w:rPr>
                <w:sz w:val="20"/>
                <w:szCs w:val="20"/>
              </w:rPr>
              <w:t xml:space="preserve"> and adalimumab (EU) </w:t>
            </w:r>
            <w:r w:rsidR="00BE3CEB">
              <w:rPr>
                <w:sz w:val="20"/>
                <w:szCs w:val="20"/>
              </w:rPr>
              <w:t>(</w:t>
            </w:r>
            <w:r w:rsidRPr="002B05D7">
              <w:rPr>
                <w:sz w:val="20"/>
                <w:szCs w:val="20"/>
              </w:rPr>
              <w:t>Humira</w:t>
            </w:r>
            <w:r w:rsidR="00BE3CEB">
              <w:rPr>
                <w:sz w:val="20"/>
                <w:szCs w:val="20"/>
              </w:rPr>
              <w:t>)</w:t>
            </w:r>
          </w:p>
        </w:tc>
      </w:tr>
      <w:tr w:rsidR="00F4432B" w:rsidRPr="002B05D7" w14:paraId="1BBDC512" w14:textId="77777777" w:rsidTr="002B05D7">
        <w:tc>
          <w:tcPr>
            <w:tcW w:w="1668" w:type="dxa"/>
            <w:vMerge/>
          </w:tcPr>
          <w:p w14:paraId="373FE011" w14:textId="77777777" w:rsidR="00F4432B" w:rsidRPr="002B05D7" w:rsidRDefault="00F4432B" w:rsidP="00F4432B">
            <w:pPr>
              <w:rPr>
                <w:sz w:val="20"/>
                <w:szCs w:val="20"/>
              </w:rPr>
            </w:pPr>
          </w:p>
        </w:tc>
        <w:tc>
          <w:tcPr>
            <w:tcW w:w="1984" w:type="dxa"/>
          </w:tcPr>
          <w:p w14:paraId="2883CC89" w14:textId="3D74423A" w:rsidR="00F4432B" w:rsidRPr="002B05D7" w:rsidRDefault="00F4432B" w:rsidP="00F4432B">
            <w:pPr>
              <w:rPr>
                <w:sz w:val="20"/>
                <w:szCs w:val="20"/>
              </w:rPr>
            </w:pPr>
            <w:r w:rsidRPr="002B05D7">
              <w:rPr>
                <w:sz w:val="20"/>
                <w:szCs w:val="20"/>
              </w:rPr>
              <w:t>Bioequivalence</w:t>
            </w:r>
            <w:r w:rsidRPr="00A07C6A">
              <w:rPr>
                <w:sz w:val="20"/>
                <w:szCs w:val="20"/>
              </w:rPr>
              <w:t>†</w:t>
            </w:r>
          </w:p>
          <w:p w14:paraId="634A6DDF" w14:textId="77777777" w:rsidR="00F4432B" w:rsidRPr="002B05D7" w:rsidRDefault="00F4432B" w:rsidP="00F4432B">
            <w:pPr>
              <w:rPr>
                <w:sz w:val="20"/>
                <w:szCs w:val="20"/>
              </w:rPr>
            </w:pPr>
            <w:r w:rsidRPr="002B05D7">
              <w:rPr>
                <w:sz w:val="20"/>
                <w:szCs w:val="20"/>
              </w:rPr>
              <w:t>- Single dose</w:t>
            </w:r>
          </w:p>
        </w:tc>
        <w:tc>
          <w:tcPr>
            <w:tcW w:w="1559" w:type="dxa"/>
            <w:vMerge/>
          </w:tcPr>
          <w:p w14:paraId="3965F681" w14:textId="77777777" w:rsidR="00F4432B" w:rsidRPr="002B05D7" w:rsidRDefault="00F4432B" w:rsidP="00F4432B">
            <w:pPr>
              <w:rPr>
                <w:sz w:val="20"/>
                <w:szCs w:val="20"/>
              </w:rPr>
            </w:pPr>
          </w:p>
        </w:tc>
        <w:tc>
          <w:tcPr>
            <w:tcW w:w="3544" w:type="dxa"/>
            <w:vMerge/>
          </w:tcPr>
          <w:p w14:paraId="17AE7B52" w14:textId="77777777" w:rsidR="00F4432B" w:rsidRPr="002B05D7" w:rsidRDefault="00F4432B" w:rsidP="00F4432B">
            <w:pPr>
              <w:rPr>
                <w:sz w:val="20"/>
                <w:szCs w:val="20"/>
              </w:rPr>
            </w:pPr>
          </w:p>
        </w:tc>
      </w:tr>
      <w:tr w:rsidR="00F4432B" w:rsidRPr="002B05D7" w14:paraId="507E4DC1" w14:textId="77777777" w:rsidTr="002B05D7">
        <w:tc>
          <w:tcPr>
            <w:tcW w:w="1668" w:type="dxa"/>
            <w:vMerge w:val="restart"/>
          </w:tcPr>
          <w:p w14:paraId="5A3DF391" w14:textId="77777777" w:rsidR="00F4432B" w:rsidRPr="002B05D7" w:rsidRDefault="00F4432B" w:rsidP="00F4432B">
            <w:pPr>
              <w:rPr>
                <w:sz w:val="20"/>
                <w:szCs w:val="20"/>
              </w:rPr>
            </w:pPr>
            <w:r w:rsidRPr="002B05D7">
              <w:rPr>
                <w:sz w:val="20"/>
                <w:szCs w:val="20"/>
              </w:rPr>
              <w:t>PK in special populations</w:t>
            </w:r>
          </w:p>
        </w:tc>
        <w:tc>
          <w:tcPr>
            <w:tcW w:w="1984" w:type="dxa"/>
          </w:tcPr>
          <w:p w14:paraId="15B5EC14" w14:textId="301D8057" w:rsidR="00F4432B" w:rsidRPr="002B05D7" w:rsidRDefault="00F4432B" w:rsidP="00F4432B">
            <w:pPr>
              <w:rPr>
                <w:sz w:val="20"/>
                <w:szCs w:val="20"/>
              </w:rPr>
            </w:pPr>
            <w:r w:rsidRPr="002B05D7">
              <w:rPr>
                <w:sz w:val="20"/>
                <w:szCs w:val="20"/>
              </w:rPr>
              <w:t>Target population</w:t>
            </w:r>
            <w:r w:rsidRPr="00A07C6A">
              <w:rPr>
                <w:sz w:val="20"/>
                <w:szCs w:val="20"/>
              </w:rPr>
              <w:t>§</w:t>
            </w:r>
          </w:p>
          <w:p w14:paraId="7F2E6C0A" w14:textId="76D15834" w:rsidR="00F4432B" w:rsidRPr="002B05D7" w:rsidRDefault="00F4432B" w:rsidP="00F4432B">
            <w:pPr>
              <w:rPr>
                <w:sz w:val="20"/>
                <w:szCs w:val="20"/>
              </w:rPr>
            </w:pPr>
            <w:r w:rsidRPr="002B05D7">
              <w:rPr>
                <w:sz w:val="20"/>
                <w:szCs w:val="20"/>
              </w:rPr>
              <w:t>- Multidose</w:t>
            </w:r>
          </w:p>
        </w:tc>
        <w:tc>
          <w:tcPr>
            <w:tcW w:w="1559" w:type="dxa"/>
          </w:tcPr>
          <w:p w14:paraId="32F3C55A" w14:textId="77777777" w:rsidR="00F4432B" w:rsidRPr="002B05D7" w:rsidRDefault="00F4432B" w:rsidP="00F4432B">
            <w:pPr>
              <w:rPr>
                <w:sz w:val="20"/>
                <w:szCs w:val="20"/>
              </w:rPr>
            </w:pPr>
            <w:r w:rsidRPr="002B05D7">
              <w:rPr>
                <w:sz w:val="20"/>
                <w:szCs w:val="20"/>
              </w:rPr>
              <w:t>20120262</w:t>
            </w:r>
          </w:p>
        </w:tc>
        <w:tc>
          <w:tcPr>
            <w:tcW w:w="3544" w:type="dxa"/>
          </w:tcPr>
          <w:p w14:paraId="4CE6E224" w14:textId="0572BFC9" w:rsidR="00F4432B" w:rsidRPr="002B05D7" w:rsidRDefault="00F4432B" w:rsidP="00A07C6A">
            <w:pPr>
              <w:rPr>
                <w:sz w:val="20"/>
                <w:szCs w:val="20"/>
              </w:rPr>
            </w:pPr>
            <w:r w:rsidRPr="002B05D7">
              <w:rPr>
                <w:sz w:val="20"/>
                <w:szCs w:val="20"/>
              </w:rPr>
              <w:t xml:space="preserve">To demonstrate pharmacokinetic similarity of ABP 501 to Humira by comparing steady state trough concentrations in patients with </w:t>
            </w:r>
            <w:r w:rsidR="00A07C6A">
              <w:rPr>
                <w:sz w:val="20"/>
                <w:szCs w:val="20"/>
              </w:rPr>
              <w:t>r</w:t>
            </w:r>
            <w:r w:rsidR="00A07C6A" w:rsidRPr="002B05D7">
              <w:rPr>
                <w:sz w:val="20"/>
                <w:szCs w:val="20"/>
              </w:rPr>
              <w:t xml:space="preserve">heumatoid </w:t>
            </w:r>
            <w:r w:rsidR="00A07C6A">
              <w:rPr>
                <w:sz w:val="20"/>
                <w:szCs w:val="20"/>
              </w:rPr>
              <w:t>a</w:t>
            </w:r>
            <w:r w:rsidR="00A07C6A" w:rsidRPr="002B05D7">
              <w:rPr>
                <w:sz w:val="20"/>
                <w:szCs w:val="20"/>
              </w:rPr>
              <w:t>rthritis</w:t>
            </w:r>
          </w:p>
        </w:tc>
      </w:tr>
      <w:tr w:rsidR="00F4432B" w:rsidRPr="002B05D7" w14:paraId="036BDEA5" w14:textId="77777777" w:rsidTr="002B05D7">
        <w:tc>
          <w:tcPr>
            <w:tcW w:w="1668" w:type="dxa"/>
            <w:vMerge/>
          </w:tcPr>
          <w:p w14:paraId="1879B451" w14:textId="77777777" w:rsidR="00F4432B" w:rsidRPr="002B05D7" w:rsidRDefault="00F4432B" w:rsidP="00F4432B">
            <w:pPr>
              <w:rPr>
                <w:sz w:val="20"/>
                <w:szCs w:val="20"/>
              </w:rPr>
            </w:pPr>
          </w:p>
        </w:tc>
        <w:tc>
          <w:tcPr>
            <w:tcW w:w="1984" w:type="dxa"/>
          </w:tcPr>
          <w:p w14:paraId="10073AAE" w14:textId="1E343E6A" w:rsidR="00F4432B" w:rsidRPr="002B05D7" w:rsidRDefault="00F4432B" w:rsidP="00F4432B">
            <w:pPr>
              <w:rPr>
                <w:sz w:val="20"/>
                <w:szCs w:val="20"/>
              </w:rPr>
            </w:pPr>
            <w:r w:rsidRPr="002B05D7">
              <w:rPr>
                <w:sz w:val="20"/>
                <w:szCs w:val="20"/>
              </w:rPr>
              <w:t>Target population</w:t>
            </w:r>
            <w:r w:rsidRPr="00A07C6A">
              <w:rPr>
                <w:sz w:val="20"/>
                <w:szCs w:val="20"/>
              </w:rPr>
              <w:t>§</w:t>
            </w:r>
          </w:p>
          <w:p w14:paraId="0062E1FB" w14:textId="554B2B6B" w:rsidR="00F4432B" w:rsidRPr="002B05D7" w:rsidRDefault="00F4432B" w:rsidP="00F4432B">
            <w:pPr>
              <w:rPr>
                <w:sz w:val="20"/>
                <w:szCs w:val="20"/>
              </w:rPr>
            </w:pPr>
            <w:r w:rsidRPr="002B05D7">
              <w:rPr>
                <w:sz w:val="20"/>
                <w:szCs w:val="20"/>
              </w:rPr>
              <w:t xml:space="preserve">- Multidose </w:t>
            </w:r>
          </w:p>
        </w:tc>
        <w:tc>
          <w:tcPr>
            <w:tcW w:w="1559" w:type="dxa"/>
          </w:tcPr>
          <w:p w14:paraId="6C841992" w14:textId="77777777" w:rsidR="00F4432B" w:rsidRPr="002B05D7" w:rsidRDefault="00F4432B" w:rsidP="00F4432B">
            <w:pPr>
              <w:rPr>
                <w:sz w:val="20"/>
                <w:szCs w:val="20"/>
              </w:rPr>
            </w:pPr>
            <w:r w:rsidRPr="002B05D7">
              <w:rPr>
                <w:sz w:val="20"/>
                <w:szCs w:val="20"/>
              </w:rPr>
              <w:t>20120263</w:t>
            </w:r>
          </w:p>
        </w:tc>
        <w:tc>
          <w:tcPr>
            <w:tcW w:w="3544" w:type="dxa"/>
          </w:tcPr>
          <w:p w14:paraId="22D5E982" w14:textId="3FCD8994" w:rsidR="00F4432B" w:rsidRPr="002B05D7" w:rsidRDefault="00F4432B" w:rsidP="00A07C6A">
            <w:pPr>
              <w:rPr>
                <w:sz w:val="20"/>
                <w:szCs w:val="20"/>
              </w:rPr>
            </w:pPr>
            <w:r w:rsidRPr="002B05D7">
              <w:rPr>
                <w:sz w:val="20"/>
                <w:szCs w:val="20"/>
              </w:rPr>
              <w:t xml:space="preserve">To demonstrate pharmacokinetic similarity of ABP 501 to Humira by comparing steady state trough concentrations in patients with </w:t>
            </w:r>
            <w:r w:rsidR="00A07C6A">
              <w:rPr>
                <w:sz w:val="20"/>
                <w:szCs w:val="20"/>
              </w:rPr>
              <w:t>p</w:t>
            </w:r>
            <w:r w:rsidR="00A07C6A" w:rsidRPr="002B05D7">
              <w:rPr>
                <w:sz w:val="20"/>
                <w:szCs w:val="20"/>
              </w:rPr>
              <w:t>soriasis</w:t>
            </w:r>
          </w:p>
        </w:tc>
      </w:tr>
    </w:tbl>
    <w:p w14:paraId="738EBBB8" w14:textId="4003C407" w:rsidR="006C285D" w:rsidRPr="002B05D7" w:rsidRDefault="006C285D" w:rsidP="00A46675">
      <w:pPr>
        <w:pStyle w:val="TableDescription"/>
      </w:pPr>
      <w:r w:rsidRPr="002B05D7">
        <w:t xml:space="preserve">† </w:t>
      </w:r>
      <w:r w:rsidR="00BE3CEB">
        <w:t xml:space="preserve">indicates </w:t>
      </w:r>
      <w:r w:rsidR="00BE3CEB" w:rsidRPr="00A46675">
        <w:t>b</w:t>
      </w:r>
      <w:r w:rsidRPr="00A46675">
        <w:t>ioequivalence</w:t>
      </w:r>
      <w:r w:rsidRPr="002B05D7">
        <w:t xml:space="preserve"> of different formulations</w:t>
      </w:r>
      <w:r w:rsidR="00BE3CEB">
        <w:t xml:space="preserve">; </w:t>
      </w:r>
      <w:r w:rsidRPr="002B05D7">
        <w:t xml:space="preserve">§ </w:t>
      </w:r>
      <w:r w:rsidR="00BE3CEB">
        <w:t>indicates s</w:t>
      </w:r>
      <w:r w:rsidRPr="002B05D7">
        <w:t>ubjects who would be eligible to receive the drug if approved for the proposed indication.</w:t>
      </w:r>
    </w:p>
    <w:p w14:paraId="45C464AD" w14:textId="77777777" w:rsidR="006C285D" w:rsidRDefault="006C285D" w:rsidP="006C285D">
      <w:r>
        <w:t>The sponsor is planning a further PK study:</w:t>
      </w:r>
    </w:p>
    <w:p w14:paraId="1A570ACE" w14:textId="6B8423AC" w:rsidR="006C285D" w:rsidRPr="006C285D" w:rsidRDefault="006C285D" w:rsidP="002B05D7">
      <w:pPr>
        <w:pStyle w:val="ListBullet"/>
      </w:pPr>
      <w:r>
        <w:t>Study 20120176: a randomised, single</w:t>
      </w:r>
      <w:r w:rsidR="002B05D7">
        <w:t xml:space="preserve"> </w:t>
      </w:r>
      <w:r>
        <w:t>blind, single</w:t>
      </w:r>
      <w:r w:rsidR="002B05D7">
        <w:t xml:space="preserve"> </w:t>
      </w:r>
      <w:r>
        <w:t>dose, 2</w:t>
      </w:r>
      <w:r w:rsidR="002B05D7">
        <w:t xml:space="preserve"> </w:t>
      </w:r>
      <w:r>
        <w:t>arm, parallel</w:t>
      </w:r>
      <w:r w:rsidR="00A07C6A">
        <w:t xml:space="preserve"> </w:t>
      </w:r>
      <w:r>
        <w:t>group study to determine the PK bioequivalence of ABP 501 and adalimumab in 179 healthy adult Japanese subjects. No results for this study were submitted with the current application.</w:t>
      </w:r>
    </w:p>
    <w:p w14:paraId="18463F07" w14:textId="77777777" w:rsidR="00605AD4" w:rsidRDefault="00605AD4" w:rsidP="00605AD4">
      <w:pPr>
        <w:pStyle w:val="Heading4"/>
      </w:pPr>
      <w:r>
        <w:t>Evaluator’s conclusions on pharmacokinetics</w:t>
      </w:r>
    </w:p>
    <w:p w14:paraId="59ECC03D" w14:textId="77777777" w:rsidR="006C285D" w:rsidRDefault="006C285D" w:rsidP="006C285D">
      <w:r>
        <w:t>Overall, the bioequivalence criteria for ABP 501 were met. The main results were within the prescribed bioequivalence margins and are acceptable. The serum protein adjusted PK parameter results were excluded from analysis.</w:t>
      </w:r>
    </w:p>
    <w:p w14:paraId="6A97D60D" w14:textId="77777777" w:rsidR="006C285D" w:rsidRDefault="006C285D" w:rsidP="006C285D">
      <w:r>
        <w:t>Overall, the clinical efficacy studies support the results of the PK bioequivalence study.</w:t>
      </w:r>
    </w:p>
    <w:p w14:paraId="5DFB8E28" w14:textId="70F39875" w:rsidR="006C285D" w:rsidRPr="006C285D" w:rsidRDefault="001E6DDC" w:rsidP="006C285D">
      <w:r>
        <w:t>Humira</w:t>
      </w:r>
      <w:r w:rsidR="006C285D">
        <w:t xml:space="preserve"> is currently approved in Australia and its PK study data and their description in the PI document have previously been accepted by the TGA. Consequently, the</w:t>
      </w:r>
      <w:r w:rsidR="00A07C6A">
        <w:t xml:space="preserve"> PI</w:t>
      </w:r>
      <w:r w:rsidR="006C285D">
        <w:t xml:space="preserve"> document of any approved biosimilar to </w:t>
      </w:r>
      <w:r>
        <w:t>Humira</w:t>
      </w:r>
      <w:r w:rsidR="006C285D">
        <w:t xml:space="preserve"> without separate PK studies should contain the identical information with regard to pharmacokinetics. The proposed PI document for </w:t>
      </w:r>
      <w:r>
        <w:t>Humira</w:t>
      </w:r>
      <w:r w:rsidR="006C285D">
        <w:t xml:space="preserve"> fulfils this requirement.</w:t>
      </w:r>
    </w:p>
    <w:p w14:paraId="168981C8" w14:textId="77777777" w:rsidR="008E7846" w:rsidRDefault="008E7846" w:rsidP="008E7846">
      <w:pPr>
        <w:pStyle w:val="Heading3"/>
      </w:pPr>
      <w:bookmarkStart w:id="75" w:name="_Toc196046481"/>
      <w:bookmarkStart w:id="76" w:name="_Toc247691520"/>
      <w:bookmarkStart w:id="77" w:name="_Toc314842503"/>
      <w:bookmarkStart w:id="78" w:name="_Toc519244657"/>
      <w:r w:rsidRPr="00254787">
        <w:t>Pharmacodynamics</w:t>
      </w:r>
      <w:bookmarkEnd w:id="65"/>
      <w:bookmarkEnd w:id="75"/>
      <w:bookmarkEnd w:id="76"/>
      <w:bookmarkEnd w:id="77"/>
      <w:bookmarkEnd w:id="78"/>
    </w:p>
    <w:p w14:paraId="344482B0" w14:textId="77777777" w:rsidR="006C285D" w:rsidRDefault="006C285D" w:rsidP="002F39DE">
      <w:r>
        <w:t>No studies providing pharmacodynamics information were submitted with this application.</w:t>
      </w:r>
    </w:p>
    <w:p w14:paraId="43567A25" w14:textId="77777777" w:rsidR="00605AD4" w:rsidRDefault="006C285D" w:rsidP="002F39DE">
      <w:r>
        <w:t xml:space="preserve">Pharmacodynamic data pertaining to </w:t>
      </w:r>
      <w:r w:rsidR="001E6DDC">
        <w:t>Humira</w:t>
      </w:r>
      <w:r>
        <w:t xml:space="preserve"> are proposed to be included in the </w:t>
      </w:r>
      <w:proofErr w:type="spellStart"/>
      <w:r w:rsidR="001E6DDC">
        <w:t>Amgevita</w:t>
      </w:r>
      <w:proofErr w:type="spellEnd"/>
      <w:r>
        <w:t xml:space="preserve"> PI. In the proposed PI for </w:t>
      </w:r>
      <w:proofErr w:type="spellStart"/>
      <w:r w:rsidR="001E6DDC">
        <w:t>Amgevita</w:t>
      </w:r>
      <w:proofErr w:type="spellEnd"/>
      <w:r>
        <w:t>, the section with regard to pharmacodynamic data is identical to the corresponding section in the reference product PI document.</w:t>
      </w:r>
    </w:p>
    <w:p w14:paraId="6798BFF8" w14:textId="77777777" w:rsidR="008E7846" w:rsidRDefault="00605AD4" w:rsidP="00605AD4">
      <w:pPr>
        <w:pStyle w:val="Heading3"/>
      </w:pPr>
      <w:bookmarkStart w:id="79" w:name="_Toc519244658"/>
      <w:r>
        <w:t>Dosage selection for the pivotal studies</w:t>
      </w:r>
      <w:bookmarkEnd w:id="79"/>
    </w:p>
    <w:p w14:paraId="6A0987D3" w14:textId="77777777" w:rsidR="006C285D" w:rsidRPr="006C285D" w:rsidRDefault="006C285D" w:rsidP="006C285D">
      <w:r>
        <w:t xml:space="preserve">The doses used in both clinical equivalence studies were identical to the recommended dosing regimen for the respective indications in the reference product </w:t>
      </w:r>
      <w:r w:rsidR="001E6DDC">
        <w:t>Humira</w:t>
      </w:r>
      <w:r>
        <w:t>.</w:t>
      </w:r>
    </w:p>
    <w:p w14:paraId="0AAC97BA" w14:textId="77777777" w:rsidR="008E7846" w:rsidRPr="00254787" w:rsidRDefault="008E7846" w:rsidP="008E7846">
      <w:pPr>
        <w:pStyle w:val="Heading3"/>
      </w:pPr>
      <w:bookmarkStart w:id="80" w:name="_Toc163441372"/>
      <w:bookmarkStart w:id="81" w:name="_Toc196046485"/>
      <w:bookmarkStart w:id="82" w:name="_Toc247691521"/>
      <w:bookmarkStart w:id="83" w:name="_Toc314842504"/>
      <w:bookmarkStart w:id="84" w:name="_Toc519244659"/>
      <w:r w:rsidRPr="00254787">
        <w:t>Efficacy</w:t>
      </w:r>
      <w:bookmarkEnd w:id="80"/>
      <w:bookmarkEnd w:id="81"/>
      <w:bookmarkEnd w:id="82"/>
      <w:bookmarkEnd w:id="83"/>
      <w:bookmarkEnd w:id="84"/>
    </w:p>
    <w:p w14:paraId="1A456788" w14:textId="77777777" w:rsidR="00605AD4" w:rsidRDefault="00605AD4" w:rsidP="00605AD4">
      <w:pPr>
        <w:pStyle w:val="Heading4"/>
      </w:pPr>
      <w:bookmarkStart w:id="85" w:name="_Toc184439992"/>
      <w:bookmarkStart w:id="86" w:name="_Toc184440279"/>
      <w:bookmarkStart w:id="87" w:name="_Toc184444657"/>
      <w:bookmarkStart w:id="88" w:name="_Toc196046487"/>
      <w:r>
        <w:t>Studies providing efficacy data</w:t>
      </w:r>
    </w:p>
    <w:p w14:paraId="73A17F48" w14:textId="373D0A32" w:rsidR="006C285D" w:rsidRDefault="002B05D7" w:rsidP="006C285D">
      <w:r>
        <w:t>T</w:t>
      </w:r>
      <w:r w:rsidR="006C285D">
        <w:t>wo studies provided evaluable efficacy data</w:t>
      </w:r>
      <w:r w:rsidR="00AE60DB">
        <w:t>, described below.</w:t>
      </w:r>
    </w:p>
    <w:p w14:paraId="159CD3D0" w14:textId="77777777" w:rsidR="006C285D" w:rsidRDefault="006C285D" w:rsidP="002F39DE">
      <w:pPr>
        <w:pStyle w:val="Heading5"/>
      </w:pPr>
      <w:r>
        <w:t>Rheumatoid arthritis</w:t>
      </w:r>
    </w:p>
    <w:p w14:paraId="3C768058" w14:textId="2ECD6E1C" w:rsidR="006C285D" w:rsidRDefault="006C285D" w:rsidP="006C285D">
      <w:r>
        <w:t xml:space="preserve">Study 20120262: a </w:t>
      </w:r>
      <w:r w:rsidR="002B05D7">
        <w:t>Phase III</w:t>
      </w:r>
      <w:r>
        <w:t>, double</w:t>
      </w:r>
      <w:r w:rsidR="00AE60DB">
        <w:t xml:space="preserve"> </w:t>
      </w:r>
      <w:r>
        <w:t>blind, randomised, active comparator</w:t>
      </w:r>
      <w:r w:rsidR="002B05D7">
        <w:t xml:space="preserve"> </w:t>
      </w:r>
      <w:r>
        <w:t xml:space="preserve">controlled study in 526 subjects with moderate to severe rheumatoid arthritis </w:t>
      </w:r>
      <w:r w:rsidR="002B05D7">
        <w:t xml:space="preserve">(RA) </w:t>
      </w:r>
      <w:r>
        <w:t>with concomitant methotrexate and oral corticosteroid use evaluating the efficacy and safety of ABP 501 compared with adalimumab (US).</w:t>
      </w:r>
    </w:p>
    <w:p w14:paraId="29268923" w14:textId="77777777" w:rsidR="006C285D" w:rsidRDefault="006C285D" w:rsidP="002F39DE">
      <w:pPr>
        <w:pStyle w:val="Heading5"/>
      </w:pPr>
      <w:r>
        <w:t>Psoriasis</w:t>
      </w:r>
    </w:p>
    <w:p w14:paraId="4667BD09" w14:textId="1A05E59E" w:rsidR="006C285D" w:rsidRPr="006C285D" w:rsidRDefault="006C285D" w:rsidP="006C285D">
      <w:r>
        <w:t xml:space="preserve">Study 20120263: a </w:t>
      </w:r>
      <w:r w:rsidR="002B05D7">
        <w:t>P</w:t>
      </w:r>
      <w:r>
        <w:t xml:space="preserve">hase </w:t>
      </w:r>
      <w:r w:rsidR="002B05D7">
        <w:t>III</w:t>
      </w:r>
      <w:r>
        <w:t>, double</w:t>
      </w:r>
      <w:r w:rsidR="00AE60DB">
        <w:t xml:space="preserve"> </w:t>
      </w:r>
      <w:r>
        <w:t>blind, randomised, active comparator</w:t>
      </w:r>
      <w:r w:rsidR="002B05D7">
        <w:t xml:space="preserve"> </w:t>
      </w:r>
      <w:r>
        <w:t>controlled study in 350 subjects with moderate to severe psoriasis with no concomitant medications allowed for the treatment of psoriasis evaluating the efficacy and safety of ABP 501 compared with adalimumab (EU).</w:t>
      </w:r>
    </w:p>
    <w:p w14:paraId="14CBDA63" w14:textId="77777777" w:rsidR="008E7846" w:rsidRDefault="00605AD4" w:rsidP="00605AD4">
      <w:pPr>
        <w:pStyle w:val="Heading4"/>
      </w:pPr>
      <w:r>
        <w:t>Evaluator’s conclusions on efficacy</w:t>
      </w:r>
    </w:p>
    <w:p w14:paraId="6B85D2D1" w14:textId="77777777" w:rsidR="006C285D" w:rsidRDefault="006C285D" w:rsidP="006C285D">
      <w:r>
        <w:t>There is sufficient evidence to support clinical efficacy of ABP 501 in rheumatoid arthritis and psoriasis, and also biosimilarity of ABP 501 to the reference product adalimumab (</w:t>
      </w:r>
      <w:r w:rsidR="001E6DDC">
        <w:t>Humira</w:t>
      </w:r>
      <w:r>
        <w:t>).</w:t>
      </w:r>
    </w:p>
    <w:p w14:paraId="07F58760" w14:textId="77777777" w:rsidR="006C285D" w:rsidRDefault="006C285D" w:rsidP="006C285D">
      <w:r>
        <w:t>The sponsor has not nominated one of the provided clinical equivalence studies as the pivotal or main study.</w:t>
      </w:r>
    </w:p>
    <w:p w14:paraId="715733A1" w14:textId="6F468FC6" w:rsidR="006C285D" w:rsidRDefault="006C285D" w:rsidP="006C285D">
      <w:r>
        <w:t>Study 20120262 (RA patients) was the shorter study (26 weeks), but rheumatoid arthritis is arguably the more significant indication for adalimumab. Furthermore, the study population was larger (N</w:t>
      </w:r>
      <w:r w:rsidR="00AE60DB">
        <w:t> </w:t>
      </w:r>
      <w:r>
        <w:t>=</w:t>
      </w:r>
      <w:r w:rsidR="00AE60DB">
        <w:t> </w:t>
      </w:r>
      <w:r>
        <w:t>526, compared to N</w:t>
      </w:r>
      <w:r w:rsidR="00AE60DB">
        <w:t> </w:t>
      </w:r>
      <w:r>
        <w:t>=</w:t>
      </w:r>
      <w:r w:rsidR="00AE60DB">
        <w:t> </w:t>
      </w:r>
      <w:r>
        <w:t>350 in the psoriasis study) and older with more co-morbidities. Most other trials of TNFα antagonist biosimilars used rheumatoid arthritis as their main study indication.</w:t>
      </w:r>
      <w:r w:rsidR="002B05D7">
        <w:rPr>
          <w:rStyle w:val="FootnoteReference"/>
        </w:rPr>
        <w:footnoteReference w:id="11"/>
      </w:r>
    </w:p>
    <w:p w14:paraId="3964ABD0" w14:textId="6C54C2DB" w:rsidR="006C285D" w:rsidRDefault="006C285D" w:rsidP="006C285D">
      <w:r>
        <w:t xml:space="preserve">The investigation of medicines for rheumatoid arthritis has a better choice of endpoints: the </w:t>
      </w:r>
      <w:r w:rsidR="00974C58">
        <w:t>American College of Rheumatology (</w:t>
      </w:r>
      <w:r>
        <w:t>ACR</w:t>
      </w:r>
      <w:r w:rsidR="00974C58">
        <w:t>)</w:t>
      </w:r>
      <w:r>
        <w:t xml:space="preserve"> score, for example, is highly validated and is also a composite endpoint. Additionally, biomarkers and radiographic evidence can be used for rheumatoid arthritis. The RA study used a highly validated ACR endpoint.</w:t>
      </w:r>
    </w:p>
    <w:p w14:paraId="66201C02" w14:textId="010693AC" w:rsidR="006C285D" w:rsidRDefault="006C285D" w:rsidP="006C285D">
      <w:r>
        <w:t>The main limitations of the provided RA study are the shorter study period (</w:t>
      </w:r>
      <w:r w:rsidR="00C661C5">
        <w:t>that is,</w:t>
      </w:r>
      <w:r>
        <w:t xml:space="preserve"> no longer term data up to 52 weeks), the wider pre-determined equivalence margin (0.738,</w:t>
      </w:r>
      <w:r w:rsidR="002302CB">
        <w:t> </w:t>
      </w:r>
      <w:r>
        <w:t>1/0.738), and the concomitant immunomodulator (methotrexate) administration at variable (but stable) doses. Methotrexate had the potential to reduce the occurrence of immunogenicity and to mask the difference in treatment effect between groups. However, the study has an open</w:t>
      </w:r>
      <w:r w:rsidR="00C661C5">
        <w:t xml:space="preserve"> </w:t>
      </w:r>
      <w:r>
        <w:t>label extension up to 72 weeks which should be followed up as a post-authorisation efficacy study. Furthermore, even though the equivalence margin was wider, the main study results (using 95% CI) were also met when the recommended margin of ±15% was applied.</w:t>
      </w:r>
    </w:p>
    <w:p w14:paraId="78DF6392" w14:textId="745BE0CF" w:rsidR="006C285D" w:rsidRDefault="006C285D" w:rsidP="006C285D">
      <w:r>
        <w:t xml:space="preserve">Study 20120263 (psoriasis patients) was the longer study (48 weeks with follow-up until 52 weeks), but had fewer participants compared to the RA study. Psoriasis patients are younger with </w:t>
      </w:r>
      <w:proofErr w:type="gramStart"/>
      <w:r>
        <w:t>fewer co</w:t>
      </w:r>
      <w:r w:rsidR="00C661C5">
        <w:t>-</w:t>
      </w:r>
      <w:r>
        <w:t>morbidities</w:t>
      </w:r>
      <w:proofErr w:type="gramEnd"/>
      <w:r>
        <w:t xml:space="preserve"> when compared to RA patients. Even though the psoriasis study had a longer duration, the primary endpoint was set at Week 16 compared to Week 24 in the RA study. No per</w:t>
      </w:r>
      <w:r w:rsidR="002302CB">
        <w:t xml:space="preserve"> </w:t>
      </w:r>
      <w:r>
        <w:t>protocol analysis results were supplied for the study period post Week 16.</w:t>
      </w:r>
    </w:p>
    <w:p w14:paraId="2CFBD8FE" w14:textId="77777777" w:rsidR="006C285D" w:rsidRDefault="006C285D" w:rsidP="006C285D">
      <w:r>
        <w:t>The psoriasis assessment tools are often considered a limitation of clinical trials in psoriasis patients. Psoriasis assessments appear to be more subjective with clinicians often overestimating body surface area affected. The patient experience of severity is also rather subjective.</w:t>
      </w:r>
    </w:p>
    <w:p w14:paraId="54C052FA" w14:textId="03CC4F4E" w:rsidR="006C285D" w:rsidRDefault="006C285D" w:rsidP="006C285D">
      <w:r>
        <w:t>The PASI</w:t>
      </w:r>
      <w:r w:rsidR="002302CB">
        <w:t>;</w:t>
      </w:r>
      <w:r w:rsidR="00C661C5">
        <w:rPr>
          <w:rStyle w:val="FootnoteReference"/>
        </w:rPr>
        <w:footnoteReference w:id="12"/>
      </w:r>
      <w:r>
        <w:t xml:space="preserve"> is still considered the gold standard and widely used in psoriasis clinical trials, including the reference product pivotal REVEAL trial. The PASI’s disadvantages are that the upper end of the scale is rar</w:t>
      </w:r>
      <w:r w:rsidR="00C661C5">
        <w:t>ely used (the highest score in S</w:t>
      </w:r>
      <w:r>
        <w:t xml:space="preserve">tudy 20120263 was 61.8/72), and may have low response distribution and no consensus on interpretability, whereas </w:t>
      </w:r>
      <w:r w:rsidR="00C661C5" w:rsidRPr="00C661C5">
        <w:t>Static Physician's Global Assessment (</w:t>
      </w:r>
      <w:proofErr w:type="spellStart"/>
      <w:r w:rsidR="00C661C5" w:rsidRPr="00C661C5">
        <w:t>sPGA</w:t>
      </w:r>
      <w:proofErr w:type="spellEnd"/>
      <w:r w:rsidR="00C661C5">
        <w:t xml:space="preserve">) </w:t>
      </w:r>
      <w:r>
        <w:t>may not necessarily discriminate small change and may not have a robust range.</w:t>
      </w:r>
      <w:r w:rsidR="00C661C5">
        <w:rPr>
          <w:rStyle w:val="FootnoteReference"/>
        </w:rPr>
        <w:footnoteReference w:id="13"/>
      </w:r>
      <w:r>
        <w:t xml:space="preserve"> In the relevant EU guideline</w:t>
      </w:r>
      <w:r w:rsidR="002302CB">
        <w:t>;</w:t>
      </w:r>
      <w:r w:rsidR="00C661C5">
        <w:rPr>
          <w:rStyle w:val="FootnoteReference"/>
        </w:rPr>
        <w:footnoteReference w:id="14"/>
      </w:r>
      <w:r>
        <w:t xml:space="preserve"> a combination of endpoint measures is recommended (</w:t>
      </w:r>
      <w:r w:rsidR="00D21BD7">
        <w:t>for example,</w:t>
      </w:r>
      <w:r>
        <w:t xml:space="preserve"> PASI and </w:t>
      </w:r>
      <w:proofErr w:type="spellStart"/>
      <w:r>
        <w:t>sPGA</w:t>
      </w:r>
      <w:proofErr w:type="spellEnd"/>
      <w:r w:rsidR="002302CB">
        <w:t>;</w:t>
      </w:r>
      <w:r>
        <w:t xml:space="preserve"> or PASI and </w:t>
      </w:r>
      <w:r w:rsidR="00D21BD7">
        <w:t>body surface area (</w:t>
      </w:r>
      <w:r>
        <w:t>BSA</w:t>
      </w:r>
      <w:r w:rsidR="00D21BD7">
        <w:t>)</w:t>
      </w:r>
      <w:r>
        <w:t xml:space="preserve">) which was used in </w:t>
      </w:r>
      <w:r w:rsidR="00D21BD7">
        <w:t>S</w:t>
      </w:r>
      <w:r>
        <w:t>tudy 20120263.</w:t>
      </w:r>
    </w:p>
    <w:p w14:paraId="713C1E54" w14:textId="77777777" w:rsidR="006C285D" w:rsidRDefault="006C285D" w:rsidP="006C285D">
      <w:r>
        <w:t xml:space="preserve">As both supplied clinical studies had strengths and limitations in different areas, they complement each other rather well. Therefore both were used for evaluating efficacy in the tested indication, for establishing equivalence with the reference product, and for extrapolation to the other indications of the reference product. In the </w:t>
      </w:r>
      <w:r w:rsidR="00D21BD7">
        <w:t xml:space="preserve">clinical </w:t>
      </w:r>
      <w:r>
        <w:t>evaluator’s opinion both were needed to establish the biosimilar status in ABP 501.</w:t>
      </w:r>
    </w:p>
    <w:p w14:paraId="2A6470BB" w14:textId="77777777" w:rsidR="006C285D" w:rsidRPr="006C285D" w:rsidRDefault="00D21BD7" w:rsidP="006C285D">
      <w:r>
        <w:t>B</w:t>
      </w:r>
      <w:r w:rsidR="006C285D">
        <w:t>ased on the evidence available, the approval of extrapolation to the other reference product indications is considered reasonable in conjunction with appropriate pharmacovigilance activities (</w:t>
      </w:r>
      <w:r>
        <w:t>for example,</w:t>
      </w:r>
      <w:r w:rsidR="006C285D">
        <w:t xml:space="preserve"> participation in relevant disease registries) and risk minimisation activities.</w:t>
      </w:r>
    </w:p>
    <w:p w14:paraId="6A458548" w14:textId="77777777" w:rsidR="008E7846" w:rsidRPr="002E238E" w:rsidRDefault="008E7846" w:rsidP="008E7846">
      <w:pPr>
        <w:pStyle w:val="Heading3"/>
      </w:pPr>
      <w:bookmarkStart w:id="89" w:name="_Toc163441378"/>
      <w:bookmarkStart w:id="90" w:name="_Toc196046495"/>
      <w:bookmarkStart w:id="91" w:name="_Toc247691522"/>
      <w:bookmarkStart w:id="92" w:name="_Toc314842505"/>
      <w:bookmarkStart w:id="93" w:name="_Toc519244660"/>
      <w:bookmarkEnd w:id="85"/>
      <w:bookmarkEnd w:id="86"/>
      <w:bookmarkEnd w:id="87"/>
      <w:bookmarkEnd w:id="88"/>
      <w:r w:rsidRPr="002E238E">
        <w:t>Safety</w:t>
      </w:r>
      <w:bookmarkEnd w:id="89"/>
      <w:bookmarkEnd w:id="90"/>
      <w:bookmarkEnd w:id="91"/>
      <w:bookmarkEnd w:id="92"/>
      <w:bookmarkEnd w:id="93"/>
    </w:p>
    <w:p w14:paraId="081702B6" w14:textId="77777777" w:rsidR="00605AD4" w:rsidRDefault="00605AD4" w:rsidP="00605AD4">
      <w:pPr>
        <w:pStyle w:val="Heading4"/>
      </w:pPr>
      <w:bookmarkStart w:id="94" w:name="_Toc247691524"/>
      <w:bookmarkStart w:id="95" w:name="_Toc314842508"/>
      <w:bookmarkStart w:id="96" w:name="_Toc196046504"/>
      <w:bookmarkStart w:id="97" w:name="_Toc163441390"/>
      <w:r w:rsidRPr="00605AD4">
        <w:t>Studies providing safety data</w:t>
      </w:r>
    </w:p>
    <w:p w14:paraId="75CFB4A4" w14:textId="77777777" w:rsidR="006C285D" w:rsidRDefault="006C285D" w:rsidP="006C285D">
      <w:r>
        <w:t xml:space="preserve">All three studies (one PK bioequivalence study and two equivalence studies in RA and psoriasis respectively; all described in this report) included in this </w:t>
      </w:r>
      <w:r w:rsidR="00D21BD7">
        <w:t xml:space="preserve">submission provided safety data (see </w:t>
      </w:r>
      <w:r w:rsidR="00D21BD7" w:rsidRPr="00D21BD7">
        <w:rPr>
          <w:i/>
        </w:rPr>
        <w:t>Scope of the clinical dossier</w:t>
      </w:r>
      <w:r w:rsidR="00D21BD7">
        <w:t xml:space="preserve"> above and Table 3 below).</w:t>
      </w:r>
    </w:p>
    <w:p w14:paraId="3C51DE15" w14:textId="77777777" w:rsidR="006C285D" w:rsidRDefault="006C285D" w:rsidP="006C285D">
      <w:r>
        <w:t xml:space="preserve">A summary of the studies providing safety data is in Table </w:t>
      </w:r>
      <w:r w:rsidR="00D21BD7">
        <w:t>3</w:t>
      </w:r>
      <w:r>
        <w:t>. Studies 20130258 and 20120176 were ongoing at the data lock point date and not part of this submission.</w:t>
      </w:r>
    </w:p>
    <w:p w14:paraId="2BC191B0" w14:textId="77777777" w:rsidR="006C285D" w:rsidRDefault="006C285D" w:rsidP="00D21BD7">
      <w:pPr>
        <w:pStyle w:val="TableTitle"/>
      </w:pPr>
      <w:r>
        <w:t xml:space="preserve">Table </w:t>
      </w:r>
      <w:r w:rsidR="00D21BD7">
        <w:t>3:</w:t>
      </w:r>
      <w:r>
        <w:t xml:space="preserve"> Overview of studies providing evaluable safety data</w:t>
      </w:r>
    </w:p>
    <w:p w14:paraId="41FE3477" w14:textId="7CD32864" w:rsidR="005642D2" w:rsidRDefault="00286A1F" w:rsidP="00A46675">
      <w:r w:rsidRPr="00286A1F">
        <w:rPr>
          <w:noProof/>
          <w:lang w:eastAsia="en-AU"/>
        </w:rPr>
        <w:drawing>
          <wp:inline distT="0" distB="0" distL="0" distR="0" wp14:anchorId="4BC18820" wp14:editId="5314E9CA">
            <wp:extent cx="5400040" cy="7804150"/>
            <wp:effectExtent l="0" t="0" r="10160" b="0"/>
            <wp:docPr id="5" name="Picture 5" descr="Table 3: Overview of studies providing evaluabl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7804150"/>
                    </a:xfrm>
                    <a:prstGeom prst="rect">
                      <a:avLst/>
                    </a:prstGeom>
                  </pic:spPr>
                </pic:pic>
              </a:graphicData>
            </a:graphic>
          </wp:inline>
        </w:drawing>
      </w:r>
    </w:p>
    <w:p w14:paraId="5B4145CC" w14:textId="0850116A" w:rsidR="006C285D" w:rsidRDefault="006C285D" w:rsidP="006C285D">
      <w:r>
        <w:t xml:space="preserve">No formal hypotheses were tested in the safety parts of the studies. The safety endpoints were treatment emergent adverse events (TEAEs) and serious adverse events (AEs), clinically significant changes in laboratory values and vital signs, and the incidence of </w:t>
      </w:r>
      <w:r w:rsidR="00241B4E">
        <w:t>Anti-drug antibodies (</w:t>
      </w:r>
      <w:r>
        <w:t>ADAs</w:t>
      </w:r>
      <w:r w:rsidR="00241B4E">
        <w:t>)</w:t>
      </w:r>
      <w:r>
        <w:t>.</w:t>
      </w:r>
    </w:p>
    <w:p w14:paraId="721F882F" w14:textId="77EAD5AD" w:rsidR="006C285D" w:rsidRDefault="006C285D" w:rsidP="006C285D">
      <w:r>
        <w:t>The Medical Dictionary for Regulatory Activiti</w:t>
      </w:r>
      <w:r w:rsidR="00270567">
        <w:t>es (MedDRA) version 15.0 (Study </w:t>
      </w:r>
      <w:r w:rsidR="00BE3D3D">
        <w:t xml:space="preserve">20110217) or </w:t>
      </w:r>
      <w:r w:rsidR="00094C61">
        <w:t>v</w:t>
      </w:r>
      <w:r>
        <w:t>ersion 17.1 (Studies 20120262 and 20120263) were used for coding. The Common Terminology Criteria for Adverse Events (CTCAE) was used for grading adverse events.</w:t>
      </w:r>
    </w:p>
    <w:p w14:paraId="3EB8748D" w14:textId="77777777" w:rsidR="006C285D" w:rsidRDefault="006C285D" w:rsidP="006C285D">
      <w:r>
        <w:t xml:space="preserve">Specific adverse events of interest for </w:t>
      </w:r>
      <w:r w:rsidR="001B1CCD">
        <w:t>the safety analysis of the two P</w:t>
      </w:r>
      <w:r>
        <w:t xml:space="preserve">hase </w:t>
      </w:r>
      <w:r w:rsidR="001B1CCD">
        <w:t>III</w:t>
      </w:r>
      <w:r>
        <w:t xml:space="preserve"> studies were defined based on a review of product labels for the reference product </w:t>
      </w:r>
      <w:r w:rsidR="001E6DDC">
        <w:t>Humira</w:t>
      </w:r>
      <w:r>
        <w:t xml:space="preserve"> (US label and EU S</w:t>
      </w:r>
      <w:r w:rsidR="001B1CCD">
        <w:t>ummary of Product Characteristics (S</w:t>
      </w:r>
      <w:r>
        <w:t>mPC</w:t>
      </w:r>
      <w:r w:rsidR="001B1CCD">
        <w:t>)</w:t>
      </w:r>
      <w:r>
        <w:t>). These included: infections, malignancies, hypersensitivity reactions, demyelinating disease, haematological reactions, heart failure, lupus-like syndrome, liver enzyme elevations and injection site reactions.</w:t>
      </w:r>
    </w:p>
    <w:p w14:paraId="455C1A44" w14:textId="77777777" w:rsidR="006C285D" w:rsidRPr="006C285D" w:rsidRDefault="006C285D" w:rsidP="006C285D">
      <w:r>
        <w:t>As this is a biosimilar application, the main purpose of the clinical safety section was to evaluate whether there are significant differences between the biosimilar and the reference product. The efficacy and safety of the reference product has been previously established for the currently approved indications.</w:t>
      </w:r>
    </w:p>
    <w:p w14:paraId="796882C2" w14:textId="77777777" w:rsidR="00605AD4" w:rsidRDefault="00605AD4" w:rsidP="00605AD4">
      <w:pPr>
        <w:pStyle w:val="Heading4"/>
      </w:pPr>
      <w:r w:rsidRPr="00605AD4">
        <w:t>Patient exposure</w:t>
      </w:r>
    </w:p>
    <w:p w14:paraId="396D476F" w14:textId="77777777" w:rsidR="006C285D" w:rsidRDefault="006C285D" w:rsidP="006C285D">
      <w:r>
        <w:t>A summary of patient exposure to ABP 501 and to the reference product adalimumab (</w:t>
      </w:r>
      <w:r w:rsidR="001E6DDC">
        <w:t>Humira</w:t>
      </w:r>
      <w:r>
        <w:t xml:space="preserve">) is provided in Table </w:t>
      </w:r>
      <w:r w:rsidR="001B1CCD">
        <w:t>4</w:t>
      </w:r>
      <w:r>
        <w:t xml:space="preserve">. Some subjects were exposed to both ABP 501 and adalimumab due to the study design in </w:t>
      </w:r>
      <w:r w:rsidR="001B1CCD">
        <w:t>S</w:t>
      </w:r>
      <w:r>
        <w:t>tudy 20120263 which re-randomised some adalimumab subjects into the ABP 501 group.</w:t>
      </w:r>
    </w:p>
    <w:p w14:paraId="305A4A03" w14:textId="77777777" w:rsidR="006C285D" w:rsidRDefault="006C285D" w:rsidP="006C285D">
      <w:r>
        <w:t xml:space="preserve">The maximum duration of </w:t>
      </w:r>
      <w:r w:rsidR="001B1CCD">
        <w:t>intraperitoneal (</w:t>
      </w:r>
      <w:r>
        <w:t>IP</w:t>
      </w:r>
      <w:r w:rsidR="001B1CCD">
        <w:t>) exposure was 48 weeks (S</w:t>
      </w:r>
      <w:r>
        <w:t xml:space="preserve">tudy 20120263 in psoriasis patients; median exposure: 330 days). RA patients were exposed to a maximum of 22 weeks in </w:t>
      </w:r>
      <w:r w:rsidR="001B1CCD">
        <w:t>S</w:t>
      </w:r>
      <w:r>
        <w:t>tudy 20120262 (median exposure: 155 days). However, there is an open</w:t>
      </w:r>
      <w:r w:rsidR="001B1CCD">
        <w:t xml:space="preserve"> </w:t>
      </w:r>
      <w:r>
        <w:t xml:space="preserve">label </w:t>
      </w:r>
      <w:proofErr w:type="gramStart"/>
      <w:r>
        <w:t xml:space="preserve">extension of </w:t>
      </w:r>
      <w:r w:rsidR="001B1CCD">
        <w:t>Study 20120262 (named S</w:t>
      </w:r>
      <w:r>
        <w:t>tudy 20130258 and not part of this submission) in which RA patients continue</w:t>
      </w:r>
      <w:proofErr w:type="gramEnd"/>
      <w:r>
        <w:t xml:space="preserve"> until Week 72.</w:t>
      </w:r>
    </w:p>
    <w:p w14:paraId="12D62305" w14:textId="77777777" w:rsidR="006C285D" w:rsidRDefault="006C285D" w:rsidP="002F39DE">
      <w:pPr>
        <w:pStyle w:val="TableTitle"/>
      </w:pPr>
      <w:r>
        <w:t xml:space="preserve">Table </w:t>
      </w:r>
      <w:r w:rsidR="001B1CCD">
        <w:t>4</w:t>
      </w:r>
      <w:r w:rsidR="002F39DE">
        <w:t>:</w:t>
      </w:r>
      <w:r>
        <w:t xml:space="preserve"> Exposure to ABP 501 and adalimumab in all clinical studies</w:t>
      </w:r>
    </w:p>
    <w:p w14:paraId="3C0A26B2" w14:textId="77777777" w:rsidR="006C285D" w:rsidRDefault="006C285D" w:rsidP="006C285D">
      <w:r>
        <w:t xml:space="preserve"> </w:t>
      </w:r>
      <w:r w:rsidR="002F39DE">
        <w:rPr>
          <w:noProof/>
          <w:lang w:eastAsia="en-AU"/>
        </w:rPr>
        <w:drawing>
          <wp:inline distT="0" distB="0" distL="0" distR="0" wp14:anchorId="56792C64" wp14:editId="01A8EC2C">
            <wp:extent cx="4069677" cy="1960474"/>
            <wp:effectExtent l="0" t="0" r="7620" b="1905"/>
            <wp:docPr id="305" name="Picture 305" descr="Table 4: Exposure to ABP 501 and adalimumab in all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lum bright="-20000" contrast="40000"/>
                      <a:extLst>
                        <a:ext uri="{28A0092B-C50C-407E-A947-70E740481C1C}">
                          <a14:useLocalDpi xmlns:a14="http://schemas.microsoft.com/office/drawing/2010/main" val="0"/>
                        </a:ext>
                      </a:extLst>
                    </a:blip>
                    <a:srcRect b="10367"/>
                    <a:stretch/>
                  </pic:blipFill>
                  <pic:spPr bwMode="auto">
                    <a:xfrm>
                      <a:off x="0" y="0"/>
                      <a:ext cx="4080930" cy="1965895"/>
                    </a:xfrm>
                    <a:prstGeom prst="rect">
                      <a:avLst/>
                    </a:prstGeom>
                    <a:noFill/>
                    <a:ln>
                      <a:noFill/>
                    </a:ln>
                    <a:extLst>
                      <a:ext uri="{53640926-AAD7-44D8-BBD7-CCE9431645EC}">
                        <a14:shadowObscured xmlns:a14="http://schemas.microsoft.com/office/drawing/2010/main"/>
                      </a:ext>
                    </a:extLst>
                  </pic:spPr>
                </pic:pic>
              </a:graphicData>
            </a:graphic>
          </wp:inline>
        </w:drawing>
      </w:r>
    </w:p>
    <w:p w14:paraId="6C7B5720" w14:textId="77777777" w:rsidR="006C285D" w:rsidRDefault="006C285D" w:rsidP="002F39DE">
      <w:pPr>
        <w:pStyle w:val="Heading5"/>
      </w:pPr>
      <w:r>
        <w:t>Study 20120262 (RA patients)</w:t>
      </w:r>
    </w:p>
    <w:p w14:paraId="52CA4602" w14:textId="7845C23C" w:rsidR="006C285D" w:rsidRDefault="006C285D" w:rsidP="006C285D">
      <w:r>
        <w:t>The dose for all subjects (RA patients) was SC 40 mg IP every 2 weeks. Dose adjustments were not allowed, but in case of infection at a visit, the administration of IP could be delayed up to 3 days. 526 randomised subjects received at least 1 dose of IP. The overall mean dose received by subjects was 456.2 mg (</w:t>
      </w:r>
      <w:r w:rsidR="001B1CCD">
        <w:t>standard deviation (</w:t>
      </w:r>
      <w:r>
        <w:t>SD</w:t>
      </w:r>
      <w:r w:rsidR="001B1CCD">
        <w:t>)</w:t>
      </w:r>
      <w:r>
        <w:t>: 75.4 mg). The overall dose and the exposure duration were sim</w:t>
      </w:r>
      <w:r w:rsidR="00A46675">
        <w:t>ilar for both treatment groups.</w:t>
      </w:r>
    </w:p>
    <w:p w14:paraId="34EC9D68" w14:textId="77777777" w:rsidR="006C285D" w:rsidRDefault="006C285D" w:rsidP="002F39DE">
      <w:pPr>
        <w:pStyle w:val="Heading5"/>
      </w:pPr>
      <w:r>
        <w:t>Study 20120263 (Psoriasis patients)</w:t>
      </w:r>
    </w:p>
    <w:p w14:paraId="745F8116" w14:textId="1ED8E391" w:rsidR="006C285D" w:rsidRDefault="006C285D" w:rsidP="006C285D">
      <w:r>
        <w:t xml:space="preserve">The dose for all subjects (psoriasis patients) was an initial loading dose of SC 80 mg followed by SC 40 mg </w:t>
      </w:r>
      <w:r w:rsidR="00241B4E">
        <w:t>intraperitoneally (</w:t>
      </w:r>
      <w:r>
        <w:t>IP</w:t>
      </w:r>
      <w:r w:rsidR="00241B4E">
        <w:t>)</w:t>
      </w:r>
      <w:r>
        <w:t xml:space="preserve"> every 2 weeks. Dose adjustments were not allowed, but in case of infection at a visit, the administration of IP</w:t>
      </w:r>
      <w:r w:rsidR="00AA11AC">
        <w:t xml:space="preserve"> could be delayed up to 3 days.</w:t>
      </w:r>
    </w:p>
    <w:p w14:paraId="0EE80ED3" w14:textId="1E2AC733" w:rsidR="006C285D" w:rsidRDefault="006C285D" w:rsidP="006C285D">
      <w:r>
        <w:t xml:space="preserve">The design of Study 20120263 was different to Study 20120262, as it had a </w:t>
      </w:r>
      <w:r w:rsidR="001B1CCD">
        <w:t>W</w:t>
      </w:r>
      <w:r>
        <w:t>eek 16 evaluation point, after which only patients with a PASI 50 response could continue, and at which approximately half of the adalimumab group was switched to ABP 501 after re</w:t>
      </w:r>
      <w:r w:rsidR="003E7D7A">
        <w:noBreakHyphen/>
      </w:r>
      <w:r>
        <w:t>randomisation.</w:t>
      </w:r>
    </w:p>
    <w:p w14:paraId="778D626E" w14:textId="77777777" w:rsidR="006C285D" w:rsidRDefault="006C285D" w:rsidP="006C285D">
      <w:r>
        <w:t xml:space="preserve">From baseline to </w:t>
      </w:r>
      <w:r w:rsidR="001B1CCD">
        <w:t>W</w:t>
      </w:r>
      <w:r>
        <w:t xml:space="preserve">eek 16, 174 subjects were treated with ABP 501 and 173 subjects were treated with adalimumab. Most subjects received 8 doses; 1 subject received 9 doses (adalimumab group). The overall mean (SD) dose received by subjects up to </w:t>
      </w:r>
      <w:r w:rsidR="001B1CCD">
        <w:t>W</w:t>
      </w:r>
      <w:r>
        <w:t>eek 16 was 350.3 mg (SD: 32.87 mg). The overall dose and the exposure duration were similar for both treatment groups.</w:t>
      </w:r>
    </w:p>
    <w:p w14:paraId="0606157E" w14:textId="379CE586" w:rsidR="006C285D" w:rsidRDefault="006C285D" w:rsidP="006C285D">
      <w:r>
        <w:t>Post Week 16, 308 subjects received at least 1 dose of IP: 152 subjects continued on ABP</w:t>
      </w:r>
      <w:r w:rsidR="003E7D7A">
        <w:t> </w:t>
      </w:r>
      <w:r>
        <w:t xml:space="preserve">501 (ABP 501/ABP 501), 79 subjects continued on adalimumab (adalimumab/adalimumab), and 77 subjects transitioned from adalimumab to ABP 501 (adalimumab/ABP 501). The overall mean (SD) dose received by subjects post </w:t>
      </w:r>
      <w:r w:rsidR="001B1CCD">
        <w:t>W</w:t>
      </w:r>
      <w:r>
        <w:t>eek 16 was 630.5 mg (SD: 131.69 mg). The overall dose and the exposure duration were similar for all three treatment groups.</w:t>
      </w:r>
    </w:p>
    <w:p w14:paraId="32733C3F" w14:textId="77777777" w:rsidR="006C285D" w:rsidRDefault="006C285D" w:rsidP="00E954A2">
      <w:pPr>
        <w:pStyle w:val="Heading5"/>
      </w:pPr>
      <w:r>
        <w:t>Study 20110217 (PK study in healthy subjects)</w:t>
      </w:r>
    </w:p>
    <w:p w14:paraId="09DAFC94" w14:textId="77777777" w:rsidR="006C285D" w:rsidRDefault="006C285D" w:rsidP="006C285D">
      <w:r>
        <w:t>The study subjects received a single 40 mg dose of either ABP 501, adalimumab (US), or adalimumab (EU). 67 subjects received ABP 501, 69 subjects received adalimumab (US), and 67 subjects received adalimumab (EU).</w:t>
      </w:r>
    </w:p>
    <w:p w14:paraId="31187C61" w14:textId="77777777" w:rsidR="006C285D" w:rsidRPr="006C285D" w:rsidRDefault="006C285D" w:rsidP="006C285D">
      <w:r>
        <w:t xml:space="preserve">Patient exposure was adequate to show comparability to the reference product. Furthermore, a subset of </w:t>
      </w:r>
      <w:r w:rsidR="001B1CCD">
        <w:t>S</w:t>
      </w:r>
      <w:r>
        <w:t xml:space="preserve">tudy 20120263 </w:t>
      </w:r>
      <w:r w:rsidR="001B1CCD">
        <w:t xml:space="preserve">patients </w:t>
      </w:r>
      <w:r>
        <w:t xml:space="preserve">switched from adalimumab to ABP 501 providing safety for that scenario for a small group of subjects until </w:t>
      </w:r>
      <w:r w:rsidR="001B1CCD">
        <w:t>W</w:t>
      </w:r>
      <w:r>
        <w:t>eek 48 (32 weeks of data after switching).</w:t>
      </w:r>
    </w:p>
    <w:p w14:paraId="13685B13" w14:textId="77777777" w:rsidR="00605AD4" w:rsidRDefault="00605AD4" w:rsidP="00605AD4">
      <w:pPr>
        <w:pStyle w:val="Heading4"/>
      </w:pPr>
      <w:r w:rsidRPr="00605AD4">
        <w:t>Postmarketing data</w:t>
      </w:r>
    </w:p>
    <w:p w14:paraId="257AA678" w14:textId="30D4C3B5" w:rsidR="006C285D" w:rsidRPr="006C285D" w:rsidRDefault="006C285D" w:rsidP="006C285D">
      <w:r>
        <w:t xml:space="preserve">Not applicable to ABP 501 as </w:t>
      </w:r>
      <w:r w:rsidR="001B1CCD">
        <w:t xml:space="preserve">it is </w:t>
      </w:r>
      <w:r>
        <w:t xml:space="preserve">currently </w:t>
      </w:r>
      <w:r w:rsidR="00D90DB9">
        <w:t xml:space="preserve">neither </w:t>
      </w:r>
      <w:r>
        <w:t>marketed in Australia</w:t>
      </w:r>
      <w:r w:rsidR="00D90DB9">
        <w:t xml:space="preserve">, </w:t>
      </w:r>
      <w:proofErr w:type="gramStart"/>
      <w:r w:rsidR="00D90DB9">
        <w:t>n</w:t>
      </w:r>
      <w:r>
        <w:t>or</w:t>
      </w:r>
      <w:proofErr w:type="gramEnd"/>
      <w:r>
        <w:t xml:space="preserve"> overseas.</w:t>
      </w:r>
    </w:p>
    <w:p w14:paraId="6D5116C4" w14:textId="77777777" w:rsidR="00605AD4" w:rsidRPr="00605AD4" w:rsidRDefault="00605AD4" w:rsidP="00605AD4">
      <w:pPr>
        <w:pStyle w:val="Heading4"/>
      </w:pPr>
      <w:r w:rsidRPr="00605AD4">
        <w:t>Evaluator’s conclusions on safety</w:t>
      </w:r>
    </w:p>
    <w:p w14:paraId="5AE360DA" w14:textId="77777777" w:rsidR="006C285D" w:rsidRDefault="006C285D" w:rsidP="006C285D">
      <w:r>
        <w:t>The reference product, adalimumab (</w:t>
      </w:r>
      <w:r w:rsidR="001E6DDC">
        <w:t>Humira</w:t>
      </w:r>
      <w:r>
        <w:t>) has been marketed for more than a decade and the efficacy and safety has been established for the currently approved indications.</w:t>
      </w:r>
    </w:p>
    <w:p w14:paraId="60076A94" w14:textId="6D64D6F6" w:rsidR="006C285D" w:rsidRDefault="006C285D" w:rsidP="006C285D">
      <w:r>
        <w:t>As this is a biosimilar application, the main purpose of the clinical safety section is to evaluate whether there are significant differences between the biosimilar and the reference product.</w:t>
      </w:r>
    </w:p>
    <w:p w14:paraId="17909260" w14:textId="77777777" w:rsidR="006C285D" w:rsidRDefault="006C285D" w:rsidP="006C285D">
      <w:r>
        <w:t>The sponsor has not provided an integrated safety summary but presented the safety data for each study individually. The safety results from the two clinical studies were more representative with regard to target population and administration duration compared to the PK study which only administered a single dose in healthy subjects.</w:t>
      </w:r>
    </w:p>
    <w:p w14:paraId="204C21DA" w14:textId="50977DE6" w:rsidR="006C285D" w:rsidRDefault="006C285D" w:rsidP="006C285D">
      <w:r>
        <w:t>The maximum duration of IP exposure was 48 weeks in the psoriasis study and 22 weeks in the RA study. In the psoriasis study, the median exposure was 330 days and the overall mean dose was 456.2 mg. In the RA study, the median exposure was 155 days and the overall mean dose was 350.3 mg up to Week 16, and 630.5 mg post Week 16. The exposure was sufficient for comparability purposes. The clinical studies were not powered to detect rarer adverse events though.</w:t>
      </w:r>
    </w:p>
    <w:p w14:paraId="23BB6BC8" w14:textId="77777777" w:rsidR="006C285D" w:rsidRDefault="006C285D" w:rsidP="00E954A2">
      <w:pPr>
        <w:pStyle w:val="Heading5"/>
      </w:pPr>
      <w:r>
        <w:t>Frequency and pattern of AEs and TEAEs</w:t>
      </w:r>
    </w:p>
    <w:p w14:paraId="6822AB59" w14:textId="482EDF3F" w:rsidR="006C285D" w:rsidRDefault="006C285D" w:rsidP="006C285D">
      <w:r w:rsidRPr="007C0B86">
        <w:rPr>
          <w:rStyle w:val="Heading6Char"/>
          <w:rFonts w:eastAsia="Cambria"/>
        </w:rPr>
        <w:t>RA study</w:t>
      </w:r>
      <w:r>
        <w:t>: the percentage of AEs was similar in each treatment group (50.0% in the ABP 501 group and 54.6% in the adalimumab group). 20.0% had a TEAE (18.9%; 21.0%). 5</w:t>
      </w:r>
      <w:r w:rsidR="00721057">
        <w:t> </w:t>
      </w:r>
      <w:r>
        <w:t xml:space="preserve">subjects had a TEAE with a </w:t>
      </w:r>
      <w:r w:rsidR="007C0B86">
        <w:t>G</w:t>
      </w:r>
      <w:r>
        <w:t>rade ≥ 3 (1.1%; 0.8%).</w:t>
      </w:r>
    </w:p>
    <w:p w14:paraId="1514716B" w14:textId="493740FD" w:rsidR="006C285D" w:rsidRDefault="006C285D" w:rsidP="006C285D">
      <w:r w:rsidRPr="007C0B86">
        <w:rPr>
          <w:rStyle w:val="Heading6Char"/>
          <w:rFonts w:eastAsia="Cambria"/>
        </w:rPr>
        <w:t>Psoriasis study</w:t>
      </w:r>
      <w:r>
        <w:t xml:space="preserve">: Up to </w:t>
      </w:r>
      <w:r w:rsidR="007C0B86">
        <w:t>W</w:t>
      </w:r>
      <w:r>
        <w:t xml:space="preserve">eek 16, 65.4% of all subjects had at least 1 adverse event (67.2% in the ABP 501 group and 63.6% in the adalimumab group). 24.8% had a TEAE (24.7%; 24.9%). Post </w:t>
      </w:r>
      <w:r w:rsidR="005C0570">
        <w:t>Week 16</w:t>
      </w:r>
      <w:r>
        <w:t xml:space="preserve">, the proportion of all AEs was slightly lower in the adalimumab/adalimumab group (65.8%) compared to the ABP 501/ABP 501 (71.7%) and adalimumab/ABP 501 (70.1%) groups. Regarding TEAEs, the proportions were 18.4% </w:t>
      </w:r>
      <w:r w:rsidR="007C0B86">
        <w:t>versus</w:t>
      </w:r>
      <w:r>
        <w:t xml:space="preserve"> 22.8% </w:t>
      </w:r>
      <w:r w:rsidR="007C0B86">
        <w:t>versus</w:t>
      </w:r>
      <w:r>
        <w:t xml:space="preserve"> 26.0%. 12 subjects had a TEAE with a grade ≥ 3 (4.6%; 2.5%; 3.9%).</w:t>
      </w:r>
    </w:p>
    <w:p w14:paraId="4C4FC18E" w14:textId="77777777" w:rsidR="006C285D" w:rsidRDefault="006C285D" w:rsidP="00E954A2">
      <w:pPr>
        <w:pStyle w:val="Heading5"/>
      </w:pPr>
      <w:r>
        <w:t>Common adverse events</w:t>
      </w:r>
    </w:p>
    <w:p w14:paraId="2AC13A75" w14:textId="109BCDC4" w:rsidR="006C285D" w:rsidRDefault="006C285D" w:rsidP="006C285D">
      <w:r>
        <w:t xml:space="preserve">In both clinical studies, the most common </w:t>
      </w:r>
      <w:r w:rsidR="00721057">
        <w:t>AEs</w:t>
      </w:r>
      <w:r>
        <w:t xml:space="preserve"> by </w:t>
      </w:r>
      <w:r w:rsidR="00721057">
        <w:t>P</w:t>
      </w:r>
      <w:r>
        <w:t xml:space="preserve">referred </w:t>
      </w:r>
      <w:r w:rsidR="00721057">
        <w:t>T</w:t>
      </w:r>
      <w:r>
        <w:t>erm (≥ 5% overall) were nasopharyngitis, headache, upper respiratory tract infection, and (worsening of) psoriasis (psoriasis study only). The proportions were similar between the treatment groups including the group that underwent a transition from adalimumab to ABP 501.</w:t>
      </w:r>
    </w:p>
    <w:p w14:paraId="51EC541F" w14:textId="77777777" w:rsidR="006C285D" w:rsidRDefault="006C285D" w:rsidP="00E954A2">
      <w:pPr>
        <w:pStyle w:val="Heading5"/>
      </w:pPr>
      <w:r>
        <w:t>Deaths and serious adverse events</w:t>
      </w:r>
    </w:p>
    <w:p w14:paraId="72641D3F" w14:textId="4C13E970" w:rsidR="006C285D" w:rsidRDefault="006C285D" w:rsidP="006C285D">
      <w:r>
        <w:t>There were no deaths in</w:t>
      </w:r>
      <w:r w:rsidR="00AA11AC">
        <w:t xml:space="preserve"> any of the 3 studies provided.</w:t>
      </w:r>
    </w:p>
    <w:p w14:paraId="05C300FC" w14:textId="443194D2" w:rsidR="006C285D" w:rsidRDefault="006C285D" w:rsidP="006C285D">
      <w:r w:rsidRPr="007C0B86">
        <w:rPr>
          <w:rStyle w:val="Heading6Char"/>
          <w:rFonts w:eastAsia="Cambria"/>
        </w:rPr>
        <w:t>RA study:</w:t>
      </w:r>
      <w:r>
        <w:t xml:space="preserve"> There were 2 (0.8%) subjects with infections/infestations (sepsis) in the ABP</w:t>
      </w:r>
      <w:r w:rsidR="00721057">
        <w:t> </w:t>
      </w:r>
      <w:r>
        <w:t>501 group and 3 (1.2%) in the adalimumab group.</w:t>
      </w:r>
    </w:p>
    <w:p w14:paraId="25098A35" w14:textId="77777777" w:rsidR="006C285D" w:rsidRDefault="006C285D" w:rsidP="006C285D">
      <w:r w:rsidRPr="007C0B86">
        <w:rPr>
          <w:rStyle w:val="Heading6Char"/>
          <w:rFonts w:eastAsia="Cambria"/>
        </w:rPr>
        <w:t>Psoriasis study</w:t>
      </w:r>
      <w:r>
        <w:t>: Overall, 23 of 347 subjects (6.6%) experienced serious TEAEs. Three subjects (13.6%) in the non-re-randomised ABP 501 treatment group experienced a total of 4 serious adverse events including acute myocardial infarction, arrhythmia, hypersensitivity and lentigo maligna.</w:t>
      </w:r>
    </w:p>
    <w:p w14:paraId="7A07D1BE" w14:textId="77777777" w:rsidR="006C285D" w:rsidRDefault="006C285D" w:rsidP="00E954A2">
      <w:pPr>
        <w:pStyle w:val="Heading5"/>
      </w:pPr>
      <w:r>
        <w:t>Discontinuations</w:t>
      </w:r>
    </w:p>
    <w:p w14:paraId="19065299" w14:textId="77777777" w:rsidR="006C285D" w:rsidRDefault="006C285D" w:rsidP="006C285D">
      <w:r w:rsidRPr="007C0B86">
        <w:rPr>
          <w:rStyle w:val="Heading6Char"/>
          <w:rFonts w:eastAsia="Cambria"/>
        </w:rPr>
        <w:t>RA study</w:t>
      </w:r>
      <w:r>
        <w:t xml:space="preserve">: 7 subjects (1.3%) discontinued IP due to a TEAE (1.9% </w:t>
      </w:r>
      <w:r w:rsidR="007C0B86">
        <w:t>versus</w:t>
      </w:r>
      <w:r>
        <w:t xml:space="preserve"> 0.8%). The TEAEs in the ABP 501 group were pneumonia, cerebrovascular accident and hypersensitivity. The TEAE in the adalimumab group was corneal graft rejection.</w:t>
      </w:r>
    </w:p>
    <w:p w14:paraId="229B72B4" w14:textId="1F3B2527" w:rsidR="006C285D" w:rsidRDefault="006C285D" w:rsidP="006C285D">
      <w:r w:rsidRPr="007C0B86">
        <w:rPr>
          <w:rStyle w:val="Heading7Char"/>
          <w:rFonts w:eastAsia="Cambria"/>
        </w:rPr>
        <w:t>Psoriasis study</w:t>
      </w:r>
      <w:r>
        <w:t xml:space="preserve">: Up to Week 16, 12 subjects (3.5%) discontinued IP due to a TEAE (4.0% </w:t>
      </w:r>
      <w:r w:rsidR="007C0B86">
        <w:t>versus</w:t>
      </w:r>
      <w:r>
        <w:t xml:space="preserve"> 2.9%). 3 events in the ABP 501 group leading to discontinuation were serious adverse events (arrhythmia, hypersensitivity and lentigo maligna). Post </w:t>
      </w:r>
      <w:r w:rsidR="007C0B86">
        <w:t>W</w:t>
      </w:r>
      <w:r>
        <w:t>eek 16, 11</w:t>
      </w:r>
      <w:r w:rsidR="00721057">
        <w:t> </w:t>
      </w:r>
      <w:r>
        <w:t xml:space="preserve">subjects (3.6%) discontinued IP (4.6%, 1.3%, </w:t>
      </w:r>
      <w:proofErr w:type="gramStart"/>
      <w:r>
        <w:t>3.9</w:t>
      </w:r>
      <w:proofErr w:type="gramEnd"/>
      <w:r>
        <w:t xml:space="preserve">%) </w:t>
      </w:r>
      <w:proofErr w:type="gramStart"/>
      <w:r>
        <w:t>(ABP 501/ABP 501, adalimumab/adalimumab, and adalimumab/ABP 501).</w:t>
      </w:r>
      <w:proofErr w:type="gramEnd"/>
      <w:r>
        <w:t xml:space="preserve"> 2 serious TEAEs leading to discontinuation were: drug-induced liver injury </w:t>
      </w:r>
      <w:r w:rsidR="00721057">
        <w:t xml:space="preserve">(DILI; </w:t>
      </w:r>
      <w:r>
        <w:t>ABP 501/ABP 501) and ophthalmic herpes zoster (adalimumab/ABP 501).</w:t>
      </w:r>
    </w:p>
    <w:p w14:paraId="408C22EE" w14:textId="77777777" w:rsidR="006C285D" w:rsidRDefault="006C285D" w:rsidP="00E954A2">
      <w:pPr>
        <w:pStyle w:val="Heading5"/>
      </w:pPr>
      <w:r>
        <w:t>Immunogenicity</w:t>
      </w:r>
    </w:p>
    <w:p w14:paraId="5B24DF7F" w14:textId="77777777" w:rsidR="006C285D" w:rsidRDefault="006C285D" w:rsidP="006C285D">
      <w:r>
        <w:t>Only a very small number of subjects tested positive for pre-existing binding ADAs in both studies. No subject had pre-existing neutralising antibodies. The proportion of subjects developing binding or neutralising ADAs was similar between treatment groups. In the RA study, binding ADAs were detected in 38.2%, neutralising ADAs was 10.1%. As expected the proportion of ADAs were lower in the RA study compared to the psoriasis study due to the concomitant methotrexate.</w:t>
      </w:r>
    </w:p>
    <w:p w14:paraId="309EFF94" w14:textId="2052E649" w:rsidR="006C285D" w:rsidRDefault="006C285D" w:rsidP="006C285D">
      <w:r>
        <w:t>In the psoriasis study (up to Week 16), binding ADAs occurred in 59.4% (ABP 501: 55.2%; adalimumab: 63.6%) and neutralising ADAs in</w:t>
      </w:r>
      <w:r w:rsidR="007C0B86">
        <w:t xml:space="preserve"> 11.8% for (9.8%; 13.9%). Post W</w:t>
      </w:r>
      <w:r>
        <w:t>eek 16, the overall percentage of subjects developing binding ADAs was 72.3% and 21.9% for neutralising ADAs. The percentage of developing binding or neutralising ADAs was similar for all 3 groups (binding: 68.4%, 74.7%, and 72.7%; neutralising: 13.8%, 20.3%, 24.7%, for ABP 501/ABP 501, adalimumab/adalimumab, and adalimumab/ABP 501 groups, respectively). The results were reasonably similar between treatment groups. The proportion of both binding and neutralising ADAs appeared to</w:t>
      </w:r>
      <w:r w:rsidR="00AA11AC">
        <w:t xml:space="preserve"> be lower in the ABP 501 group.</w:t>
      </w:r>
    </w:p>
    <w:p w14:paraId="5EBF8E94" w14:textId="77777777" w:rsidR="006C285D" w:rsidRDefault="006C285D" w:rsidP="006C285D">
      <w:r>
        <w:t>However, in the psoriasis study, the proportion of neutralising ADAs was slightly higher in the adalimumab/ABP 501 (single-switch) group post Week 16. Only 77 subjects switched from adalimumab to ABP 501. This makes it difficult to draw definite conclusions. There is currently no evidence that the ADA development/immunogenicity in the single-switch group has led to clinically significant changes. But given that there is also a slight reduction in efficacy in this group between Week 32 to Week 50, this should be further monitored in the post-market environment, both as a potential efficacy and safety issue.</w:t>
      </w:r>
    </w:p>
    <w:p w14:paraId="75CDBE58" w14:textId="77777777" w:rsidR="006C285D" w:rsidRDefault="006C285D" w:rsidP="00E954A2">
      <w:pPr>
        <w:pStyle w:val="Heading5"/>
      </w:pPr>
      <w:r>
        <w:t>Adverse events of interest</w:t>
      </w:r>
    </w:p>
    <w:p w14:paraId="710C3C76" w14:textId="77777777" w:rsidR="006C285D" w:rsidRDefault="006C285D" w:rsidP="006C285D">
      <w:r>
        <w:t>Adverse events of interest in the clinical studies were: infections, malignancies, hypersensitivity, demyelinating diseases, haematological reactions, heart failure, lupus-like syndrome, liver enzyme elevations and injection site reactions.</w:t>
      </w:r>
    </w:p>
    <w:p w14:paraId="7D787CDD" w14:textId="5E8B154C" w:rsidR="006C285D" w:rsidRDefault="006C285D" w:rsidP="006C285D">
      <w:r w:rsidRPr="007C0B86">
        <w:rPr>
          <w:rStyle w:val="Heading6Char"/>
          <w:rFonts w:eastAsia="Cambria"/>
        </w:rPr>
        <w:t>Liver function</w:t>
      </w:r>
      <w:r>
        <w:t xml:space="preserve">: No case met Hy’s law criteria </w:t>
      </w:r>
      <w:r w:rsidR="007C0B86">
        <w:t>in the RA study. There was one G</w:t>
      </w:r>
      <w:r>
        <w:t xml:space="preserve">rade 3 event in each treatment group which led to discontinuation of IP in the psoriasis study. The ABP 501 group appeared to have higher proportions of liver enzyme elevation events, even this did not affect the group that switched to ABP 501 in the psoriasis study. One </w:t>
      </w:r>
      <w:r w:rsidR="007C0B86">
        <w:t>G</w:t>
      </w:r>
      <w:r>
        <w:t xml:space="preserve">rade </w:t>
      </w:r>
      <w:r w:rsidR="00721057">
        <w:t>3</w:t>
      </w:r>
      <w:r w:rsidR="00721057" w:rsidDel="00721057">
        <w:t xml:space="preserve"> </w:t>
      </w:r>
      <w:r>
        <w:t>DILI event led to IP and study discontinuation. Even though the studies are not powered for safety purposes and even though the absolute numbers of cases were small, liver function should be specifically monitored in the post-market environment.</w:t>
      </w:r>
    </w:p>
    <w:p w14:paraId="125B302F" w14:textId="77777777" w:rsidR="006C285D" w:rsidRDefault="006C285D" w:rsidP="006C285D">
      <w:r w:rsidRPr="005007C5">
        <w:rPr>
          <w:rStyle w:val="Heading6Char"/>
          <w:rFonts w:eastAsia="Cambria"/>
        </w:rPr>
        <w:t>Haematological reactions</w:t>
      </w:r>
      <w:r>
        <w:t>: No serious haematological reaction adverse events occurred in the clinical studies.</w:t>
      </w:r>
    </w:p>
    <w:p w14:paraId="4F544554" w14:textId="77777777" w:rsidR="006C285D" w:rsidRDefault="006C285D" w:rsidP="006C285D">
      <w:r w:rsidRPr="005007C5">
        <w:rPr>
          <w:rStyle w:val="Heading6Char"/>
          <w:rFonts w:eastAsia="Cambria"/>
        </w:rPr>
        <w:t>Infections</w:t>
      </w:r>
      <w:r>
        <w:t>: In both the RA and psoriasis study, the infection adverse event proportions were similar between groups. Nasopharyngitis, upper respiratory tract infection, and bronchitis were most commonly reported. There was one opportunistic cytomegalovirus in the ABP 501 group (RA study). There were no reports of invasive fungal infections or tuberculosis. In the psoriasis study, there was one case of latent tuberculosis, but deemed unrelated to adalimumab. The rate and type of infection was consistent with known information on the reference product.</w:t>
      </w:r>
    </w:p>
    <w:p w14:paraId="6EF48194" w14:textId="21020FB3" w:rsidR="006C285D" w:rsidRDefault="006C285D" w:rsidP="006C285D">
      <w:r w:rsidRPr="005007C5">
        <w:rPr>
          <w:rStyle w:val="Heading6Char"/>
          <w:rFonts w:eastAsia="Cambria"/>
        </w:rPr>
        <w:t>Malignancies</w:t>
      </w:r>
      <w:r>
        <w:t xml:space="preserve">: Each of the clinical study had a few cases of malignancy: in the RA study, there were one basal cell carcinoma and one squamous cell carcinoma (ABP 501) and one squamous cell carcinoma (adalimumab) which were non-serious. In the psoriasis study, there were two malignancy events: lentigo maligna (ABP 501) and Bowen’s disease (adalimumab). Post </w:t>
      </w:r>
      <w:r w:rsidR="005007C5">
        <w:t>W</w:t>
      </w:r>
      <w:r>
        <w:t>eek 16, one squamous cell carcinoma occurred in the ABP</w:t>
      </w:r>
      <w:r w:rsidR="00721057">
        <w:t> </w:t>
      </w:r>
      <w:r>
        <w:t>501/ABP</w:t>
      </w:r>
      <w:r w:rsidR="00721057">
        <w:t> </w:t>
      </w:r>
      <w:r>
        <w:t>501 group. The rate and type of malignancy was consistent with known information on the reference product.</w:t>
      </w:r>
    </w:p>
    <w:p w14:paraId="351BF158" w14:textId="77777777" w:rsidR="006C285D" w:rsidRDefault="006C285D" w:rsidP="006C285D">
      <w:r w:rsidRPr="005007C5">
        <w:rPr>
          <w:rStyle w:val="Heading6Char"/>
          <w:rFonts w:eastAsia="Cambria"/>
        </w:rPr>
        <w:t>Hypersensitivity</w:t>
      </w:r>
      <w:r>
        <w:t xml:space="preserve">: the proportion of events was similar between treatment groups, although the proportions seemed slightly larger in the ABP 501 group (RA study: 5.3% </w:t>
      </w:r>
      <w:r w:rsidR="007C0B86">
        <w:t>versus</w:t>
      </w:r>
      <w:r>
        <w:t xml:space="preserve"> 3.8%; Psoriasis study (up to Week 16) 4.6% </w:t>
      </w:r>
      <w:r w:rsidR="007C0B86">
        <w:t>versus</w:t>
      </w:r>
      <w:r>
        <w:t xml:space="preserve"> 4.0%). In the psoriasis study (post Week 16) (ABP 501/ABP 501, 5.3%; adalimumab/adalimumab, 2.5%; adalimumab/ABP 501, 3.9%), one hypersensitivity event in the ABP 501 group was serious (</w:t>
      </w:r>
      <w:r w:rsidR="005007C5">
        <w:t>G</w:t>
      </w:r>
      <w:r>
        <w:t>rade 4) and led to discontinuation of IP and study.</w:t>
      </w:r>
    </w:p>
    <w:p w14:paraId="0C068A13" w14:textId="544F6B44" w:rsidR="006C285D" w:rsidRDefault="006C285D" w:rsidP="006C285D">
      <w:r w:rsidRPr="005007C5">
        <w:rPr>
          <w:rStyle w:val="Heading6Char"/>
          <w:rFonts w:eastAsia="Cambria"/>
        </w:rPr>
        <w:t>Heart failure</w:t>
      </w:r>
      <w:r>
        <w:t>: In the RA study</w:t>
      </w:r>
      <w:r w:rsidR="00721057">
        <w:t>,</w:t>
      </w:r>
      <w:r>
        <w:t xml:space="preserve"> 4 heart failure events occurred in 0.6% of subjects (3/526), 1 in the ABP 501 group and 2 in the adalimumab group. One event of cardiopulmonary failure (ABP 501 group) and one event of congestive cardiac failure (adalimumab group) were reported as serious adverse events. In the psoriasis study, no heart failure adverse events occurred.</w:t>
      </w:r>
    </w:p>
    <w:p w14:paraId="71EBAADB" w14:textId="77777777" w:rsidR="006C285D" w:rsidRDefault="006C285D" w:rsidP="006C285D">
      <w:r w:rsidRPr="005007C5">
        <w:rPr>
          <w:rStyle w:val="Heading6Char"/>
          <w:rFonts w:eastAsia="Cambria"/>
        </w:rPr>
        <w:t>Injection site reactions</w:t>
      </w:r>
      <w:r>
        <w:t>: Injection site reactions appeared to be less common in the ABP 501 arms.</w:t>
      </w:r>
    </w:p>
    <w:p w14:paraId="790676FC" w14:textId="77777777" w:rsidR="006C285D" w:rsidRDefault="006C285D" w:rsidP="006C285D">
      <w:r>
        <w:t>There were no events classified as demyelinating disease, lupus-like syndrome or renal toxicity.</w:t>
      </w:r>
    </w:p>
    <w:p w14:paraId="080FA340" w14:textId="7C1581B9" w:rsidR="006C285D" w:rsidRDefault="006C285D" w:rsidP="006C285D">
      <w:r>
        <w:t xml:space="preserve">Overall, the </w:t>
      </w:r>
      <w:r w:rsidR="008D6EEE">
        <w:t>AE</w:t>
      </w:r>
      <w:r>
        <w:t xml:space="preserve"> profile was fairly similar in all treatment groups. The safety data from the clinical studies and the PK study demonstrated that there were no clinically meaningful differences between ABP 501 and the reference product adalimumab. The clinical studies were not powered to provide statistical evidence of differences in less common </w:t>
      </w:r>
      <w:r w:rsidR="008D6EEE">
        <w:t>AEs</w:t>
      </w:r>
      <w:r>
        <w:t>.</w:t>
      </w:r>
    </w:p>
    <w:p w14:paraId="5AF691E9" w14:textId="601E9549" w:rsidR="006C285D" w:rsidRDefault="006C285D" w:rsidP="006C285D">
      <w:r>
        <w:t xml:space="preserve">The absence of a difference in the studies not powered for uncommon events does not provide evidence for the absence of safety concerns. There may be the possibility that the following are different in ABP 501 and this should be particularly monitored in the post-market environment and presented in </w:t>
      </w:r>
      <w:r w:rsidR="005007C5" w:rsidRPr="005007C5">
        <w:t xml:space="preserve">Periodic Benefit Risk Evaluation Report </w:t>
      </w:r>
      <w:r w:rsidR="005007C5">
        <w:t>(</w:t>
      </w:r>
      <w:r>
        <w:t>PBRERs</w:t>
      </w:r>
      <w:r w:rsidR="005007C5">
        <w:t>)</w:t>
      </w:r>
      <w:r>
        <w:t>/</w:t>
      </w:r>
      <w:r w:rsidR="005007C5" w:rsidRPr="005007C5">
        <w:t xml:space="preserve"> Periodic Safety Update Reports </w:t>
      </w:r>
      <w:r w:rsidR="005007C5">
        <w:t>(</w:t>
      </w:r>
      <w:r>
        <w:t>PSURs</w:t>
      </w:r>
      <w:r w:rsidR="005007C5">
        <w:t>)</w:t>
      </w:r>
      <w:r>
        <w:t>: liver enzyme elevation; infections; hypersensitivity; ADA development/immunogenicity after switching from adalimumab (</w:t>
      </w:r>
      <w:r w:rsidR="001E6DDC">
        <w:t>Humira</w:t>
      </w:r>
      <w:r>
        <w:t>) to ABP 501 (</w:t>
      </w:r>
      <w:proofErr w:type="spellStart"/>
      <w:r w:rsidR="001E6DDC">
        <w:t>Amgevita</w:t>
      </w:r>
      <w:proofErr w:type="spellEnd"/>
      <w:r>
        <w:t>).</w:t>
      </w:r>
    </w:p>
    <w:p w14:paraId="4048724F" w14:textId="77777777" w:rsidR="00605AD4" w:rsidRPr="00605AD4" w:rsidRDefault="006C285D" w:rsidP="006C285D">
      <w:r>
        <w:t>Post-market monitoring is essential and the role of the risk management plan crucial in that regard. It is noted that the sponsor is conducting an open</w:t>
      </w:r>
      <w:r w:rsidR="005007C5">
        <w:t xml:space="preserve"> </w:t>
      </w:r>
      <w:r>
        <w:t>label extension of the RA efficacy study. The study results should be used to contribute to the safety profile further, especially considering that currently there is no long term data ≥ 52 weeks available. Furthermore, disease registries should be utilised as well.</w:t>
      </w:r>
    </w:p>
    <w:p w14:paraId="3656124C" w14:textId="1C61A2CD" w:rsidR="00605AD4" w:rsidRPr="005007C5" w:rsidRDefault="00AA11AC" w:rsidP="00A44A3E">
      <w:pPr>
        <w:pStyle w:val="Heading3"/>
        <w:rPr>
          <w:rFonts w:eastAsia="Cambria"/>
        </w:rPr>
      </w:pPr>
      <w:bookmarkStart w:id="98" w:name="_Toc519244661"/>
      <w:r>
        <w:rPr>
          <w:rFonts w:eastAsia="Cambria"/>
        </w:rPr>
        <w:t>First r</w:t>
      </w:r>
      <w:r w:rsidR="00605AD4" w:rsidRPr="00605AD4">
        <w:rPr>
          <w:rFonts w:eastAsia="Cambria"/>
        </w:rPr>
        <w:t xml:space="preserve">ound </w:t>
      </w:r>
      <w:r>
        <w:rPr>
          <w:rFonts w:eastAsia="Cambria"/>
        </w:rPr>
        <w:t>b</w:t>
      </w:r>
      <w:r w:rsidR="00605AD4" w:rsidRPr="00605AD4">
        <w:rPr>
          <w:rFonts w:eastAsia="Cambria"/>
        </w:rPr>
        <w:t>enefit-</w:t>
      </w:r>
      <w:r>
        <w:rPr>
          <w:rFonts w:eastAsia="Cambria"/>
        </w:rPr>
        <w:t>r</w:t>
      </w:r>
      <w:r w:rsidR="00605AD4" w:rsidRPr="00605AD4">
        <w:rPr>
          <w:rFonts w:eastAsia="Cambria"/>
        </w:rPr>
        <w:t xml:space="preserve">isk </w:t>
      </w:r>
      <w:r w:rsidRPr="00A44A3E">
        <w:rPr>
          <w:rFonts w:eastAsia="Cambria"/>
        </w:rPr>
        <w:t>a</w:t>
      </w:r>
      <w:r w:rsidR="00605AD4" w:rsidRPr="00A44A3E">
        <w:rPr>
          <w:rFonts w:eastAsia="Cambria"/>
        </w:rPr>
        <w:t>ssessment</w:t>
      </w:r>
      <w:bookmarkEnd w:id="98"/>
    </w:p>
    <w:p w14:paraId="1F08C008" w14:textId="77777777" w:rsidR="00770053" w:rsidRPr="00770053" w:rsidRDefault="00770053" w:rsidP="005007C5">
      <w:pPr>
        <w:pStyle w:val="Heading4"/>
      </w:pPr>
      <w:r w:rsidRPr="00770053">
        <w:t>First round assessment of benefit-risk balance</w:t>
      </w:r>
    </w:p>
    <w:p w14:paraId="2DBBC541" w14:textId="77777777" w:rsidR="00770053" w:rsidRDefault="00770053" w:rsidP="00E954A2">
      <w:r w:rsidRPr="00770053">
        <w:t xml:space="preserve">Overall, the benefit-risk balance of </w:t>
      </w:r>
      <w:proofErr w:type="spellStart"/>
      <w:r w:rsidR="001E6DDC">
        <w:t>Amgevita</w:t>
      </w:r>
      <w:proofErr w:type="spellEnd"/>
      <w:r w:rsidRPr="00770053">
        <w:t xml:space="preserve"> (adalimumab, ABP 501) for the proposed usage is favourable. This assessment is based on the </w:t>
      </w:r>
      <w:r w:rsidR="005007C5">
        <w:t>clinical</w:t>
      </w:r>
      <w:r w:rsidRPr="00770053">
        <w:t xml:space="preserve"> data evaluated from a clinical point of view. The assessment was made by weighing up the risks and benefits as outlined in this evaluation report and summarised in the previous section. However, the favourable assessment is dependent on the satisfactory response to the evaluator questions, the agreement to implement an appropriate risk management plan, and a favourable assessment by the quality, </w:t>
      </w:r>
      <w:r w:rsidR="005007C5">
        <w:t>nonclinical</w:t>
      </w:r>
      <w:r w:rsidRPr="00770053">
        <w:t xml:space="preserve"> and </w:t>
      </w:r>
      <w:r w:rsidR="00F32D0E">
        <w:t>risk management plan (</w:t>
      </w:r>
      <w:r w:rsidRPr="00770053">
        <w:t>RMP</w:t>
      </w:r>
      <w:r w:rsidR="00F32D0E">
        <w:t>)</w:t>
      </w:r>
      <w:r w:rsidRPr="00770053">
        <w:t xml:space="preserve"> evaluators.</w:t>
      </w:r>
    </w:p>
    <w:p w14:paraId="178B19FE" w14:textId="5A3E90E0" w:rsidR="00605AD4" w:rsidRDefault="00A44A3E" w:rsidP="00E954A2">
      <w:pPr>
        <w:pStyle w:val="Heading4"/>
      </w:pPr>
      <w:r>
        <w:t>First r</w:t>
      </w:r>
      <w:r w:rsidR="00605AD4" w:rsidRPr="00605AD4">
        <w:t xml:space="preserve">ound </w:t>
      </w:r>
      <w:r>
        <w:t>r</w:t>
      </w:r>
      <w:r w:rsidR="00605AD4" w:rsidRPr="00605AD4">
        <w:t xml:space="preserve">ecommendation </w:t>
      </w:r>
      <w:r>
        <w:t>r</w:t>
      </w:r>
      <w:r w:rsidR="00605AD4" w:rsidRPr="00605AD4">
        <w:t xml:space="preserve">egarding </w:t>
      </w:r>
      <w:r>
        <w:t>a</w:t>
      </w:r>
      <w:r w:rsidR="00605AD4" w:rsidRPr="00605AD4">
        <w:t>uthorisation</w:t>
      </w:r>
    </w:p>
    <w:p w14:paraId="4E70F4C6" w14:textId="1051EDC2" w:rsidR="00770053" w:rsidRDefault="00770053" w:rsidP="00770053">
      <w:r>
        <w:t xml:space="preserve">Approval of </w:t>
      </w:r>
      <w:proofErr w:type="spellStart"/>
      <w:r w:rsidR="001E6DDC">
        <w:t>Amgevita</w:t>
      </w:r>
      <w:proofErr w:type="spellEnd"/>
      <w:r>
        <w:t xml:space="preserve"> (adalimumab, ABP 501) is recommended for the following indications (as per proposed </w:t>
      </w:r>
      <w:proofErr w:type="spellStart"/>
      <w:r w:rsidR="001E6DDC">
        <w:t>Amgevita</w:t>
      </w:r>
      <w:proofErr w:type="spellEnd"/>
      <w:r>
        <w:t xml:space="preserve"> </w:t>
      </w:r>
      <w:r w:rsidR="008D6EEE">
        <w:t>PI</w:t>
      </w:r>
      <w:r>
        <w:t>):</w:t>
      </w:r>
    </w:p>
    <w:p w14:paraId="5E6B1F0D" w14:textId="5CAA22FA" w:rsidR="00770053" w:rsidRDefault="00770053" w:rsidP="00F32D0E">
      <w:pPr>
        <w:pStyle w:val="Heading5"/>
        <w:ind w:left="720"/>
      </w:pPr>
      <w:r>
        <w:t xml:space="preserve">Rheumatoid </w:t>
      </w:r>
      <w:r w:rsidR="00A44A3E">
        <w:t>a</w:t>
      </w:r>
      <w:r>
        <w:t>rthritis</w:t>
      </w:r>
    </w:p>
    <w:p w14:paraId="4E932EBB" w14:textId="77777777" w:rsidR="00770053" w:rsidRPr="00E954A2" w:rsidRDefault="001E6DDC" w:rsidP="00F32D0E">
      <w:pPr>
        <w:ind w:left="720"/>
        <w:rPr>
          <w:i/>
        </w:rPr>
      </w:pPr>
      <w:proofErr w:type="spellStart"/>
      <w:r w:rsidRPr="00E954A2">
        <w:rPr>
          <w:i/>
        </w:rPr>
        <w:t>Amgevita</w:t>
      </w:r>
      <w:proofErr w:type="spellEnd"/>
      <w:r w:rsidR="00770053" w:rsidRPr="00E954A2">
        <w:rPr>
          <w:i/>
        </w:rPr>
        <w:t xml:space="preserve">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7F74A32E" w14:textId="77777777" w:rsidR="00770053" w:rsidRPr="00E954A2" w:rsidRDefault="001E6DDC" w:rsidP="00F32D0E">
      <w:pPr>
        <w:ind w:left="720"/>
        <w:rPr>
          <w:i/>
        </w:rPr>
      </w:pPr>
      <w:proofErr w:type="spellStart"/>
      <w:r w:rsidRPr="00E954A2">
        <w:rPr>
          <w:i/>
        </w:rPr>
        <w:t>Amgevita</w:t>
      </w:r>
      <w:proofErr w:type="spellEnd"/>
      <w:r w:rsidR="00770053" w:rsidRPr="00E954A2">
        <w:rPr>
          <w:i/>
        </w:rPr>
        <w:t xml:space="preserve"> can be used alone or in combination with methotrexate.</w:t>
      </w:r>
    </w:p>
    <w:p w14:paraId="38A52774" w14:textId="156ABE2A" w:rsidR="00770053" w:rsidRPr="00E954A2" w:rsidRDefault="00A44A3E" w:rsidP="00F32D0E">
      <w:pPr>
        <w:pStyle w:val="Heading5"/>
        <w:ind w:left="720"/>
      </w:pPr>
      <w:proofErr w:type="spellStart"/>
      <w:r>
        <w:t>Polyarticular</w:t>
      </w:r>
      <w:proofErr w:type="spellEnd"/>
      <w:r>
        <w:t xml:space="preserve"> juvenile i</w:t>
      </w:r>
      <w:r w:rsidR="00770053" w:rsidRPr="00E954A2">
        <w:t xml:space="preserve">diopathic </w:t>
      </w:r>
      <w:r>
        <w:t>a</w:t>
      </w:r>
      <w:r w:rsidR="00770053" w:rsidRPr="00E954A2">
        <w:t>rthritis</w:t>
      </w:r>
    </w:p>
    <w:p w14:paraId="32E75DD7" w14:textId="77777777" w:rsidR="00770053" w:rsidRPr="00E954A2" w:rsidRDefault="001E6DDC" w:rsidP="00F32D0E">
      <w:pPr>
        <w:ind w:left="720"/>
        <w:rPr>
          <w:i/>
        </w:rPr>
      </w:pPr>
      <w:proofErr w:type="spellStart"/>
      <w:r w:rsidRPr="00E954A2">
        <w:rPr>
          <w:i/>
        </w:rPr>
        <w:t>Amgevita</w:t>
      </w:r>
      <w:proofErr w:type="spellEnd"/>
      <w:r w:rsidR="00770053" w:rsidRPr="00E954A2">
        <w:rPr>
          <w:i/>
        </w:rPr>
        <w:t xml:space="preserve"> in combination with methotrexate is indicated for reducing the signs and symptoms of moderately to severely active polyarticular juvenile idiopathic arthritis in patients 2 years of age and older who have had an inadequate response to one or more disease modifying anti-rheumatic drugs (DMARDs). </w:t>
      </w:r>
      <w:proofErr w:type="spellStart"/>
      <w:r w:rsidRPr="00E954A2">
        <w:rPr>
          <w:i/>
        </w:rPr>
        <w:t>Amgevita</w:t>
      </w:r>
      <w:proofErr w:type="spellEnd"/>
      <w:r w:rsidR="00770053" w:rsidRPr="00E954A2">
        <w:rPr>
          <w:i/>
        </w:rPr>
        <w:t xml:space="preserve"> can be given as monotherapy in case of intolerance to methotrexate or when continued treatment with methotrexate is inappropriate.</w:t>
      </w:r>
    </w:p>
    <w:p w14:paraId="7107CCA1" w14:textId="2345D891" w:rsidR="00770053" w:rsidRPr="00E954A2" w:rsidRDefault="00770053" w:rsidP="00F32D0E">
      <w:pPr>
        <w:pStyle w:val="Heading5"/>
        <w:ind w:left="720"/>
      </w:pPr>
      <w:r w:rsidRPr="00E954A2">
        <w:t xml:space="preserve">Psoriatic </w:t>
      </w:r>
      <w:r w:rsidR="00A44A3E">
        <w:t>a</w:t>
      </w:r>
      <w:r w:rsidRPr="00E954A2">
        <w:t>rthritis</w:t>
      </w:r>
    </w:p>
    <w:p w14:paraId="53424049" w14:textId="77777777" w:rsidR="00770053" w:rsidRPr="00E954A2" w:rsidRDefault="001E6DDC" w:rsidP="00F32D0E">
      <w:pPr>
        <w:ind w:left="720"/>
        <w:rPr>
          <w:i/>
        </w:rPr>
      </w:pPr>
      <w:proofErr w:type="spellStart"/>
      <w:r w:rsidRPr="00E954A2">
        <w:rPr>
          <w:i/>
        </w:rPr>
        <w:t>Amgevita</w:t>
      </w:r>
      <w:proofErr w:type="spellEnd"/>
      <w:r w:rsidR="00770053" w:rsidRPr="00E954A2">
        <w:rPr>
          <w:i/>
        </w:rPr>
        <w:t xml:space="preserve"> is indicated for the treatment of signs and symptoms, as well as inhibiting the progression of structural damage, of moderate to severely active psoriatic arthritis in adult patients where response to previous DMARDs has been inadequate.</w:t>
      </w:r>
    </w:p>
    <w:p w14:paraId="2FA91DD7" w14:textId="3E22E85D" w:rsidR="00770053" w:rsidRPr="00E954A2" w:rsidRDefault="00A44A3E" w:rsidP="00F32D0E">
      <w:pPr>
        <w:pStyle w:val="Heading5"/>
        <w:ind w:left="720"/>
      </w:pPr>
      <w:r>
        <w:t>Ankylosing s</w:t>
      </w:r>
      <w:r w:rsidR="00770053" w:rsidRPr="00E954A2">
        <w:t>pondylitis</w:t>
      </w:r>
    </w:p>
    <w:p w14:paraId="05EA9B79" w14:textId="77777777" w:rsidR="00770053" w:rsidRPr="00E954A2" w:rsidRDefault="001E6DDC" w:rsidP="00F32D0E">
      <w:pPr>
        <w:ind w:left="720"/>
        <w:rPr>
          <w:i/>
        </w:rPr>
      </w:pPr>
      <w:proofErr w:type="spellStart"/>
      <w:r w:rsidRPr="00E954A2">
        <w:rPr>
          <w:i/>
        </w:rPr>
        <w:t>Amgevita</w:t>
      </w:r>
      <w:proofErr w:type="spellEnd"/>
      <w:r w:rsidR="00770053" w:rsidRPr="00E954A2">
        <w:rPr>
          <w:i/>
        </w:rPr>
        <w:t xml:space="preserve"> is indicated for reducing signs and symptoms in patients with active ankylosing spondylitis.</w:t>
      </w:r>
    </w:p>
    <w:p w14:paraId="145B26AF" w14:textId="4846F4B5" w:rsidR="00770053" w:rsidRPr="00E954A2" w:rsidRDefault="00770053" w:rsidP="00F32D0E">
      <w:pPr>
        <w:pStyle w:val="Heading5"/>
        <w:ind w:left="720"/>
      </w:pPr>
      <w:r w:rsidRPr="00E954A2">
        <w:t xml:space="preserve">Crohn’s </w:t>
      </w:r>
      <w:r w:rsidR="00A44A3E">
        <w:t>d</w:t>
      </w:r>
      <w:r w:rsidRPr="00E954A2">
        <w:t xml:space="preserve">isease in </w:t>
      </w:r>
      <w:r w:rsidR="00A44A3E">
        <w:t>a</w:t>
      </w:r>
      <w:r w:rsidRPr="00E954A2">
        <w:t xml:space="preserve">dults and </w:t>
      </w:r>
      <w:r w:rsidR="00A44A3E">
        <w:t>c</w:t>
      </w:r>
      <w:r w:rsidRPr="00E954A2">
        <w:t>hildren (≥6 years)</w:t>
      </w:r>
    </w:p>
    <w:p w14:paraId="07E7C41F" w14:textId="77777777" w:rsidR="00770053" w:rsidRPr="00E954A2" w:rsidRDefault="001E6DDC" w:rsidP="00F32D0E">
      <w:pPr>
        <w:ind w:left="720"/>
        <w:rPr>
          <w:i/>
        </w:rPr>
      </w:pPr>
      <w:proofErr w:type="spellStart"/>
      <w:r w:rsidRPr="00E954A2">
        <w:rPr>
          <w:i/>
        </w:rPr>
        <w:t>Amgevita</w:t>
      </w:r>
      <w:proofErr w:type="spellEnd"/>
      <w:r w:rsidR="00770053" w:rsidRPr="00E954A2">
        <w:rPr>
          <w:i/>
        </w:rPr>
        <w:t xml:space="preserve"> is indicated for the treatment of moderate to severe Crohn’s disease, to reduce the signs and symptoms of the disease and to induce and maintain clinical remission in patients;</w:t>
      </w:r>
    </w:p>
    <w:p w14:paraId="615B83BF" w14:textId="77777777" w:rsidR="00770053" w:rsidRPr="00F32D0E" w:rsidRDefault="00770053" w:rsidP="00F32D0E">
      <w:pPr>
        <w:pStyle w:val="ListBullet"/>
        <w:ind w:left="1080"/>
        <w:rPr>
          <w:i/>
        </w:rPr>
      </w:pPr>
      <w:r w:rsidRPr="00F32D0E">
        <w:rPr>
          <w:i/>
        </w:rPr>
        <w:t>who have had an inadequate response to conventional therapies or,</w:t>
      </w:r>
    </w:p>
    <w:p w14:paraId="0EDA0FDB" w14:textId="77777777" w:rsidR="00770053" w:rsidRPr="00F32D0E" w:rsidRDefault="00770053" w:rsidP="00F32D0E">
      <w:pPr>
        <w:pStyle w:val="ListBullet"/>
        <w:ind w:left="1080"/>
        <w:rPr>
          <w:i/>
        </w:rPr>
      </w:pPr>
      <w:proofErr w:type="gramStart"/>
      <w:r w:rsidRPr="00F32D0E">
        <w:rPr>
          <w:i/>
        </w:rPr>
        <w:t>who</w:t>
      </w:r>
      <w:proofErr w:type="gramEnd"/>
      <w:r w:rsidRPr="00F32D0E">
        <w:rPr>
          <w:i/>
        </w:rPr>
        <w:t xml:space="preserve"> have lost response to or are intolerant of infliximab.</w:t>
      </w:r>
    </w:p>
    <w:p w14:paraId="5E9EF363" w14:textId="77777777" w:rsidR="00770053" w:rsidRPr="00E954A2" w:rsidRDefault="00770053" w:rsidP="00F32D0E">
      <w:pPr>
        <w:pStyle w:val="Heading5"/>
        <w:ind w:left="720"/>
      </w:pPr>
      <w:r w:rsidRPr="00E954A2">
        <w:t>Ulcerative colitis</w:t>
      </w:r>
    </w:p>
    <w:p w14:paraId="12EC0AF6" w14:textId="61B13077" w:rsidR="00770053" w:rsidRPr="00E954A2" w:rsidRDefault="001E6DDC" w:rsidP="00F32D0E">
      <w:pPr>
        <w:ind w:left="720"/>
        <w:rPr>
          <w:i/>
        </w:rPr>
      </w:pPr>
      <w:proofErr w:type="spellStart"/>
      <w:r w:rsidRPr="00E954A2">
        <w:rPr>
          <w:i/>
        </w:rPr>
        <w:t>Amgevita</w:t>
      </w:r>
      <w:proofErr w:type="spellEnd"/>
      <w:r w:rsidR="00770053" w:rsidRPr="00E954A2">
        <w:rPr>
          <w:i/>
        </w:rPr>
        <w:t xml:space="preserve">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w:t>
      </w:r>
      <w:proofErr w:type="gramStart"/>
      <w:r w:rsidR="00770053" w:rsidRPr="00E954A2">
        <w:rPr>
          <w:i/>
        </w:rPr>
        <w:t>see</w:t>
      </w:r>
      <w:proofErr w:type="gramEnd"/>
      <w:r w:rsidR="00770053" w:rsidRPr="00E954A2">
        <w:rPr>
          <w:i/>
        </w:rPr>
        <w:t xml:space="preserve"> </w:t>
      </w:r>
      <w:r w:rsidR="008D6EEE" w:rsidRPr="00E954A2">
        <w:rPr>
          <w:i/>
        </w:rPr>
        <w:t>Clinical Trials</w:t>
      </w:r>
      <w:r w:rsidR="00770053" w:rsidRPr="00E954A2">
        <w:rPr>
          <w:i/>
        </w:rPr>
        <w:t>).</w:t>
      </w:r>
    </w:p>
    <w:p w14:paraId="046D4BB9" w14:textId="77777777" w:rsidR="00770053" w:rsidRDefault="00770053" w:rsidP="00F32D0E">
      <w:pPr>
        <w:pStyle w:val="Heading5"/>
        <w:ind w:left="720"/>
      </w:pPr>
      <w:r>
        <w:t>Psoriasis</w:t>
      </w:r>
    </w:p>
    <w:p w14:paraId="6FFEAF34" w14:textId="77777777" w:rsidR="00770053" w:rsidRPr="00E954A2" w:rsidRDefault="001E6DDC" w:rsidP="00F32D0E">
      <w:pPr>
        <w:ind w:left="720"/>
        <w:rPr>
          <w:i/>
        </w:rPr>
      </w:pPr>
      <w:proofErr w:type="spellStart"/>
      <w:r w:rsidRPr="00E954A2">
        <w:rPr>
          <w:i/>
        </w:rPr>
        <w:t>Amgevita</w:t>
      </w:r>
      <w:proofErr w:type="spellEnd"/>
      <w:r w:rsidR="00770053" w:rsidRPr="00E954A2">
        <w:rPr>
          <w:i/>
        </w:rPr>
        <w:t xml:space="preserve"> is indicated for the treatment of moderate to severe chronic plaque psoriasis in adult patients who are candidates for systemic therapy or phototherapy.</w:t>
      </w:r>
    </w:p>
    <w:p w14:paraId="1894442C" w14:textId="77777777" w:rsidR="00770053" w:rsidRDefault="00770053" w:rsidP="00770053">
      <w:r>
        <w:t xml:space="preserve">However, the approval recommendation is dependent on the satisfactory response to the evaluator questions, the agreement to implement an appropriate risk management plan, and a favourable assessment by the quality, </w:t>
      </w:r>
      <w:r w:rsidR="00F32D0E">
        <w:t xml:space="preserve">nonclinical </w:t>
      </w:r>
      <w:r>
        <w:t>and RMP evaluators.</w:t>
      </w:r>
    </w:p>
    <w:p w14:paraId="0B07FD37" w14:textId="77777777" w:rsidR="00770053" w:rsidRDefault="00770053" w:rsidP="00770053">
      <w:r>
        <w:t xml:space="preserve">It is noted the proposed indications for </w:t>
      </w:r>
      <w:proofErr w:type="spellStart"/>
      <w:r w:rsidR="001E6DDC">
        <w:t>Amgevita</w:t>
      </w:r>
      <w:proofErr w:type="spellEnd"/>
      <w:r>
        <w:t xml:space="preserve"> do not include hidradenitis </w:t>
      </w:r>
      <w:proofErr w:type="spellStart"/>
      <w:r>
        <w:t>suppurativa</w:t>
      </w:r>
      <w:proofErr w:type="spellEnd"/>
      <w:r>
        <w:t xml:space="preserve">. Hidradenitis </w:t>
      </w:r>
      <w:proofErr w:type="spellStart"/>
      <w:r>
        <w:t>suppurativa</w:t>
      </w:r>
      <w:proofErr w:type="spellEnd"/>
      <w:r>
        <w:t xml:space="preserve"> was added as an indication for the reference product </w:t>
      </w:r>
      <w:r w:rsidR="001E6DDC">
        <w:t>Humira</w:t>
      </w:r>
      <w:r>
        <w:t xml:space="preserve"> (approved on 6 April 2016). The addition of hidradenitis </w:t>
      </w:r>
      <w:proofErr w:type="spellStart"/>
      <w:r>
        <w:t>suppurativa</w:t>
      </w:r>
      <w:proofErr w:type="spellEnd"/>
      <w:r>
        <w:t xml:space="preserve"> is also supported by the evaluator, </w:t>
      </w:r>
      <w:r w:rsidR="00F32D0E">
        <w:t>that is,</w:t>
      </w:r>
      <w:r>
        <w:t xml:space="preserve"> the following:</w:t>
      </w:r>
    </w:p>
    <w:p w14:paraId="4C89E76B" w14:textId="16503832" w:rsidR="00770053" w:rsidRDefault="00770053" w:rsidP="00A2040D">
      <w:pPr>
        <w:pStyle w:val="Heading5"/>
        <w:ind w:left="720"/>
      </w:pPr>
      <w:r>
        <w:t xml:space="preserve">Hidradenitis </w:t>
      </w:r>
      <w:proofErr w:type="spellStart"/>
      <w:r w:rsidR="00A44A3E">
        <w:t>s</w:t>
      </w:r>
      <w:r>
        <w:t>uppurativa</w:t>
      </w:r>
      <w:proofErr w:type="spellEnd"/>
    </w:p>
    <w:p w14:paraId="617FD5CD" w14:textId="77777777" w:rsidR="00770053" w:rsidRPr="00E954A2" w:rsidRDefault="001E6DDC" w:rsidP="00A2040D">
      <w:pPr>
        <w:ind w:left="720"/>
        <w:rPr>
          <w:i/>
        </w:rPr>
      </w:pPr>
      <w:proofErr w:type="spellStart"/>
      <w:r w:rsidRPr="00E954A2">
        <w:rPr>
          <w:i/>
        </w:rPr>
        <w:t>Amgevita</w:t>
      </w:r>
      <w:proofErr w:type="spellEnd"/>
      <w:r w:rsidR="00770053" w:rsidRPr="00E954A2">
        <w:rPr>
          <w:i/>
        </w:rPr>
        <w:t xml:space="preserve"> is indicated for the treatment of active moderate to severe hidradenitis </w:t>
      </w:r>
      <w:proofErr w:type="spellStart"/>
      <w:r w:rsidR="00770053" w:rsidRPr="00E954A2">
        <w:rPr>
          <w:i/>
        </w:rPr>
        <w:t>suppurativa</w:t>
      </w:r>
      <w:proofErr w:type="spellEnd"/>
      <w:r w:rsidR="00770053" w:rsidRPr="00E954A2">
        <w:rPr>
          <w:i/>
        </w:rPr>
        <w:t xml:space="preserve"> (acne </w:t>
      </w:r>
      <w:proofErr w:type="spellStart"/>
      <w:r w:rsidR="00770053" w:rsidRPr="00E954A2">
        <w:rPr>
          <w:i/>
        </w:rPr>
        <w:t>inversa</w:t>
      </w:r>
      <w:proofErr w:type="spellEnd"/>
      <w:r w:rsidR="00770053" w:rsidRPr="00E954A2">
        <w:rPr>
          <w:i/>
        </w:rPr>
        <w:t xml:space="preserve">) in adult patients with an inadequate response to conventional systemic hidradenitis </w:t>
      </w:r>
      <w:proofErr w:type="spellStart"/>
      <w:r w:rsidR="00770053" w:rsidRPr="00E954A2">
        <w:rPr>
          <w:i/>
        </w:rPr>
        <w:t>suppurativa</w:t>
      </w:r>
      <w:proofErr w:type="spellEnd"/>
      <w:r w:rsidR="00770053" w:rsidRPr="00E954A2">
        <w:rPr>
          <w:i/>
        </w:rPr>
        <w:t xml:space="preserve"> therapy.</w:t>
      </w:r>
    </w:p>
    <w:p w14:paraId="003A02D3" w14:textId="32E83806" w:rsidR="00770053" w:rsidRPr="00605AD4" w:rsidRDefault="00770053" w:rsidP="00770053">
      <w:pPr>
        <w:pStyle w:val="Heading3"/>
        <w:rPr>
          <w:rFonts w:eastAsia="Cambria"/>
        </w:rPr>
      </w:pPr>
      <w:bookmarkStart w:id="99" w:name="_Toc519244662"/>
      <w:r w:rsidRPr="00605AD4">
        <w:rPr>
          <w:rFonts w:eastAsia="Cambria"/>
        </w:rPr>
        <w:t xml:space="preserve">Second </w:t>
      </w:r>
      <w:r w:rsidR="00A44A3E">
        <w:rPr>
          <w:rFonts w:eastAsia="Cambria"/>
        </w:rPr>
        <w:t>r</w:t>
      </w:r>
      <w:r w:rsidRPr="00605AD4">
        <w:rPr>
          <w:rFonts w:eastAsia="Cambria"/>
        </w:rPr>
        <w:t xml:space="preserve">ound </w:t>
      </w:r>
      <w:r w:rsidR="00A44A3E">
        <w:rPr>
          <w:rFonts w:eastAsia="Cambria"/>
        </w:rPr>
        <w:t>b</w:t>
      </w:r>
      <w:r w:rsidRPr="00605AD4">
        <w:rPr>
          <w:rFonts w:eastAsia="Cambria"/>
        </w:rPr>
        <w:t>enefit-</w:t>
      </w:r>
      <w:r w:rsidR="00A44A3E">
        <w:rPr>
          <w:rFonts w:eastAsia="Cambria"/>
        </w:rPr>
        <w:t>r</w:t>
      </w:r>
      <w:r w:rsidRPr="00605AD4">
        <w:rPr>
          <w:rFonts w:eastAsia="Cambria"/>
        </w:rPr>
        <w:t xml:space="preserve">isk </w:t>
      </w:r>
      <w:r w:rsidR="00A44A3E">
        <w:rPr>
          <w:rFonts w:eastAsia="Cambria"/>
        </w:rPr>
        <w:t>a</w:t>
      </w:r>
      <w:r w:rsidRPr="00605AD4">
        <w:rPr>
          <w:rFonts w:eastAsia="Cambria"/>
        </w:rPr>
        <w:t>ssessment</w:t>
      </w:r>
      <w:bookmarkEnd w:id="99"/>
    </w:p>
    <w:p w14:paraId="4C8B1AF7" w14:textId="77777777" w:rsidR="006C285D" w:rsidRDefault="006C285D" w:rsidP="00E954A2">
      <w:pPr>
        <w:pStyle w:val="Heading4"/>
      </w:pPr>
      <w:r>
        <w:t>Second round assessment of benefits</w:t>
      </w:r>
    </w:p>
    <w:p w14:paraId="0F96460F" w14:textId="321AF5F5" w:rsidR="006C285D" w:rsidRDefault="006C285D" w:rsidP="006C285D">
      <w:r>
        <w:t xml:space="preserve">After consideration of the responses to clinical questions, the benefits of </w:t>
      </w:r>
      <w:proofErr w:type="spellStart"/>
      <w:r w:rsidR="001E6DDC">
        <w:t>Amgevita</w:t>
      </w:r>
      <w:proofErr w:type="spellEnd"/>
      <w:r>
        <w:t xml:space="preserve"> (adalimumab, ABP 501) in the proposed usage are unchanged from those identified in </w:t>
      </w:r>
      <w:r w:rsidR="00F32D0E">
        <w:t xml:space="preserve">the </w:t>
      </w:r>
      <w:r w:rsidR="008D6EEE">
        <w:t xml:space="preserve">first </w:t>
      </w:r>
      <w:r w:rsidR="00F32D0E">
        <w:t>round evaluation</w:t>
      </w:r>
      <w:r>
        <w:t>.</w:t>
      </w:r>
    </w:p>
    <w:p w14:paraId="130A6486" w14:textId="77777777" w:rsidR="006C285D" w:rsidRDefault="006C285D" w:rsidP="00E954A2">
      <w:pPr>
        <w:pStyle w:val="Heading4"/>
      </w:pPr>
      <w:r>
        <w:t>Second round assessment of risks</w:t>
      </w:r>
    </w:p>
    <w:p w14:paraId="10BF2F91" w14:textId="4F5A809C" w:rsidR="006C285D" w:rsidRDefault="006C285D" w:rsidP="006C285D">
      <w:r>
        <w:t xml:space="preserve">After consideration of the responses to clinical questions, the risks of </w:t>
      </w:r>
      <w:proofErr w:type="spellStart"/>
      <w:r w:rsidR="001E6DDC">
        <w:t>Amgevita</w:t>
      </w:r>
      <w:proofErr w:type="spellEnd"/>
      <w:r>
        <w:t xml:space="preserve"> (adalimumab, ABP 501) in the proposed usage are unchanged from those identified in </w:t>
      </w:r>
      <w:r w:rsidR="00F32D0E">
        <w:t xml:space="preserve">the </w:t>
      </w:r>
      <w:r w:rsidR="008D6EEE">
        <w:t xml:space="preserve">first </w:t>
      </w:r>
      <w:r w:rsidR="00F32D0E">
        <w:t>round evaluation</w:t>
      </w:r>
      <w:r>
        <w:t>.</w:t>
      </w:r>
    </w:p>
    <w:p w14:paraId="11907AB6" w14:textId="77777777" w:rsidR="006C285D" w:rsidRDefault="006C285D" w:rsidP="00E954A2">
      <w:pPr>
        <w:pStyle w:val="Heading4"/>
      </w:pPr>
      <w:r>
        <w:t>Second round assessment of benefit-risk balance</w:t>
      </w:r>
    </w:p>
    <w:p w14:paraId="6EC051F6" w14:textId="77777777" w:rsidR="006C285D" w:rsidRDefault="006C285D" w:rsidP="006C285D">
      <w:r>
        <w:t xml:space="preserve">The benefit-risk balance of </w:t>
      </w:r>
      <w:proofErr w:type="spellStart"/>
      <w:r w:rsidR="001E6DDC">
        <w:t>Amgevita</w:t>
      </w:r>
      <w:proofErr w:type="spellEnd"/>
      <w:r>
        <w:t xml:space="preserve"> (adalimumab, ABP 501), given the proposed usage, is favourable. This assessment is based on the </w:t>
      </w:r>
      <w:r w:rsidR="00F32D0E">
        <w:t>clinical</w:t>
      </w:r>
      <w:r>
        <w:t xml:space="preserve"> data evaluated from a clinical point of view. The assessment was made by weighing up the risks and benefits as outlined in this evaluation report.</w:t>
      </w:r>
    </w:p>
    <w:p w14:paraId="63152CE5" w14:textId="77777777" w:rsidR="006C285D" w:rsidRDefault="006C285D" w:rsidP="00E954A2">
      <w:pPr>
        <w:pStyle w:val="Heading4"/>
      </w:pPr>
      <w:r>
        <w:t>Second round recommendation regarding authorisation</w:t>
      </w:r>
    </w:p>
    <w:p w14:paraId="3E684800" w14:textId="5E04BAE2" w:rsidR="006C285D" w:rsidRDefault="006C285D" w:rsidP="006C285D">
      <w:r>
        <w:t xml:space="preserve">Approval of </w:t>
      </w:r>
      <w:proofErr w:type="spellStart"/>
      <w:r w:rsidR="001E6DDC">
        <w:t>Amgevita</w:t>
      </w:r>
      <w:proofErr w:type="spellEnd"/>
      <w:r>
        <w:t xml:space="preserve"> (adalimumab, ABP 501) is recommended for the following indications (as per proposed </w:t>
      </w:r>
      <w:proofErr w:type="spellStart"/>
      <w:r w:rsidR="001E6DDC">
        <w:t>Amgevita</w:t>
      </w:r>
      <w:proofErr w:type="spellEnd"/>
      <w:r>
        <w:t xml:space="preserve"> </w:t>
      </w:r>
      <w:r w:rsidR="008D6EEE">
        <w:t>PI</w:t>
      </w:r>
      <w:r>
        <w:t>):</w:t>
      </w:r>
    </w:p>
    <w:p w14:paraId="419EF6AD" w14:textId="27A072E0" w:rsidR="006C285D" w:rsidRDefault="006C285D" w:rsidP="00F32D0E">
      <w:pPr>
        <w:pStyle w:val="Heading5"/>
        <w:ind w:left="720"/>
      </w:pPr>
      <w:r>
        <w:t xml:space="preserve">Rheumatoid </w:t>
      </w:r>
      <w:r w:rsidR="00A44A3E">
        <w:t>a</w:t>
      </w:r>
      <w:r>
        <w:t>rthritis</w:t>
      </w:r>
    </w:p>
    <w:p w14:paraId="0A6A1A0D" w14:textId="77777777" w:rsidR="006C285D" w:rsidRPr="00E954A2" w:rsidRDefault="001E6DDC" w:rsidP="00F32D0E">
      <w:pPr>
        <w:ind w:left="720"/>
        <w:rPr>
          <w:i/>
        </w:rPr>
      </w:pPr>
      <w:proofErr w:type="spellStart"/>
      <w:r w:rsidRPr="00E954A2">
        <w:rPr>
          <w:i/>
        </w:rPr>
        <w:t>Amgevita</w:t>
      </w:r>
      <w:proofErr w:type="spellEnd"/>
      <w:r w:rsidR="006C285D" w:rsidRPr="00E954A2">
        <w:rPr>
          <w:i/>
        </w:rPr>
        <w:t xml:space="preserve">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237617FA" w14:textId="77777777" w:rsidR="006C285D" w:rsidRPr="00E954A2" w:rsidRDefault="001E6DDC" w:rsidP="00F32D0E">
      <w:pPr>
        <w:ind w:left="720"/>
        <w:rPr>
          <w:i/>
        </w:rPr>
      </w:pPr>
      <w:proofErr w:type="spellStart"/>
      <w:r w:rsidRPr="00E954A2">
        <w:rPr>
          <w:i/>
        </w:rPr>
        <w:t>Amgevita</w:t>
      </w:r>
      <w:proofErr w:type="spellEnd"/>
      <w:r w:rsidR="006C285D" w:rsidRPr="00E954A2">
        <w:rPr>
          <w:i/>
        </w:rPr>
        <w:t xml:space="preserve"> can be used alone or in combination with methotrexate.</w:t>
      </w:r>
    </w:p>
    <w:p w14:paraId="04828E97" w14:textId="25CBF351" w:rsidR="006C285D" w:rsidRPr="00E954A2" w:rsidRDefault="006C285D" w:rsidP="00F32D0E">
      <w:pPr>
        <w:pStyle w:val="Heading5"/>
        <w:ind w:left="720"/>
      </w:pPr>
      <w:proofErr w:type="spellStart"/>
      <w:r w:rsidRPr="00E954A2">
        <w:t>Polyarticular</w:t>
      </w:r>
      <w:proofErr w:type="spellEnd"/>
      <w:r w:rsidRPr="00E954A2">
        <w:t xml:space="preserve"> </w:t>
      </w:r>
      <w:r w:rsidR="00A44A3E">
        <w:t>j</w:t>
      </w:r>
      <w:r w:rsidRPr="00E954A2">
        <w:t xml:space="preserve">uvenile </w:t>
      </w:r>
      <w:r w:rsidR="00A44A3E">
        <w:t>i</w:t>
      </w:r>
      <w:r w:rsidRPr="00E954A2">
        <w:t xml:space="preserve">diopathic </w:t>
      </w:r>
      <w:r w:rsidR="00A44A3E">
        <w:t>a</w:t>
      </w:r>
      <w:r w:rsidRPr="00E954A2">
        <w:t>rthritis</w:t>
      </w:r>
    </w:p>
    <w:p w14:paraId="1FA4F63F" w14:textId="77777777" w:rsidR="006C285D" w:rsidRPr="00E954A2" w:rsidRDefault="001E6DDC" w:rsidP="00F32D0E">
      <w:pPr>
        <w:ind w:left="720"/>
        <w:rPr>
          <w:i/>
        </w:rPr>
      </w:pPr>
      <w:proofErr w:type="spellStart"/>
      <w:r w:rsidRPr="00E954A2">
        <w:rPr>
          <w:i/>
        </w:rPr>
        <w:t>Amgevita</w:t>
      </w:r>
      <w:proofErr w:type="spellEnd"/>
      <w:r w:rsidR="006C285D" w:rsidRPr="00E954A2">
        <w:rPr>
          <w:i/>
        </w:rPr>
        <w:t xml:space="preserve"> in combination with methotrexate is indicated for reducing the signs and symptoms of moderately to severely active polyarticular juvenile idiopathic arthritis in patients 2 years of age and older who have had an inadequate response to one or more disease modifying anti-rheumatic drugs (DMARDs). </w:t>
      </w:r>
      <w:proofErr w:type="spellStart"/>
      <w:r w:rsidRPr="00E954A2">
        <w:rPr>
          <w:i/>
        </w:rPr>
        <w:t>Amgevita</w:t>
      </w:r>
      <w:proofErr w:type="spellEnd"/>
      <w:r w:rsidR="006C285D" w:rsidRPr="00E954A2">
        <w:rPr>
          <w:i/>
        </w:rPr>
        <w:t xml:space="preserve"> can be given as monotherapy in case of intolerance to methotrexate or when continued treatment with methotrexate is inappropriate.</w:t>
      </w:r>
    </w:p>
    <w:p w14:paraId="16879BFE" w14:textId="3117465B" w:rsidR="006C285D" w:rsidRPr="00E954A2" w:rsidRDefault="006C285D" w:rsidP="00F32D0E">
      <w:pPr>
        <w:pStyle w:val="Heading5"/>
        <w:ind w:left="720"/>
      </w:pPr>
      <w:r w:rsidRPr="00E954A2">
        <w:t xml:space="preserve">Psoriatic </w:t>
      </w:r>
      <w:r w:rsidR="00A44A3E">
        <w:t>a</w:t>
      </w:r>
      <w:r w:rsidRPr="00E954A2">
        <w:t>rthritis</w:t>
      </w:r>
    </w:p>
    <w:p w14:paraId="6B780F3A" w14:textId="77777777" w:rsidR="006C285D" w:rsidRPr="00E954A2" w:rsidRDefault="001E6DDC" w:rsidP="00F32D0E">
      <w:pPr>
        <w:ind w:left="720"/>
        <w:rPr>
          <w:i/>
        </w:rPr>
      </w:pPr>
      <w:proofErr w:type="spellStart"/>
      <w:r w:rsidRPr="00E954A2">
        <w:rPr>
          <w:i/>
        </w:rPr>
        <w:t>Amgevita</w:t>
      </w:r>
      <w:proofErr w:type="spellEnd"/>
      <w:r w:rsidR="006C285D" w:rsidRPr="00E954A2">
        <w:rPr>
          <w:i/>
        </w:rPr>
        <w:t xml:space="preserve"> is indicated for the treatment of signs and symptoms, as well as inhibiting the progression of structural damage, of moderate to severely active psoriatic arthritis in adult patients where response to previous DMARDs has been inadequate.</w:t>
      </w:r>
    </w:p>
    <w:p w14:paraId="77ED077F" w14:textId="554175B3" w:rsidR="006C285D" w:rsidRPr="00E954A2" w:rsidRDefault="006C285D" w:rsidP="00F32D0E">
      <w:pPr>
        <w:pStyle w:val="Heading5"/>
        <w:ind w:left="720"/>
      </w:pPr>
      <w:r w:rsidRPr="00E954A2">
        <w:t xml:space="preserve">Ankylosing </w:t>
      </w:r>
      <w:r w:rsidR="00A44A3E">
        <w:t>s</w:t>
      </w:r>
      <w:r w:rsidRPr="00E954A2">
        <w:t>pondylitis</w:t>
      </w:r>
    </w:p>
    <w:p w14:paraId="5B4594D6" w14:textId="77777777" w:rsidR="006C285D" w:rsidRPr="00E954A2" w:rsidRDefault="001E6DDC" w:rsidP="00F32D0E">
      <w:pPr>
        <w:ind w:left="720"/>
        <w:rPr>
          <w:i/>
        </w:rPr>
      </w:pPr>
      <w:proofErr w:type="spellStart"/>
      <w:r w:rsidRPr="00E954A2">
        <w:rPr>
          <w:i/>
        </w:rPr>
        <w:t>Amgevita</w:t>
      </w:r>
      <w:proofErr w:type="spellEnd"/>
      <w:r w:rsidR="006C285D" w:rsidRPr="00E954A2">
        <w:rPr>
          <w:i/>
        </w:rPr>
        <w:t xml:space="preserve"> is indicated for reducing signs and symptoms in patients with active ankylosing spondylitis.</w:t>
      </w:r>
    </w:p>
    <w:p w14:paraId="176BBFC5" w14:textId="2164B581" w:rsidR="006C285D" w:rsidRPr="00E954A2" w:rsidRDefault="006C285D" w:rsidP="00F32D0E">
      <w:pPr>
        <w:pStyle w:val="Heading5"/>
        <w:ind w:left="720"/>
      </w:pPr>
      <w:r w:rsidRPr="00E954A2">
        <w:t xml:space="preserve">Crohn’s </w:t>
      </w:r>
      <w:r w:rsidR="00A44A3E">
        <w:t>d</w:t>
      </w:r>
      <w:r w:rsidRPr="00E954A2">
        <w:t xml:space="preserve">isease in </w:t>
      </w:r>
      <w:r w:rsidR="00A44A3E">
        <w:t>a</w:t>
      </w:r>
      <w:r w:rsidRPr="00E954A2">
        <w:t xml:space="preserve">dults and </w:t>
      </w:r>
      <w:r w:rsidR="00A44A3E">
        <w:t>c</w:t>
      </w:r>
      <w:r w:rsidRPr="00E954A2">
        <w:t>hildren (≥6 years)</w:t>
      </w:r>
    </w:p>
    <w:p w14:paraId="1BA89CDE" w14:textId="77777777" w:rsidR="006C285D" w:rsidRPr="00E954A2" w:rsidRDefault="001E6DDC" w:rsidP="00F32D0E">
      <w:pPr>
        <w:ind w:left="720"/>
        <w:rPr>
          <w:i/>
        </w:rPr>
      </w:pPr>
      <w:proofErr w:type="spellStart"/>
      <w:r w:rsidRPr="00E954A2">
        <w:rPr>
          <w:i/>
        </w:rPr>
        <w:t>Amgevita</w:t>
      </w:r>
      <w:proofErr w:type="spellEnd"/>
      <w:r w:rsidR="006C285D" w:rsidRPr="00E954A2">
        <w:rPr>
          <w:i/>
        </w:rPr>
        <w:t xml:space="preserve"> is indicated for the treatment of moderate to severe Crohn’s disease, to reduce the signs and symptoms of the disease and to induce and maintain clinical remission in patients;</w:t>
      </w:r>
    </w:p>
    <w:p w14:paraId="2E96C23F" w14:textId="77777777" w:rsidR="006C285D" w:rsidRPr="00E954A2" w:rsidRDefault="006C285D" w:rsidP="00F32D0E">
      <w:pPr>
        <w:pStyle w:val="ListBullet"/>
        <w:ind w:left="1080"/>
        <w:rPr>
          <w:i/>
        </w:rPr>
      </w:pPr>
      <w:r w:rsidRPr="00E954A2">
        <w:rPr>
          <w:i/>
        </w:rPr>
        <w:t>who have had an inadequate response to conventional therapies or,</w:t>
      </w:r>
    </w:p>
    <w:p w14:paraId="68A6BD4E" w14:textId="77777777" w:rsidR="006C285D" w:rsidRPr="00E954A2" w:rsidRDefault="006C285D" w:rsidP="00F32D0E">
      <w:pPr>
        <w:pStyle w:val="ListBullet"/>
        <w:ind w:left="1080"/>
        <w:rPr>
          <w:i/>
        </w:rPr>
      </w:pPr>
      <w:proofErr w:type="gramStart"/>
      <w:r w:rsidRPr="00E954A2">
        <w:rPr>
          <w:i/>
        </w:rPr>
        <w:t>who</w:t>
      </w:r>
      <w:proofErr w:type="gramEnd"/>
      <w:r w:rsidRPr="00E954A2">
        <w:rPr>
          <w:i/>
        </w:rPr>
        <w:t xml:space="preserve"> have lost response to or are intolerant of infliximab.</w:t>
      </w:r>
    </w:p>
    <w:p w14:paraId="5FB9520B" w14:textId="77777777" w:rsidR="006C285D" w:rsidRPr="00E954A2" w:rsidRDefault="006C285D" w:rsidP="00F32D0E">
      <w:pPr>
        <w:pStyle w:val="Heading5"/>
        <w:ind w:left="720"/>
      </w:pPr>
      <w:r w:rsidRPr="00E954A2">
        <w:t>Ulcerative colitis</w:t>
      </w:r>
    </w:p>
    <w:p w14:paraId="638D61BC" w14:textId="77777777" w:rsidR="006C285D" w:rsidRPr="00E954A2" w:rsidRDefault="001E6DDC" w:rsidP="00F32D0E">
      <w:pPr>
        <w:ind w:left="720"/>
        <w:rPr>
          <w:i/>
        </w:rPr>
      </w:pPr>
      <w:proofErr w:type="spellStart"/>
      <w:r w:rsidRPr="00E954A2">
        <w:rPr>
          <w:i/>
        </w:rPr>
        <w:t>Amgevita</w:t>
      </w:r>
      <w:proofErr w:type="spellEnd"/>
      <w:r w:rsidR="006C285D" w:rsidRPr="00E954A2">
        <w:rPr>
          <w:i/>
        </w:rPr>
        <w:t xml:space="preserve">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w:t>
      </w:r>
      <w:proofErr w:type="gramStart"/>
      <w:r w:rsidR="006C285D" w:rsidRPr="00E954A2">
        <w:rPr>
          <w:i/>
        </w:rPr>
        <w:t>see</w:t>
      </w:r>
      <w:proofErr w:type="gramEnd"/>
      <w:r w:rsidR="006C285D" w:rsidRPr="00E954A2">
        <w:rPr>
          <w:i/>
        </w:rPr>
        <w:t xml:space="preserve"> CLINICAL TRIALS).</w:t>
      </w:r>
    </w:p>
    <w:p w14:paraId="41EB5F29" w14:textId="77777777" w:rsidR="006C285D" w:rsidRPr="00E954A2" w:rsidRDefault="006C285D" w:rsidP="00F32D0E">
      <w:pPr>
        <w:pStyle w:val="Heading5"/>
        <w:ind w:left="720"/>
      </w:pPr>
      <w:r w:rsidRPr="00E954A2">
        <w:t>Psoriasis</w:t>
      </w:r>
    </w:p>
    <w:p w14:paraId="7DAE7704" w14:textId="77777777" w:rsidR="006C285D" w:rsidRPr="00E954A2" w:rsidRDefault="001E6DDC" w:rsidP="00F32D0E">
      <w:pPr>
        <w:ind w:left="720"/>
        <w:rPr>
          <w:i/>
        </w:rPr>
      </w:pPr>
      <w:proofErr w:type="spellStart"/>
      <w:r w:rsidRPr="00E954A2">
        <w:rPr>
          <w:i/>
        </w:rPr>
        <w:t>Amgevita</w:t>
      </w:r>
      <w:proofErr w:type="spellEnd"/>
      <w:r w:rsidR="006C285D" w:rsidRPr="00E954A2">
        <w:rPr>
          <w:i/>
        </w:rPr>
        <w:t xml:space="preserve"> is indicated for the treatment of moderate to severe chronic plaque psoriasis in adult patients who are candidates for systemic therapy or phototherapy.</w:t>
      </w:r>
    </w:p>
    <w:p w14:paraId="2918CD77" w14:textId="5609E479" w:rsidR="006C285D" w:rsidRPr="00E954A2" w:rsidRDefault="006C285D" w:rsidP="00F32D0E">
      <w:pPr>
        <w:pStyle w:val="Heading5"/>
        <w:ind w:left="720"/>
      </w:pPr>
      <w:r w:rsidRPr="00E954A2">
        <w:t xml:space="preserve">Hidradenitis </w:t>
      </w:r>
      <w:proofErr w:type="spellStart"/>
      <w:r w:rsidR="00A44A3E">
        <w:t>s</w:t>
      </w:r>
      <w:r w:rsidRPr="00E954A2">
        <w:t>uppurativa</w:t>
      </w:r>
      <w:proofErr w:type="spellEnd"/>
    </w:p>
    <w:p w14:paraId="378F0F32" w14:textId="77777777" w:rsidR="006C285D" w:rsidRPr="00E954A2" w:rsidRDefault="001E6DDC" w:rsidP="00F32D0E">
      <w:pPr>
        <w:ind w:left="720"/>
        <w:rPr>
          <w:i/>
        </w:rPr>
      </w:pPr>
      <w:proofErr w:type="spellStart"/>
      <w:r w:rsidRPr="00E954A2">
        <w:rPr>
          <w:i/>
        </w:rPr>
        <w:t>Amgevita</w:t>
      </w:r>
      <w:proofErr w:type="spellEnd"/>
      <w:r w:rsidR="006C285D" w:rsidRPr="00E954A2">
        <w:rPr>
          <w:i/>
        </w:rPr>
        <w:t xml:space="preserve"> is indicated for the treatment of active moderate to severe hidradenitis </w:t>
      </w:r>
      <w:proofErr w:type="spellStart"/>
      <w:r w:rsidR="006C285D" w:rsidRPr="00E954A2">
        <w:rPr>
          <w:i/>
        </w:rPr>
        <w:t>suppurativa</w:t>
      </w:r>
      <w:proofErr w:type="spellEnd"/>
      <w:r w:rsidR="006C285D" w:rsidRPr="00E954A2">
        <w:rPr>
          <w:i/>
        </w:rPr>
        <w:t xml:space="preserve"> (acne </w:t>
      </w:r>
      <w:proofErr w:type="spellStart"/>
      <w:r w:rsidR="006C285D" w:rsidRPr="00E954A2">
        <w:rPr>
          <w:i/>
        </w:rPr>
        <w:t>inversa</w:t>
      </w:r>
      <w:proofErr w:type="spellEnd"/>
      <w:r w:rsidR="006C285D" w:rsidRPr="00E954A2">
        <w:rPr>
          <w:i/>
        </w:rPr>
        <w:t xml:space="preserve">) in adult patients with an inadequate response to conventional systemic hidradenitis </w:t>
      </w:r>
      <w:proofErr w:type="spellStart"/>
      <w:r w:rsidR="006C285D" w:rsidRPr="00E954A2">
        <w:rPr>
          <w:i/>
        </w:rPr>
        <w:t>suppurativa</w:t>
      </w:r>
      <w:proofErr w:type="spellEnd"/>
      <w:r w:rsidR="006C285D" w:rsidRPr="00E954A2">
        <w:rPr>
          <w:i/>
        </w:rPr>
        <w:t xml:space="preserve"> therapy.</w:t>
      </w:r>
    </w:p>
    <w:p w14:paraId="0646B727" w14:textId="77777777" w:rsidR="006C285D" w:rsidRPr="00E954A2" w:rsidRDefault="006C285D" w:rsidP="00F32D0E">
      <w:pPr>
        <w:pStyle w:val="Heading5"/>
        <w:ind w:left="720"/>
      </w:pPr>
      <w:r w:rsidRPr="00E954A2">
        <w:t>Uveitis</w:t>
      </w:r>
    </w:p>
    <w:p w14:paraId="61ECF94E" w14:textId="77777777" w:rsidR="006C285D" w:rsidRPr="00E954A2" w:rsidRDefault="006C285D" w:rsidP="00F32D0E">
      <w:pPr>
        <w:ind w:left="720"/>
        <w:rPr>
          <w:i/>
        </w:rPr>
      </w:pPr>
      <w:r w:rsidRPr="00E954A2">
        <w:rPr>
          <w:i/>
        </w:rPr>
        <w:t>Humira is indicated for the treatment of non-infectious intermediate, posterior and pan-uveitis in adult patients who have had an inadequate response to corticosteroids, in patients in need of corticosteroid sparing, or in whom corticosteroid treatment is inappropriate.</w:t>
      </w:r>
    </w:p>
    <w:p w14:paraId="5B2510A2" w14:textId="443F7D7E" w:rsidR="00605AD4" w:rsidRPr="008D6EEE" w:rsidRDefault="006C285D" w:rsidP="008D6EEE">
      <w:r w:rsidRPr="008D6EEE">
        <w:rPr>
          <w:b/>
        </w:rPr>
        <w:t>Note:</w:t>
      </w:r>
      <w:r w:rsidR="008D6EEE" w:rsidRPr="00241B4E">
        <w:t xml:space="preserve"> </w:t>
      </w:r>
      <w:r w:rsidR="008D6EEE" w:rsidRPr="008D6EEE">
        <w:t>T</w:t>
      </w:r>
      <w:r w:rsidRPr="008D6EEE">
        <w:t xml:space="preserve">he proposed indications from </w:t>
      </w:r>
      <w:proofErr w:type="spellStart"/>
      <w:r w:rsidR="001E6DDC" w:rsidRPr="008D6EEE">
        <w:t>Amgevita</w:t>
      </w:r>
      <w:proofErr w:type="spellEnd"/>
      <w:r w:rsidRPr="008D6EEE">
        <w:t xml:space="preserve"> differ from those found in the </w:t>
      </w:r>
      <w:r w:rsidR="008D6EEE" w:rsidRPr="008D6EEE">
        <w:t xml:space="preserve">first </w:t>
      </w:r>
      <w:r w:rsidR="00F32D0E" w:rsidRPr="008D6EEE">
        <w:t>round</w:t>
      </w:r>
      <w:r w:rsidR="008D6EEE" w:rsidRPr="008D6EEE">
        <w:t xml:space="preserve"> </w:t>
      </w:r>
      <w:r w:rsidR="00F32D0E" w:rsidRPr="008D6EEE">
        <w:t>clinical e</w:t>
      </w:r>
      <w:r w:rsidRPr="008D6EEE">
        <w:t xml:space="preserve">valuation </w:t>
      </w:r>
      <w:r w:rsidR="00F32D0E" w:rsidRPr="00EC488D">
        <w:t>r</w:t>
      </w:r>
      <w:r w:rsidRPr="00EC488D">
        <w:t xml:space="preserve">eport. The two additional indications were approved for the reference product, </w:t>
      </w:r>
      <w:r w:rsidR="001E6DDC" w:rsidRPr="00464ADE">
        <w:t>Humira</w:t>
      </w:r>
      <w:r w:rsidRPr="00464ADE">
        <w:t xml:space="preserve">, since the completion of the </w:t>
      </w:r>
      <w:r w:rsidR="00F32D0E" w:rsidRPr="00464ADE">
        <w:t>First round</w:t>
      </w:r>
      <w:r w:rsidRPr="00464ADE">
        <w:t xml:space="preserve"> </w:t>
      </w:r>
      <w:r w:rsidR="00F32D0E" w:rsidRPr="00464ADE">
        <w:t>c</w:t>
      </w:r>
      <w:r w:rsidRPr="00464ADE">
        <w:t xml:space="preserve">linical </w:t>
      </w:r>
      <w:r w:rsidR="00F32D0E" w:rsidRPr="00464ADE">
        <w:t>evaluation r</w:t>
      </w:r>
      <w:r w:rsidRPr="00464ADE">
        <w:t>eport. As indicated above, there is no objection for an extrapolation to these two additio</w:t>
      </w:r>
      <w:r w:rsidRPr="008D6EEE">
        <w:t>nal indications.</w:t>
      </w:r>
    </w:p>
    <w:p w14:paraId="37FBF4E3" w14:textId="77777777" w:rsidR="008E7846" w:rsidRPr="00E41208" w:rsidRDefault="008E7846" w:rsidP="00A44A3E">
      <w:pPr>
        <w:pStyle w:val="Heading2"/>
      </w:pPr>
      <w:bookmarkStart w:id="100" w:name="_Toc519244663"/>
      <w:r w:rsidRPr="00E41208">
        <w:t>V</w:t>
      </w:r>
      <w:r w:rsidR="00E74A4F">
        <w:t>I</w:t>
      </w:r>
      <w:r w:rsidRPr="00E41208">
        <w:t xml:space="preserve">. </w:t>
      </w:r>
      <w:r w:rsidRPr="00A44A3E">
        <w:t>Pharmacovigilance</w:t>
      </w:r>
      <w:r w:rsidRPr="00E41208">
        <w:t xml:space="preserve"> </w:t>
      </w:r>
      <w:r>
        <w:t>f</w:t>
      </w:r>
      <w:r w:rsidRPr="00E41208">
        <w:t>indings</w:t>
      </w:r>
      <w:bookmarkEnd w:id="94"/>
      <w:bookmarkEnd w:id="95"/>
      <w:bookmarkEnd w:id="100"/>
    </w:p>
    <w:p w14:paraId="57EE80BB" w14:textId="77777777" w:rsidR="008E7846" w:rsidRDefault="00386150" w:rsidP="00A44A3E">
      <w:pPr>
        <w:pStyle w:val="Heading3"/>
        <w:rPr>
          <w:lang w:eastAsia="en-AU"/>
        </w:rPr>
      </w:pPr>
      <w:bookmarkStart w:id="101" w:name="_Toc247691526"/>
      <w:bookmarkStart w:id="102" w:name="_Toc314842509"/>
      <w:bookmarkStart w:id="103" w:name="_Toc519244664"/>
      <w:r>
        <w:rPr>
          <w:lang w:eastAsia="en-AU"/>
        </w:rPr>
        <w:t xml:space="preserve">Risk </w:t>
      </w:r>
      <w:r w:rsidRPr="00A44A3E">
        <w:t>m</w:t>
      </w:r>
      <w:r w:rsidR="008E7846" w:rsidRPr="00A44A3E">
        <w:t>anagement</w:t>
      </w:r>
      <w:r w:rsidR="008E7846">
        <w:rPr>
          <w:lang w:eastAsia="en-AU"/>
        </w:rPr>
        <w:t xml:space="preserve"> </w:t>
      </w:r>
      <w:r>
        <w:rPr>
          <w:lang w:eastAsia="en-AU"/>
        </w:rPr>
        <w:t>p</w:t>
      </w:r>
      <w:r w:rsidR="008E7846">
        <w:rPr>
          <w:lang w:eastAsia="en-AU"/>
        </w:rPr>
        <w:t>lan</w:t>
      </w:r>
      <w:bookmarkEnd w:id="101"/>
      <w:bookmarkEnd w:id="102"/>
      <w:bookmarkEnd w:id="103"/>
    </w:p>
    <w:p w14:paraId="73CD5EB9" w14:textId="55C327DF" w:rsidR="001D7755" w:rsidRPr="00EF2BBF" w:rsidRDefault="008D6EEE" w:rsidP="005D7F42">
      <w:pPr>
        <w:pStyle w:val="ListBullet"/>
        <w:rPr>
          <w:kern w:val="16"/>
        </w:rPr>
      </w:pPr>
      <w:bookmarkStart w:id="104" w:name="_Toc247691527"/>
      <w:bookmarkStart w:id="105" w:name="_Toc314842510"/>
      <w:r>
        <w:t>The sponsor</w:t>
      </w:r>
      <w:r w:rsidR="001D7755" w:rsidRPr="00316F44">
        <w:t xml:space="preserve"> has submitted EU RMP version 1.0 (21 October 2015; </w:t>
      </w:r>
      <w:r w:rsidR="00F32D0E">
        <w:t>data lock point (</w:t>
      </w:r>
      <w:r w:rsidR="001D7755" w:rsidRPr="00316F44">
        <w:t>DLP</w:t>
      </w:r>
      <w:r w:rsidR="00F32D0E">
        <w:t>)</w:t>
      </w:r>
      <w:r w:rsidR="001D7755" w:rsidRPr="00316F44">
        <w:t xml:space="preserve"> 8 May 2015) and </w:t>
      </w:r>
      <w:r w:rsidR="00F32D0E">
        <w:t>Australian Specific Annex (</w:t>
      </w:r>
      <w:r w:rsidR="001D7755" w:rsidRPr="00316F44">
        <w:t>ASA</w:t>
      </w:r>
      <w:r w:rsidR="00F32D0E">
        <w:t>)</w:t>
      </w:r>
      <w:r w:rsidR="001D7755" w:rsidRPr="00316F44">
        <w:t xml:space="preserve"> version 1.0 (22 March 2016) in support of this application. In its response </w:t>
      </w:r>
      <w:r w:rsidR="00F32D0E">
        <w:t xml:space="preserve">to the </w:t>
      </w:r>
      <w:r>
        <w:t>first r</w:t>
      </w:r>
      <w:r w:rsidR="00F32D0E">
        <w:t xml:space="preserve">ound RMP evaluation, </w:t>
      </w:r>
      <w:r w:rsidR="001D7755" w:rsidRPr="00316F44">
        <w:t xml:space="preserve">the </w:t>
      </w:r>
      <w:r w:rsidR="00F32D0E">
        <w:t>s</w:t>
      </w:r>
      <w:r w:rsidR="001D7755" w:rsidRPr="00316F44">
        <w:t>ponsor has submitted EU RMP version 1.2 (dated 7 November 2016; DLP</w:t>
      </w:r>
      <w:r>
        <w:t> </w:t>
      </w:r>
      <w:r w:rsidR="001D7755" w:rsidRPr="00316F44">
        <w:t>8</w:t>
      </w:r>
      <w:r>
        <w:t> </w:t>
      </w:r>
      <w:r w:rsidR="001D7755" w:rsidRPr="00316F44">
        <w:t>May</w:t>
      </w:r>
      <w:r>
        <w:t> </w:t>
      </w:r>
      <w:r w:rsidR="001D7755" w:rsidRPr="00316F44">
        <w:t>2015) and ASA version 2.0 (dated 18 November 2016).</w:t>
      </w:r>
    </w:p>
    <w:p w14:paraId="28B7C26A" w14:textId="3ADD6B22" w:rsidR="001D7755" w:rsidRPr="00FD011C" w:rsidRDefault="001D7755" w:rsidP="005D7F42">
      <w:pPr>
        <w:pStyle w:val="ListBullet"/>
        <w:rPr>
          <w:kern w:val="16"/>
        </w:rPr>
      </w:pPr>
      <w:r w:rsidRPr="00FD011C">
        <w:t xml:space="preserve">The </w:t>
      </w:r>
      <w:r w:rsidR="005D7F42">
        <w:t>s</w:t>
      </w:r>
      <w:r w:rsidRPr="00FD011C">
        <w:t>ponsor has submitted ASA version 3.0 (dated 14 February 2017) with its response t</w:t>
      </w:r>
      <w:r w:rsidR="00F32D0E">
        <w:t>o</w:t>
      </w:r>
      <w:r w:rsidRPr="00FD011C">
        <w:t xml:space="preserve"> the </w:t>
      </w:r>
      <w:r w:rsidR="008D6EEE">
        <w:t xml:space="preserve">second </w:t>
      </w:r>
      <w:r w:rsidR="00F32D0E">
        <w:t>round</w:t>
      </w:r>
      <w:r w:rsidRPr="00FD011C">
        <w:t xml:space="preserve"> RMP evaluation.</w:t>
      </w:r>
    </w:p>
    <w:p w14:paraId="2CAA22DE" w14:textId="1B9741EE" w:rsidR="001D7755" w:rsidRDefault="001D7755" w:rsidP="005D7F42">
      <w:pPr>
        <w:pStyle w:val="ListBullet"/>
      </w:pPr>
      <w:r w:rsidRPr="00316F44">
        <w:t>The proposed Summary of Safety Concerns and their associated risk monitoring and mitigation strategies are summarised below</w:t>
      </w:r>
      <w:r>
        <w:t xml:space="preserve"> with the additional Australia</w:t>
      </w:r>
      <w:r w:rsidR="008D6EEE">
        <w:t>-</w:t>
      </w:r>
      <w:r>
        <w:t>s</w:t>
      </w:r>
      <w:r w:rsidRPr="00316F44">
        <w:t xml:space="preserve">pecific Missing Information agreed by the </w:t>
      </w:r>
      <w:r w:rsidR="00F32D0E">
        <w:t>s</w:t>
      </w:r>
      <w:r w:rsidRPr="00316F44">
        <w:t>ponsor</w:t>
      </w:r>
      <w:r>
        <w:t>. C</w:t>
      </w:r>
      <w:r w:rsidRPr="00316F44">
        <w:t xml:space="preserve">hanges </w:t>
      </w:r>
      <w:r>
        <w:t xml:space="preserve">made </w:t>
      </w:r>
      <w:r w:rsidRPr="00316F44">
        <w:t xml:space="preserve">from EU RMP version 1.0 to 1.2 </w:t>
      </w:r>
      <w:r>
        <w:t>are denoted</w:t>
      </w:r>
      <w:r w:rsidRPr="00316F44">
        <w:t xml:space="preserve"> by strikethrough </w:t>
      </w:r>
      <w:r>
        <w:t xml:space="preserve">(deletions) </w:t>
      </w:r>
      <w:r w:rsidRPr="00316F44">
        <w:t xml:space="preserve">or underline </w:t>
      </w:r>
      <w:r>
        <w:t>(additions)</w:t>
      </w:r>
      <w:r w:rsidRPr="00316F44">
        <w:t>:</w:t>
      </w:r>
    </w:p>
    <w:p w14:paraId="160867A2" w14:textId="77777777" w:rsidR="005D7F42" w:rsidRDefault="005D7F42" w:rsidP="005D7F42">
      <w:pPr>
        <w:pStyle w:val="TableTitle"/>
      </w:pPr>
      <w:r>
        <w:t xml:space="preserve">Table </w:t>
      </w:r>
      <w:r w:rsidR="00F32D0E">
        <w:t xml:space="preserve">5: </w:t>
      </w:r>
      <w:r>
        <w:t>Summary of ongoing safety concerns</w:t>
      </w:r>
    </w:p>
    <w:p w14:paraId="5B7C622E" w14:textId="77777777" w:rsidR="005D7F42" w:rsidRPr="00316F44" w:rsidRDefault="005D7F42" w:rsidP="005D7F42">
      <w:pPr>
        <w:pStyle w:val="TableDescription"/>
      </w:pPr>
      <w:r>
        <w:t>R=routine and A=additional</w:t>
      </w:r>
    </w:p>
    <w:tbl>
      <w:tblPr>
        <w:tblStyle w:val="TableTGAblue"/>
        <w:tblW w:w="9469" w:type="dxa"/>
        <w:tblLayout w:type="fixed"/>
        <w:tblLook w:val="04A0" w:firstRow="1" w:lastRow="0" w:firstColumn="1" w:lastColumn="0" w:noHBand="0" w:noVBand="1"/>
      </w:tblPr>
      <w:tblGrid>
        <w:gridCol w:w="1005"/>
        <w:gridCol w:w="4590"/>
        <w:gridCol w:w="1260"/>
        <w:gridCol w:w="908"/>
        <w:gridCol w:w="850"/>
        <w:gridCol w:w="856"/>
      </w:tblGrid>
      <w:tr w:rsidR="00E57B4A" w:rsidRPr="006D7DF9" w14:paraId="7BC47EC6" w14:textId="77777777" w:rsidTr="00241B4E">
        <w:trPr>
          <w:cnfStyle w:val="100000000000" w:firstRow="1" w:lastRow="0" w:firstColumn="0" w:lastColumn="0" w:oddVBand="0" w:evenVBand="0" w:oddHBand="0" w:evenHBand="0" w:firstRowFirstColumn="0" w:firstRowLastColumn="0" w:lastRowFirstColumn="0" w:lastRowLastColumn="0"/>
          <w:cantSplit/>
          <w:trHeight w:val="131"/>
        </w:trPr>
        <w:tc>
          <w:tcPr>
            <w:tcW w:w="5595" w:type="dxa"/>
            <w:gridSpan w:val="2"/>
            <w:vMerge w:val="restart"/>
          </w:tcPr>
          <w:p w14:paraId="4DCF5E9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Summary of safety concerns</w:t>
            </w:r>
          </w:p>
        </w:tc>
        <w:tc>
          <w:tcPr>
            <w:tcW w:w="2168" w:type="dxa"/>
            <w:gridSpan w:val="2"/>
          </w:tcPr>
          <w:p w14:paraId="276DC06C" w14:textId="77777777" w:rsidR="001D7755" w:rsidRPr="006D7DF9" w:rsidRDefault="001D7755" w:rsidP="00241B4E">
            <w:pPr>
              <w:ind w:left="0"/>
              <w:rPr>
                <w:rFonts w:asciiTheme="minorHAnsi" w:hAnsiTheme="minorHAnsi"/>
                <w:sz w:val="20"/>
                <w:szCs w:val="20"/>
              </w:rPr>
            </w:pPr>
            <w:r w:rsidRPr="006D7DF9">
              <w:rPr>
                <w:rFonts w:asciiTheme="minorHAnsi" w:hAnsiTheme="minorHAnsi"/>
                <w:sz w:val="20"/>
                <w:szCs w:val="20"/>
              </w:rPr>
              <w:t>Pharmacovigilance</w:t>
            </w:r>
          </w:p>
        </w:tc>
        <w:tc>
          <w:tcPr>
            <w:tcW w:w="1706" w:type="dxa"/>
            <w:gridSpan w:val="2"/>
          </w:tcPr>
          <w:p w14:paraId="387BADBA" w14:textId="77777777" w:rsidR="001D7755" w:rsidRPr="006D7DF9" w:rsidRDefault="001D7755" w:rsidP="00241B4E">
            <w:pPr>
              <w:ind w:left="0"/>
              <w:rPr>
                <w:rFonts w:asciiTheme="minorHAnsi" w:hAnsiTheme="minorHAnsi"/>
                <w:sz w:val="20"/>
                <w:szCs w:val="20"/>
              </w:rPr>
            </w:pPr>
            <w:r w:rsidRPr="006D7DF9">
              <w:rPr>
                <w:rFonts w:asciiTheme="minorHAnsi" w:hAnsiTheme="minorHAnsi"/>
                <w:sz w:val="20"/>
                <w:szCs w:val="20"/>
              </w:rPr>
              <w:t>Risk Minimisation</w:t>
            </w:r>
          </w:p>
        </w:tc>
      </w:tr>
      <w:tr w:rsidR="00E57B4A" w:rsidRPr="006D7DF9" w14:paraId="3E4AFC08" w14:textId="77777777" w:rsidTr="00241B4E">
        <w:trPr>
          <w:cantSplit/>
          <w:trHeight w:val="150"/>
        </w:trPr>
        <w:tc>
          <w:tcPr>
            <w:tcW w:w="5595" w:type="dxa"/>
            <w:gridSpan w:val="2"/>
            <w:vMerge/>
          </w:tcPr>
          <w:p w14:paraId="3C4079B3" w14:textId="77777777" w:rsidR="001D7755" w:rsidRPr="006D7DF9" w:rsidRDefault="001D7755" w:rsidP="005D7F42">
            <w:pPr>
              <w:rPr>
                <w:rFonts w:asciiTheme="minorHAnsi" w:hAnsiTheme="minorHAnsi"/>
                <w:b/>
                <w:sz w:val="20"/>
                <w:szCs w:val="20"/>
              </w:rPr>
            </w:pPr>
          </w:p>
        </w:tc>
        <w:tc>
          <w:tcPr>
            <w:tcW w:w="1260" w:type="dxa"/>
          </w:tcPr>
          <w:p w14:paraId="1089A6F7" w14:textId="77777777" w:rsidR="001D7755" w:rsidRPr="006D7DF9" w:rsidRDefault="005D7F42" w:rsidP="005D7F42">
            <w:pPr>
              <w:rPr>
                <w:rFonts w:asciiTheme="minorHAnsi" w:hAnsiTheme="minorHAnsi"/>
                <w:b/>
                <w:sz w:val="20"/>
                <w:szCs w:val="20"/>
              </w:rPr>
            </w:pPr>
            <w:r w:rsidRPr="006D7DF9">
              <w:rPr>
                <w:rFonts w:asciiTheme="minorHAnsi" w:hAnsiTheme="minorHAnsi"/>
                <w:sz w:val="20"/>
                <w:szCs w:val="20"/>
              </w:rPr>
              <w:t>R</w:t>
            </w:r>
          </w:p>
        </w:tc>
        <w:tc>
          <w:tcPr>
            <w:tcW w:w="908" w:type="dxa"/>
          </w:tcPr>
          <w:p w14:paraId="0BD70A88" w14:textId="77777777" w:rsidR="001D7755" w:rsidRPr="006D7DF9" w:rsidRDefault="005D7F42" w:rsidP="005D7F42">
            <w:pPr>
              <w:rPr>
                <w:rFonts w:asciiTheme="minorHAnsi" w:hAnsiTheme="minorHAnsi"/>
                <w:b/>
                <w:sz w:val="20"/>
                <w:szCs w:val="20"/>
              </w:rPr>
            </w:pPr>
            <w:r w:rsidRPr="006D7DF9">
              <w:rPr>
                <w:rFonts w:asciiTheme="minorHAnsi" w:hAnsiTheme="minorHAnsi"/>
                <w:sz w:val="20"/>
                <w:szCs w:val="20"/>
              </w:rPr>
              <w:t>A</w:t>
            </w:r>
          </w:p>
        </w:tc>
        <w:tc>
          <w:tcPr>
            <w:tcW w:w="850" w:type="dxa"/>
          </w:tcPr>
          <w:p w14:paraId="53BBAABE" w14:textId="77777777" w:rsidR="001D7755" w:rsidRPr="006D7DF9" w:rsidRDefault="005D7F42" w:rsidP="005D7F42">
            <w:pPr>
              <w:rPr>
                <w:rFonts w:asciiTheme="minorHAnsi" w:hAnsiTheme="minorHAnsi"/>
                <w:b/>
                <w:sz w:val="20"/>
                <w:szCs w:val="20"/>
              </w:rPr>
            </w:pPr>
            <w:r w:rsidRPr="006D7DF9">
              <w:rPr>
                <w:rFonts w:asciiTheme="minorHAnsi" w:hAnsiTheme="minorHAnsi"/>
                <w:sz w:val="20"/>
                <w:szCs w:val="20"/>
              </w:rPr>
              <w:t>R</w:t>
            </w:r>
          </w:p>
        </w:tc>
        <w:tc>
          <w:tcPr>
            <w:tcW w:w="856" w:type="dxa"/>
          </w:tcPr>
          <w:p w14:paraId="619222B9" w14:textId="77777777" w:rsidR="001D7755" w:rsidRPr="006D7DF9" w:rsidRDefault="005D7F42" w:rsidP="005D7F42">
            <w:pPr>
              <w:rPr>
                <w:rFonts w:asciiTheme="minorHAnsi" w:hAnsiTheme="minorHAnsi"/>
                <w:b/>
                <w:sz w:val="20"/>
                <w:szCs w:val="20"/>
              </w:rPr>
            </w:pPr>
            <w:r w:rsidRPr="006D7DF9">
              <w:rPr>
                <w:rFonts w:asciiTheme="minorHAnsi" w:hAnsiTheme="minorHAnsi"/>
                <w:sz w:val="20"/>
                <w:szCs w:val="20"/>
              </w:rPr>
              <w:t>A</w:t>
            </w:r>
          </w:p>
        </w:tc>
      </w:tr>
      <w:tr w:rsidR="00E57B4A" w:rsidRPr="006D7DF9" w14:paraId="2B7B6C03" w14:textId="77777777" w:rsidTr="00241B4E">
        <w:trPr>
          <w:trHeight w:val="137"/>
        </w:trPr>
        <w:tc>
          <w:tcPr>
            <w:tcW w:w="1005" w:type="dxa"/>
            <w:vMerge w:val="restart"/>
            <w:textDirection w:val="btLr"/>
          </w:tcPr>
          <w:p w14:paraId="5DB39D2A"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Important identified risks</w:t>
            </w:r>
          </w:p>
        </w:tc>
        <w:tc>
          <w:tcPr>
            <w:tcW w:w="4590" w:type="dxa"/>
          </w:tcPr>
          <w:p w14:paraId="4EA1416E"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Serious infections including diverticulitis and opportunistic infections, e.g. invasive fungal infections, parasitic infections, legionellosis, and tuberculosis</w:t>
            </w:r>
          </w:p>
        </w:tc>
        <w:tc>
          <w:tcPr>
            <w:tcW w:w="1260" w:type="dxa"/>
          </w:tcPr>
          <w:p w14:paraId="1B57E564"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1607EB4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48DA7E6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01300D5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r>
      <w:tr w:rsidR="00E57B4A" w:rsidRPr="006D7DF9" w14:paraId="60EDD288" w14:textId="77777777" w:rsidTr="00241B4E">
        <w:trPr>
          <w:trHeight w:val="94"/>
        </w:trPr>
        <w:tc>
          <w:tcPr>
            <w:tcW w:w="1005" w:type="dxa"/>
            <w:vMerge/>
          </w:tcPr>
          <w:p w14:paraId="38EB808A" w14:textId="77777777" w:rsidR="001D7755" w:rsidRPr="006D7DF9" w:rsidRDefault="001D7755" w:rsidP="005D7F42">
            <w:pPr>
              <w:rPr>
                <w:rFonts w:asciiTheme="minorHAnsi" w:hAnsiTheme="minorHAnsi"/>
                <w:sz w:val="20"/>
                <w:szCs w:val="20"/>
              </w:rPr>
            </w:pPr>
          </w:p>
        </w:tc>
        <w:tc>
          <w:tcPr>
            <w:tcW w:w="4590" w:type="dxa"/>
          </w:tcPr>
          <w:p w14:paraId="3DAEFE1F"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Reactivation of hepatitis B</w:t>
            </w:r>
          </w:p>
        </w:tc>
        <w:tc>
          <w:tcPr>
            <w:tcW w:w="1260" w:type="dxa"/>
          </w:tcPr>
          <w:p w14:paraId="7D57AE18"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27BECFD2"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5E3783E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12CD16BB"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r>
      <w:tr w:rsidR="00E57B4A" w:rsidRPr="006D7DF9" w14:paraId="52B4262F" w14:textId="77777777" w:rsidTr="00241B4E">
        <w:trPr>
          <w:trHeight w:val="94"/>
        </w:trPr>
        <w:tc>
          <w:tcPr>
            <w:tcW w:w="1005" w:type="dxa"/>
            <w:vMerge/>
          </w:tcPr>
          <w:p w14:paraId="1EB29A01" w14:textId="77777777" w:rsidR="001D7755" w:rsidRPr="006D7DF9" w:rsidRDefault="001D7755" w:rsidP="005D7F42">
            <w:pPr>
              <w:rPr>
                <w:rFonts w:asciiTheme="minorHAnsi" w:hAnsiTheme="minorHAnsi"/>
                <w:sz w:val="20"/>
                <w:szCs w:val="20"/>
              </w:rPr>
            </w:pPr>
          </w:p>
        </w:tc>
        <w:tc>
          <w:tcPr>
            <w:tcW w:w="4590" w:type="dxa"/>
          </w:tcPr>
          <w:p w14:paraId="44CACFBC"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Pancreatitis</w:t>
            </w:r>
          </w:p>
        </w:tc>
        <w:tc>
          <w:tcPr>
            <w:tcW w:w="1260" w:type="dxa"/>
          </w:tcPr>
          <w:p w14:paraId="3390420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4042D5FF"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5F18795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48F3F96A"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7B55EB08" w14:textId="77777777" w:rsidTr="00241B4E">
        <w:trPr>
          <w:trHeight w:val="94"/>
        </w:trPr>
        <w:tc>
          <w:tcPr>
            <w:tcW w:w="1005" w:type="dxa"/>
            <w:vMerge/>
          </w:tcPr>
          <w:p w14:paraId="6429A846" w14:textId="77777777" w:rsidR="001D7755" w:rsidRPr="006D7DF9" w:rsidRDefault="001D7755" w:rsidP="005D7F42">
            <w:pPr>
              <w:rPr>
                <w:rFonts w:asciiTheme="minorHAnsi" w:hAnsiTheme="minorHAnsi"/>
                <w:sz w:val="20"/>
                <w:szCs w:val="20"/>
              </w:rPr>
            </w:pPr>
          </w:p>
        </w:tc>
        <w:tc>
          <w:tcPr>
            <w:tcW w:w="4590" w:type="dxa"/>
          </w:tcPr>
          <w:p w14:paraId="2D295F0C"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Lymphoma</w:t>
            </w:r>
          </w:p>
        </w:tc>
        <w:tc>
          <w:tcPr>
            <w:tcW w:w="1260" w:type="dxa"/>
          </w:tcPr>
          <w:p w14:paraId="27300C21"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794E0D6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42640F5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13AD530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r>
      <w:tr w:rsidR="00E57B4A" w:rsidRPr="006D7DF9" w14:paraId="409E9416" w14:textId="77777777" w:rsidTr="00241B4E">
        <w:trPr>
          <w:trHeight w:val="94"/>
        </w:trPr>
        <w:tc>
          <w:tcPr>
            <w:tcW w:w="1005" w:type="dxa"/>
            <w:vMerge/>
          </w:tcPr>
          <w:p w14:paraId="2A268F6A" w14:textId="77777777" w:rsidR="001D7755" w:rsidRPr="006D7DF9" w:rsidRDefault="001D7755" w:rsidP="005D7F42">
            <w:pPr>
              <w:rPr>
                <w:rFonts w:asciiTheme="minorHAnsi" w:hAnsiTheme="minorHAnsi"/>
                <w:sz w:val="20"/>
                <w:szCs w:val="20"/>
              </w:rPr>
            </w:pPr>
          </w:p>
        </w:tc>
        <w:tc>
          <w:tcPr>
            <w:tcW w:w="4590" w:type="dxa"/>
          </w:tcPr>
          <w:p w14:paraId="24589294"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Hepatosplenic T-cell lymphoma</w:t>
            </w:r>
          </w:p>
        </w:tc>
        <w:tc>
          <w:tcPr>
            <w:tcW w:w="1260" w:type="dxa"/>
          </w:tcPr>
          <w:p w14:paraId="74FBECA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7FB318B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14C8E28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79A8179B"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r>
      <w:tr w:rsidR="00E57B4A" w:rsidRPr="006D7DF9" w14:paraId="416EE87C" w14:textId="77777777" w:rsidTr="00241B4E">
        <w:trPr>
          <w:trHeight w:val="94"/>
        </w:trPr>
        <w:tc>
          <w:tcPr>
            <w:tcW w:w="1005" w:type="dxa"/>
            <w:vMerge/>
          </w:tcPr>
          <w:p w14:paraId="1EA3F6B9" w14:textId="77777777" w:rsidR="001D7755" w:rsidRPr="006D7DF9" w:rsidRDefault="001D7755" w:rsidP="005D7F42">
            <w:pPr>
              <w:rPr>
                <w:rFonts w:asciiTheme="minorHAnsi" w:hAnsiTheme="minorHAnsi"/>
                <w:sz w:val="20"/>
                <w:szCs w:val="20"/>
              </w:rPr>
            </w:pPr>
          </w:p>
        </w:tc>
        <w:tc>
          <w:tcPr>
            <w:tcW w:w="4590" w:type="dxa"/>
          </w:tcPr>
          <w:p w14:paraId="133CCBCF"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Leukemia</w:t>
            </w:r>
          </w:p>
        </w:tc>
        <w:tc>
          <w:tcPr>
            <w:tcW w:w="1260" w:type="dxa"/>
          </w:tcPr>
          <w:p w14:paraId="1E638B4F"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6BE417A2"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286B9C1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434ECF2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r>
      <w:tr w:rsidR="00E57B4A" w:rsidRPr="006D7DF9" w14:paraId="473E7F5F" w14:textId="77777777" w:rsidTr="00241B4E">
        <w:trPr>
          <w:trHeight w:val="94"/>
        </w:trPr>
        <w:tc>
          <w:tcPr>
            <w:tcW w:w="1005" w:type="dxa"/>
            <w:vMerge/>
          </w:tcPr>
          <w:p w14:paraId="56D9AF8B" w14:textId="77777777" w:rsidR="001D7755" w:rsidRPr="006D7DF9" w:rsidRDefault="001D7755" w:rsidP="005D7F42">
            <w:pPr>
              <w:rPr>
                <w:rFonts w:asciiTheme="minorHAnsi" w:hAnsiTheme="minorHAnsi"/>
                <w:sz w:val="20"/>
                <w:szCs w:val="20"/>
              </w:rPr>
            </w:pPr>
          </w:p>
        </w:tc>
        <w:tc>
          <w:tcPr>
            <w:tcW w:w="4590" w:type="dxa"/>
          </w:tcPr>
          <w:p w14:paraId="783040CF"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Non-melanoma skin cancer</w:t>
            </w:r>
          </w:p>
        </w:tc>
        <w:tc>
          <w:tcPr>
            <w:tcW w:w="1260" w:type="dxa"/>
          </w:tcPr>
          <w:p w14:paraId="6E3332D1"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3D31723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2CF860CF"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4FA6A61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r>
      <w:tr w:rsidR="00E57B4A" w:rsidRPr="006D7DF9" w14:paraId="1502D8EE" w14:textId="77777777" w:rsidTr="00241B4E">
        <w:trPr>
          <w:trHeight w:val="94"/>
        </w:trPr>
        <w:tc>
          <w:tcPr>
            <w:tcW w:w="1005" w:type="dxa"/>
            <w:vMerge/>
          </w:tcPr>
          <w:p w14:paraId="43A93022" w14:textId="77777777" w:rsidR="001D7755" w:rsidRPr="006D7DF9" w:rsidRDefault="001D7755" w:rsidP="005D7F42">
            <w:pPr>
              <w:rPr>
                <w:rFonts w:asciiTheme="minorHAnsi" w:hAnsiTheme="minorHAnsi"/>
                <w:sz w:val="20"/>
                <w:szCs w:val="20"/>
              </w:rPr>
            </w:pPr>
          </w:p>
        </w:tc>
        <w:tc>
          <w:tcPr>
            <w:tcW w:w="4590" w:type="dxa"/>
          </w:tcPr>
          <w:p w14:paraId="4CA87346"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Melanoma</w:t>
            </w:r>
          </w:p>
        </w:tc>
        <w:tc>
          <w:tcPr>
            <w:tcW w:w="1260" w:type="dxa"/>
          </w:tcPr>
          <w:p w14:paraId="755B25F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44CD216B"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0C87DCD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5330DFB4"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r>
      <w:tr w:rsidR="00E57B4A" w:rsidRPr="006D7DF9" w14:paraId="11FC467B" w14:textId="77777777" w:rsidTr="00241B4E">
        <w:trPr>
          <w:trHeight w:val="94"/>
        </w:trPr>
        <w:tc>
          <w:tcPr>
            <w:tcW w:w="1005" w:type="dxa"/>
            <w:vMerge/>
          </w:tcPr>
          <w:p w14:paraId="2948E274" w14:textId="77777777" w:rsidR="001D7755" w:rsidRPr="006D7DF9" w:rsidRDefault="001D7755" w:rsidP="005D7F42">
            <w:pPr>
              <w:rPr>
                <w:rFonts w:asciiTheme="minorHAnsi" w:hAnsiTheme="minorHAnsi"/>
                <w:sz w:val="20"/>
                <w:szCs w:val="20"/>
              </w:rPr>
            </w:pPr>
          </w:p>
        </w:tc>
        <w:tc>
          <w:tcPr>
            <w:tcW w:w="4590" w:type="dxa"/>
          </w:tcPr>
          <w:p w14:paraId="6C243442"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Merkel cell carcinoma</w:t>
            </w:r>
          </w:p>
        </w:tc>
        <w:tc>
          <w:tcPr>
            <w:tcW w:w="1260" w:type="dxa"/>
          </w:tcPr>
          <w:p w14:paraId="43F5CA0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47553B2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2BCB0642"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26BBE992"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r>
      <w:tr w:rsidR="00E57B4A" w:rsidRPr="006D7DF9" w14:paraId="48F87CEE" w14:textId="77777777" w:rsidTr="00241B4E">
        <w:trPr>
          <w:trHeight w:val="1054"/>
        </w:trPr>
        <w:tc>
          <w:tcPr>
            <w:tcW w:w="1005" w:type="dxa"/>
            <w:vMerge/>
          </w:tcPr>
          <w:p w14:paraId="16289841" w14:textId="77777777" w:rsidR="001D7755" w:rsidRPr="006D7DF9" w:rsidRDefault="001D7755" w:rsidP="005D7F42">
            <w:pPr>
              <w:rPr>
                <w:rFonts w:asciiTheme="minorHAnsi" w:hAnsiTheme="minorHAnsi"/>
                <w:sz w:val="20"/>
                <w:szCs w:val="20"/>
              </w:rPr>
            </w:pPr>
          </w:p>
        </w:tc>
        <w:tc>
          <w:tcPr>
            <w:tcW w:w="4590" w:type="dxa"/>
          </w:tcPr>
          <w:p w14:paraId="2E65B89A"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Demyelinating disorders (including multiple sclerosis, Guillain-Barré syndrome, and optic neuritis)</w:t>
            </w:r>
          </w:p>
        </w:tc>
        <w:tc>
          <w:tcPr>
            <w:tcW w:w="1260" w:type="dxa"/>
          </w:tcPr>
          <w:p w14:paraId="0F67AE43"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1794EA4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46ED5B0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1AC9C0D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r>
      <w:tr w:rsidR="00E57B4A" w:rsidRPr="006D7DF9" w14:paraId="2EB6AE5A" w14:textId="77777777" w:rsidTr="00241B4E">
        <w:trPr>
          <w:trHeight w:val="94"/>
        </w:trPr>
        <w:tc>
          <w:tcPr>
            <w:tcW w:w="1005" w:type="dxa"/>
            <w:vMerge/>
          </w:tcPr>
          <w:p w14:paraId="7FDD9B76" w14:textId="77777777" w:rsidR="001D7755" w:rsidRPr="006D7DF9" w:rsidRDefault="001D7755" w:rsidP="005D7F42">
            <w:pPr>
              <w:rPr>
                <w:rFonts w:asciiTheme="minorHAnsi" w:hAnsiTheme="minorHAnsi"/>
                <w:sz w:val="20"/>
                <w:szCs w:val="20"/>
              </w:rPr>
            </w:pPr>
          </w:p>
        </w:tc>
        <w:tc>
          <w:tcPr>
            <w:tcW w:w="4590" w:type="dxa"/>
          </w:tcPr>
          <w:p w14:paraId="73A1F85F"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Immune reactions – lupus-like reaction</w:t>
            </w:r>
          </w:p>
        </w:tc>
        <w:tc>
          <w:tcPr>
            <w:tcW w:w="1260" w:type="dxa"/>
          </w:tcPr>
          <w:p w14:paraId="27C2541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6521C343"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5B4CBC4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29E0C372"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17140545" w14:textId="77777777" w:rsidTr="00241B4E">
        <w:trPr>
          <w:trHeight w:val="94"/>
        </w:trPr>
        <w:tc>
          <w:tcPr>
            <w:tcW w:w="1005" w:type="dxa"/>
            <w:vMerge/>
          </w:tcPr>
          <w:p w14:paraId="314B868B" w14:textId="77777777" w:rsidR="001D7755" w:rsidRPr="006D7DF9" w:rsidRDefault="001D7755" w:rsidP="005D7F42">
            <w:pPr>
              <w:rPr>
                <w:rFonts w:asciiTheme="minorHAnsi" w:hAnsiTheme="minorHAnsi"/>
                <w:sz w:val="20"/>
                <w:szCs w:val="20"/>
              </w:rPr>
            </w:pPr>
          </w:p>
        </w:tc>
        <w:tc>
          <w:tcPr>
            <w:tcW w:w="4590" w:type="dxa"/>
          </w:tcPr>
          <w:p w14:paraId="39753FCA"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Immune reactions – allergic reactions</w:t>
            </w:r>
          </w:p>
        </w:tc>
        <w:tc>
          <w:tcPr>
            <w:tcW w:w="1260" w:type="dxa"/>
          </w:tcPr>
          <w:p w14:paraId="621CF22F"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0B83F20F"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5FE9DC0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29AAC353"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6A2F2A7E" w14:textId="77777777" w:rsidTr="00241B4E">
        <w:trPr>
          <w:trHeight w:val="94"/>
        </w:trPr>
        <w:tc>
          <w:tcPr>
            <w:tcW w:w="1005" w:type="dxa"/>
            <w:vMerge/>
          </w:tcPr>
          <w:p w14:paraId="761AF1CB" w14:textId="77777777" w:rsidR="001D7755" w:rsidRPr="006D7DF9" w:rsidRDefault="001D7755" w:rsidP="005D7F42">
            <w:pPr>
              <w:rPr>
                <w:rFonts w:asciiTheme="minorHAnsi" w:hAnsiTheme="minorHAnsi"/>
                <w:sz w:val="20"/>
                <w:szCs w:val="20"/>
              </w:rPr>
            </w:pPr>
          </w:p>
        </w:tc>
        <w:tc>
          <w:tcPr>
            <w:tcW w:w="4590" w:type="dxa"/>
          </w:tcPr>
          <w:p w14:paraId="02BAEEC3"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Sarcoidosis</w:t>
            </w:r>
          </w:p>
        </w:tc>
        <w:tc>
          <w:tcPr>
            <w:tcW w:w="1260" w:type="dxa"/>
          </w:tcPr>
          <w:p w14:paraId="5866659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6B550968"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3856D5AA"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764FB06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0894AC48" w14:textId="77777777" w:rsidTr="00241B4E">
        <w:trPr>
          <w:trHeight w:val="94"/>
        </w:trPr>
        <w:tc>
          <w:tcPr>
            <w:tcW w:w="1005" w:type="dxa"/>
            <w:vMerge/>
          </w:tcPr>
          <w:p w14:paraId="2E7E2447" w14:textId="77777777" w:rsidR="001D7755" w:rsidRPr="006D7DF9" w:rsidRDefault="001D7755" w:rsidP="005D7F42">
            <w:pPr>
              <w:rPr>
                <w:rFonts w:asciiTheme="minorHAnsi" w:hAnsiTheme="minorHAnsi"/>
                <w:sz w:val="20"/>
                <w:szCs w:val="20"/>
              </w:rPr>
            </w:pPr>
          </w:p>
        </w:tc>
        <w:tc>
          <w:tcPr>
            <w:tcW w:w="4590" w:type="dxa"/>
          </w:tcPr>
          <w:p w14:paraId="38427EFA"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Congestive heart failure</w:t>
            </w:r>
          </w:p>
        </w:tc>
        <w:tc>
          <w:tcPr>
            <w:tcW w:w="1260" w:type="dxa"/>
          </w:tcPr>
          <w:p w14:paraId="6A0E05B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36FE804B"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5C8CA14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1A13E714"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r>
      <w:tr w:rsidR="00E57B4A" w:rsidRPr="006D7DF9" w14:paraId="19AFCB14" w14:textId="77777777" w:rsidTr="00241B4E">
        <w:trPr>
          <w:trHeight w:val="94"/>
        </w:trPr>
        <w:tc>
          <w:tcPr>
            <w:tcW w:w="1005" w:type="dxa"/>
            <w:vMerge/>
          </w:tcPr>
          <w:p w14:paraId="4AA1FA9B" w14:textId="77777777" w:rsidR="001D7755" w:rsidRPr="006D7DF9" w:rsidRDefault="001D7755" w:rsidP="005D7F42">
            <w:pPr>
              <w:rPr>
                <w:rFonts w:asciiTheme="minorHAnsi" w:hAnsiTheme="minorHAnsi"/>
                <w:sz w:val="20"/>
                <w:szCs w:val="20"/>
              </w:rPr>
            </w:pPr>
          </w:p>
        </w:tc>
        <w:tc>
          <w:tcPr>
            <w:tcW w:w="4590" w:type="dxa"/>
          </w:tcPr>
          <w:p w14:paraId="4317EBD8"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Myocardial infarction</w:t>
            </w:r>
          </w:p>
        </w:tc>
        <w:tc>
          <w:tcPr>
            <w:tcW w:w="1260" w:type="dxa"/>
          </w:tcPr>
          <w:p w14:paraId="07BF87A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59C3BE6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456C39C1"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63F06DC3"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3AFBFB76" w14:textId="77777777" w:rsidTr="00241B4E">
        <w:trPr>
          <w:trHeight w:val="94"/>
        </w:trPr>
        <w:tc>
          <w:tcPr>
            <w:tcW w:w="1005" w:type="dxa"/>
            <w:vMerge/>
          </w:tcPr>
          <w:p w14:paraId="080E6DB3" w14:textId="77777777" w:rsidR="001D7755" w:rsidRPr="006D7DF9" w:rsidRDefault="001D7755" w:rsidP="005D7F42">
            <w:pPr>
              <w:rPr>
                <w:rFonts w:asciiTheme="minorHAnsi" w:hAnsiTheme="minorHAnsi"/>
                <w:sz w:val="20"/>
                <w:szCs w:val="20"/>
              </w:rPr>
            </w:pPr>
          </w:p>
        </w:tc>
        <w:tc>
          <w:tcPr>
            <w:tcW w:w="4590" w:type="dxa"/>
          </w:tcPr>
          <w:p w14:paraId="2C931EAE"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Cerebrovascular accident</w:t>
            </w:r>
          </w:p>
        </w:tc>
        <w:tc>
          <w:tcPr>
            <w:tcW w:w="1260" w:type="dxa"/>
          </w:tcPr>
          <w:p w14:paraId="230CCAF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3CD2F95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04B52EE5"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35D4ACF5"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7D02E447" w14:textId="77777777" w:rsidTr="00241B4E">
        <w:trPr>
          <w:trHeight w:val="94"/>
        </w:trPr>
        <w:tc>
          <w:tcPr>
            <w:tcW w:w="1005" w:type="dxa"/>
            <w:vMerge/>
          </w:tcPr>
          <w:p w14:paraId="6FEAAA24" w14:textId="77777777" w:rsidR="001D7755" w:rsidRPr="006D7DF9" w:rsidRDefault="001D7755" w:rsidP="005D7F42">
            <w:pPr>
              <w:rPr>
                <w:rFonts w:asciiTheme="minorHAnsi" w:hAnsiTheme="minorHAnsi"/>
                <w:sz w:val="20"/>
                <w:szCs w:val="20"/>
              </w:rPr>
            </w:pPr>
          </w:p>
        </w:tc>
        <w:tc>
          <w:tcPr>
            <w:tcW w:w="4590" w:type="dxa"/>
          </w:tcPr>
          <w:p w14:paraId="188E23D6"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Interstitial lung disease</w:t>
            </w:r>
          </w:p>
        </w:tc>
        <w:tc>
          <w:tcPr>
            <w:tcW w:w="1260" w:type="dxa"/>
          </w:tcPr>
          <w:p w14:paraId="20018CDB"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7685654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768C4091"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7D95F5C8"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08C2E108" w14:textId="77777777" w:rsidTr="00241B4E">
        <w:trPr>
          <w:trHeight w:val="94"/>
        </w:trPr>
        <w:tc>
          <w:tcPr>
            <w:tcW w:w="1005" w:type="dxa"/>
            <w:vMerge/>
          </w:tcPr>
          <w:p w14:paraId="72FC63E9" w14:textId="77777777" w:rsidR="001D7755" w:rsidRPr="006D7DF9" w:rsidRDefault="001D7755" w:rsidP="005D7F42">
            <w:pPr>
              <w:rPr>
                <w:rFonts w:asciiTheme="minorHAnsi" w:hAnsiTheme="minorHAnsi"/>
                <w:sz w:val="20"/>
                <w:szCs w:val="20"/>
              </w:rPr>
            </w:pPr>
          </w:p>
        </w:tc>
        <w:tc>
          <w:tcPr>
            <w:tcW w:w="4590" w:type="dxa"/>
          </w:tcPr>
          <w:p w14:paraId="5791E60B"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Pulmonary embolism</w:t>
            </w:r>
          </w:p>
        </w:tc>
        <w:tc>
          <w:tcPr>
            <w:tcW w:w="1260" w:type="dxa"/>
          </w:tcPr>
          <w:p w14:paraId="13330C5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286D1F01"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7D4B2215"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46676CB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03F4733C" w14:textId="77777777" w:rsidTr="00241B4E">
        <w:trPr>
          <w:trHeight w:val="94"/>
        </w:trPr>
        <w:tc>
          <w:tcPr>
            <w:tcW w:w="1005" w:type="dxa"/>
            <w:vMerge/>
          </w:tcPr>
          <w:p w14:paraId="373FB1FE" w14:textId="77777777" w:rsidR="001D7755" w:rsidRPr="006D7DF9" w:rsidRDefault="001D7755" w:rsidP="005D7F42">
            <w:pPr>
              <w:rPr>
                <w:rFonts w:asciiTheme="minorHAnsi" w:hAnsiTheme="minorHAnsi"/>
                <w:sz w:val="20"/>
                <w:szCs w:val="20"/>
              </w:rPr>
            </w:pPr>
          </w:p>
        </w:tc>
        <w:tc>
          <w:tcPr>
            <w:tcW w:w="4590" w:type="dxa"/>
          </w:tcPr>
          <w:p w14:paraId="219C3F0F"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Cutaneous vasculitis</w:t>
            </w:r>
          </w:p>
        </w:tc>
        <w:tc>
          <w:tcPr>
            <w:tcW w:w="1260" w:type="dxa"/>
          </w:tcPr>
          <w:p w14:paraId="022BD781"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66F7140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2FC92CAA"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53C33C7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55B10533" w14:textId="77777777" w:rsidTr="00241B4E">
        <w:trPr>
          <w:trHeight w:val="94"/>
        </w:trPr>
        <w:tc>
          <w:tcPr>
            <w:tcW w:w="1005" w:type="dxa"/>
            <w:vMerge/>
          </w:tcPr>
          <w:p w14:paraId="53F586E2" w14:textId="77777777" w:rsidR="001D7755" w:rsidRPr="006D7DF9" w:rsidRDefault="001D7755" w:rsidP="005D7F42">
            <w:pPr>
              <w:rPr>
                <w:rFonts w:asciiTheme="minorHAnsi" w:hAnsiTheme="minorHAnsi"/>
                <w:sz w:val="20"/>
                <w:szCs w:val="20"/>
              </w:rPr>
            </w:pPr>
          </w:p>
        </w:tc>
        <w:tc>
          <w:tcPr>
            <w:tcW w:w="4590" w:type="dxa"/>
          </w:tcPr>
          <w:p w14:paraId="0D446DE3"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Stevens-Johnson Syndrome</w:t>
            </w:r>
          </w:p>
        </w:tc>
        <w:tc>
          <w:tcPr>
            <w:tcW w:w="1260" w:type="dxa"/>
          </w:tcPr>
          <w:p w14:paraId="15385284"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2CC25C82"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3763B6C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0768AC92"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19D47319" w14:textId="77777777" w:rsidTr="00241B4E">
        <w:trPr>
          <w:trHeight w:val="94"/>
        </w:trPr>
        <w:tc>
          <w:tcPr>
            <w:tcW w:w="1005" w:type="dxa"/>
            <w:vMerge/>
          </w:tcPr>
          <w:p w14:paraId="03215D28" w14:textId="77777777" w:rsidR="001D7755" w:rsidRPr="006D7DF9" w:rsidRDefault="001D7755" w:rsidP="005D7F42">
            <w:pPr>
              <w:rPr>
                <w:rFonts w:asciiTheme="minorHAnsi" w:hAnsiTheme="minorHAnsi"/>
                <w:sz w:val="20"/>
                <w:szCs w:val="20"/>
              </w:rPr>
            </w:pPr>
          </w:p>
        </w:tc>
        <w:tc>
          <w:tcPr>
            <w:tcW w:w="4590" w:type="dxa"/>
          </w:tcPr>
          <w:p w14:paraId="31FF8307"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Erythema multiforme</w:t>
            </w:r>
          </w:p>
        </w:tc>
        <w:tc>
          <w:tcPr>
            <w:tcW w:w="1260" w:type="dxa"/>
          </w:tcPr>
          <w:p w14:paraId="32525F9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1D28F4C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474230A2"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51508A3F"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191EE948" w14:textId="77777777" w:rsidTr="00241B4E">
        <w:trPr>
          <w:trHeight w:val="94"/>
        </w:trPr>
        <w:tc>
          <w:tcPr>
            <w:tcW w:w="1005" w:type="dxa"/>
            <w:vMerge/>
          </w:tcPr>
          <w:p w14:paraId="06504241" w14:textId="77777777" w:rsidR="001D7755" w:rsidRPr="006D7DF9" w:rsidRDefault="001D7755" w:rsidP="005D7F42">
            <w:pPr>
              <w:rPr>
                <w:rFonts w:asciiTheme="minorHAnsi" w:hAnsiTheme="minorHAnsi"/>
                <w:sz w:val="20"/>
                <w:szCs w:val="20"/>
              </w:rPr>
            </w:pPr>
          </w:p>
        </w:tc>
        <w:tc>
          <w:tcPr>
            <w:tcW w:w="4590" w:type="dxa"/>
          </w:tcPr>
          <w:p w14:paraId="500A659E"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Worsening and new onset of psoriasis</w:t>
            </w:r>
          </w:p>
        </w:tc>
        <w:tc>
          <w:tcPr>
            <w:tcW w:w="1260" w:type="dxa"/>
          </w:tcPr>
          <w:p w14:paraId="39E94C78"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46276AEA"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713D6C3F"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5C6E938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0A1148C1" w14:textId="77777777" w:rsidTr="00241B4E">
        <w:trPr>
          <w:trHeight w:val="94"/>
        </w:trPr>
        <w:tc>
          <w:tcPr>
            <w:tcW w:w="1005" w:type="dxa"/>
            <w:vMerge/>
          </w:tcPr>
          <w:p w14:paraId="51E821F5" w14:textId="77777777" w:rsidR="001D7755" w:rsidRPr="006D7DF9" w:rsidRDefault="001D7755" w:rsidP="005D7F42">
            <w:pPr>
              <w:rPr>
                <w:rFonts w:asciiTheme="minorHAnsi" w:hAnsiTheme="minorHAnsi"/>
                <w:sz w:val="20"/>
                <w:szCs w:val="20"/>
              </w:rPr>
            </w:pPr>
          </w:p>
        </w:tc>
        <w:tc>
          <w:tcPr>
            <w:tcW w:w="4590" w:type="dxa"/>
          </w:tcPr>
          <w:p w14:paraId="516B93B0"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Hematologic disorders</w:t>
            </w:r>
          </w:p>
        </w:tc>
        <w:tc>
          <w:tcPr>
            <w:tcW w:w="1260" w:type="dxa"/>
          </w:tcPr>
          <w:p w14:paraId="270D9F0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509BA6F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7E6030A2"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4B36A2D3"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54DB03BD" w14:textId="77777777" w:rsidTr="00241B4E">
        <w:trPr>
          <w:trHeight w:val="94"/>
        </w:trPr>
        <w:tc>
          <w:tcPr>
            <w:tcW w:w="1005" w:type="dxa"/>
            <w:vMerge/>
          </w:tcPr>
          <w:p w14:paraId="5420CE42" w14:textId="77777777" w:rsidR="001D7755" w:rsidRPr="006D7DF9" w:rsidRDefault="001D7755" w:rsidP="005D7F42">
            <w:pPr>
              <w:rPr>
                <w:rFonts w:asciiTheme="minorHAnsi" w:hAnsiTheme="minorHAnsi"/>
                <w:sz w:val="20"/>
                <w:szCs w:val="20"/>
              </w:rPr>
            </w:pPr>
          </w:p>
        </w:tc>
        <w:tc>
          <w:tcPr>
            <w:tcW w:w="4590" w:type="dxa"/>
          </w:tcPr>
          <w:p w14:paraId="09959205"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Intestinal perforation</w:t>
            </w:r>
          </w:p>
        </w:tc>
        <w:tc>
          <w:tcPr>
            <w:tcW w:w="1260" w:type="dxa"/>
          </w:tcPr>
          <w:p w14:paraId="4A0F8DB3"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51BBFB98"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33AFE1D1"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7D76E278"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33D92380" w14:textId="77777777" w:rsidTr="00241B4E">
        <w:trPr>
          <w:trHeight w:val="94"/>
        </w:trPr>
        <w:tc>
          <w:tcPr>
            <w:tcW w:w="1005" w:type="dxa"/>
            <w:vMerge/>
          </w:tcPr>
          <w:p w14:paraId="712B4419" w14:textId="77777777" w:rsidR="001D7755" w:rsidRPr="006D7DF9" w:rsidRDefault="001D7755" w:rsidP="005D7F42">
            <w:pPr>
              <w:rPr>
                <w:rFonts w:asciiTheme="minorHAnsi" w:hAnsiTheme="minorHAnsi"/>
                <w:sz w:val="20"/>
                <w:szCs w:val="20"/>
              </w:rPr>
            </w:pPr>
          </w:p>
        </w:tc>
        <w:tc>
          <w:tcPr>
            <w:tcW w:w="4590" w:type="dxa"/>
          </w:tcPr>
          <w:p w14:paraId="23E05624"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Intestinal stricture in Crohn’s disease</w:t>
            </w:r>
          </w:p>
        </w:tc>
        <w:tc>
          <w:tcPr>
            <w:tcW w:w="1260" w:type="dxa"/>
          </w:tcPr>
          <w:p w14:paraId="70555BA5"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15A9CE7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2E627915"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12CBE9E8"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5F689C4A" w14:textId="77777777" w:rsidTr="00241B4E">
        <w:trPr>
          <w:trHeight w:val="94"/>
        </w:trPr>
        <w:tc>
          <w:tcPr>
            <w:tcW w:w="1005" w:type="dxa"/>
            <w:vMerge/>
          </w:tcPr>
          <w:p w14:paraId="2C33C483" w14:textId="77777777" w:rsidR="001D7755" w:rsidRPr="006D7DF9" w:rsidRDefault="001D7755" w:rsidP="005D7F42">
            <w:pPr>
              <w:rPr>
                <w:rFonts w:asciiTheme="minorHAnsi" w:hAnsiTheme="minorHAnsi"/>
                <w:sz w:val="20"/>
                <w:szCs w:val="20"/>
              </w:rPr>
            </w:pPr>
          </w:p>
        </w:tc>
        <w:tc>
          <w:tcPr>
            <w:tcW w:w="4590" w:type="dxa"/>
          </w:tcPr>
          <w:p w14:paraId="5906955A"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Liver failure and other liver events</w:t>
            </w:r>
          </w:p>
        </w:tc>
        <w:tc>
          <w:tcPr>
            <w:tcW w:w="1260" w:type="dxa"/>
          </w:tcPr>
          <w:p w14:paraId="6C9C8DA3"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4CF28E4A"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10499244"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717CE4F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5D06963F" w14:textId="77777777" w:rsidTr="00241B4E">
        <w:trPr>
          <w:trHeight w:val="94"/>
        </w:trPr>
        <w:tc>
          <w:tcPr>
            <w:tcW w:w="1005" w:type="dxa"/>
            <w:vMerge/>
          </w:tcPr>
          <w:p w14:paraId="4B40A484" w14:textId="77777777" w:rsidR="001D7755" w:rsidRPr="006D7DF9" w:rsidRDefault="001D7755" w:rsidP="005D7F42">
            <w:pPr>
              <w:rPr>
                <w:rFonts w:asciiTheme="minorHAnsi" w:hAnsiTheme="minorHAnsi"/>
                <w:sz w:val="20"/>
                <w:szCs w:val="20"/>
              </w:rPr>
            </w:pPr>
          </w:p>
        </w:tc>
        <w:tc>
          <w:tcPr>
            <w:tcW w:w="4590" w:type="dxa"/>
          </w:tcPr>
          <w:p w14:paraId="09F4296F"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Elevated alanine aminotransferase levels</w:t>
            </w:r>
          </w:p>
        </w:tc>
        <w:tc>
          <w:tcPr>
            <w:tcW w:w="1260" w:type="dxa"/>
          </w:tcPr>
          <w:p w14:paraId="76E633C1"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785C684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0C1A2F1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638E169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464ADE" w:rsidRPr="006D7DF9" w14:paraId="70FD43F4" w14:textId="77777777" w:rsidTr="00241B4E">
        <w:trPr>
          <w:trHeight w:val="1000"/>
        </w:trPr>
        <w:tc>
          <w:tcPr>
            <w:tcW w:w="1005" w:type="dxa"/>
            <w:vMerge/>
          </w:tcPr>
          <w:p w14:paraId="60BEC979" w14:textId="77777777" w:rsidR="001D7755" w:rsidRPr="006D7DF9" w:rsidRDefault="001D7755" w:rsidP="005D7F42">
            <w:pPr>
              <w:rPr>
                <w:rFonts w:asciiTheme="minorHAnsi" w:hAnsiTheme="minorHAnsi"/>
                <w:sz w:val="20"/>
                <w:szCs w:val="20"/>
              </w:rPr>
            </w:pPr>
          </w:p>
        </w:tc>
        <w:tc>
          <w:tcPr>
            <w:tcW w:w="4590" w:type="dxa"/>
          </w:tcPr>
          <w:p w14:paraId="124417F4"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Autoimmune hepatitis</w:t>
            </w:r>
          </w:p>
        </w:tc>
        <w:tc>
          <w:tcPr>
            <w:tcW w:w="1260" w:type="dxa"/>
          </w:tcPr>
          <w:p w14:paraId="59579BD1"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11019944"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05616E3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05CEFE45"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464ADE" w:rsidRPr="006D7DF9" w14:paraId="6006B4F9" w14:textId="77777777" w:rsidTr="00241B4E">
        <w:trPr>
          <w:trHeight w:val="901"/>
        </w:trPr>
        <w:tc>
          <w:tcPr>
            <w:tcW w:w="1005" w:type="dxa"/>
            <w:vMerge/>
          </w:tcPr>
          <w:p w14:paraId="3F24CBE5" w14:textId="77777777" w:rsidR="001D7755" w:rsidRPr="006D7DF9" w:rsidRDefault="001D7755" w:rsidP="005D7F42">
            <w:pPr>
              <w:rPr>
                <w:rFonts w:asciiTheme="minorHAnsi" w:hAnsiTheme="minorHAnsi"/>
                <w:sz w:val="20"/>
                <w:szCs w:val="20"/>
              </w:rPr>
            </w:pPr>
          </w:p>
        </w:tc>
        <w:tc>
          <w:tcPr>
            <w:tcW w:w="4590" w:type="dxa"/>
          </w:tcPr>
          <w:p w14:paraId="01AEEB88"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Medication errors and maladministration</w:t>
            </w:r>
          </w:p>
        </w:tc>
        <w:tc>
          <w:tcPr>
            <w:tcW w:w="1260" w:type="dxa"/>
          </w:tcPr>
          <w:p w14:paraId="2E8E83F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2C6A7AF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0BFC68D1"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6D4DE2E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7E513A54" w14:textId="77777777" w:rsidTr="00241B4E">
        <w:trPr>
          <w:trHeight w:val="159"/>
        </w:trPr>
        <w:tc>
          <w:tcPr>
            <w:tcW w:w="1005" w:type="dxa"/>
            <w:vMerge w:val="restart"/>
            <w:textDirection w:val="btLr"/>
          </w:tcPr>
          <w:p w14:paraId="7C59947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Important potential risks</w:t>
            </w:r>
          </w:p>
        </w:tc>
        <w:tc>
          <w:tcPr>
            <w:tcW w:w="4590" w:type="dxa"/>
          </w:tcPr>
          <w:p w14:paraId="13A080AE" w14:textId="77777777" w:rsidR="001D7755" w:rsidRPr="006D7DF9" w:rsidRDefault="001D7755" w:rsidP="00241B4E">
            <w:pPr>
              <w:ind w:left="0"/>
              <w:rPr>
                <w:rFonts w:asciiTheme="minorHAnsi" w:hAnsiTheme="minorHAnsi"/>
                <w:sz w:val="20"/>
                <w:szCs w:val="20"/>
              </w:rPr>
            </w:pPr>
            <w:r w:rsidRPr="006D7DF9">
              <w:rPr>
                <w:rFonts w:asciiTheme="minorHAnsi" w:hAnsiTheme="minorHAnsi"/>
                <w:sz w:val="20"/>
                <w:szCs w:val="20"/>
              </w:rPr>
              <w:t>Other malignancies (except lymphoma, hepatosplenic T-cell lymphoma, leukemia, non-melanoma skin cancer, and melanoma)</w:t>
            </w:r>
          </w:p>
        </w:tc>
        <w:tc>
          <w:tcPr>
            <w:tcW w:w="1260" w:type="dxa"/>
          </w:tcPr>
          <w:p w14:paraId="0F754D95"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222E13B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5CB70B0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752DEFB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r>
      <w:tr w:rsidR="00E57B4A" w:rsidRPr="006D7DF9" w14:paraId="04BD570B" w14:textId="77777777" w:rsidTr="00241B4E">
        <w:trPr>
          <w:trHeight w:val="122"/>
        </w:trPr>
        <w:tc>
          <w:tcPr>
            <w:tcW w:w="1005" w:type="dxa"/>
            <w:vMerge/>
          </w:tcPr>
          <w:p w14:paraId="0D37B16A" w14:textId="77777777" w:rsidR="001D7755" w:rsidRPr="006D7DF9" w:rsidRDefault="001D7755" w:rsidP="005D7F42">
            <w:pPr>
              <w:rPr>
                <w:rFonts w:asciiTheme="minorHAnsi" w:hAnsiTheme="minorHAnsi"/>
                <w:sz w:val="20"/>
                <w:szCs w:val="20"/>
              </w:rPr>
            </w:pPr>
          </w:p>
        </w:tc>
        <w:tc>
          <w:tcPr>
            <w:tcW w:w="4590" w:type="dxa"/>
          </w:tcPr>
          <w:p w14:paraId="2C9DDD97" w14:textId="77777777" w:rsidR="001D7755" w:rsidRPr="006D7DF9" w:rsidRDefault="001D7755" w:rsidP="00241B4E">
            <w:pPr>
              <w:ind w:left="0"/>
              <w:rPr>
                <w:rFonts w:asciiTheme="minorHAnsi" w:hAnsiTheme="minorHAnsi"/>
                <w:sz w:val="20"/>
                <w:szCs w:val="20"/>
              </w:rPr>
            </w:pPr>
            <w:r w:rsidRPr="006D7DF9">
              <w:rPr>
                <w:rFonts w:asciiTheme="minorHAnsi" w:hAnsiTheme="minorHAnsi"/>
                <w:sz w:val="20"/>
                <w:szCs w:val="20"/>
              </w:rPr>
              <w:t>Vasculitis (</w:t>
            </w:r>
            <w:proofErr w:type="spellStart"/>
            <w:r w:rsidRPr="006D7DF9">
              <w:rPr>
                <w:rFonts w:asciiTheme="minorHAnsi" w:hAnsiTheme="minorHAnsi"/>
                <w:sz w:val="20"/>
                <w:szCs w:val="20"/>
              </w:rPr>
              <w:t>noncutaneous</w:t>
            </w:r>
            <w:proofErr w:type="spellEnd"/>
            <w:r w:rsidRPr="006D7DF9">
              <w:rPr>
                <w:rFonts w:asciiTheme="minorHAnsi" w:hAnsiTheme="minorHAnsi"/>
                <w:sz w:val="20"/>
                <w:szCs w:val="20"/>
              </w:rPr>
              <w:t>)</w:t>
            </w:r>
          </w:p>
        </w:tc>
        <w:tc>
          <w:tcPr>
            <w:tcW w:w="1260" w:type="dxa"/>
          </w:tcPr>
          <w:p w14:paraId="3F4AB888"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3096089B"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06D4FBE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33D16FD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79AEEE14" w14:textId="77777777" w:rsidTr="00241B4E">
        <w:trPr>
          <w:trHeight w:val="122"/>
        </w:trPr>
        <w:tc>
          <w:tcPr>
            <w:tcW w:w="1005" w:type="dxa"/>
            <w:vMerge/>
          </w:tcPr>
          <w:p w14:paraId="6EC0E7BB" w14:textId="77777777" w:rsidR="001D7755" w:rsidRPr="006D7DF9" w:rsidRDefault="001D7755" w:rsidP="005D7F42">
            <w:pPr>
              <w:rPr>
                <w:rFonts w:asciiTheme="minorHAnsi" w:hAnsiTheme="minorHAnsi"/>
                <w:sz w:val="20"/>
                <w:szCs w:val="20"/>
              </w:rPr>
            </w:pPr>
          </w:p>
        </w:tc>
        <w:tc>
          <w:tcPr>
            <w:tcW w:w="4590" w:type="dxa"/>
          </w:tcPr>
          <w:p w14:paraId="7986ED9C" w14:textId="77777777" w:rsidR="001D7755" w:rsidRPr="006D7DF9" w:rsidRDefault="001D7755" w:rsidP="00241B4E">
            <w:pPr>
              <w:ind w:left="0"/>
              <w:rPr>
                <w:rFonts w:asciiTheme="minorHAnsi" w:hAnsiTheme="minorHAnsi"/>
                <w:sz w:val="20"/>
                <w:szCs w:val="20"/>
              </w:rPr>
            </w:pPr>
            <w:r w:rsidRPr="006D7DF9">
              <w:rPr>
                <w:rFonts w:asciiTheme="minorHAnsi" w:hAnsiTheme="minorHAnsi"/>
                <w:sz w:val="20"/>
                <w:szCs w:val="20"/>
              </w:rPr>
              <w:t>Progressive multifocal leukoencephalopathy</w:t>
            </w:r>
          </w:p>
        </w:tc>
        <w:tc>
          <w:tcPr>
            <w:tcW w:w="1260" w:type="dxa"/>
          </w:tcPr>
          <w:p w14:paraId="4856837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39FE4792"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6B0C6F9F"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572320D2"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5633BF44" w14:textId="77777777" w:rsidTr="00241B4E">
        <w:trPr>
          <w:trHeight w:val="122"/>
        </w:trPr>
        <w:tc>
          <w:tcPr>
            <w:tcW w:w="1005" w:type="dxa"/>
            <w:vMerge/>
          </w:tcPr>
          <w:p w14:paraId="46F074A5" w14:textId="77777777" w:rsidR="001D7755" w:rsidRPr="006D7DF9" w:rsidRDefault="001D7755" w:rsidP="005D7F42">
            <w:pPr>
              <w:rPr>
                <w:rFonts w:asciiTheme="minorHAnsi" w:hAnsiTheme="minorHAnsi"/>
                <w:sz w:val="20"/>
                <w:szCs w:val="20"/>
              </w:rPr>
            </w:pPr>
          </w:p>
        </w:tc>
        <w:tc>
          <w:tcPr>
            <w:tcW w:w="4590" w:type="dxa"/>
          </w:tcPr>
          <w:p w14:paraId="11B7AFB1" w14:textId="77777777" w:rsidR="001D7755" w:rsidRPr="006D7DF9" w:rsidRDefault="001D7755" w:rsidP="00241B4E">
            <w:pPr>
              <w:ind w:left="0"/>
              <w:rPr>
                <w:rFonts w:asciiTheme="minorHAnsi" w:hAnsiTheme="minorHAnsi"/>
                <w:sz w:val="20"/>
                <w:szCs w:val="20"/>
              </w:rPr>
            </w:pPr>
            <w:r w:rsidRPr="006D7DF9">
              <w:rPr>
                <w:rFonts w:asciiTheme="minorHAnsi" w:hAnsiTheme="minorHAnsi"/>
                <w:sz w:val="20"/>
                <w:szCs w:val="20"/>
              </w:rPr>
              <w:t>Reversible posterior leukoencephalopathy syndrome</w:t>
            </w:r>
          </w:p>
        </w:tc>
        <w:tc>
          <w:tcPr>
            <w:tcW w:w="1260" w:type="dxa"/>
          </w:tcPr>
          <w:p w14:paraId="4EDBD34B"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6245D4B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2BFE3C9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5367F52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10DCF780" w14:textId="77777777" w:rsidTr="00241B4E">
        <w:trPr>
          <w:trHeight w:val="122"/>
        </w:trPr>
        <w:tc>
          <w:tcPr>
            <w:tcW w:w="1005" w:type="dxa"/>
            <w:vMerge/>
          </w:tcPr>
          <w:p w14:paraId="1A3D6A19" w14:textId="77777777" w:rsidR="001D7755" w:rsidRPr="006D7DF9" w:rsidRDefault="001D7755" w:rsidP="005D7F42">
            <w:pPr>
              <w:rPr>
                <w:rFonts w:asciiTheme="minorHAnsi" w:hAnsiTheme="minorHAnsi"/>
                <w:sz w:val="20"/>
                <w:szCs w:val="20"/>
              </w:rPr>
            </w:pPr>
          </w:p>
        </w:tc>
        <w:tc>
          <w:tcPr>
            <w:tcW w:w="4590" w:type="dxa"/>
          </w:tcPr>
          <w:p w14:paraId="411C051E" w14:textId="77777777" w:rsidR="001D7755" w:rsidRPr="006D7DF9" w:rsidRDefault="001D7755" w:rsidP="00241B4E">
            <w:pPr>
              <w:ind w:left="0"/>
              <w:rPr>
                <w:rFonts w:asciiTheme="minorHAnsi" w:hAnsiTheme="minorHAnsi"/>
                <w:sz w:val="20"/>
                <w:szCs w:val="20"/>
              </w:rPr>
            </w:pPr>
            <w:r w:rsidRPr="006D7DF9">
              <w:rPr>
                <w:rFonts w:asciiTheme="minorHAnsi" w:hAnsiTheme="minorHAnsi"/>
                <w:sz w:val="20"/>
                <w:szCs w:val="20"/>
              </w:rPr>
              <w:t>Amyotrophic lateral sclerosis</w:t>
            </w:r>
          </w:p>
        </w:tc>
        <w:tc>
          <w:tcPr>
            <w:tcW w:w="1260" w:type="dxa"/>
          </w:tcPr>
          <w:p w14:paraId="6AFD270A"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0CCF8DF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1186F75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01CC2CB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4C2D5858" w14:textId="77777777" w:rsidTr="00241B4E">
        <w:trPr>
          <w:trHeight w:val="122"/>
        </w:trPr>
        <w:tc>
          <w:tcPr>
            <w:tcW w:w="1005" w:type="dxa"/>
            <w:vMerge/>
          </w:tcPr>
          <w:p w14:paraId="080F9CC2" w14:textId="77777777" w:rsidR="001D7755" w:rsidRPr="006D7DF9" w:rsidRDefault="001D7755" w:rsidP="005D7F42">
            <w:pPr>
              <w:rPr>
                <w:rFonts w:asciiTheme="minorHAnsi" w:hAnsiTheme="minorHAnsi"/>
                <w:sz w:val="20"/>
                <w:szCs w:val="20"/>
              </w:rPr>
            </w:pPr>
          </w:p>
        </w:tc>
        <w:tc>
          <w:tcPr>
            <w:tcW w:w="4590" w:type="dxa"/>
          </w:tcPr>
          <w:p w14:paraId="59FD6BE2" w14:textId="77777777" w:rsidR="001D7755" w:rsidRPr="006D7DF9" w:rsidRDefault="001D7755" w:rsidP="00241B4E">
            <w:pPr>
              <w:ind w:left="0"/>
              <w:rPr>
                <w:rFonts w:asciiTheme="minorHAnsi" w:hAnsiTheme="minorHAnsi"/>
                <w:sz w:val="20"/>
                <w:szCs w:val="20"/>
              </w:rPr>
            </w:pPr>
            <w:r w:rsidRPr="006D7DF9">
              <w:rPr>
                <w:rFonts w:asciiTheme="minorHAnsi" w:hAnsiTheme="minorHAnsi"/>
                <w:sz w:val="20"/>
                <w:szCs w:val="20"/>
              </w:rPr>
              <w:t>Colon cancer in ulcerative colitis patients</w:t>
            </w:r>
          </w:p>
        </w:tc>
        <w:tc>
          <w:tcPr>
            <w:tcW w:w="1260" w:type="dxa"/>
          </w:tcPr>
          <w:p w14:paraId="6A2099C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7FB8A84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6A1DB4F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10B35E1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r>
      <w:tr w:rsidR="00E57B4A" w:rsidRPr="006D7DF9" w14:paraId="074C1D4A" w14:textId="77777777" w:rsidTr="00241B4E">
        <w:trPr>
          <w:trHeight w:val="122"/>
        </w:trPr>
        <w:tc>
          <w:tcPr>
            <w:tcW w:w="1005" w:type="dxa"/>
            <w:vMerge/>
          </w:tcPr>
          <w:p w14:paraId="02A30675" w14:textId="77777777" w:rsidR="001D7755" w:rsidRPr="006D7DF9" w:rsidRDefault="001D7755" w:rsidP="005D7F42">
            <w:pPr>
              <w:rPr>
                <w:rFonts w:asciiTheme="minorHAnsi" w:hAnsiTheme="minorHAnsi"/>
                <w:sz w:val="20"/>
                <w:szCs w:val="20"/>
              </w:rPr>
            </w:pPr>
          </w:p>
        </w:tc>
        <w:tc>
          <w:tcPr>
            <w:tcW w:w="4590" w:type="dxa"/>
          </w:tcPr>
          <w:p w14:paraId="433B6BDA" w14:textId="77777777" w:rsidR="001D7755" w:rsidRPr="006D7DF9" w:rsidRDefault="001D7755" w:rsidP="00241B4E">
            <w:pPr>
              <w:ind w:left="0"/>
              <w:rPr>
                <w:rFonts w:asciiTheme="minorHAnsi" w:hAnsiTheme="minorHAnsi"/>
                <w:sz w:val="20"/>
                <w:szCs w:val="20"/>
              </w:rPr>
            </w:pPr>
            <w:r w:rsidRPr="006D7DF9">
              <w:rPr>
                <w:rFonts w:asciiTheme="minorHAnsi" w:hAnsiTheme="minorHAnsi"/>
                <w:sz w:val="20"/>
                <w:szCs w:val="20"/>
              </w:rPr>
              <w:t>Infections in infants exposed to adalimumab in utero</w:t>
            </w:r>
          </w:p>
        </w:tc>
        <w:tc>
          <w:tcPr>
            <w:tcW w:w="1260" w:type="dxa"/>
          </w:tcPr>
          <w:p w14:paraId="59A570A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3ADE8038"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04E9B2DF"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147FD64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7CCB7DD6" w14:textId="77777777" w:rsidTr="00241B4E">
        <w:trPr>
          <w:trHeight w:val="122"/>
        </w:trPr>
        <w:tc>
          <w:tcPr>
            <w:tcW w:w="1005" w:type="dxa"/>
            <w:vMerge/>
          </w:tcPr>
          <w:p w14:paraId="0E0C5BE7" w14:textId="77777777" w:rsidR="001D7755" w:rsidRPr="006D7DF9" w:rsidRDefault="001D7755" w:rsidP="005D7F42">
            <w:pPr>
              <w:rPr>
                <w:rFonts w:asciiTheme="minorHAnsi" w:hAnsiTheme="minorHAnsi"/>
                <w:sz w:val="20"/>
                <w:szCs w:val="20"/>
              </w:rPr>
            </w:pPr>
          </w:p>
        </w:tc>
        <w:tc>
          <w:tcPr>
            <w:tcW w:w="4590" w:type="dxa"/>
          </w:tcPr>
          <w:p w14:paraId="0B2E735B" w14:textId="77777777" w:rsidR="001D7755" w:rsidRPr="006D7DF9" w:rsidRDefault="001D7755" w:rsidP="00241B4E">
            <w:pPr>
              <w:ind w:left="0"/>
              <w:rPr>
                <w:rFonts w:asciiTheme="minorHAnsi" w:hAnsiTheme="minorHAnsi"/>
                <w:sz w:val="20"/>
                <w:szCs w:val="20"/>
              </w:rPr>
            </w:pPr>
            <w:r w:rsidRPr="006D7DF9">
              <w:rPr>
                <w:rFonts w:asciiTheme="minorHAnsi" w:hAnsiTheme="minorHAnsi"/>
                <w:sz w:val="20"/>
                <w:szCs w:val="20"/>
              </w:rPr>
              <w:t>Off-label use</w:t>
            </w:r>
          </w:p>
        </w:tc>
        <w:tc>
          <w:tcPr>
            <w:tcW w:w="1260" w:type="dxa"/>
          </w:tcPr>
          <w:p w14:paraId="100C13A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3A5A7383"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3B0E48E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2E0E7C83"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43634B16" w14:textId="77777777" w:rsidTr="00241B4E">
        <w:trPr>
          <w:trHeight w:val="178"/>
        </w:trPr>
        <w:tc>
          <w:tcPr>
            <w:tcW w:w="1005" w:type="dxa"/>
            <w:vMerge w:val="restart"/>
            <w:textDirection w:val="btLr"/>
          </w:tcPr>
          <w:p w14:paraId="25A7693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Missing information</w:t>
            </w:r>
          </w:p>
        </w:tc>
        <w:tc>
          <w:tcPr>
            <w:tcW w:w="4590" w:type="dxa"/>
          </w:tcPr>
          <w:p w14:paraId="227B2663"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Use in pregnant and lactating women</w:t>
            </w:r>
          </w:p>
        </w:tc>
        <w:tc>
          <w:tcPr>
            <w:tcW w:w="1260" w:type="dxa"/>
          </w:tcPr>
          <w:p w14:paraId="697C768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66DC460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2B784A3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40C43CF5"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4609C75B" w14:textId="77777777" w:rsidTr="00241B4E">
        <w:trPr>
          <w:trHeight w:val="103"/>
        </w:trPr>
        <w:tc>
          <w:tcPr>
            <w:tcW w:w="1005" w:type="dxa"/>
            <w:vMerge/>
          </w:tcPr>
          <w:p w14:paraId="53445ACA" w14:textId="77777777" w:rsidR="001D7755" w:rsidRPr="006D7DF9" w:rsidRDefault="001D7755" w:rsidP="005D7F42">
            <w:pPr>
              <w:rPr>
                <w:rFonts w:asciiTheme="minorHAnsi" w:hAnsiTheme="minorHAnsi"/>
                <w:sz w:val="20"/>
                <w:szCs w:val="20"/>
              </w:rPr>
            </w:pPr>
          </w:p>
        </w:tc>
        <w:tc>
          <w:tcPr>
            <w:tcW w:w="4590" w:type="dxa"/>
          </w:tcPr>
          <w:p w14:paraId="349E82E0" w14:textId="77777777" w:rsidR="001D7755"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 xml:space="preserve">Long term safety information in the treatment of children, </w:t>
            </w:r>
            <w:r w:rsidRPr="006D7DF9">
              <w:rPr>
                <w:rFonts w:asciiTheme="minorHAnsi" w:hAnsiTheme="minorHAnsi"/>
                <w:strike/>
                <w:color w:val="000000"/>
                <w:sz w:val="20"/>
                <w:szCs w:val="20"/>
              </w:rPr>
              <w:t>aged from 4 years to less than 18 years with psoriasis and</w:t>
            </w:r>
            <w:r w:rsidRPr="006D7DF9">
              <w:rPr>
                <w:rFonts w:asciiTheme="minorHAnsi" w:hAnsiTheme="minorHAnsi"/>
                <w:color w:val="000000"/>
                <w:sz w:val="20"/>
                <w:szCs w:val="20"/>
              </w:rPr>
              <w:t>^ from 6 years to less than 18 years with Crohn’s disease</w:t>
            </w:r>
          </w:p>
          <w:p w14:paraId="005BE262" w14:textId="77777777" w:rsidR="00464ADE" w:rsidRPr="006D7DF9" w:rsidRDefault="00464ADE" w:rsidP="00241B4E">
            <w:pPr>
              <w:ind w:left="0"/>
              <w:rPr>
                <w:rFonts w:asciiTheme="minorHAnsi" w:hAnsiTheme="minorHAnsi"/>
                <w:color w:val="000000"/>
                <w:sz w:val="20"/>
                <w:szCs w:val="20"/>
              </w:rPr>
            </w:pPr>
          </w:p>
        </w:tc>
        <w:tc>
          <w:tcPr>
            <w:tcW w:w="1260" w:type="dxa"/>
          </w:tcPr>
          <w:p w14:paraId="60088BC3"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42E6A09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24ABA68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68209BE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464ADE" w:rsidRPr="006D7DF9" w14:paraId="5C8B6E0F" w14:textId="77777777" w:rsidTr="00241B4E">
        <w:trPr>
          <w:trHeight w:val="2530"/>
        </w:trPr>
        <w:tc>
          <w:tcPr>
            <w:tcW w:w="1005" w:type="dxa"/>
            <w:vMerge/>
          </w:tcPr>
          <w:p w14:paraId="0031D11E" w14:textId="77777777" w:rsidR="001D7755" w:rsidRPr="006D7DF9" w:rsidRDefault="001D7755" w:rsidP="005D7F42">
            <w:pPr>
              <w:rPr>
                <w:rFonts w:asciiTheme="minorHAnsi" w:hAnsiTheme="minorHAnsi"/>
                <w:sz w:val="20"/>
                <w:szCs w:val="20"/>
              </w:rPr>
            </w:pPr>
          </w:p>
        </w:tc>
        <w:tc>
          <w:tcPr>
            <w:tcW w:w="4590" w:type="dxa"/>
          </w:tcPr>
          <w:p w14:paraId="3B2D8547" w14:textId="77777777" w:rsidR="001D7755"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Subjects with immune-compromised conditions either due to underlying conditions (i.e. diabetes, renal or liver failure, human immunodeficiency virus infection, alcohol or illicit drug abuse), or due to medications (</w:t>
            </w:r>
            <w:proofErr w:type="spellStart"/>
            <w:r w:rsidRPr="006D7DF9">
              <w:rPr>
                <w:rFonts w:asciiTheme="minorHAnsi" w:hAnsiTheme="minorHAnsi"/>
                <w:color w:val="000000"/>
                <w:sz w:val="20"/>
                <w:szCs w:val="20"/>
              </w:rPr>
              <w:t>postcancer</w:t>
            </w:r>
            <w:proofErr w:type="spellEnd"/>
            <w:r w:rsidRPr="006D7DF9">
              <w:rPr>
                <w:rFonts w:asciiTheme="minorHAnsi" w:hAnsiTheme="minorHAnsi"/>
                <w:color w:val="000000"/>
                <w:sz w:val="20"/>
                <w:szCs w:val="20"/>
              </w:rPr>
              <w:t xml:space="preserve"> chemotherapy, anti-rejection drugs for organ transplant) may have increased known risks of infection or other unknown risks related to the condition or to the concomitant medications</w:t>
            </w:r>
          </w:p>
          <w:p w14:paraId="12302453" w14:textId="77777777" w:rsidR="00464ADE" w:rsidRPr="006D7DF9" w:rsidRDefault="00464ADE" w:rsidP="00241B4E">
            <w:pPr>
              <w:ind w:left="0"/>
              <w:rPr>
                <w:rFonts w:asciiTheme="minorHAnsi" w:hAnsiTheme="minorHAnsi"/>
                <w:color w:val="000000"/>
                <w:sz w:val="20"/>
                <w:szCs w:val="20"/>
              </w:rPr>
            </w:pPr>
          </w:p>
        </w:tc>
        <w:tc>
          <w:tcPr>
            <w:tcW w:w="1260" w:type="dxa"/>
          </w:tcPr>
          <w:p w14:paraId="5BEE2F03"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5B8E6A6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0194B515"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40F39AE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464ADE" w:rsidRPr="006D7DF9" w14:paraId="450D2ED0" w14:textId="77777777" w:rsidTr="00464ADE">
        <w:trPr>
          <w:trHeight w:val="2005"/>
        </w:trPr>
        <w:tc>
          <w:tcPr>
            <w:tcW w:w="1005" w:type="dxa"/>
            <w:vMerge/>
          </w:tcPr>
          <w:p w14:paraId="6C0A1355" w14:textId="77777777" w:rsidR="001D7755" w:rsidRPr="006D7DF9" w:rsidRDefault="001D7755" w:rsidP="005D7F42">
            <w:pPr>
              <w:rPr>
                <w:rFonts w:asciiTheme="minorHAnsi" w:hAnsiTheme="minorHAnsi"/>
                <w:sz w:val="20"/>
                <w:szCs w:val="20"/>
              </w:rPr>
            </w:pPr>
          </w:p>
        </w:tc>
        <w:tc>
          <w:tcPr>
            <w:tcW w:w="4590" w:type="dxa"/>
          </w:tcPr>
          <w:p w14:paraId="7452811E" w14:textId="77777777" w:rsidR="001D7755"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Remission-withdrawal-retreatment non-radiographic axial spondyloarthritis/axial spondyloarthritis without radiographic evidence of axial spondyloarthritis, and episodic treatment in psoriasis, Crohn’s disease, ulcerative colitis, and polyarticular juvenile idiopathic arthritis</w:t>
            </w:r>
          </w:p>
          <w:p w14:paraId="59949492" w14:textId="77777777" w:rsidR="00464ADE" w:rsidRPr="006D7DF9" w:rsidRDefault="00464ADE" w:rsidP="00241B4E">
            <w:pPr>
              <w:ind w:left="0"/>
              <w:rPr>
                <w:rFonts w:asciiTheme="minorHAnsi" w:hAnsiTheme="minorHAnsi"/>
                <w:color w:val="000000"/>
                <w:sz w:val="20"/>
                <w:szCs w:val="20"/>
              </w:rPr>
            </w:pPr>
          </w:p>
        </w:tc>
        <w:tc>
          <w:tcPr>
            <w:tcW w:w="1260" w:type="dxa"/>
          </w:tcPr>
          <w:p w14:paraId="34148612"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126842FF"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44DEFE0A"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39C4917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32C46182" w14:textId="77777777" w:rsidTr="00241B4E">
        <w:trPr>
          <w:trHeight w:val="447"/>
        </w:trPr>
        <w:tc>
          <w:tcPr>
            <w:tcW w:w="1005" w:type="dxa"/>
            <w:vMerge/>
          </w:tcPr>
          <w:p w14:paraId="25C9BE53" w14:textId="77777777" w:rsidR="001D7755" w:rsidRPr="006D7DF9" w:rsidRDefault="001D7755" w:rsidP="005D7F42">
            <w:pPr>
              <w:rPr>
                <w:rFonts w:asciiTheme="minorHAnsi" w:hAnsiTheme="minorHAnsi"/>
                <w:sz w:val="20"/>
                <w:szCs w:val="20"/>
              </w:rPr>
            </w:pPr>
          </w:p>
        </w:tc>
        <w:tc>
          <w:tcPr>
            <w:tcW w:w="4590" w:type="dxa"/>
          </w:tcPr>
          <w:p w14:paraId="1226DD7C" w14:textId="14C8FE16"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u w:val="single"/>
              </w:rPr>
              <w:t>Long-term safety data in the treatment of adults</w:t>
            </w:r>
            <w:r w:rsidR="00464ADE">
              <w:rPr>
                <w:rFonts w:asciiTheme="minorHAnsi" w:hAnsiTheme="minorHAnsi"/>
                <w:color w:val="000000"/>
                <w:sz w:val="20"/>
                <w:szCs w:val="20"/>
                <w:u w:val="single"/>
              </w:rPr>
              <w:t xml:space="preserve"> </w:t>
            </w:r>
            <w:r w:rsidRPr="006D7DF9">
              <w:rPr>
                <w:rFonts w:asciiTheme="minorHAnsi" w:hAnsiTheme="minorHAnsi"/>
                <w:color w:val="000000"/>
                <w:sz w:val="20"/>
                <w:szCs w:val="20"/>
                <w:u w:val="single"/>
              </w:rPr>
              <w:t xml:space="preserve">with hidradenitis </w:t>
            </w:r>
            <w:proofErr w:type="spellStart"/>
            <w:r w:rsidRPr="006D7DF9">
              <w:rPr>
                <w:rFonts w:asciiTheme="minorHAnsi" w:hAnsiTheme="minorHAnsi"/>
                <w:color w:val="000000"/>
                <w:sz w:val="20"/>
                <w:szCs w:val="20"/>
                <w:u w:val="single"/>
              </w:rPr>
              <w:t>suppurativa</w:t>
            </w:r>
            <w:proofErr w:type="spellEnd"/>
            <w:r w:rsidRPr="006D7DF9">
              <w:rPr>
                <w:rFonts w:asciiTheme="minorHAnsi" w:hAnsiTheme="minorHAnsi"/>
                <w:color w:val="000000"/>
                <w:sz w:val="20"/>
                <w:szCs w:val="20"/>
                <w:u w:val="single"/>
              </w:rPr>
              <w:t>^^</w:t>
            </w:r>
          </w:p>
        </w:tc>
        <w:tc>
          <w:tcPr>
            <w:tcW w:w="1260" w:type="dxa"/>
          </w:tcPr>
          <w:p w14:paraId="780B9484"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6F4D8E2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0D5448D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757C0B24"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464ADE" w:rsidRPr="006D7DF9" w14:paraId="6B3071AB" w14:textId="77777777" w:rsidTr="00464ADE">
        <w:trPr>
          <w:trHeight w:val="352"/>
        </w:trPr>
        <w:tc>
          <w:tcPr>
            <w:tcW w:w="1005" w:type="dxa"/>
            <w:vMerge w:val="restart"/>
            <w:textDirection w:val="btLr"/>
          </w:tcPr>
          <w:p w14:paraId="32DD94C4"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Australian-specific missing information</w:t>
            </w:r>
          </w:p>
        </w:tc>
        <w:tc>
          <w:tcPr>
            <w:tcW w:w="4590" w:type="dxa"/>
          </w:tcPr>
          <w:p w14:paraId="79A0E330" w14:textId="77777777" w:rsidR="001D7755" w:rsidRPr="006D7DF9" w:rsidRDefault="001D7755" w:rsidP="00241B4E">
            <w:pPr>
              <w:ind w:left="0"/>
              <w:rPr>
                <w:rFonts w:asciiTheme="minorHAnsi" w:hAnsiTheme="minorHAnsi"/>
                <w:sz w:val="20"/>
                <w:szCs w:val="20"/>
              </w:rPr>
            </w:pPr>
            <w:r w:rsidRPr="006D7DF9">
              <w:rPr>
                <w:rFonts w:asciiTheme="minorHAnsi" w:hAnsiTheme="minorHAnsi"/>
                <w:sz w:val="20"/>
                <w:szCs w:val="20"/>
              </w:rPr>
              <w:t>Subjects with poorly controlled medical conditions such as uncontrolled diabetes or documented history of recurrent infections, unstable ischaemic heart disease, chronic heart failure (CHF), recent cerebrovascular accidents</w:t>
            </w:r>
          </w:p>
        </w:tc>
        <w:tc>
          <w:tcPr>
            <w:tcW w:w="1260" w:type="dxa"/>
          </w:tcPr>
          <w:p w14:paraId="2C38AD4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155CA54F"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1E3E8EB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60F67D44"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14EFECB7" w14:textId="77777777" w:rsidTr="00241B4E">
        <w:trPr>
          <w:trHeight w:val="100"/>
        </w:trPr>
        <w:tc>
          <w:tcPr>
            <w:tcW w:w="1005" w:type="dxa"/>
            <w:vMerge/>
          </w:tcPr>
          <w:p w14:paraId="3C859067" w14:textId="77777777" w:rsidR="001D7755" w:rsidRPr="006D7DF9" w:rsidRDefault="001D7755" w:rsidP="005D7F42">
            <w:pPr>
              <w:rPr>
                <w:rFonts w:asciiTheme="minorHAnsi" w:hAnsiTheme="minorHAnsi"/>
                <w:sz w:val="20"/>
                <w:szCs w:val="20"/>
              </w:rPr>
            </w:pPr>
          </w:p>
        </w:tc>
        <w:tc>
          <w:tcPr>
            <w:tcW w:w="4590" w:type="dxa"/>
          </w:tcPr>
          <w:p w14:paraId="6B018CD1" w14:textId="77777777" w:rsidR="001D7755" w:rsidRPr="006D7DF9" w:rsidRDefault="001D7755" w:rsidP="00241B4E">
            <w:pPr>
              <w:ind w:left="0"/>
              <w:rPr>
                <w:rFonts w:asciiTheme="minorHAnsi" w:hAnsiTheme="minorHAnsi"/>
                <w:sz w:val="20"/>
                <w:szCs w:val="20"/>
              </w:rPr>
            </w:pPr>
            <w:r w:rsidRPr="006D7DF9">
              <w:rPr>
                <w:rFonts w:asciiTheme="minorHAnsi" w:hAnsiTheme="minorHAnsi"/>
                <w:sz w:val="20"/>
                <w:szCs w:val="20"/>
              </w:rPr>
              <w:t>Subjects with a history of cancer, lymphoma, leukaemia or lymphoproliferative disease; subjects with history of neurologic symptoms suggestive of demyelinating disorders</w:t>
            </w:r>
          </w:p>
        </w:tc>
        <w:tc>
          <w:tcPr>
            <w:tcW w:w="1260" w:type="dxa"/>
          </w:tcPr>
          <w:p w14:paraId="3584201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28D0F1D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72DAC83A"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4E405454"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764867B6" w14:textId="77777777" w:rsidTr="00241B4E">
        <w:trPr>
          <w:trHeight w:val="470"/>
        </w:trPr>
        <w:tc>
          <w:tcPr>
            <w:tcW w:w="1005" w:type="dxa"/>
            <w:vMerge/>
          </w:tcPr>
          <w:p w14:paraId="5358E5EC" w14:textId="77777777" w:rsidR="001D7755" w:rsidRPr="006D7DF9" w:rsidRDefault="001D7755" w:rsidP="005D7F42">
            <w:pPr>
              <w:rPr>
                <w:rFonts w:asciiTheme="minorHAnsi" w:hAnsiTheme="minorHAnsi"/>
                <w:sz w:val="20"/>
                <w:szCs w:val="20"/>
              </w:rPr>
            </w:pPr>
          </w:p>
        </w:tc>
        <w:tc>
          <w:tcPr>
            <w:tcW w:w="4590" w:type="dxa"/>
          </w:tcPr>
          <w:p w14:paraId="1479667A" w14:textId="77777777" w:rsidR="001D7755" w:rsidRPr="006D7DF9" w:rsidRDefault="001D7755" w:rsidP="00241B4E">
            <w:pPr>
              <w:ind w:left="0"/>
              <w:rPr>
                <w:rFonts w:asciiTheme="minorHAnsi" w:hAnsiTheme="minorHAnsi"/>
                <w:sz w:val="20"/>
                <w:szCs w:val="20"/>
              </w:rPr>
            </w:pPr>
            <w:r w:rsidRPr="006D7DF9">
              <w:rPr>
                <w:rFonts w:asciiTheme="minorHAnsi" w:hAnsiTheme="minorHAnsi"/>
                <w:sz w:val="20"/>
                <w:szCs w:val="20"/>
              </w:rPr>
              <w:t>Use in children &lt; 18 years of age for ankylosing spondylitis, psoriasis and enthesitis-related arthritis</w:t>
            </w:r>
          </w:p>
        </w:tc>
        <w:tc>
          <w:tcPr>
            <w:tcW w:w="1260" w:type="dxa"/>
          </w:tcPr>
          <w:p w14:paraId="105D24B3"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60559A5A"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4F0F58CB"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1ACE4561"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0F056D63" w14:textId="77777777" w:rsidTr="00241B4E">
        <w:trPr>
          <w:trHeight w:val="60"/>
        </w:trPr>
        <w:tc>
          <w:tcPr>
            <w:tcW w:w="1005" w:type="dxa"/>
            <w:vMerge/>
          </w:tcPr>
          <w:p w14:paraId="52BFAA47" w14:textId="77777777" w:rsidR="001D7755" w:rsidRPr="006D7DF9" w:rsidRDefault="001D7755" w:rsidP="005D7F42">
            <w:pPr>
              <w:rPr>
                <w:rFonts w:asciiTheme="minorHAnsi" w:hAnsiTheme="minorHAnsi"/>
                <w:sz w:val="20"/>
                <w:szCs w:val="20"/>
              </w:rPr>
            </w:pPr>
          </w:p>
        </w:tc>
        <w:tc>
          <w:tcPr>
            <w:tcW w:w="4590" w:type="dxa"/>
          </w:tcPr>
          <w:p w14:paraId="1DF434B2" w14:textId="77777777" w:rsidR="001D7755" w:rsidRPr="006D7DF9" w:rsidRDefault="001D7755" w:rsidP="00241B4E">
            <w:pPr>
              <w:ind w:left="0"/>
              <w:rPr>
                <w:rFonts w:asciiTheme="minorHAnsi" w:hAnsiTheme="minorHAnsi"/>
                <w:sz w:val="20"/>
                <w:szCs w:val="20"/>
              </w:rPr>
            </w:pPr>
            <w:r w:rsidRPr="006D7DF9">
              <w:rPr>
                <w:rFonts w:asciiTheme="minorHAnsi" w:hAnsiTheme="minorHAnsi"/>
                <w:sz w:val="20"/>
                <w:szCs w:val="20"/>
              </w:rPr>
              <w:t>Use in children &lt; 6 years of age for enthesitis-related arthritis*</w:t>
            </w:r>
          </w:p>
        </w:tc>
        <w:tc>
          <w:tcPr>
            <w:tcW w:w="1260" w:type="dxa"/>
          </w:tcPr>
          <w:p w14:paraId="3C964E68"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6D4AB908"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66A94C2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07DB9C3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2056887D" w14:textId="77777777" w:rsidTr="00241B4E">
        <w:trPr>
          <w:trHeight w:val="70"/>
        </w:trPr>
        <w:tc>
          <w:tcPr>
            <w:tcW w:w="1005" w:type="dxa"/>
            <w:vMerge/>
          </w:tcPr>
          <w:p w14:paraId="5E421C4C" w14:textId="77777777" w:rsidR="001D7755" w:rsidRPr="006D7DF9" w:rsidRDefault="001D7755" w:rsidP="005D7F42">
            <w:pPr>
              <w:rPr>
                <w:rFonts w:asciiTheme="minorHAnsi" w:hAnsiTheme="minorHAnsi"/>
                <w:sz w:val="20"/>
                <w:szCs w:val="20"/>
              </w:rPr>
            </w:pPr>
          </w:p>
        </w:tc>
        <w:tc>
          <w:tcPr>
            <w:tcW w:w="4590" w:type="dxa"/>
          </w:tcPr>
          <w:p w14:paraId="29446554" w14:textId="77777777" w:rsidR="001D7755" w:rsidRPr="006D7DF9" w:rsidRDefault="001D7755" w:rsidP="00241B4E">
            <w:pPr>
              <w:ind w:left="0"/>
              <w:rPr>
                <w:rFonts w:asciiTheme="minorHAnsi" w:hAnsiTheme="minorHAnsi"/>
                <w:sz w:val="20"/>
                <w:szCs w:val="20"/>
              </w:rPr>
            </w:pPr>
            <w:r w:rsidRPr="006D7DF9">
              <w:rPr>
                <w:rFonts w:asciiTheme="minorHAnsi" w:hAnsiTheme="minorHAnsi"/>
                <w:sz w:val="20"/>
                <w:szCs w:val="20"/>
              </w:rPr>
              <w:t>Patients taking concomitant biologic therapy</w:t>
            </w:r>
          </w:p>
        </w:tc>
        <w:tc>
          <w:tcPr>
            <w:tcW w:w="1260" w:type="dxa"/>
          </w:tcPr>
          <w:p w14:paraId="3FF0199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79117F2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2F48E7B2"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1AED655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5F33934E" w14:textId="77777777" w:rsidTr="00241B4E">
        <w:trPr>
          <w:trHeight w:val="136"/>
        </w:trPr>
        <w:tc>
          <w:tcPr>
            <w:tcW w:w="1005" w:type="dxa"/>
            <w:vMerge/>
          </w:tcPr>
          <w:p w14:paraId="32BEE5DF" w14:textId="77777777" w:rsidR="001D7755" w:rsidRPr="006D7DF9" w:rsidRDefault="001D7755" w:rsidP="005D7F42">
            <w:pPr>
              <w:rPr>
                <w:rFonts w:asciiTheme="minorHAnsi" w:hAnsiTheme="minorHAnsi"/>
                <w:sz w:val="20"/>
                <w:szCs w:val="20"/>
              </w:rPr>
            </w:pPr>
          </w:p>
        </w:tc>
        <w:tc>
          <w:tcPr>
            <w:tcW w:w="4590" w:type="dxa"/>
          </w:tcPr>
          <w:p w14:paraId="60857A45" w14:textId="77777777" w:rsidR="001D7755" w:rsidRPr="006D7DF9" w:rsidRDefault="001D7755" w:rsidP="00241B4E">
            <w:pPr>
              <w:ind w:left="0"/>
              <w:rPr>
                <w:rFonts w:asciiTheme="minorHAnsi" w:hAnsiTheme="minorHAnsi"/>
                <w:sz w:val="20"/>
                <w:szCs w:val="20"/>
              </w:rPr>
            </w:pPr>
            <w:r w:rsidRPr="006D7DF9">
              <w:rPr>
                <w:rFonts w:asciiTheme="minorHAnsi" w:hAnsiTheme="minorHAnsi"/>
                <w:sz w:val="20"/>
                <w:szCs w:val="20"/>
              </w:rPr>
              <w:t>Long-term rheumatoid arthritis data beyond 10 years</w:t>
            </w:r>
          </w:p>
        </w:tc>
        <w:tc>
          <w:tcPr>
            <w:tcW w:w="1260" w:type="dxa"/>
          </w:tcPr>
          <w:p w14:paraId="7BB0963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40806E9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1A1F54D3"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3F05DE72"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7E22EACF" w14:textId="77777777" w:rsidTr="00241B4E">
        <w:trPr>
          <w:trHeight w:val="160"/>
        </w:trPr>
        <w:tc>
          <w:tcPr>
            <w:tcW w:w="1005" w:type="dxa"/>
            <w:vMerge/>
          </w:tcPr>
          <w:p w14:paraId="58A6F3A5" w14:textId="77777777" w:rsidR="001D7755" w:rsidRPr="006D7DF9" w:rsidRDefault="001D7755" w:rsidP="005D7F42">
            <w:pPr>
              <w:rPr>
                <w:rFonts w:asciiTheme="minorHAnsi" w:hAnsiTheme="minorHAnsi"/>
                <w:sz w:val="20"/>
                <w:szCs w:val="20"/>
              </w:rPr>
            </w:pPr>
          </w:p>
        </w:tc>
        <w:tc>
          <w:tcPr>
            <w:tcW w:w="4590" w:type="dxa"/>
          </w:tcPr>
          <w:p w14:paraId="17DDF8C1"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Long-term juvenile idiopathic arthritis data beyond 7.5 years</w:t>
            </w:r>
          </w:p>
        </w:tc>
        <w:tc>
          <w:tcPr>
            <w:tcW w:w="1260" w:type="dxa"/>
          </w:tcPr>
          <w:p w14:paraId="399CC89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4EC8702B"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7A84129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37CAE794"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1CE378B2" w14:textId="77777777" w:rsidTr="00241B4E">
        <w:trPr>
          <w:trHeight w:val="190"/>
        </w:trPr>
        <w:tc>
          <w:tcPr>
            <w:tcW w:w="1005" w:type="dxa"/>
            <w:vMerge/>
          </w:tcPr>
          <w:p w14:paraId="1C97036F" w14:textId="77777777" w:rsidR="001D7755" w:rsidRPr="006D7DF9" w:rsidRDefault="001D7755" w:rsidP="005D7F42">
            <w:pPr>
              <w:rPr>
                <w:rFonts w:asciiTheme="minorHAnsi" w:hAnsiTheme="minorHAnsi"/>
                <w:sz w:val="20"/>
                <w:szCs w:val="20"/>
              </w:rPr>
            </w:pPr>
          </w:p>
        </w:tc>
        <w:tc>
          <w:tcPr>
            <w:tcW w:w="4590" w:type="dxa"/>
          </w:tcPr>
          <w:p w14:paraId="686B7317"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Long-term ankylosing spondylitis data beyond 5 years</w:t>
            </w:r>
          </w:p>
        </w:tc>
        <w:tc>
          <w:tcPr>
            <w:tcW w:w="1260" w:type="dxa"/>
          </w:tcPr>
          <w:p w14:paraId="7D2B3B4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7E8E11A5"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2B47D4B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7DB8280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2F41E2DE" w14:textId="77777777" w:rsidTr="00241B4E">
        <w:trPr>
          <w:trHeight w:val="140"/>
        </w:trPr>
        <w:tc>
          <w:tcPr>
            <w:tcW w:w="1005" w:type="dxa"/>
            <w:vMerge/>
          </w:tcPr>
          <w:p w14:paraId="5D99FF55" w14:textId="77777777" w:rsidR="001D7755" w:rsidRPr="006D7DF9" w:rsidRDefault="001D7755" w:rsidP="005D7F42">
            <w:pPr>
              <w:rPr>
                <w:rFonts w:asciiTheme="minorHAnsi" w:hAnsiTheme="minorHAnsi"/>
                <w:sz w:val="20"/>
                <w:szCs w:val="20"/>
              </w:rPr>
            </w:pPr>
          </w:p>
        </w:tc>
        <w:tc>
          <w:tcPr>
            <w:tcW w:w="4590" w:type="dxa"/>
          </w:tcPr>
          <w:p w14:paraId="77E54255"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Long-term axial spondyloarthritis data beyond 1 year</w:t>
            </w:r>
          </w:p>
        </w:tc>
        <w:tc>
          <w:tcPr>
            <w:tcW w:w="1260" w:type="dxa"/>
          </w:tcPr>
          <w:p w14:paraId="312EAAA5"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665547D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70B20361"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78389F3D"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07A61F59" w14:textId="77777777" w:rsidTr="00241B4E">
        <w:trPr>
          <w:trHeight w:val="200"/>
        </w:trPr>
        <w:tc>
          <w:tcPr>
            <w:tcW w:w="1005" w:type="dxa"/>
            <w:vMerge/>
          </w:tcPr>
          <w:p w14:paraId="0DA9344B" w14:textId="77777777" w:rsidR="001D7755" w:rsidRPr="006D7DF9" w:rsidRDefault="001D7755" w:rsidP="005D7F42">
            <w:pPr>
              <w:rPr>
                <w:rFonts w:asciiTheme="minorHAnsi" w:hAnsiTheme="minorHAnsi"/>
                <w:sz w:val="20"/>
                <w:szCs w:val="20"/>
              </w:rPr>
            </w:pPr>
          </w:p>
        </w:tc>
        <w:tc>
          <w:tcPr>
            <w:tcW w:w="4590" w:type="dxa"/>
          </w:tcPr>
          <w:p w14:paraId="2F47EC53"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Short- and long-term peripheral spondyloarthritis data</w:t>
            </w:r>
          </w:p>
        </w:tc>
        <w:tc>
          <w:tcPr>
            <w:tcW w:w="1260" w:type="dxa"/>
          </w:tcPr>
          <w:p w14:paraId="75420623"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00F272B1"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70269B15"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141869F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77DCD3DA" w14:textId="77777777" w:rsidTr="00241B4E">
        <w:trPr>
          <w:trHeight w:val="150"/>
        </w:trPr>
        <w:tc>
          <w:tcPr>
            <w:tcW w:w="1005" w:type="dxa"/>
            <w:vMerge/>
          </w:tcPr>
          <w:p w14:paraId="0B0D3B0E" w14:textId="77777777" w:rsidR="001D7755" w:rsidRPr="006D7DF9" w:rsidRDefault="001D7755" w:rsidP="005D7F42">
            <w:pPr>
              <w:rPr>
                <w:rFonts w:asciiTheme="minorHAnsi" w:hAnsiTheme="minorHAnsi"/>
                <w:sz w:val="20"/>
                <w:szCs w:val="20"/>
              </w:rPr>
            </w:pPr>
          </w:p>
        </w:tc>
        <w:tc>
          <w:tcPr>
            <w:tcW w:w="4590" w:type="dxa"/>
          </w:tcPr>
          <w:p w14:paraId="159F3186"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Short- and long-term paediatric enthesitis-related arthritis data</w:t>
            </w:r>
          </w:p>
        </w:tc>
        <w:tc>
          <w:tcPr>
            <w:tcW w:w="1260" w:type="dxa"/>
          </w:tcPr>
          <w:p w14:paraId="173BA651"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6668339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468FEA3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1A1A23D1"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14E0F211" w14:textId="77777777" w:rsidTr="00241B4E">
        <w:trPr>
          <w:trHeight w:val="140"/>
        </w:trPr>
        <w:tc>
          <w:tcPr>
            <w:tcW w:w="1005" w:type="dxa"/>
            <w:vMerge/>
          </w:tcPr>
          <w:p w14:paraId="6DB8449C" w14:textId="77777777" w:rsidR="001D7755" w:rsidRPr="006D7DF9" w:rsidRDefault="001D7755" w:rsidP="005D7F42">
            <w:pPr>
              <w:rPr>
                <w:rFonts w:asciiTheme="minorHAnsi" w:hAnsiTheme="minorHAnsi"/>
                <w:sz w:val="20"/>
                <w:szCs w:val="20"/>
              </w:rPr>
            </w:pPr>
          </w:p>
        </w:tc>
        <w:tc>
          <w:tcPr>
            <w:tcW w:w="4590" w:type="dxa"/>
          </w:tcPr>
          <w:p w14:paraId="512CFC99"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Long-term psoriatic arthritis data beyond 3 years</w:t>
            </w:r>
          </w:p>
        </w:tc>
        <w:tc>
          <w:tcPr>
            <w:tcW w:w="1260" w:type="dxa"/>
          </w:tcPr>
          <w:p w14:paraId="45E35106"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3CA82C0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1AAE8C2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3544363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30B5FBE2" w14:textId="77777777" w:rsidTr="00241B4E">
        <w:trPr>
          <w:trHeight w:val="130"/>
        </w:trPr>
        <w:tc>
          <w:tcPr>
            <w:tcW w:w="1005" w:type="dxa"/>
            <w:vMerge/>
          </w:tcPr>
          <w:p w14:paraId="14B322FC" w14:textId="77777777" w:rsidR="001D7755" w:rsidRPr="006D7DF9" w:rsidRDefault="001D7755" w:rsidP="005D7F42">
            <w:pPr>
              <w:rPr>
                <w:rFonts w:asciiTheme="minorHAnsi" w:hAnsiTheme="minorHAnsi"/>
                <w:sz w:val="20"/>
                <w:szCs w:val="20"/>
              </w:rPr>
            </w:pPr>
          </w:p>
        </w:tc>
        <w:tc>
          <w:tcPr>
            <w:tcW w:w="4590" w:type="dxa"/>
          </w:tcPr>
          <w:p w14:paraId="3751E8DA"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Long-term psoriasis data beyond 6 years</w:t>
            </w:r>
          </w:p>
        </w:tc>
        <w:tc>
          <w:tcPr>
            <w:tcW w:w="1260" w:type="dxa"/>
          </w:tcPr>
          <w:p w14:paraId="5C5EBBB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3954A1D1"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7ED0A132"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24C4E5F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0942670D" w14:textId="77777777" w:rsidTr="00241B4E">
        <w:trPr>
          <w:trHeight w:val="190"/>
        </w:trPr>
        <w:tc>
          <w:tcPr>
            <w:tcW w:w="1005" w:type="dxa"/>
            <w:vMerge/>
          </w:tcPr>
          <w:p w14:paraId="508CE2D2" w14:textId="77777777" w:rsidR="001D7755" w:rsidRPr="006D7DF9" w:rsidRDefault="001D7755" w:rsidP="005D7F42">
            <w:pPr>
              <w:rPr>
                <w:rFonts w:asciiTheme="minorHAnsi" w:hAnsiTheme="minorHAnsi"/>
                <w:sz w:val="20"/>
                <w:szCs w:val="20"/>
              </w:rPr>
            </w:pPr>
          </w:p>
        </w:tc>
        <w:tc>
          <w:tcPr>
            <w:tcW w:w="4590" w:type="dxa"/>
          </w:tcPr>
          <w:p w14:paraId="47E66456"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Long-term Crohn’s disease data beyond 5 years</w:t>
            </w:r>
          </w:p>
        </w:tc>
        <w:tc>
          <w:tcPr>
            <w:tcW w:w="1260" w:type="dxa"/>
          </w:tcPr>
          <w:p w14:paraId="6CA40D1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6C97CB2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16598B3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043F3E3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605826D8" w14:textId="77777777" w:rsidTr="00241B4E">
        <w:trPr>
          <w:trHeight w:val="86"/>
        </w:trPr>
        <w:tc>
          <w:tcPr>
            <w:tcW w:w="1005" w:type="dxa"/>
            <w:vMerge/>
          </w:tcPr>
          <w:p w14:paraId="5378117F" w14:textId="77777777" w:rsidR="001D7755" w:rsidRPr="006D7DF9" w:rsidRDefault="001D7755" w:rsidP="005D7F42">
            <w:pPr>
              <w:rPr>
                <w:rFonts w:asciiTheme="minorHAnsi" w:hAnsiTheme="minorHAnsi"/>
                <w:sz w:val="20"/>
                <w:szCs w:val="20"/>
              </w:rPr>
            </w:pPr>
          </w:p>
        </w:tc>
        <w:tc>
          <w:tcPr>
            <w:tcW w:w="4590" w:type="dxa"/>
          </w:tcPr>
          <w:p w14:paraId="404422AF"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Long-term paediatric Crohn’s disease data beyond 2 years*</w:t>
            </w:r>
          </w:p>
        </w:tc>
        <w:tc>
          <w:tcPr>
            <w:tcW w:w="1260" w:type="dxa"/>
          </w:tcPr>
          <w:p w14:paraId="10F35C7C"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632FAA68"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36A93BD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156860D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210B97F8" w14:textId="77777777" w:rsidTr="00241B4E">
        <w:trPr>
          <w:trHeight w:val="130"/>
        </w:trPr>
        <w:tc>
          <w:tcPr>
            <w:tcW w:w="1005" w:type="dxa"/>
            <w:vMerge/>
          </w:tcPr>
          <w:p w14:paraId="30D70748" w14:textId="77777777" w:rsidR="001D7755" w:rsidRPr="006D7DF9" w:rsidRDefault="001D7755" w:rsidP="005D7F42">
            <w:pPr>
              <w:rPr>
                <w:rFonts w:asciiTheme="minorHAnsi" w:hAnsiTheme="minorHAnsi"/>
                <w:sz w:val="20"/>
                <w:szCs w:val="20"/>
              </w:rPr>
            </w:pPr>
          </w:p>
        </w:tc>
        <w:tc>
          <w:tcPr>
            <w:tcW w:w="4590" w:type="dxa"/>
          </w:tcPr>
          <w:p w14:paraId="443F34B1"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Long-term ulcerative colitis data</w:t>
            </w:r>
          </w:p>
        </w:tc>
        <w:tc>
          <w:tcPr>
            <w:tcW w:w="1260" w:type="dxa"/>
          </w:tcPr>
          <w:p w14:paraId="47D5347B"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594B25C7"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32F52DF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02F235EE"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r w:rsidR="00E57B4A" w:rsidRPr="006D7DF9" w14:paraId="1BE0B186" w14:textId="77777777" w:rsidTr="00241B4E">
        <w:trPr>
          <w:trHeight w:val="130"/>
        </w:trPr>
        <w:tc>
          <w:tcPr>
            <w:tcW w:w="1005" w:type="dxa"/>
            <w:vMerge/>
          </w:tcPr>
          <w:p w14:paraId="54D1DAE3" w14:textId="77777777" w:rsidR="001D7755" w:rsidRPr="006D7DF9" w:rsidRDefault="001D7755" w:rsidP="005D7F42">
            <w:pPr>
              <w:rPr>
                <w:rFonts w:asciiTheme="minorHAnsi" w:hAnsiTheme="minorHAnsi"/>
                <w:sz w:val="20"/>
                <w:szCs w:val="20"/>
              </w:rPr>
            </w:pPr>
          </w:p>
        </w:tc>
        <w:tc>
          <w:tcPr>
            <w:tcW w:w="4590" w:type="dxa"/>
          </w:tcPr>
          <w:p w14:paraId="11C7267C" w14:textId="77777777" w:rsidR="001D7755" w:rsidRPr="006D7DF9" w:rsidRDefault="001D7755" w:rsidP="00241B4E">
            <w:pPr>
              <w:ind w:left="0"/>
              <w:rPr>
                <w:rFonts w:asciiTheme="minorHAnsi" w:hAnsiTheme="minorHAnsi"/>
                <w:color w:val="000000"/>
                <w:sz w:val="20"/>
                <w:szCs w:val="20"/>
              </w:rPr>
            </w:pPr>
            <w:r w:rsidRPr="006D7DF9">
              <w:rPr>
                <w:rFonts w:asciiTheme="minorHAnsi" w:hAnsiTheme="minorHAnsi"/>
                <w:color w:val="000000"/>
                <w:sz w:val="20"/>
                <w:szCs w:val="20"/>
              </w:rPr>
              <w:t>Short and long-term uveitis data</w:t>
            </w:r>
          </w:p>
        </w:tc>
        <w:tc>
          <w:tcPr>
            <w:tcW w:w="1260" w:type="dxa"/>
          </w:tcPr>
          <w:p w14:paraId="201C2BBB"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908" w:type="dxa"/>
          </w:tcPr>
          <w:p w14:paraId="73C65FC0"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c>
          <w:tcPr>
            <w:tcW w:w="850" w:type="dxa"/>
          </w:tcPr>
          <w:p w14:paraId="1C543925"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sym w:font="Wingdings" w:char="F0FC"/>
            </w:r>
          </w:p>
        </w:tc>
        <w:tc>
          <w:tcPr>
            <w:tcW w:w="856" w:type="dxa"/>
          </w:tcPr>
          <w:p w14:paraId="66210599" w14:textId="77777777" w:rsidR="001D7755" w:rsidRPr="006D7DF9" w:rsidRDefault="001D7755" w:rsidP="005D7F42">
            <w:pPr>
              <w:rPr>
                <w:rFonts w:asciiTheme="minorHAnsi" w:hAnsiTheme="minorHAnsi"/>
                <w:sz w:val="20"/>
                <w:szCs w:val="20"/>
              </w:rPr>
            </w:pPr>
            <w:r w:rsidRPr="006D7DF9">
              <w:rPr>
                <w:rFonts w:asciiTheme="minorHAnsi" w:hAnsiTheme="minorHAnsi"/>
                <w:sz w:val="20"/>
                <w:szCs w:val="20"/>
              </w:rPr>
              <w:t>–</w:t>
            </w:r>
          </w:p>
        </w:tc>
      </w:tr>
    </w:tbl>
    <w:p w14:paraId="5A8589A3" w14:textId="098222B9" w:rsidR="001D7755" w:rsidRPr="006D7DF9" w:rsidRDefault="001D7755" w:rsidP="006D7DF9">
      <w:pPr>
        <w:pStyle w:val="TableDescription"/>
      </w:pPr>
      <w:r w:rsidRPr="006D7DF9">
        <w:t>^Missing Information removed from the EU RMP version 1.2</w:t>
      </w:r>
      <w:r w:rsidR="00464ADE">
        <w:t xml:space="preserve">; </w:t>
      </w:r>
      <w:r w:rsidRPr="006D7DF9">
        <w:t>^^ Missing Information added to the EU RMP version 1.2</w:t>
      </w:r>
      <w:r w:rsidR="00464ADE">
        <w:t xml:space="preserve">; </w:t>
      </w:r>
      <w:r w:rsidRPr="006D7DF9">
        <w:t>*Added in ASA version 3.0 (dated 14 February 2017).</w:t>
      </w:r>
    </w:p>
    <w:p w14:paraId="4FFE077C" w14:textId="607ACAE1" w:rsidR="001D7755" w:rsidRPr="005D676B" w:rsidRDefault="001D7755" w:rsidP="005D7F42">
      <w:pPr>
        <w:pStyle w:val="ListBullet"/>
      </w:pPr>
      <w:r w:rsidRPr="005D676B">
        <w:t>One additional pharmacovigilance activity is planned</w:t>
      </w:r>
      <w:r w:rsidR="006D7DF9">
        <w:t>:</w:t>
      </w:r>
      <w:r w:rsidR="00464ADE">
        <w:t xml:space="preserve"> </w:t>
      </w:r>
      <w:r w:rsidRPr="005D676B">
        <w:t xml:space="preserve">Study (ABP 501) 20160264: An observational study to evaluate long-term safety of </w:t>
      </w:r>
      <w:proofErr w:type="spellStart"/>
      <w:r w:rsidR="001E6DDC">
        <w:t>Amgevita</w:t>
      </w:r>
      <w:proofErr w:type="spellEnd"/>
      <w:r w:rsidRPr="005D676B">
        <w:t>/</w:t>
      </w:r>
      <w:proofErr w:type="spellStart"/>
      <w:r w:rsidRPr="005D676B">
        <w:t>Solymbic</w:t>
      </w:r>
      <w:proofErr w:type="spellEnd"/>
      <w:r w:rsidRPr="005D676B">
        <w:t xml:space="preserve"> in patients with rheumatoid arthritis. This is a</w:t>
      </w:r>
      <w:r>
        <w:t>n</w:t>
      </w:r>
      <w:r w:rsidRPr="005D676B">
        <w:t xml:space="preserve"> overseas registry</w:t>
      </w:r>
      <w:r w:rsidR="006D7DF9">
        <w:t xml:space="preserve"> </w:t>
      </w:r>
      <w:r w:rsidRPr="005D676B">
        <w:t>based study that will not include Australian patients.</w:t>
      </w:r>
    </w:p>
    <w:p w14:paraId="5F71EEA5" w14:textId="77777777" w:rsidR="001D7755" w:rsidRPr="00164B5F" w:rsidRDefault="001D7755" w:rsidP="005D7F42">
      <w:pPr>
        <w:pStyle w:val="ListBullet"/>
      </w:pPr>
      <w:r>
        <w:t>A</w:t>
      </w:r>
      <w:r w:rsidRPr="00164B5F">
        <w:t>ddition</w:t>
      </w:r>
      <w:r>
        <w:t>al risk minimisation activities include a patient alert card (adult and child), Safety Monograph, TB screening checklist and a</w:t>
      </w:r>
      <w:r w:rsidRPr="002D6D5C">
        <w:t xml:space="preserve"> guide for healthcare professionals prescribing </w:t>
      </w:r>
      <w:proofErr w:type="spellStart"/>
      <w:r w:rsidRPr="006D7DF9">
        <w:t>Amgevita</w:t>
      </w:r>
      <w:proofErr w:type="spellEnd"/>
      <w:r>
        <w:rPr>
          <w:smallCaps/>
        </w:rPr>
        <w:t xml:space="preserve"> </w:t>
      </w:r>
      <w:r w:rsidRPr="00164B5F">
        <w:t>regarding latent tuberculosis</w:t>
      </w:r>
      <w:r>
        <w:t xml:space="preserve"> infection</w:t>
      </w:r>
      <w:r w:rsidRPr="00164B5F">
        <w:t>.</w:t>
      </w:r>
      <w:r>
        <w:t xml:space="preserve"> The activities proposed are the same as those required for the innovator product.</w:t>
      </w:r>
    </w:p>
    <w:p w14:paraId="30DD1E89" w14:textId="77777777" w:rsidR="001D7755" w:rsidRDefault="001D7755" w:rsidP="005D7F42">
      <w:pPr>
        <w:pStyle w:val="Heading4"/>
      </w:pPr>
      <w:bookmarkStart w:id="106" w:name="_Toc477444516"/>
      <w:r>
        <w:t xml:space="preserve">New and outstanding recommendations </w:t>
      </w:r>
      <w:r w:rsidR="006D7DF9">
        <w:t>p</w:t>
      </w:r>
      <w:r>
        <w:t xml:space="preserve">ost </w:t>
      </w:r>
      <w:r w:rsidR="006D7DF9">
        <w:t>second round evaluation</w:t>
      </w:r>
      <w:bookmarkEnd w:id="106"/>
    </w:p>
    <w:p w14:paraId="2DE94B82" w14:textId="77777777" w:rsidR="001D7755" w:rsidRPr="00EC20B1" w:rsidRDefault="001D7755" w:rsidP="006D7DF9">
      <w:r w:rsidRPr="00EC20B1">
        <w:t>There is one minor outstanding issue:</w:t>
      </w:r>
    </w:p>
    <w:p w14:paraId="6A02769E" w14:textId="77777777" w:rsidR="001D7755" w:rsidRPr="00EC20B1" w:rsidRDefault="001D7755" w:rsidP="006D7DF9">
      <w:pPr>
        <w:rPr>
          <w:i/>
        </w:rPr>
      </w:pPr>
      <w:r w:rsidRPr="006D7DF9">
        <w:rPr>
          <w:rStyle w:val="Heading6Char"/>
          <w:rFonts w:eastAsia="Cambria"/>
        </w:rPr>
        <w:t>Recommendation 13:</w:t>
      </w:r>
      <w:r w:rsidRPr="00EC20B1">
        <w:t xml:space="preserve"> As requested, the </w:t>
      </w:r>
      <w:r w:rsidR="006D7DF9">
        <w:t>s</w:t>
      </w:r>
      <w:r w:rsidRPr="00EC20B1">
        <w:t xml:space="preserve">ponsor has added the wording regarding there not being a 10 mg presentation available to the Safety Monograph. However, the placement of this wording is at the very end of the monograph, after all the References and in the paragraph starting with the </w:t>
      </w:r>
      <w:r w:rsidR="006D7DF9">
        <w:t>wording ‘</w:t>
      </w:r>
      <w:r w:rsidRPr="006D7DF9">
        <w:rPr>
          <w:i/>
        </w:rPr>
        <w:t xml:space="preserve">For more information on </w:t>
      </w:r>
      <w:proofErr w:type="spellStart"/>
      <w:r w:rsidR="001E6DDC" w:rsidRPr="006D7DF9">
        <w:rPr>
          <w:i/>
        </w:rPr>
        <w:t>Amgevita</w:t>
      </w:r>
      <w:proofErr w:type="spellEnd"/>
      <w:r w:rsidRPr="006D7DF9">
        <w:rPr>
          <w:i/>
        </w:rPr>
        <w:t xml:space="preserve">, to report any adverse events involving </w:t>
      </w:r>
      <w:proofErr w:type="spellStart"/>
      <w:r w:rsidR="001E6DDC" w:rsidRPr="006D7DF9">
        <w:rPr>
          <w:i/>
        </w:rPr>
        <w:t>Amgevita</w:t>
      </w:r>
      <w:proofErr w:type="spellEnd"/>
      <w:r w:rsidRPr="006D7DF9">
        <w:rPr>
          <w:i/>
        </w:rPr>
        <w:t xml:space="preserve"> or to request additional copies of this material please contact Amgen Medical Information on 1800 803 638</w:t>
      </w:r>
      <w:r w:rsidR="006D7DF9">
        <w:rPr>
          <w:i/>
        </w:rPr>
        <w:t>’</w:t>
      </w:r>
      <w:r w:rsidRPr="00EC20B1">
        <w:t>. It is recommended that the sta</w:t>
      </w:r>
      <w:r>
        <w:t>tement regarding the lack of a 10 </w:t>
      </w:r>
      <w:r w:rsidRPr="00EC20B1">
        <w:t xml:space="preserve">mg presentation be included in </w:t>
      </w:r>
      <w:r w:rsidRPr="006D7DF9">
        <w:rPr>
          <w:i/>
        </w:rPr>
        <w:t>Section 1: Introduction.</w:t>
      </w:r>
    </w:p>
    <w:p w14:paraId="7B8D74AB" w14:textId="77777777" w:rsidR="001D7755" w:rsidRPr="00EC20B1" w:rsidRDefault="001D7755" w:rsidP="005D7F42">
      <w:pPr>
        <w:pStyle w:val="Heading5"/>
      </w:pPr>
      <w:bookmarkStart w:id="107" w:name="_Toc477444517"/>
      <w:r w:rsidRPr="00EC20B1">
        <w:t>Wording for conditions of registration</w:t>
      </w:r>
      <w:bookmarkEnd w:id="107"/>
    </w:p>
    <w:p w14:paraId="7CC1CC30" w14:textId="77777777" w:rsidR="001D7755" w:rsidRPr="00EC20B1" w:rsidRDefault="001D7755" w:rsidP="006D7DF9">
      <w:r w:rsidRPr="00EC20B1">
        <w:t xml:space="preserve">Any changes to which the </w:t>
      </w:r>
      <w:r w:rsidR="006D7DF9">
        <w:t>s</w:t>
      </w:r>
      <w:r w:rsidRPr="00EC20B1">
        <w:t xml:space="preserve">ponsor has agreed should be included in a revised RMP and ASA. However, irrespective of whether or not they are included in the currently available version of the RMP document, the agreed changes become part of the risk management system. </w:t>
      </w:r>
    </w:p>
    <w:p w14:paraId="31C3483F" w14:textId="77777777" w:rsidR="001D7755" w:rsidRPr="00EC20B1" w:rsidRDefault="006829AA" w:rsidP="006D7DF9">
      <w:r>
        <w:t>The s</w:t>
      </w:r>
      <w:r w:rsidR="001D7755" w:rsidRPr="00EC20B1">
        <w:t xml:space="preserve">ponsor has provided an updated ASA (version 3.0) in its response to the </w:t>
      </w:r>
      <w:r>
        <w:t>second r</w:t>
      </w:r>
      <w:r w:rsidR="001D7755" w:rsidRPr="00EC20B1">
        <w:t>ound RMP Evaluation, which has been satisfactorily revised.</w:t>
      </w:r>
    </w:p>
    <w:p w14:paraId="2BB767A3" w14:textId="77777777" w:rsidR="001D7755" w:rsidRPr="00EC20B1" w:rsidRDefault="001D7755" w:rsidP="006D7DF9">
      <w:r w:rsidRPr="00EC20B1">
        <w:t>Therefore the suggested wording is:</w:t>
      </w:r>
    </w:p>
    <w:p w14:paraId="360FAE62" w14:textId="61C5F201" w:rsidR="001D7755" w:rsidRDefault="001D7755" w:rsidP="006D7DF9">
      <w:r w:rsidRPr="00EC20B1">
        <w:t>The EU-RMP (version 1.2, dated November 2016, data lock point 8 May 2015), with Australian Specific Annex (version 3.0, dated 14 February 2017), and any future updates as a condition of registration.</w:t>
      </w:r>
    </w:p>
    <w:p w14:paraId="12A1BB19" w14:textId="77777777" w:rsidR="008E7846" w:rsidRPr="00792A32" w:rsidRDefault="008E7846" w:rsidP="001D7755">
      <w:pPr>
        <w:pStyle w:val="Heading2"/>
      </w:pPr>
      <w:bookmarkStart w:id="108" w:name="_Toc519244665"/>
      <w:r>
        <w:t>VI</w:t>
      </w:r>
      <w:r w:rsidR="00E74A4F">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6"/>
      <w:bookmarkEnd w:id="104"/>
      <w:bookmarkEnd w:id="105"/>
      <w:bookmarkEnd w:id="108"/>
    </w:p>
    <w:p w14:paraId="61936B39" w14:textId="293F22C8" w:rsidR="008E7846" w:rsidRDefault="008E7846" w:rsidP="008E7846">
      <w:bookmarkStart w:id="109" w:name="_Toc247691528"/>
      <w:r>
        <w:t xml:space="preserve">The submission was summarised in the following </w:t>
      </w:r>
      <w:r w:rsidRPr="00EF5C48">
        <w:t xml:space="preserve">Delegate’s </w:t>
      </w:r>
      <w:r>
        <w:t>overview</w:t>
      </w:r>
      <w:r w:rsidRPr="00EF5C48">
        <w:t xml:space="preserve"> and recommendation</w:t>
      </w:r>
      <w:r>
        <w:t>s</w:t>
      </w:r>
      <w:r w:rsidR="00296943">
        <w:t>.</w:t>
      </w:r>
    </w:p>
    <w:p w14:paraId="6F854BEF" w14:textId="77777777" w:rsidR="008E7846" w:rsidRDefault="008E7846" w:rsidP="008E7846">
      <w:pPr>
        <w:pStyle w:val="Heading3"/>
      </w:pPr>
      <w:bookmarkStart w:id="110" w:name="_Toc314842511"/>
      <w:bookmarkStart w:id="111" w:name="_Toc519244666"/>
      <w:r>
        <w:t>Quality</w:t>
      </w:r>
      <w:bookmarkEnd w:id="109"/>
      <w:bookmarkEnd w:id="110"/>
      <w:bookmarkEnd w:id="111"/>
    </w:p>
    <w:p w14:paraId="1E242A4D" w14:textId="76262047" w:rsidR="00C57BDD" w:rsidRPr="00770053" w:rsidRDefault="00770053" w:rsidP="005D7F42">
      <w:bookmarkStart w:id="112" w:name="_Toc314842512"/>
      <w:r w:rsidRPr="00770053">
        <w:t xml:space="preserve">There are no objections on quality grounds to the approval of </w:t>
      </w:r>
      <w:proofErr w:type="spellStart"/>
      <w:r w:rsidR="001E6DDC">
        <w:t>Amgevita</w:t>
      </w:r>
      <w:proofErr w:type="spellEnd"/>
      <w:r w:rsidRPr="00770053">
        <w:t xml:space="preserve"> adalimumab.</w:t>
      </w:r>
      <w:r w:rsidR="005602B8">
        <w:t xml:space="preserve"> </w:t>
      </w:r>
      <w:r w:rsidRPr="00770053">
        <w:t>All issues raised in the initial product summary have been resolved.</w:t>
      </w:r>
    </w:p>
    <w:p w14:paraId="289745B4" w14:textId="43100608" w:rsidR="00770053" w:rsidRPr="00770053" w:rsidRDefault="00770053" w:rsidP="005D7F42">
      <w:r w:rsidRPr="00770053">
        <w:t xml:space="preserve">Based on nonclinical studies submitted and additional information provided by the sponsor in response to questions, all major concerns identified in the </w:t>
      </w:r>
      <w:r w:rsidR="006829AA">
        <w:t>first and second r</w:t>
      </w:r>
      <w:r w:rsidRPr="00770053">
        <w:t>ound nonclinical reports have been resolved. Nonclinical demonstration of comparative in vitro pharmacology, toxicokinetics and toxicity findings between biosimilar adalimumab (referred to herein as ABP</w:t>
      </w:r>
      <w:r w:rsidR="00C57BDD">
        <w:t xml:space="preserve"> </w:t>
      </w:r>
      <w:r w:rsidRPr="00770053">
        <w:t xml:space="preserve">501) and EU and </w:t>
      </w:r>
      <w:r w:rsidR="00511AD7">
        <w:t>US sourced</w:t>
      </w:r>
      <w:r w:rsidRPr="00770053">
        <w:t xml:space="preserve"> </w:t>
      </w:r>
      <w:r w:rsidR="001E6DDC">
        <w:t>Humira</w:t>
      </w:r>
      <w:r w:rsidRPr="00770053">
        <w:t xml:space="preserve"> are generally acceptable and there are no nonclinical objections to registration.</w:t>
      </w:r>
    </w:p>
    <w:p w14:paraId="4E59C3C9" w14:textId="3F92D37C" w:rsidR="00770053" w:rsidRPr="00770053" w:rsidRDefault="00770053" w:rsidP="005D7F42">
      <w:r w:rsidRPr="00770053">
        <w:t>The molecular formula for the predominant adalimumab HC isoform (C-terminal glycine) is C</w:t>
      </w:r>
      <w:r w:rsidRPr="00241B4E">
        <w:rPr>
          <w:vertAlign w:val="subscript"/>
        </w:rPr>
        <w:t>2191</w:t>
      </w:r>
      <w:r w:rsidRPr="00770053">
        <w:t>H</w:t>
      </w:r>
      <w:r w:rsidRPr="00241B4E">
        <w:rPr>
          <w:vertAlign w:val="subscript"/>
        </w:rPr>
        <w:t>3392</w:t>
      </w:r>
      <w:r w:rsidRPr="00770053">
        <w:t>N</w:t>
      </w:r>
      <w:r w:rsidRPr="00241B4E">
        <w:rPr>
          <w:vertAlign w:val="subscript"/>
        </w:rPr>
        <w:t>582</w:t>
      </w:r>
      <w:r w:rsidRPr="00770053">
        <w:t>O</w:t>
      </w:r>
      <w:r w:rsidRPr="00241B4E">
        <w:rPr>
          <w:vertAlign w:val="subscript"/>
        </w:rPr>
        <w:t>677</w:t>
      </w:r>
      <w:r w:rsidRPr="00770053">
        <w:t>S</w:t>
      </w:r>
      <w:r w:rsidRPr="00241B4E">
        <w:rPr>
          <w:vertAlign w:val="subscript"/>
        </w:rPr>
        <w:t>15</w:t>
      </w:r>
      <w:r w:rsidRPr="00770053">
        <w:t>, not including N-linked glycans. The molecular formula for ABP 501 LC is C</w:t>
      </w:r>
      <w:r w:rsidRPr="00241B4E">
        <w:rPr>
          <w:vertAlign w:val="subscript"/>
        </w:rPr>
        <w:t>1027</w:t>
      </w:r>
      <w:r w:rsidRPr="00770053">
        <w:t>H</w:t>
      </w:r>
      <w:r w:rsidRPr="00241B4E">
        <w:rPr>
          <w:vertAlign w:val="subscript"/>
        </w:rPr>
        <w:t>1610</w:t>
      </w:r>
      <w:r w:rsidRPr="00770053">
        <w:t>N</w:t>
      </w:r>
      <w:r w:rsidRPr="00241B4E">
        <w:rPr>
          <w:vertAlign w:val="subscript"/>
        </w:rPr>
        <w:t>282</w:t>
      </w:r>
      <w:r w:rsidRPr="00770053">
        <w:t>O</w:t>
      </w:r>
      <w:r w:rsidRPr="00241B4E">
        <w:rPr>
          <w:vertAlign w:val="subscript"/>
        </w:rPr>
        <w:t>332</w:t>
      </w:r>
      <w:r w:rsidRPr="00770053">
        <w:t>S</w:t>
      </w:r>
      <w:r w:rsidRPr="00241B4E">
        <w:rPr>
          <w:vertAlign w:val="subscript"/>
        </w:rPr>
        <w:t>6</w:t>
      </w:r>
      <w:r w:rsidRPr="00770053">
        <w:t>. The theoretical mass of glycosylated ABP 501 containing 2 N</w:t>
      </w:r>
      <w:r w:rsidR="00834611">
        <w:noBreakHyphen/>
      </w:r>
      <w:r w:rsidRPr="00770053">
        <w:t>linked glycans (1 per HC) is 148,081 Da.</w:t>
      </w:r>
    </w:p>
    <w:p w14:paraId="64B8D51A" w14:textId="7EC820E6" w:rsidR="00770053" w:rsidRPr="00770053" w:rsidRDefault="00770053" w:rsidP="005D7F42">
      <w:r w:rsidRPr="00770053">
        <w:t>The experimentally determined predominant ABP 501 mass is 148,083 Da, which is in agreement with the theoretical value.</w:t>
      </w:r>
    </w:p>
    <w:p w14:paraId="21D4338B" w14:textId="05287DE6" w:rsidR="00770053" w:rsidRPr="00770053" w:rsidRDefault="00770053" w:rsidP="005D7F42">
      <w:r w:rsidRPr="00770053">
        <w:t>ABP</w:t>
      </w:r>
      <w:r w:rsidR="00834611">
        <w:t xml:space="preserve"> </w:t>
      </w:r>
      <w:r w:rsidRPr="00770053">
        <w:t>501 specifically binds to human TNFα and prevents it from binding to TNFα receptor</w:t>
      </w:r>
      <w:r w:rsidR="00834611">
        <w:t> </w:t>
      </w:r>
      <w:r w:rsidRPr="00770053">
        <w:t xml:space="preserve">1 (TNFR1, p55TNFR, or TNFRSF1A) and TNFα receptor 2 (TNFR2, p75TNFR, or TNFRSF1B). The in vitro potency assay is a cell-based apoptosis inhibition assay in which ABP 501 binds to recombinant purified human TNFα and inhibits it from binding to the TNFR and inducing apoptosis. </w:t>
      </w:r>
      <w:r w:rsidR="00B1353B">
        <w:t>ABP 5</w:t>
      </w:r>
      <w:r w:rsidRPr="00770053">
        <w:t>01 also binds FcγRs and induces both antibody</w:t>
      </w:r>
      <w:r w:rsidR="00834611">
        <w:noBreakHyphen/>
      </w:r>
      <w:r w:rsidRPr="00770053">
        <w:t>dependent cell-mediated cytotoxicity (ADCC) and complement-depende</w:t>
      </w:r>
      <w:r w:rsidR="00A44A3E">
        <w:t>nt cytotoxicity (CDC) in vitro.</w:t>
      </w:r>
    </w:p>
    <w:p w14:paraId="64CA20F4" w14:textId="2E0194A2" w:rsidR="00770053" w:rsidRDefault="00770053" w:rsidP="005D7F42">
      <w:r w:rsidRPr="00770053">
        <w:t>The stability data provided was insufficient to justify a 36</w:t>
      </w:r>
      <w:r w:rsidR="006829AA">
        <w:t xml:space="preserve"> </w:t>
      </w:r>
      <w:r w:rsidRPr="00770053">
        <w:t>month expiry period for product stored at 2</w:t>
      </w:r>
      <w:r w:rsidRPr="00770053">
        <w:rPr>
          <w:rFonts w:ascii="Cambria Math" w:hAnsi="Cambria Math" w:cs="Cambria Math"/>
        </w:rPr>
        <w:t>℃</w:t>
      </w:r>
      <w:r w:rsidRPr="00770053">
        <w:t xml:space="preserve"> to 8</w:t>
      </w:r>
      <w:r w:rsidRPr="00770053">
        <w:rPr>
          <w:rFonts w:ascii="Cambria Math" w:hAnsi="Cambria Math" w:cs="Cambria Math"/>
        </w:rPr>
        <w:t>℃</w:t>
      </w:r>
      <w:r w:rsidRPr="00770053">
        <w:t>. Based on the current information provided, the TGA will assign a shelf life of only 6 month at 2</w:t>
      </w:r>
      <w:r w:rsidRPr="00770053">
        <w:rPr>
          <w:rFonts w:ascii="Cambria Math" w:hAnsi="Cambria Math" w:cs="Cambria Math"/>
        </w:rPr>
        <w:t>℃</w:t>
      </w:r>
      <w:r w:rsidRPr="00770053">
        <w:t xml:space="preserve"> to 8</w:t>
      </w:r>
      <w:r w:rsidRPr="00770053">
        <w:rPr>
          <w:rFonts w:ascii="Cambria Math" w:hAnsi="Cambria Math" w:cs="Cambria Math"/>
        </w:rPr>
        <w:t>℃</w:t>
      </w:r>
      <w:r w:rsidRPr="00770053">
        <w:t>. The sponsor has agreed to this condition.</w:t>
      </w:r>
      <w:r w:rsidR="005602B8">
        <w:t xml:space="preserve"> </w:t>
      </w:r>
      <w:r w:rsidRPr="00770053">
        <w:t>Any subsequent application submitted post approval to extend the shelf life beyond 6 months at 2</w:t>
      </w:r>
      <w:r w:rsidR="00834611">
        <w:t xml:space="preserve">°C to </w:t>
      </w:r>
      <w:r w:rsidRPr="00770053">
        <w:t>8°C must include real time stability data supporting the room temperature condition. This study should be performed at worst case scenario.</w:t>
      </w:r>
    </w:p>
    <w:p w14:paraId="395F1917" w14:textId="77777777" w:rsidR="008E7846" w:rsidRDefault="008E7846" w:rsidP="00770053">
      <w:pPr>
        <w:pStyle w:val="Heading3"/>
      </w:pPr>
      <w:bookmarkStart w:id="113" w:name="_Toc519244667"/>
      <w:r>
        <w:t>Nonclinical</w:t>
      </w:r>
      <w:bookmarkEnd w:id="112"/>
      <w:bookmarkEnd w:id="113"/>
    </w:p>
    <w:p w14:paraId="10526924" w14:textId="77777777" w:rsidR="006829AA" w:rsidRDefault="00770053" w:rsidP="005D7F42">
      <w:r w:rsidRPr="00770053">
        <w:t>There were no nonclinical objections to registration of adalimumab (</w:t>
      </w:r>
      <w:proofErr w:type="spellStart"/>
      <w:r w:rsidR="001E6DDC">
        <w:t>Amgevita</w:t>
      </w:r>
      <w:proofErr w:type="spellEnd"/>
      <w:r w:rsidRPr="00770053">
        <w:t>).</w:t>
      </w:r>
    </w:p>
    <w:p w14:paraId="44983F21" w14:textId="2B16E353" w:rsidR="00770053" w:rsidRPr="00770053" w:rsidRDefault="00770053" w:rsidP="005D7F42">
      <w:r w:rsidRPr="00770053">
        <w:t xml:space="preserve">Based on nonclinical studies submitted and additional information provided by the sponsor in response to questions, all major concerns identified in the </w:t>
      </w:r>
      <w:r w:rsidR="006829AA">
        <w:t>first and second r</w:t>
      </w:r>
      <w:r w:rsidRPr="00770053">
        <w:t>ound nonclinical reports have been resolved. Nonclinical demonstration of comparative in vitro pharmacology, toxicokinetics and toxicity findings between A</w:t>
      </w:r>
      <w:r w:rsidR="00834611">
        <w:t xml:space="preserve">BP </w:t>
      </w:r>
      <w:r w:rsidRPr="00770053">
        <w:t xml:space="preserve">501 and EU and </w:t>
      </w:r>
      <w:r w:rsidR="00511AD7">
        <w:t>US sourced</w:t>
      </w:r>
      <w:r w:rsidRPr="00770053">
        <w:t xml:space="preserve"> </w:t>
      </w:r>
      <w:r w:rsidR="001E6DDC">
        <w:t>Humira</w:t>
      </w:r>
      <w:r w:rsidRPr="00770053">
        <w:t xml:space="preserve"> are generally acceptable and there are no nonclinical objections to registration.</w:t>
      </w:r>
    </w:p>
    <w:p w14:paraId="1FBA9F8B" w14:textId="281BBFA5" w:rsidR="00770053" w:rsidRPr="00770053" w:rsidRDefault="00770053" w:rsidP="005D7F42">
      <w:r w:rsidRPr="00770053">
        <w:t>The scope of the nonclinical testing program for ABP</w:t>
      </w:r>
      <w:r w:rsidR="00834611">
        <w:t xml:space="preserve"> </w:t>
      </w:r>
      <w:r w:rsidRPr="00770053">
        <w:t>501 is in general accordance with the relevant accepted guidance on nonclinical testing of similar biological medicinal products</w:t>
      </w:r>
      <w:r w:rsidR="006829AA">
        <w:t>.</w:t>
      </w:r>
      <w:r w:rsidR="006829AA" w:rsidRPr="006829AA">
        <w:rPr>
          <w:vertAlign w:val="superscript"/>
        </w:rPr>
        <w:fldChar w:fldCharType="begin"/>
      </w:r>
      <w:r w:rsidR="006829AA" w:rsidRPr="006829AA">
        <w:rPr>
          <w:vertAlign w:val="superscript"/>
        </w:rPr>
        <w:instrText xml:space="preserve"> NOTEREF _Ref508189482 \h </w:instrText>
      </w:r>
      <w:r w:rsidR="006829AA">
        <w:rPr>
          <w:vertAlign w:val="superscript"/>
        </w:rPr>
        <w:instrText xml:space="preserve"> \* MERGEFORMAT </w:instrText>
      </w:r>
      <w:r w:rsidR="006829AA" w:rsidRPr="006829AA">
        <w:rPr>
          <w:vertAlign w:val="superscript"/>
        </w:rPr>
      </w:r>
      <w:r w:rsidR="006829AA" w:rsidRPr="006829AA">
        <w:rPr>
          <w:vertAlign w:val="superscript"/>
        </w:rPr>
        <w:fldChar w:fldCharType="separate"/>
      </w:r>
      <w:r w:rsidR="00495B1D">
        <w:rPr>
          <w:vertAlign w:val="superscript"/>
        </w:rPr>
        <w:t>2</w:t>
      </w:r>
      <w:r w:rsidR="006829AA" w:rsidRPr="006829AA">
        <w:rPr>
          <w:vertAlign w:val="superscript"/>
        </w:rPr>
        <w:fldChar w:fldCharType="end"/>
      </w:r>
      <w:r w:rsidR="006829AA">
        <w:t xml:space="preserve"> Nonclinical data presented </w:t>
      </w:r>
      <w:r w:rsidRPr="00770053">
        <w:t>consisted of comparative in vitro pharmacology studies on ABP</w:t>
      </w:r>
      <w:r w:rsidR="00834611">
        <w:t xml:space="preserve"> </w:t>
      </w:r>
      <w:r w:rsidRPr="00770053">
        <w:t xml:space="preserve">501 relative to </w:t>
      </w:r>
      <w:r w:rsidR="001E6DDC">
        <w:t>Humira</w:t>
      </w:r>
      <w:r w:rsidRPr="00770053">
        <w:t xml:space="preserve"> comparators. As well, two GLP repeat dose toxicity studies were conducted in cynomolgus monkeys with concomitant toxicokinetic assessments. The sponsor used </w:t>
      </w:r>
      <w:r w:rsidR="0093757C">
        <w:t>EU</w:t>
      </w:r>
      <w:r w:rsidRPr="00770053">
        <w:t xml:space="preserve"> and </w:t>
      </w:r>
      <w:r w:rsidR="0093757C">
        <w:t xml:space="preserve">US </w:t>
      </w:r>
      <w:r w:rsidRPr="00770053">
        <w:t xml:space="preserve">sourced </w:t>
      </w:r>
      <w:r w:rsidR="001E6DDC">
        <w:t>Humira</w:t>
      </w:r>
      <w:r w:rsidRPr="00770053">
        <w:t xml:space="preserve"> as comparators.</w:t>
      </w:r>
    </w:p>
    <w:p w14:paraId="55876712" w14:textId="0B7ACCEA" w:rsidR="00770053" w:rsidRPr="00770053" w:rsidRDefault="00770053" w:rsidP="005D7F42">
      <w:r w:rsidRPr="00770053">
        <w:t>Australian</w:t>
      </w:r>
      <w:r w:rsidR="00834611">
        <w:t xml:space="preserve"> </w:t>
      </w:r>
      <w:r w:rsidRPr="00770053">
        <w:t xml:space="preserve">sourced </w:t>
      </w:r>
      <w:r w:rsidR="001E6DDC">
        <w:t>Humira</w:t>
      </w:r>
      <w:r w:rsidRPr="00770053">
        <w:t xml:space="preserve"> was not used in any of the nonclinical studies and bridging studies were not originally conducted to demonstrate sufficient similarities between the Australian product and comparators, which is required according to TGA guidance on the regulation of biosimilar medicines.</w:t>
      </w:r>
      <w:r w:rsidR="006829AA" w:rsidRPr="006829AA">
        <w:rPr>
          <w:vertAlign w:val="superscript"/>
        </w:rPr>
        <w:fldChar w:fldCharType="begin"/>
      </w:r>
      <w:r w:rsidR="006829AA" w:rsidRPr="006829AA">
        <w:rPr>
          <w:vertAlign w:val="superscript"/>
        </w:rPr>
        <w:instrText xml:space="preserve"> NOTEREF _Ref508189568 \h </w:instrText>
      </w:r>
      <w:r w:rsidR="006829AA">
        <w:rPr>
          <w:vertAlign w:val="superscript"/>
        </w:rPr>
        <w:instrText xml:space="preserve"> \* MERGEFORMAT </w:instrText>
      </w:r>
      <w:r w:rsidR="006829AA" w:rsidRPr="006829AA">
        <w:rPr>
          <w:vertAlign w:val="superscript"/>
        </w:rPr>
      </w:r>
      <w:r w:rsidR="006829AA" w:rsidRPr="006829AA">
        <w:rPr>
          <w:vertAlign w:val="superscript"/>
        </w:rPr>
        <w:fldChar w:fldCharType="separate"/>
      </w:r>
      <w:r w:rsidR="00495B1D">
        <w:rPr>
          <w:vertAlign w:val="superscript"/>
        </w:rPr>
        <w:t>3</w:t>
      </w:r>
      <w:r w:rsidR="006829AA" w:rsidRPr="006829AA">
        <w:rPr>
          <w:vertAlign w:val="superscript"/>
        </w:rPr>
        <w:fldChar w:fldCharType="end"/>
      </w:r>
      <w:r w:rsidRPr="00770053">
        <w:t xml:space="preserve"> The </w:t>
      </w:r>
      <w:r w:rsidR="006829AA">
        <w:t>s</w:t>
      </w:r>
      <w:r w:rsidRPr="00770053">
        <w:t>ponsor cited various reasons for this omission including the possibility that Australian</w:t>
      </w:r>
      <w:r w:rsidR="006829AA">
        <w:t xml:space="preserve"> </w:t>
      </w:r>
      <w:r w:rsidRPr="00770053">
        <w:t xml:space="preserve">sourced </w:t>
      </w:r>
      <w:r w:rsidR="001E6DDC">
        <w:t>Humira</w:t>
      </w:r>
      <w:r w:rsidRPr="00770053">
        <w:t xml:space="preserve"> originates from a supplier common to the </w:t>
      </w:r>
      <w:r w:rsidR="0093757C">
        <w:t>EU</w:t>
      </w:r>
      <w:r w:rsidRPr="00770053">
        <w:t xml:space="preserve"> and </w:t>
      </w:r>
      <w:r w:rsidR="0093757C">
        <w:t xml:space="preserve">US </w:t>
      </w:r>
      <w:r w:rsidRPr="00770053">
        <w:t xml:space="preserve">sourced </w:t>
      </w:r>
      <w:r w:rsidR="001E6DDC">
        <w:t>Humira</w:t>
      </w:r>
      <w:r w:rsidRPr="00770053">
        <w:t>.</w:t>
      </w:r>
    </w:p>
    <w:p w14:paraId="4689F3A2" w14:textId="743B73D6" w:rsidR="00770053" w:rsidRPr="00770053" w:rsidRDefault="00770053" w:rsidP="005D7F42">
      <w:r w:rsidRPr="00770053">
        <w:t xml:space="preserve">Following additional discussions with the </w:t>
      </w:r>
      <w:r w:rsidR="00834611">
        <w:t>q</w:t>
      </w:r>
      <w:r w:rsidRPr="00770053">
        <w:t>uality evaluation area, the sponsor acknowledged the need for bridging studies and submitted an analytical similarit</w:t>
      </w:r>
      <w:r w:rsidR="006829AA">
        <w:t xml:space="preserve">y assessment between Australian </w:t>
      </w:r>
      <w:r w:rsidRPr="00770053">
        <w:t xml:space="preserve">sourced and </w:t>
      </w:r>
      <w:r w:rsidR="0093757C">
        <w:t>EU</w:t>
      </w:r>
      <w:r w:rsidRPr="00770053">
        <w:t xml:space="preserve"> and </w:t>
      </w:r>
      <w:r w:rsidR="0093757C">
        <w:t xml:space="preserve">US </w:t>
      </w:r>
      <w:r w:rsidRPr="00770053">
        <w:t xml:space="preserve">sourced </w:t>
      </w:r>
      <w:r w:rsidR="001E6DDC">
        <w:t>Humira</w:t>
      </w:r>
      <w:r w:rsidRPr="00770053">
        <w:t>. The assessment was concluded to have demonstrated sufficient analytical similarity between the Australian</w:t>
      </w:r>
      <w:r w:rsidR="006829AA">
        <w:t xml:space="preserve"> </w:t>
      </w:r>
      <w:r w:rsidRPr="00770053">
        <w:t xml:space="preserve">sourced product and EU and </w:t>
      </w:r>
      <w:r w:rsidR="00511AD7">
        <w:t>US sourced</w:t>
      </w:r>
      <w:r w:rsidRPr="00770053">
        <w:t xml:space="preserve"> comparators used in the dossier by the </w:t>
      </w:r>
      <w:r w:rsidR="00834611">
        <w:t>q</w:t>
      </w:r>
      <w:r w:rsidR="00834611" w:rsidRPr="00770053">
        <w:t xml:space="preserve">uality </w:t>
      </w:r>
      <w:r w:rsidRPr="00770053">
        <w:t>evaluator, therefore satisfied the TGA</w:t>
      </w:r>
      <w:r w:rsidR="006829AA">
        <w:t xml:space="preserve"> </w:t>
      </w:r>
      <w:r w:rsidRPr="00770053">
        <w:t>mandated requirement of bridging studies.</w:t>
      </w:r>
    </w:p>
    <w:p w14:paraId="35545C61" w14:textId="0D872570" w:rsidR="008E7846" w:rsidRDefault="00770053" w:rsidP="005D7F42">
      <w:r w:rsidRPr="00770053">
        <w:t>Pharmacological activity of ABP</w:t>
      </w:r>
      <w:r w:rsidR="00834611">
        <w:t xml:space="preserve"> </w:t>
      </w:r>
      <w:r w:rsidRPr="00770053">
        <w:t>501</w:t>
      </w:r>
      <w:r w:rsidR="00834611">
        <w:t xml:space="preserve"> </w:t>
      </w:r>
      <w:r w:rsidRPr="00770053">
        <w:t xml:space="preserve">as assessed in a series of in vitro binding and functional </w:t>
      </w:r>
      <w:proofErr w:type="gramStart"/>
      <w:r w:rsidRPr="00770053">
        <w:t>assays,</w:t>
      </w:r>
      <w:proofErr w:type="gramEnd"/>
      <w:r w:rsidRPr="00770053">
        <w:t xml:space="preserve"> was generally comparable to </w:t>
      </w:r>
      <w:r w:rsidR="001E6DDC">
        <w:t>Humira</w:t>
      </w:r>
      <w:r w:rsidRPr="00770053">
        <w:t xml:space="preserve"> comparators. In response to a question</w:t>
      </w:r>
      <w:r w:rsidR="006829AA">
        <w:t>,</w:t>
      </w:r>
      <w:r w:rsidRPr="00770053">
        <w:t xml:space="preserve"> new data showed apoptotic activity ascribed to reverse signalling (potentially relevant to extrapolation of IBD indications) by ABP</w:t>
      </w:r>
      <w:r w:rsidR="00834611">
        <w:t xml:space="preserve"> </w:t>
      </w:r>
      <w:r w:rsidRPr="00770053">
        <w:t xml:space="preserve">501were comparable to </w:t>
      </w:r>
      <w:r w:rsidR="001E6DDC">
        <w:t>Humira</w:t>
      </w:r>
      <w:r w:rsidRPr="00770053">
        <w:t xml:space="preserve"> comparators. A few subtle differences for some of the characteristics were likely limitations of the study designs per se, rather than a reflection of pharmacologically relevant differences between the biosimilar and </w:t>
      </w:r>
      <w:r w:rsidR="001E6DDC">
        <w:t>Humira</w:t>
      </w:r>
      <w:r w:rsidRPr="00770053">
        <w:t xml:space="preserve"> comparators.</w:t>
      </w:r>
    </w:p>
    <w:p w14:paraId="0068B681" w14:textId="77777777" w:rsidR="008E7846" w:rsidRDefault="008E7846" w:rsidP="008E7846">
      <w:pPr>
        <w:pStyle w:val="Heading3"/>
      </w:pPr>
      <w:bookmarkStart w:id="114" w:name="_Toc247691530"/>
      <w:bookmarkStart w:id="115" w:name="_Toc314842513"/>
      <w:bookmarkStart w:id="116" w:name="_Toc519244668"/>
      <w:r>
        <w:t>Clinical</w:t>
      </w:r>
      <w:bookmarkEnd w:id="114"/>
      <w:bookmarkEnd w:id="115"/>
      <w:bookmarkEnd w:id="116"/>
    </w:p>
    <w:p w14:paraId="4C2E2E5B" w14:textId="77777777" w:rsidR="00770053" w:rsidRDefault="00770053" w:rsidP="005D7F42">
      <w:r>
        <w:t xml:space="preserve">There were no clinical objections to approval for all current indications of </w:t>
      </w:r>
      <w:r w:rsidR="001E6DDC">
        <w:t>Humira</w:t>
      </w:r>
      <w:r>
        <w:t>,</w:t>
      </w:r>
      <w:r w:rsidR="005602B8">
        <w:t xml:space="preserve"> </w:t>
      </w:r>
      <w:r>
        <w:t xml:space="preserve">dependent on the satisfactory response to the evaluator questions, the agreement to implement an appropriate risk management plan, and a favourable assessment by the quality, </w:t>
      </w:r>
      <w:r w:rsidR="006829AA">
        <w:t>nonclinical</w:t>
      </w:r>
      <w:r>
        <w:t xml:space="preserve"> and RMP evaluators.</w:t>
      </w:r>
    </w:p>
    <w:p w14:paraId="22B53B71" w14:textId="77777777" w:rsidR="00770053" w:rsidRDefault="00770053" w:rsidP="005D7F42">
      <w:r>
        <w:t xml:space="preserve">Three clinical studies comparing </w:t>
      </w:r>
      <w:proofErr w:type="spellStart"/>
      <w:r w:rsidR="001E6DDC">
        <w:t>Amgevita</w:t>
      </w:r>
      <w:proofErr w:type="spellEnd"/>
      <w:r>
        <w:t xml:space="preserve"> to the reference product, </w:t>
      </w:r>
      <w:r w:rsidR="001E6DDC">
        <w:t>Humira</w:t>
      </w:r>
      <w:r>
        <w:t xml:space="preserve"> were submitted:</w:t>
      </w:r>
    </w:p>
    <w:p w14:paraId="1DB632DF" w14:textId="2F0D6F6F" w:rsidR="00770053" w:rsidRDefault="00770053" w:rsidP="00241B4E">
      <w:pPr>
        <w:pStyle w:val="ListBullet"/>
      </w:pPr>
      <w:r>
        <w:t xml:space="preserve">Study 20110217: a </w:t>
      </w:r>
      <w:r w:rsidR="009B5B83">
        <w:t>Phase I</w:t>
      </w:r>
      <w:r>
        <w:t>, 3</w:t>
      </w:r>
      <w:r w:rsidR="009B5B83">
        <w:t xml:space="preserve"> </w:t>
      </w:r>
      <w:r>
        <w:t xml:space="preserve">arm parallel </w:t>
      </w:r>
      <w:proofErr w:type="gramStart"/>
      <w:r>
        <w:t>group</w:t>
      </w:r>
      <w:proofErr w:type="gramEnd"/>
      <w:r>
        <w:t>, randomised, single</w:t>
      </w:r>
      <w:r w:rsidR="009B5B83">
        <w:t xml:space="preserve"> </w:t>
      </w:r>
      <w:r>
        <w:t>blind, single</w:t>
      </w:r>
      <w:r w:rsidR="009B5B83">
        <w:t xml:space="preserve"> </w:t>
      </w:r>
      <w:r>
        <w:t>dose PK similarity study that compared ABP 501</w:t>
      </w:r>
      <w:r w:rsidR="00834611">
        <w:t xml:space="preserve"> </w:t>
      </w:r>
      <w:r>
        <w:t>(</w:t>
      </w:r>
      <w:proofErr w:type="spellStart"/>
      <w:r w:rsidR="00834611">
        <w:t>Amgevita</w:t>
      </w:r>
      <w:proofErr w:type="spellEnd"/>
      <w:r>
        <w:t>) to adalimumab (US) and adalimumab (EU</w:t>
      </w:r>
      <w:r w:rsidR="00A44A3E">
        <w:t>) in 203 healthy men and women.</w:t>
      </w:r>
    </w:p>
    <w:p w14:paraId="71CA6029" w14:textId="77777777" w:rsidR="00770053" w:rsidRDefault="00770053" w:rsidP="00241B4E">
      <w:pPr>
        <w:pStyle w:val="ListBullet"/>
      </w:pPr>
      <w:r>
        <w:t xml:space="preserve">Study 20120262: a </w:t>
      </w:r>
      <w:r w:rsidR="009B5B83">
        <w:t>P</w:t>
      </w:r>
      <w:r>
        <w:t xml:space="preserve">hase </w:t>
      </w:r>
      <w:r w:rsidR="009B5B83">
        <w:t>III</w:t>
      </w:r>
      <w:r>
        <w:t>, double</w:t>
      </w:r>
      <w:r w:rsidR="009B5B83">
        <w:t xml:space="preserve"> </w:t>
      </w:r>
      <w:r>
        <w:t>blind, randomised, active comparator</w:t>
      </w:r>
      <w:r w:rsidR="009B5B83">
        <w:t xml:space="preserve"> </w:t>
      </w:r>
      <w:r>
        <w:t>controlled study in 526 subjects with moderate to severe rheumatoid arthritis with concomitant methotrexate and oral corticosteroid use evaluating the efficacy and safety of ABP 501 compared with adalimumab (US).</w:t>
      </w:r>
    </w:p>
    <w:p w14:paraId="7BD80C36" w14:textId="1AAB4718" w:rsidR="00770053" w:rsidRDefault="00770053" w:rsidP="00241B4E">
      <w:pPr>
        <w:pStyle w:val="ListBullet"/>
      </w:pPr>
      <w:r>
        <w:t xml:space="preserve">Study 20120263: a </w:t>
      </w:r>
      <w:r w:rsidR="009B5B83">
        <w:t>P</w:t>
      </w:r>
      <w:r>
        <w:t xml:space="preserve">hase </w:t>
      </w:r>
      <w:r w:rsidR="009B5B83">
        <w:t>III</w:t>
      </w:r>
      <w:r>
        <w:t>, double</w:t>
      </w:r>
      <w:r w:rsidR="00834611">
        <w:t xml:space="preserve"> </w:t>
      </w:r>
      <w:r>
        <w:t>blind, randomised, active comparator</w:t>
      </w:r>
      <w:r w:rsidR="009B5B83">
        <w:t xml:space="preserve"> </w:t>
      </w:r>
      <w:r>
        <w:t>controlled study in 350 subjects with moderate to severe psoriasis with no concomitant medications allowed for the treatment of psoriasis evaluating the efficacy and safety of ABP 501 compared with adalimumab (EU).</w:t>
      </w:r>
    </w:p>
    <w:p w14:paraId="2A59759F" w14:textId="77777777" w:rsidR="00770053" w:rsidRDefault="00770053" w:rsidP="00A44A3E">
      <w:r>
        <w:t xml:space="preserve">At the request of the regulatory authority in Japan the sponsor agreed to perform another PK study to determine the PK bioequivalence of </w:t>
      </w:r>
      <w:proofErr w:type="spellStart"/>
      <w:r w:rsidR="001E6DDC">
        <w:t>Amgevita</w:t>
      </w:r>
      <w:proofErr w:type="spellEnd"/>
      <w:r w:rsidR="005602B8">
        <w:t xml:space="preserve"> </w:t>
      </w:r>
      <w:r>
        <w:t>and adalimumab in 179 healthy adult Japanese subjects. No results for this study were submitted with the current application.</w:t>
      </w:r>
    </w:p>
    <w:p w14:paraId="45020DEF" w14:textId="77777777" w:rsidR="00770053" w:rsidRDefault="00770053" w:rsidP="005D7F42">
      <w:pPr>
        <w:pStyle w:val="Heading4"/>
      </w:pPr>
      <w:r>
        <w:t>Pharmacology</w:t>
      </w:r>
    </w:p>
    <w:p w14:paraId="7ADD5400" w14:textId="384D496A" w:rsidR="00770053" w:rsidRDefault="00770053" w:rsidP="00770053">
      <w:r>
        <w:t xml:space="preserve">Pharmacokinetic </w:t>
      </w:r>
      <w:r w:rsidR="009B5B83">
        <w:t xml:space="preserve">(PK) </w:t>
      </w:r>
      <w:r>
        <w:t>data were available from each of the submitted studies.</w:t>
      </w:r>
      <w:r w:rsidR="005602B8">
        <w:t xml:space="preserve"> </w:t>
      </w:r>
      <w:r>
        <w:t>Bioequivalence with respect to C</w:t>
      </w:r>
      <w:r w:rsidRPr="009B5B83">
        <w:rPr>
          <w:vertAlign w:val="subscript"/>
        </w:rPr>
        <w:t>max</w:t>
      </w:r>
      <w:r>
        <w:t xml:space="preserve"> and AUC of subcutaneously administered </w:t>
      </w:r>
      <w:r w:rsidR="001E6DDC">
        <w:t>Humira</w:t>
      </w:r>
      <w:r>
        <w:t xml:space="preserve"> sourced from the USA and sourced from the EU with </w:t>
      </w:r>
      <w:proofErr w:type="spellStart"/>
      <w:r w:rsidR="001E6DDC">
        <w:t>Amgevita</w:t>
      </w:r>
      <w:proofErr w:type="spellEnd"/>
      <w:r>
        <w:t xml:space="preserve"> was demonstrated in </w:t>
      </w:r>
      <w:r w:rsidR="009B5B83">
        <w:t>S</w:t>
      </w:r>
      <w:r>
        <w:t>tudy</w:t>
      </w:r>
      <w:r w:rsidR="0058642E">
        <w:t> 20110</w:t>
      </w:r>
      <w:r>
        <w:t>217.</w:t>
      </w:r>
      <w:r w:rsidR="005602B8">
        <w:t xml:space="preserve"> </w:t>
      </w:r>
      <w:r>
        <w:t>Subgroup and sensitivity analyses also supported bioequivalence.</w:t>
      </w:r>
      <w:r w:rsidR="005602B8">
        <w:t xml:space="preserve"> </w:t>
      </w:r>
      <w:r>
        <w:t>This study is described in the CER</w:t>
      </w:r>
      <w:r w:rsidR="009B5B83">
        <w:t xml:space="preserve"> (</w:t>
      </w:r>
      <w:r w:rsidR="0058642E">
        <w:t xml:space="preserve">see </w:t>
      </w:r>
      <w:r w:rsidR="009B5B83">
        <w:t>Attachment 2)</w:t>
      </w:r>
      <w:r>
        <w:t>.</w:t>
      </w:r>
    </w:p>
    <w:p w14:paraId="17EC7D76" w14:textId="71E931CE" w:rsidR="00770053" w:rsidRDefault="00770053" w:rsidP="00770053">
      <w:r>
        <w:t>Pop</w:t>
      </w:r>
      <w:r w:rsidR="009B5B83">
        <w:t>ulation Pk (Pop</w:t>
      </w:r>
      <w:r>
        <w:t>PK</w:t>
      </w:r>
      <w:r w:rsidR="009B5B83">
        <w:t>)</w:t>
      </w:r>
      <w:r>
        <w:t xml:space="preserve"> data were available from multiple dose studies in patie</w:t>
      </w:r>
      <w:r w:rsidR="009B5B83">
        <w:t xml:space="preserve">nts with rheumatoid arthritis (Study </w:t>
      </w:r>
      <w:r w:rsidR="0058642E">
        <w:t>20120</w:t>
      </w:r>
      <w:r w:rsidR="009B5B83">
        <w:t>262) and psoriasis (S</w:t>
      </w:r>
      <w:r>
        <w:t xml:space="preserve">tudy </w:t>
      </w:r>
      <w:r w:rsidR="0058642E">
        <w:t>20120</w:t>
      </w:r>
      <w:r>
        <w:t>263).</w:t>
      </w:r>
      <w:r w:rsidR="005602B8">
        <w:t xml:space="preserve"> </w:t>
      </w:r>
      <w:r>
        <w:t>Mean summary trough concentrations over time for test and reference adalimumab products are shown in the CER</w:t>
      </w:r>
      <w:r w:rsidR="009B5B83">
        <w:t xml:space="preserve"> (</w:t>
      </w:r>
      <w:r w:rsidR="0058642E">
        <w:t xml:space="preserve">see </w:t>
      </w:r>
      <w:r w:rsidR="009B5B83">
        <w:t>Attachment 2)</w:t>
      </w:r>
      <w:r>
        <w:t>.</w:t>
      </w:r>
    </w:p>
    <w:p w14:paraId="6695DC46" w14:textId="77777777" w:rsidR="00770053" w:rsidRDefault="00770053" w:rsidP="005D7F42">
      <w:pPr>
        <w:pStyle w:val="Heading4"/>
      </w:pPr>
      <w:r>
        <w:t>Efficacy</w:t>
      </w:r>
    </w:p>
    <w:p w14:paraId="1E30636A" w14:textId="46F99970" w:rsidR="00770053" w:rsidRDefault="00770053" w:rsidP="00770053">
      <w:r>
        <w:t xml:space="preserve">Study </w:t>
      </w:r>
      <w:r w:rsidR="0058642E">
        <w:t>20120</w:t>
      </w:r>
      <w:r>
        <w:t>262 was a double</w:t>
      </w:r>
      <w:r w:rsidR="009B5B83">
        <w:t xml:space="preserve"> </w:t>
      </w:r>
      <w:r>
        <w:t>blind, parallel</w:t>
      </w:r>
      <w:r w:rsidR="009B5B83">
        <w:t xml:space="preserve"> </w:t>
      </w:r>
      <w:r>
        <w:t>group, randomised, active comparator</w:t>
      </w:r>
      <w:r w:rsidR="009B5B83">
        <w:t xml:space="preserve"> </w:t>
      </w:r>
      <w:r>
        <w:t xml:space="preserve">controlled, equivalence study in 526 adalimumab-naïve subjects with moderate to severe </w:t>
      </w:r>
      <w:r w:rsidR="009B5B83">
        <w:t>RA</w:t>
      </w:r>
      <w:r>
        <w:t>.</w:t>
      </w:r>
      <w:r w:rsidR="005602B8">
        <w:t xml:space="preserve"> </w:t>
      </w:r>
      <w:r>
        <w:t>Subjects also received stable doses of methotrexate (</w:t>
      </w:r>
      <w:r w:rsidRPr="00241B4E">
        <w:t>MTX) and</w:t>
      </w:r>
      <w:r>
        <w:t xml:space="preserve"> stable doses of oral corticosteroid were permitted.</w:t>
      </w:r>
      <w:r w:rsidR="005602B8">
        <w:t xml:space="preserve"> </w:t>
      </w:r>
      <w:r>
        <w:t xml:space="preserve">Efficacy and safety of </w:t>
      </w:r>
      <w:proofErr w:type="spellStart"/>
      <w:r w:rsidR="001E6DDC">
        <w:t>Amgevita</w:t>
      </w:r>
      <w:proofErr w:type="spellEnd"/>
      <w:r>
        <w:t xml:space="preserve"> was compared with </w:t>
      </w:r>
      <w:r w:rsidR="001E6DDC">
        <w:t>Humira</w:t>
      </w:r>
      <w:r>
        <w:t xml:space="preserve"> (US). This study is described in the CER</w:t>
      </w:r>
      <w:r w:rsidR="009B5B83">
        <w:t xml:space="preserve"> (</w:t>
      </w:r>
      <w:r w:rsidR="0058642E">
        <w:t xml:space="preserve">see </w:t>
      </w:r>
      <w:r w:rsidR="009B5B83">
        <w:t>Attachment 2)</w:t>
      </w:r>
      <w:r>
        <w:t>. Study duration was up to 30</w:t>
      </w:r>
      <w:r w:rsidR="0058642E">
        <w:t> </w:t>
      </w:r>
      <w:r>
        <w:t>weeks</w:t>
      </w:r>
      <w:r w:rsidR="005602B8">
        <w:t xml:space="preserve"> </w:t>
      </w:r>
      <w:r>
        <w:t>comprised: up to 4 weeks for</w:t>
      </w:r>
      <w:r w:rsidR="005602B8">
        <w:t xml:space="preserve"> </w:t>
      </w:r>
      <w:r>
        <w:t>screening and randomisation; a 22</w:t>
      </w:r>
      <w:r w:rsidR="009B5B83">
        <w:t xml:space="preserve"> </w:t>
      </w:r>
      <w:r>
        <w:t>week double</w:t>
      </w:r>
      <w:r w:rsidR="009B5B83">
        <w:t xml:space="preserve"> </w:t>
      </w:r>
      <w:r>
        <w:t>blind dosing period with assessment of the primary efficacy endpoint 2 weeks after the last dose in the double blind period (</w:t>
      </w:r>
      <w:r w:rsidR="009B5B83">
        <w:t>W</w:t>
      </w:r>
      <w:r>
        <w:t>eek-24); and a safety follow-up period for 2 weeks after the last dose of adalimumab.</w:t>
      </w:r>
    </w:p>
    <w:p w14:paraId="4162A842" w14:textId="02BDCDBC" w:rsidR="00770053" w:rsidRDefault="00770053" w:rsidP="00770053">
      <w:r>
        <w:t>The main inclusion criteria wer</w:t>
      </w:r>
      <w:r w:rsidR="00BA7BA6">
        <w:t xml:space="preserve">e: adults with active RA (2010 </w:t>
      </w:r>
      <w:r w:rsidR="009B5B83" w:rsidRPr="009B5B83">
        <w:t xml:space="preserve">American College of Rheumatology </w:t>
      </w:r>
      <w:r w:rsidR="00BA7BA6">
        <w:t>(A</w:t>
      </w:r>
      <w:r>
        <w:t>CR</w:t>
      </w:r>
      <w:r w:rsidR="00BA7BA6">
        <w:t>)</w:t>
      </w:r>
      <w:r>
        <w:t xml:space="preserve"> or </w:t>
      </w:r>
      <w:r w:rsidR="009B5B83" w:rsidRPr="009B5B83">
        <w:t xml:space="preserve">European League Against Rheumatism </w:t>
      </w:r>
      <w:r w:rsidR="009B5B83">
        <w:t>(</w:t>
      </w:r>
      <w:r>
        <w:t>EULAR</w:t>
      </w:r>
      <w:r w:rsidR="009B5B83">
        <w:t>)</w:t>
      </w:r>
      <w:r>
        <w:t xml:space="preserve"> criteria for moderate to severe RA) for at least 3 months; positive for rheumatoid factor or </w:t>
      </w:r>
      <w:r w:rsidR="0058642E">
        <w:t>a</w:t>
      </w:r>
      <w:r w:rsidR="0058642E" w:rsidRPr="00BA7BA6">
        <w:t>nti</w:t>
      </w:r>
      <w:r w:rsidR="00BA7BA6" w:rsidRPr="00BA7BA6">
        <w:t xml:space="preserve">-cyclic citrullinated peptide </w:t>
      </w:r>
      <w:r w:rsidR="00BA7BA6">
        <w:t>(</w:t>
      </w:r>
      <w:r>
        <w:t>anti-CCP</w:t>
      </w:r>
      <w:r w:rsidR="00BA7BA6">
        <w:t>)</w:t>
      </w:r>
      <w:r>
        <w:t>; and receipt of MTX for ≥ 12 weeks and on a stable dose for ≥</w:t>
      </w:r>
      <w:r w:rsidR="009B5B83">
        <w:t xml:space="preserve"> </w:t>
      </w:r>
      <w:r>
        <w:t>8 weeks prior to administration of study drug.</w:t>
      </w:r>
      <w:r w:rsidR="005602B8">
        <w:t xml:space="preserve"> </w:t>
      </w:r>
      <w:r>
        <w:t>Notable exclusion criteria were: prior use of ≥</w:t>
      </w:r>
      <w:r w:rsidR="009B5B83">
        <w:t xml:space="preserve"> </w:t>
      </w:r>
      <w:r>
        <w:t xml:space="preserve">2 biological therapies; and prior use of </w:t>
      </w:r>
      <w:r w:rsidR="001E6DDC">
        <w:t>Humira</w:t>
      </w:r>
      <w:r>
        <w:t xml:space="preserve"> or of a biosimilar adalimumab.</w:t>
      </w:r>
    </w:p>
    <w:p w14:paraId="00DDC226" w14:textId="77777777" w:rsidR="00770053" w:rsidRDefault="00770053" w:rsidP="00770053">
      <w:r>
        <w:t xml:space="preserve">Subjects received either </w:t>
      </w:r>
      <w:proofErr w:type="spellStart"/>
      <w:r w:rsidR="001E6DDC">
        <w:t>Amgevita</w:t>
      </w:r>
      <w:proofErr w:type="spellEnd"/>
      <w:r>
        <w:t xml:space="preserve"> 40 mg SC or </w:t>
      </w:r>
      <w:r w:rsidR="001E6DDC">
        <w:t>Humira</w:t>
      </w:r>
      <w:r w:rsidR="00BA7BA6">
        <w:t xml:space="preserve"> 40 mg SC on D</w:t>
      </w:r>
      <w:r>
        <w:t xml:space="preserve">ay 1 and every 2 weeks (± 3 day dose window, </w:t>
      </w:r>
      <w:r w:rsidR="00BA7BA6">
        <w:t>for example,</w:t>
      </w:r>
      <w:r>
        <w:t xml:space="preserve"> in case of infection) until </w:t>
      </w:r>
      <w:r w:rsidR="00BA7BA6">
        <w:t>W</w:t>
      </w:r>
      <w:r>
        <w:t>eek 22. Subjects continued on a stable dose of MTX (≥ 7.5 mg/week, oral, or SC) unless side effects required a lower dose. Oral corticosteroid at a dose of ≤ 10 mg prednisone (or equivalent) per day was permitted provided the subject was on a stable dose for 4 weeks or more prior to initiation of study treatment.</w:t>
      </w:r>
    </w:p>
    <w:p w14:paraId="566DDAEF" w14:textId="2350A638" w:rsidR="00770053" w:rsidRDefault="00770053" w:rsidP="00770053">
      <w:r>
        <w:t xml:space="preserve">The primary efficacy endpoint was the risk ratio (RR) of ACR20 at </w:t>
      </w:r>
      <w:r w:rsidR="00BA7BA6">
        <w:t>W</w:t>
      </w:r>
      <w:r>
        <w:t>eek 24.</w:t>
      </w:r>
      <w:r w:rsidR="005602B8">
        <w:t xml:space="preserve"> </w:t>
      </w:r>
      <w:r>
        <w:t>The AC</w:t>
      </w:r>
      <w:r w:rsidR="0058642E">
        <w:t>R</w:t>
      </w:r>
      <w:r>
        <w:t>20 is widely used in clinical rheumatology trials and presents at least a 20% improvement in a</w:t>
      </w:r>
      <w:r w:rsidR="005602B8">
        <w:t xml:space="preserve"> </w:t>
      </w:r>
      <w:r>
        <w:t xml:space="preserve">core set of measures assessing RA symptoms. Secondary efficacy endpoints included: change from </w:t>
      </w:r>
      <w:r w:rsidR="0058642E">
        <w:t xml:space="preserve">Baseline </w:t>
      </w:r>
      <w:r>
        <w:t>in Disease Activity Score 28-CRP</w:t>
      </w:r>
      <w:r w:rsidR="0058642E">
        <w:t xml:space="preserve"> (DAS28-CRP)</w:t>
      </w:r>
      <w:r>
        <w:t xml:space="preserve">; RR of ACR20 responses at </w:t>
      </w:r>
      <w:r w:rsidR="00BA7BA6">
        <w:t>W</w:t>
      </w:r>
      <w:r>
        <w:t xml:space="preserve">eeks 2 and 8; and RR of ACR50 and ACR70 responses at </w:t>
      </w:r>
      <w:r w:rsidR="00BA7BA6">
        <w:t>W</w:t>
      </w:r>
      <w:r>
        <w:t>eek 24.</w:t>
      </w:r>
    </w:p>
    <w:p w14:paraId="4F74E654" w14:textId="4E99AF9D" w:rsidR="00770053" w:rsidRDefault="00770053" w:rsidP="00770053">
      <w:r>
        <w:t>The primary efficacy analysis was of the</w:t>
      </w:r>
      <w:r w:rsidR="00BA7BA6">
        <w:t xml:space="preserve"> intent-to-treat (</w:t>
      </w:r>
      <w:r>
        <w:t>ITT</w:t>
      </w:r>
      <w:r w:rsidR="00BA7BA6">
        <w:t>)</w:t>
      </w:r>
      <w:r>
        <w:t xml:space="preserve"> population.</w:t>
      </w:r>
      <w:r w:rsidR="005602B8">
        <w:t xml:space="preserve"> </w:t>
      </w:r>
      <w:proofErr w:type="gramStart"/>
      <w:r>
        <w:t>The per</w:t>
      </w:r>
      <w:proofErr w:type="gramEnd"/>
      <w:r w:rsidR="0058642E">
        <w:t xml:space="preserve"> </w:t>
      </w:r>
      <w:r>
        <w:t>protocol analysis was a sensitivity analysis for selected key efficacy endpoints.</w:t>
      </w:r>
      <w:r w:rsidR="005602B8">
        <w:t xml:space="preserve"> </w:t>
      </w:r>
      <w:r w:rsidR="00BA7BA6">
        <w:t>Last observation carried forward (</w:t>
      </w:r>
      <w:r>
        <w:t>LOCF</w:t>
      </w:r>
      <w:r w:rsidR="00BA7BA6">
        <w:t>)</w:t>
      </w:r>
      <w:r>
        <w:t xml:space="preserve"> was used to accommodate missing data.</w:t>
      </w:r>
      <w:r w:rsidR="005602B8">
        <w:t xml:space="preserve"> </w:t>
      </w:r>
      <w:r>
        <w:t>Clinical equivalence was to be concluded if the 90% CI for ACR20 RR was (0.738, 1/0.738).</w:t>
      </w:r>
      <w:r w:rsidR="005602B8">
        <w:t xml:space="preserve"> </w:t>
      </w:r>
      <w:r>
        <w:t>The equivalence margin was calculated using methodology as suggested by the FDA draft guidance for industry</w:t>
      </w:r>
      <w:r w:rsidR="0058642E">
        <w:t xml:space="preserve"> and is accepted.</w:t>
      </w:r>
      <w:r w:rsidR="00BA7BA6">
        <w:rPr>
          <w:rStyle w:val="FootnoteReference"/>
        </w:rPr>
        <w:footnoteReference w:id="15"/>
      </w:r>
      <w:r w:rsidR="005602B8">
        <w:t xml:space="preserve"> </w:t>
      </w:r>
      <w:r>
        <w:t xml:space="preserve">A detailed discussion of the methodology is in </w:t>
      </w:r>
      <w:r w:rsidR="00BA7BA6">
        <w:t xml:space="preserve">the </w:t>
      </w:r>
      <w:r w:rsidR="0058642E">
        <w:t xml:space="preserve">statistical </w:t>
      </w:r>
      <w:r>
        <w:t>methods in the CER</w:t>
      </w:r>
      <w:r w:rsidR="00BA7BA6">
        <w:t xml:space="preserve"> </w:t>
      </w:r>
      <w:r w:rsidR="00BA7BA6" w:rsidRPr="00BA7BA6">
        <w:t>(</w:t>
      </w:r>
      <w:r w:rsidR="0058642E">
        <w:t xml:space="preserve">see </w:t>
      </w:r>
      <w:r w:rsidR="00BA7BA6" w:rsidRPr="00BA7BA6">
        <w:t>Attachment 2)</w:t>
      </w:r>
      <w:r>
        <w:t>.</w:t>
      </w:r>
    </w:p>
    <w:p w14:paraId="52B51236" w14:textId="49576B48" w:rsidR="00770053" w:rsidRDefault="00770053" w:rsidP="00770053">
      <w:r>
        <w:t>A total of 526 subjects (264</w:t>
      </w:r>
      <w:r w:rsidR="005602B8">
        <w:t xml:space="preserve"> </w:t>
      </w:r>
      <w:proofErr w:type="spellStart"/>
      <w:r w:rsidR="001E6DDC">
        <w:t>Amgevita</w:t>
      </w:r>
      <w:proofErr w:type="spellEnd"/>
      <w:r>
        <w:t xml:space="preserve">, 262 </w:t>
      </w:r>
      <w:proofErr w:type="spellStart"/>
      <w:r w:rsidR="001E6DDC">
        <w:t>Humira</w:t>
      </w:r>
      <w:proofErr w:type="spellEnd"/>
      <w:r>
        <w:t xml:space="preserve">) were enrolled, randomised and received at least 1 dose of investigational product. 494 subjects (93.9%) completed the study. The groups had similar demographic and disease characteristics at </w:t>
      </w:r>
      <w:r w:rsidR="0058642E">
        <w:t>Baseline</w:t>
      </w:r>
      <w:r>
        <w:t>.</w:t>
      </w:r>
      <w:r w:rsidR="005602B8">
        <w:t xml:space="preserve"> </w:t>
      </w:r>
      <w:r>
        <w:t>Mean age was 55.9 years (</w:t>
      </w:r>
      <w:r w:rsidR="0058642E">
        <w:t>range,</w:t>
      </w:r>
      <w:r>
        <w:t xml:space="preserve"> 21 </w:t>
      </w:r>
      <w:r w:rsidR="0058642E">
        <w:t>to</w:t>
      </w:r>
      <w:r>
        <w:t xml:space="preserve"> 80 years) and 81.0% were female.</w:t>
      </w:r>
      <w:r w:rsidR="005602B8">
        <w:t xml:space="preserve"> </w:t>
      </w:r>
      <w:r>
        <w:t xml:space="preserve">Mean duration of RA was 9.39 years. Mean baseline ACR scores were not provided however mean baseline DAS28-CRP (a disease activity score using C-reactive protein) was from 5.59 and 5.7 in the 2 treatment groups. 91.8% were positive for rheumatoid factor. More than 70% of subjects had not received a biological therapy for RA prior to this study, approximately half had been using oral corticosteroids and more than 60% had been using </w:t>
      </w:r>
      <w:r w:rsidR="00BA7BA6">
        <w:t>non-steroidal anti-inflammatory drugs (</w:t>
      </w:r>
      <w:r>
        <w:t>NSAIDs</w:t>
      </w:r>
      <w:r w:rsidR="00BA7BA6">
        <w:t>)</w:t>
      </w:r>
      <w:r>
        <w:t xml:space="preserve">. The mean dose of MTX was 16.89 mg/week </w:t>
      </w:r>
      <w:proofErr w:type="spellStart"/>
      <w:r w:rsidR="001E6DDC">
        <w:t>Amgevita</w:t>
      </w:r>
      <w:proofErr w:type="spellEnd"/>
      <w:r>
        <w:t xml:space="preserve"> </w:t>
      </w:r>
      <w:r w:rsidR="007C0B86">
        <w:t>versus</w:t>
      </w:r>
      <w:r>
        <w:t xml:space="preserve"> 16.56 mg/week </w:t>
      </w:r>
      <w:r w:rsidR="001E6DDC">
        <w:t>Humira</w:t>
      </w:r>
      <w:r>
        <w:t>.</w:t>
      </w:r>
    </w:p>
    <w:p w14:paraId="07887876" w14:textId="0D7B8509" w:rsidR="00770053" w:rsidRDefault="00770053" w:rsidP="00770053">
      <w:r>
        <w:t>Results were within the pre-defined limits for equivalence.</w:t>
      </w:r>
      <w:r w:rsidR="005602B8">
        <w:t xml:space="preserve"> </w:t>
      </w:r>
      <w:r>
        <w:t xml:space="preserve">At </w:t>
      </w:r>
      <w:r w:rsidR="005C0570">
        <w:t>W</w:t>
      </w:r>
      <w:r>
        <w:t xml:space="preserve">eek 24, 74.6% of subjects (194/260) given </w:t>
      </w:r>
      <w:proofErr w:type="spellStart"/>
      <w:r w:rsidR="001E6DDC">
        <w:t>Amgevita</w:t>
      </w:r>
      <w:proofErr w:type="spellEnd"/>
      <w:r>
        <w:t xml:space="preserve"> and </w:t>
      </w:r>
      <w:proofErr w:type="gramStart"/>
      <w:r>
        <w:t>72.4%</w:t>
      </w:r>
      <w:proofErr w:type="gramEnd"/>
      <w:r>
        <w:t xml:space="preserve">(189/261) given </w:t>
      </w:r>
      <w:r w:rsidR="001E6DDC">
        <w:t>Humira</w:t>
      </w:r>
      <w:r>
        <w:t xml:space="preserve"> met the ACR20 response criteria. The RR of ACR20 for </w:t>
      </w:r>
      <w:proofErr w:type="spellStart"/>
      <w:r w:rsidR="001E6DDC">
        <w:t>Amgevita</w:t>
      </w:r>
      <w:proofErr w:type="spellEnd"/>
      <w:r>
        <w:t xml:space="preserve">/ </w:t>
      </w:r>
      <w:proofErr w:type="spellStart"/>
      <w:r w:rsidR="001E6DDC">
        <w:t>Humira</w:t>
      </w:r>
      <w:proofErr w:type="spellEnd"/>
      <w:r>
        <w:t xml:space="preserve"> was 1.039 (2-sided 90% CI:</w:t>
      </w:r>
      <w:r w:rsidR="00BA7BA6">
        <w:t xml:space="preserve"> </w:t>
      </w:r>
      <w:r>
        <w:t>0.954, 1.133). This was within the predefined equivalence margin of (0.738, 1/0.738).</w:t>
      </w:r>
      <w:r w:rsidR="005602B8">
        <w:t xml:space="preserve"> </w:t>
      </w:r>
      <w:r>
        <w:t>Clinical equivalence was also demonstrated in the p</w:t>
      </w:r>
      <w:r w:rsidR="00B436C5">
        <w:t xml:space="preserve">er </w:t>
      </w:r>
      <w:r>
        <w:t xml:space="preserve">protocol analysis: RR of ACR20 at </w:t>
      </w:r>
      <w:r w:rsidR="005C0570">
        <w:t>W</w:t>
      </w:r>
      <w:r>
        <w:t xml:space="preserve">eek 24 was 1.009 (90% CI: 0.927, 1.098; 95% CI: 0.912, 1.115). Secondary efficacy endpoint results are shown in the CER </w:t>
      </w:r>
      <w:r w:rsidR="005C0570" w:rsidRPr="005C0570">
        <w:t>(</w:t>
      </w:r>
      <w:r w:rsidR="00B436C5">
        <w:t xml:space="preserve">see </w:t>
      </w:r>
      <w:r w:rsidR="005C0570" w:rsidRPr="005C0570">
        <w:t>Attachment 2)</w:t>
      </w:r>
      <w:r w:rsidR="005C0570">
        <w:t xml:space="preserve"> </w:t>
      </w:r>
      <w:r>
        <w:t xml:space="preserve">and also support clinical similarity of clinical outcomes for </w:t>
      </w:r>
      <w:proofErr w:type="spellStart"/>
      <w:r w:rsidR="001E6DDC">
        <w:t>Amgevita</w:t>
      </w:r>
      <w:proofErr w:type="spellEnd"/>
      <w:r>
        <w:t xml:space="preserve"> and </w:t>
      </w:r>
      <w:proofErr w:type="spellStart"/>
      <w:r w:rsidR="001E6DDC">
        <w:t>Humira</w:t>
      </w:r>
      <w:proofErr w:type="spellEnd"/>
      <w:r>
        <w:t>.</w:t>
      </w:r>
    </w:p>
    <w:p w14:paraId="19820E5A" w14:textId="56AB6875" w:rsidR="00770053" w:rsidRDefault="00770053" w:rsidP="00770053">
      <w:r>
        <w:t xml:space="preserve">Study </w:t>
      </w:r>
      <w:r w:rsidR="00B436C5">
        <w:t>20120</w:t>
      </w:r>
      <w:r>
        <w:t>263</w:t>
      </w:r>
      <w:r w:rsidR="005602B8">
        <w:t xml:space="preserve"> </w:t>
      </w:r>
      <w:r>
        <w:t>was a double</w:t>
      </w:r>
      <w:r w:rsidR="00B436C5">
        <w:t xml:space="preserve"> </w:t>
      </w:r>
      <w:r>
        <w:t>blind</w:t>
      </w:r>
      <w:r w:rsidR="005C0570">
        <w:t xml:space="preserve">, randomised, active comparator </w:t>
      </w:r>
      <w:r>
        <w:t>controlled study in 350 subjects with moderate to severe psoriasis. This study comprised:</w:t>
      </w:r>
    </w:p>
    <w:p w14:paraId="2D6D511D" w14:textId="08D34792" w:rsidR="00770053" w:rsidRDefault="00770053" w:rsidP="005D7F42">
      <w:pPr>
        <w:pStyle w:val="ListBullet"/>
      </w:pPr>
      <w:r>
        <w:t>a screening period of up to 4 weeks;</w:t>
      </w:r>
    </w:p>
    <w:p w14:paraId="55CD84C6" w14:textId="77777777" w:rsidR="00770053" w:rsidRDefault="00770053" w:rsidP="005D7F42">
      <w:pPr>
        <w:pStyle w:val="ListBullet"/>
      </w:pPr>
      <w:proofErr w:type="gramStart"/>
      <w:r>
        <w:t>a</w:t>
      </w:r>
      <w:proofErr w:type="gramEnd"/>
      <w:r>
        <w:t xml:space="preserve"> double-blind period of 14 weeks in which subjects received either </w:t>
      </w:r>
      <w:proofErr w:type="spellStart"/>
      <w:r w:rsidR="001E6DDC">
        <w:t>Amgevita</w:t>
      </w:r>
      <w:proofErr w:type="spellEnd"/>
      <w:r>
        <w:t xml:space="preserve"> or </w:t>
      </w:r>
      <w:proofErr w:type="spellStart"/>
      <w:r w:rsidR="001E6DDC">
        <w:t>Humira</w:t>
      </w:r>
      <w:proofErr w:type="spellEnd"/>
      <w:r>
        <w:t xml:space="preserve"> (sourced from the EU).</w:t>
      </w:r>
      <w:r w:rsidR="005602B8">
        <w:t xml:space="preserve"> </w:t>
      </w:r>
      <w:r>
        <w:t xml:space="preserve">The primary efficacy assessment was 2 weeks after the last dose of study drug at </w:t>
      </w:r>
      <w:r w:rsidR="005C0570">
        <w:t>W</w:t>
      </w:r>
      <w:r>
        <w:t xml:space="preserve">eek 16; </w:t>
      </w:r>
    </w:p>
    <w:p w14:paraId="486B8575" w14:textId="65CE72E2" w:rsidR="00770053" w:rsidRDefault="00770053" w:rsidP="005D7F42">
      <w:pPr>
        <w:pStyle w:val="ListBullet"/>
      </w:pPr>
      <w:proofErr w:type="gramStart"/>
      <w:r>
        <w:t>re-randomisation</w:t>
      </w:r>
      <w:proofErr w:type="gramEnd"/>
      <w:r>
        <w:t xml:space="preserve"> of subjects who were PASI</w:t>
      </w:r>
      <w:r w:rsidR="00B436C5">
        <w:t xml:space="preserve"> </w:t>
      </w:r>
      <w:r>
        <w:t>50 responders (defined as ≥</w:t>
      </w:r>
      <w:r w:rsidR="00B436C5">
        <w:t xml:space="preserve"> </w:t>
      </w:r>
      <w:r>
        <w:t xml:space="preserve">50% improvement) at </w:t>
      </w:r>
      <w:r w:rsidR="005C0570">
        <w:t>W</w:t>
      </w:r>
      <w:r>
        <w:t>eek 16.</w:t>
      </w:r>
      <w:r w:rsidR="005602B8">
        <w:t xml:space="preserve"> </w:t>
      </w:r>
      <w:r>
        <w:t xml:space="preserve">Subjects initially randomised to </w:t>
      </w:r>
      <w:r w:rsidR="001E6DDC">
        <w:t>Humira</w:t>
      </w:r>
      <w:r>
        <w:t xml:space="preserve"> re-randomised to either continue </w:t>
      </w:r>
      <w:r w:rsidR="001E6DDC">
        <w:t>Humira</w:t>
      </w:r>
      <w:r>
        <w:t xml:space="preserve"> or switch to </w:t>
      </w:r>
      <w:proofErr w:type="spellStart"/>
      <w:r w:rsidR="001E6DDC">
        <w:t>Amgevita</w:t>
      </w:r>
      <w:proofErr w:type="spellEnd"/>
      <w:r>
        <w:t>.</w:t>
      </w:r>
      <w:r w:rsidR="005602B8">
        <w:t xml:space="preserve"> </w:t>
      </w:r>
      <w:r>
        <w:t xml:space="preserve">Subjects initially randomised to </w:t>
      </w:r>
      <w:proofErr w:type="spellStart"/>
      <w:r w:rsidR="001E6DDC">
        <w:t>Amgevita</w:t>
      </w:r>
      <w:proofErr w:type="spellEnd"/>
      <w:r>
        <w:t xml:space="preserve"> continued treatment. Subjects were then followed for a further 34 weeks of blinded treatment;</w:t>
      </w:r>
    </w:p>
    <w:p w14:paraId="5FEBB810" w14:textId="78D11553" w:rsidR="00770053" w:rsidRDefault="00770053" w:rsidP="005D7F42">
      <w:pPr>
        <w:pStyle w:val="ListBullet"/>
      </w:pPr>
      <w:proofErr w:type="gramStart"/>
      <w:r>
        <w:t>final</w:t>
      </w:r>
      <w:proofErr w:type="gramEnd"/>
      <w:r>
        <w:t xml:space="preserve"> efficacy assessment at </w:t>
      </w:r>
      <w:r w:rsidR="005C0570">
        <w:t>W</w:t>
      </w:r>
      <w:r>
        <w:t xml:space="preserve">eek 50 (2 weeks after last dose of study drug) and final safety assessment at </w:t>
      </w:r>
      <w:r w:rsidR="005C0570">
        <w:t>W</w:t>
      </w:r>
      <w:r>
        <w:t>eek 52.</w:t>
      </w:r>
    </w:p>
    <w:p w14:paraId="7101207E" w14:textId="2AFFC30E" w:rsidR="005C0570" w:rsidRDefault="00770053" w:rsidP="00770053">
      <w:r>
        <w:t>The main inclusion criteria were: adults with stable moderate to severe plaque psoriasis for at least 6 months; psoriasis affecting ≥</w:t>
      </w:r>
      <w:r w:rsidR="005C0570">
        <w:t xml:space="preserve"> </w:t>
      </w:r>
      <w:r>
        <w:t>10% BSA with Psoriasis Area and Severity Index (PASI) ≥</w:t>
      </w:r>
      <w:r w:rsidR="005C0570">
        <w:t xml:space="preserve"> </w:t>
      </w:r>
      <w:r>
        <w:t>12 and static Physician’s Global Assessment</w:t>
      </w:r>
      <w:r w:rsidR="00A2040D">
        <w:t xml:space="preserve"> </w:t>
      </w:r>
      <w:r>
        <w:t>(</w:t>
      </w:r>
      <w:proofErr w:type="spellStart"/>
      <w:r>
        <w:t>sPGA</w:t>
      </w:r>
      <w:proofErr w:type="spellEnd"/>
      <w:r>
        <w:t>) ≥</w:t>
      </w:r>
      <w:r w:rsidR="005C0570">
        <w:t xml:space="preserve"> </w:t>
      </w:r>
      <w:r>
        <w:t>3 and failure of at least 1</w:t>
      </w:r>
      <w:r w:rsidR="00B436C5">
        <w:t> </w:t>
      </w:r>
      <w:r>
        <w:t>conventional anti-psoriatic systemic therapy.</w:t>
      </w:r>
      <w:r w:rsidR="005602B8">
        <w:t xml:space="preserve"> </w:t>
      </w:r>
      <w:r>
        <w:t>The PASI combines assessment of the severity of lesions and the area affected into a single score in the range 0 (no disease) to 72 (maximal disease). Details of its calculation are included in the CER</w:t>
      </w:r>
      <w:r w:rsidR="005C0570">
        <w:t xml:space="preserve"> </w:t>
      </w:r>
      <w:r w:rsidR="005C0570" w:rsidRPr="005C0570">
        <w:t>(</w:t>
      </w:r>
      <w:r w:rsidR="00B436C5">
        <w:t xml:space="preserve">see </w:t>
      </w:r>
      <w:r w:rsidR="005C0570" w:rsidRPr="005C0570">
        <w:t>Attachment 2)</w:t>
      </w:r>
      <w:r>
        <w:t>.</w:t>
      </w:r>
    </w:p>
    <w:p w14:paraId="53486414" w14:textId="77777777" w:rsidR="00770053" w:rsidRDefault="00770053" w:rsidP="00770053">
      <w:r>
        <w:t>The major exclusion criteria were:</w:t>
      </w:r>
      <w:r w:rsidR="005602B8">
        <w:t xml:space="preserve"> </w:t>
      </w:r>
      <w:proofErr w:type="spellStart"/>
      <w:r>
        <w:t>erythrodermic</w:t>
      </w:r>
      <w:proofErr w:type="spellEnd"/>
      <w:r>
        <w:t xml:space="preserve"> psoriasis, pustular psoriasis, </w:t>
      </w:r>
      <w:proofErr w:type="spellStart"/>
      <w:r>
        <w:t>guttate</w:t>
      </w:r>
      <w:proofErr w:type="spellEnd"/>
      <w:r>
        <w:t xml:space="preserve"> psoriasis, medication-induced psoriasis, or other skin conditions at the time of the screening visit (</w:t>
      </w:r>
      <w:r w:rsidR="005C0570">
        <w:t>for example,</w:t>
      </w:r>
      <w:r>
        <w:t xml:space="preserve"> eczema); and previously use of 2 or more biological agents for treatment of psoriasis; previous use of</w:t>
      </w:r>
      <w:r w:rsidR="005602B8">
        <w:t xml:space="preserve"> </w:t>
      </w:r>
      <w:r>
        <w:t>adalimumab, or a biosimilar of adalimumab.</w:t>
      </w:r>
    </w:p>
    <w:p w14:paraId="1B343919" w14:textId="3C2E6714" w:rsidR="00770053" w:rsidRDefault="00770053" w:rsidP="00770053">
      <w:r>
        <w:t>The dose regimen</w:t>
      </w:r>
      <w:r w:rsidR="005602B8">
        <w:t xml:space="preserve"> </w:t>
      </w:r>
      <w:r>
        <w:t xml:space="preserve">of adalimumab in both study groups was the recommended regimen for </w:t>
      </w:r>
      <w:proofErr w:type="gramStart"/>
      <w:r>
        <w:t>psoriasis</w:t>
      </w:r>
      <w:r w:rsidR="005C0570">
        <w:t>, that</w:t>
      </w:r>
      <w:proofErr w:type="gramEnd"/>
      <w:r w:rsidR="005C0570">
        <w:t xml:space="preserve"> is</w:t>
      </w:r>
      <w:r>
        <w:t xml:space="preserve"> an initial loading dose of 80 mg SC on Week 1/Day 1, followed by 40 mg SC every other week starting 1 week after the loading dose (Week 2 and every 2 weeks thereafter).</w:t>
      </w:r>
    </w:p>
    <w:p w14:paraId="3D7F21CA" w14:textId="2878D39C" w:rsidR="00770053" w:rsidRDefault="00770053" w:rsidP="00770053">
      <w:r>
        <w:t xml:space="preserve">The primary efficacy endpoint was the PASI percent improvement from </w:t>
      </w:r>
      <w:r w:rsidR="00B436C5">
        <w:t xml:space="preserve">Baseline </w:t>
      </w:r>
      <w:r>
        <w:t xml:space="preserve">at </w:t>
      </w:r>
      <w:r w:rsidR="005C0570">
        <w:t>W</w:t>
      </w:r>
      <w:r>
        <w:t>eek 16. Equivalence was assessed only for the primary efficacy endpoint.</w:t>
      </w:r>
      <w:r w:rsidR="005602B8">
        <w:t xml:space="preserve"> </w:t>
      </w:r>
      <w:r>
        <w:t xml:space="preserve">The primary analysis was of the ITT population and used LOCF for missing data. </w:t>
      </w:r>
      <w:proofErr w:type="gramStart"/>
      <w:r>
        <w:t xml:space="preserve">The </w:t>
      </w:r>
      <w:r w:rsidR="005C0570">
        <w:t>per</w:t>
      </w:r>
      <w:proofErr w:type="gramEnd"/>
      <w:r w:rsidR="00B436C5">
        <w:t xml:space="preserve"> </w:t>
      </w:r>
      <w:r w:rsidR="005C0570">
        <w:t>protocol (</w:t>
      </w:r>
      <w:r>
        <w:t>PP</w:t>
      </w:r>
      <w:r w:rsidR="005C0570">
        <w:t>)</w:t>
      </w:r>
      <w:r>
        <w:t xml:space="preserve"> analysis was provided and the equivalence margin provided for both ITT and PP analyses. Clinical equivalence of the primary endpoint was evaluated by comparing the 2-sided 95% CI of using a pre-specified equivalence margin of (-15, 15). The 2-sided 95% CI of the group difference was estimated using an </w:t>
      </w:r>
      <w:r w:rsidR="005C0570">
        <w:t>Analysis of Covariance (</w:t>
      </w:r>
      <w:r>
        <w:t>ANCOVA</w:t>
      </w:r>
      <w:r w:rsidR="005C0570">
        <w:t>)</w:t>
      </w:r>
      <w:r>
        <w:t xml:space="preserve"> model. Covariates were baseline PASI score and stratification factors (geographic region and prior biologic use for psoriasis).</w:t>
      </w:r>
    </w:p>
    <w:p w14:paraId="51401494" w14:textId="224C4F28" w:rsidR="00770053" w:rsidRDefault="00770053" w:rsidP="00770053">
      <w:r>
        <w:t>The equivalence margin was calculating using similar methodology t</w:t>
      </w:r>
      <w:r w:rsidR="005C0570">
        <w:t>o that of S</w:t>
      </w:r>
      <w:r>
        <w:t>tudy</w:t>
      </w:r>
      <w:r w:rsidR="00B436C5">
        <w:t> 20120</w:t>
      </w:r>
      <w:r>
        <w:t>262.</w:t>
      </w:r>
      <w:r w:rsidR="005602B8">
        <w:t xml:space="preserve"> </w:t>
      </w:r>
      <w:r>
        <w:t>Briefly, from published studies in psoriasis the point estimate of the mean difference of PASI percentage improvement between placebo and adalimumab was determined to be 60.4% with an 80% confidence interval of (57.98, 62.82). The non</w:t>
      </w:r>
      <w:r w:rsidR="0028421B">
        <w:noBreakHyphen/>
      </w:r>
      <w:r>
        <w:t>inferiority side of the equivalence margin was calculated using half of the lower 80% confidence bound (57.98%/2 = 28.99% rounded to 29%). Consequently, -29% would be the lower bound of the equivalence margin, and +29% the upper bound (on a linear scale). However, the sponsor reduced the margin furt</w:t>
      </w:r>
      <w:r w:rsidR="005C0570">
        <w:t>her from ±29% to ±15% based on ‘</w:t>
      </w:r>
      <w:r w:rsidRPr="005C0570">
        <w:rPr>
          <w:i/>
        </w:rPr>
        <w:t>clinical judgment</w:t>
      </w:r>
      <w:r w:rsidR="005C0570" w:rsidRPr="005C0570">
        <w:rPr>
          <w:i/>
        </w:rPr>
        <w:t>’</w:t>
      </w:r>
      <w:r>
        <w:t xml:space="preserve"> and </w:t>
      </w:r>
      <w:r w:rsidR="005C0570">
        <w:t>‘</w:t>
      </w:r>
      <w:r w:rsidRPr="005C0570">
        <w:rPr>
          <w:i/>
        </w:rPr>
        <w:t>for additional clinical rigor in showing no clinically meaningful differences</w:t>
      </w:r>
      <w:r w:rsidR="005C0570" w:rsidRPr="005C0570">
        <w:rPr>
          <w:i/>
        </w:rPr>
        <w:t>’</w:t>
      </w:r>
      <w:r>
        <w:t>.</w:t>
      </w:r>
    </w:p>
    <w:p w14:paraId="22625592" w14:textId="77777777" w:rsidR="00770053" w:rsidRDefault="00770053" w:rsidP="001E2643">
      <w:pPr>
        <w:keepNext/>
      </w:pPr>
      <w:r>
        <w:t>Secondary efficacy endpoints were:</w:t>
      </w:r>
    </w:p>
    <w:p w14:paraId="317999C8" w14:textId="64857976" w:rsidR="00770053" w:rsidRDefault="00770053" w:rsidP="005D7F42">
      <w:pPr>
        <w:pStyle w:val="ListBullet"/>
      </w:pPr>
      <w:r>
        <w:t xml:space="preserve">PASI 75 response at </w:t>
      </w:r>
      <w:r w:rsidR="0028421B">
        <w:t xml:space="preserve">Weeks </w:t>
      </w:r>
      <w:r>
        <w:t>16, 32, and 50</w:t>
      </w:r>
    </w:p>
    <w:p w14:paraId="210D5C09" w14:textId="6F918C17" w:rsidR="00770053" w:rsidRDefault="00770053" w:rsidP="005D7F42">
      <w:pPr>
        <w:pStyle w:val="ListBullet"/>
      </w:pPr>
      <w:r>
        <w:t xml:space="preserve">PASI percent improvement from </w:t>
      </w:r>
      <w:r w:rsidR="0028421B">
        <w:t xml:space="preserve">Baseline </w:t>
      </w:r>
      <w:r>
        <w:t xml:space="preserve">at </w:t>
      </w:r>
      <w:r w:rsidR="005C0570">
        <w:t>W</w:t>
      </w:r>
      <w:r>
        <w:t>eeks 32 and 50</w:t>
      </w:r>
    </w:p>
    <w:p w14:paraId="18907899" w14:textId="77777777" w:rsidR="00770053" w:rsidRDefault="00770053" w:rsidP="005D7F42">
      <w:pPr>
        <w:pStyle w:val="ListBullet"/>
      </w:pPr>
      <w:proofErr w:type="spellStart"/>
      <w:r>
        <w:t>sPGA</w:t>
      </w:r>
      <w:proofErr w:type="spellEnd"/>
      <w:r>
        <w:t xml:space="preserve"> responses (0/1) at </w:t>
      </w:r>
      <w:r w:rsidR="005C0570">
        <w:t>W</w:t>
      </w:r>
      <w:r>
        <w:t>eeks 16, 32, and 50</w:t>
      </w:r>
    </w:p>
    <w:p w14:paraId="796F4950" w14:textId="7C2BFC2C" w:rsidR="00770053" w:rsidRDefault="00770053" w:rsidP="005D7F42">
      <w:pPr>
        <w:pStyle w:val="ListBullet"/>
      </w:pPr>
      <w:r>
        <w:t xml:space="preserve">BSA involvement at </w:t>
      </w:r>
      <w:r w:rsidR="005C0570">
        <w:t>W</w:t>
      </w:r>
      <w:r>
        <w:t>eeks 16, 32, and 50</w:t>
      </w:r>
      <w:r w:rsidR="0028421B">
        <w:t>.</w:t>
      </w:r>
    </w:p>
    <w:p w14:paraId="3D5C8A0F" w14:textId="60B94BFE" w:rsidR="00770053" w:rsidRDefault="00770053" w:rsidP="00770053">
      <w:r>
        <w:t xml:space="preserve">A total of 350 subjects were randomised and 326 (93.1%) completed the study to </w:t>
      </w:r>
      <w:r w:rsidR="005C0570">
        <w:t>W</w:t>
      </w:r>
      <w:r>
        <w:t>eek 16 with data from 345 subjects included in the primary analysis of efficacy.</w:t>
      </w:r>
      <w:r w:rsidR="005602B8">
        <w:t xml:space="preserve"> </w:t>
      </w:r>
      <w:r>
        <w:t>The two treatment groups were balanced with respect to demographic and disease characteristics.</w:t>
      </w:r>
      <w:r w:rsidR="005602B8">
        <w:t xml:space="preserve"> </w:t>
      </w:r>
      <w:r>
        <w:t>Mean age was 44.6 years (</w:t>
      </w:r>
      <w:r w:rsidR="0028421B">
        <w:t xml:space="preserve">range, </w:t>
      </w:r>
      <w:r>
        <w:t>18 to 74 years), 65.1% were male, and 92.6% were Caucasian. The mean duration since diagnosis of psoriasis was 20.09 years,</w:t>
      </w:r>
      <w:r w:rsidR="005602B8">
        <w:t xml:space="preserve"> </w:t>
      </w:r>
      <w:r>
        <w:t>mean PASI score was 20.08 (a PASI score &gt; 20 is considered severe disease) and the mean BSA affected by psoriasis was 26.9%. A total of</w:t>
      </w:r>
      <w:r w:rsidR="005602B8">
        <w:t xml:space="preserve"> </w:t>
      </w:r>
      <w:r>
        <w:t>82.0% of subjects (287/350) had prior biological agent use for psoriasis, 75.1% (263/350) had prior use of systemic or phototherapies, but only 10.3% (36/350) had been using concomitant topical steroids.</w:t>
      </w:r>
    </w:p>
    <w:p w14:paraId="22292F01" w14:textId="6B2C8955" w:rsidR="00770053" w:rsidRDefault="00770053" w:rsidP="00770053">
      <w:r>
        <w:t>Results were within the pre-defined limits for equivalence.</w:t>
      </w:r>
      <w:r w:rsidR="005602B8">
        <w:t xml:space="preserve"> </w:t>
      </w:r>
      <w:r>
        <w:t xml:space="preserve">For the ITT analysis, at </w:t>
      </w:r>
      <w:r w:rsidR="0028421B">
        <w:t xml:space="preserve">Baseline, </w:t>
      </w:r>
      <w:r>
        <w:t xml:space="preserve">mean PASI scores were 19.85 for subjects given </w:t>
      </w:r>
      <w:proofErr w:type="spellStart"/>
      <w:r w:rsidR="001E6DDC">
        <w:t>Amgevita</w:t>
      </w:r>
      <w:proofErr w:type="spellEnd"/>
      <w:r>
        <w:t xml:space="preserve"> (</w:t>
      </w:r>
      <w:r w:rsidR="0028421B">
        <w:t xml:space="preserve">n </w:t>
      </w:r>
      <w:r>
        <w:t>=</w:t>
      </w:r>
      <w:r w:rsidR="0028421B">
        <w:t xml:space="preserve"> </w:t>
      </w:r>
      <w:r>
        <w:t xml:space="preserve">175) and from 20.34 for subjects given </w:t>
      </w:r>
      <w:r w:rsidR="001E6DDC">
        <w:t>Humira</w:t>
      </w:r>
      <w:r>
        <w:t xml:space="preserve"> (n</w:t>
      </w:r>
      <w:r w:rsidR="0028421B">
        <w:t xml:space="preserve"> </w:t>
      </w:r>
      <w:r>
        <w:t>=</w:t>
      </w:r>
      <w:r w:rsidR="0028421B">
        <w:t xml:space="preserve"> </w:t>
      </w:r>
      <w:r>
        <w:t>175).</w:t>
      </w:r>
      <w:r w:rsidR="005602B8">
        <w:t xml:space="preserve"> </w:t>
      </w:r>
      <w:r>
        <w:t xml:space="preserve">At </w:t>
      </w:r>
      <w:r w:rsidR="005C0570">
        <w:t>W</w:t>
      </w:r>
      <w:r>
        <w:t xml:space="preserve">eek 16 mean PASI scores were 3.74 for subjects given </w:t>
      </w:r>
      <w:proofErr w:type="spellStart"/>
      <w:r w:rsidR="001E6DDC">
        <w:t>Amgevita</w:t>
      </w:r>
      <w:proofErr w:type="spellEnd"/>
      <w:r>
        <w:t xml:space="preserve"> (n</w:t>
      </w:r>
      <w:r w:rsidR="0028421B">
        <w:t xml:space="preserve"> </w:t>
      </w:r>
      <w:r>
        <w:t>=</w:t>
      </w:r>
      <w:r w:rsidR="0028421B">
        <w:t xml:space="preserve"> </w:t>
      </w:r>
      <w:r>
        <w:t xml:space="preserve">172, an 80.91% reduction) and 3.29 for subjects given </w:t>
      </w:r>
      <w:r w:rsidR="001E6DDC">
        <w:t>Humira</w:t>
      </w:r>
      <w:r>
        <w:t xml:space="preserve"> (n</w:t>
      </w:r>
      <w:r w:rsidR="0028421B">
        <w:t xml:space="preserve"> </w:t>
      </w:r>
      <w:r>
        <w:t>=</w:t>
      </w:r>
      <w:r w:rsidR="0028421B">
        <w:t xml:space="preserve"> </w:t>
      </w:r>
      <w:r>
        <w:t>173; an 83.06% reduction).</w:t>
      </w:r>
      <w:r w:rsidR="005602B8">
        <w:t xml:space="preserve"> </w:t>
      </w:r>
      <w:r>
        <w:t xml:space="preserve">The treatment difference for % improvement in mean PASI score from </w:t>
      </w:r>
      <w:r w:rsidR="0028421B">
        <w:t xml:space="preserve">Baseline </w:t>
      </w:r>
      <w:r>
        <w:t xml:space="preserve">to </w:t>
      </w:r>
      <w:r w:rsidR="005C0570">
        <w:t>Week 16</w:t>
      </w:r>
      <w:r>
        <w:t xml:space="preserve"> was -2.18 (95%</w:t>
      </w:r>
      <w:r w:rsidR="0028421B">
        <w:t xml:space="preserve"> </w:t>
      </w:r>
      <w:r>
        <w:t>CI -7.39, 3.02). The PP analysis (</w:t>
      </w:r>
      <w:r w:rsidR="0028421B">
        <w:t xml:space="preserve">observed </w:t>
      </w:r>
      <w:r>
        <w:t xml:space="preserve">data) also demonstrated clinical equivalence with the PASI % improvement from </w:t>
      </w:r>
      <w:r w:rsidR="0028421B">
        <w:t xml:space="preserve">Baseline </w:t>
      </w:r>
      <w:r>
        <w:t xml:space="preserve">82.62% for </w:t>
      </w:r>
      <w:proofErr w:type="spellStart"/>
      <w:r w:rsidR="001E6DDC">
        <w:t>Amgevita</w:t>
      </w:r>
      <w:proofErr w:type="spellEnd"/>
      <w:r>
        <w:t xml:space="preserve"> and 85.34% for </w:t>
      </w:r>
      <w:r w:rsidR="001E6DDC">
        <w:t>Humira</w:t>
      </w:r>
      <w:r>
        <w:t>.</w:t>
      </w:r>
      <w:r w:rsidR="005602B8">
        <w:t xml:space="preserve"> </w:t>
      </w:r>
      <w:r>
        <w:t>The between group difference was -2.64 (95% CI -6.20, 0.91). Secondary efficacy assessments in the first 16</w:t>
      </w:r>
      <w:r w:rsidR="0028421B">
        <w:t> </w:t>
      </w:r>
      <w:r>
        <w:t>weeks of the study were also supportive of similarity of outcome for the two treatments. Subjects with prior use of biological agents had similar responses to those without prior use in both treatment groups.</w:t>
      </w:r>
    </w:p>
    <w:p w14:paraId="20FCECC4" w14:textId="2DAAF76D" w:rsidR="00770053" w:rsidRDefault="00770053" w:rsidP="00770053">
      <w:r>
        <w:t xml:space="preserve">At </w:t>
      </w:r>
      <w:r w:rsidR="005C0570">
        <w:t>Week 16</w:t>
      </w:r>
      <w:r>
        <w:t xml:space="preserve"> of subjects initially randomised to </w:t>
      </w:r>
      <w:proofErr w:type="spellStart"/>
      <w:r w:rsidR="001E6DDC">
        <w:t>Amgevita</w:t>
      </w:r>
      <w:proofErr w:type="spellEnd"/>
      <w:r>
        <w:t xml:space="preserve"> 87% (152/175) and 89% (156/175) were PASI</w:t>
      </w:r>
      <w:r w:rsidR="0028421B">
        <w:t xml:space="preserve"> </w:t>
      </w:r>
      <w:r>
        <w:t xml:space="preserve">50 responders who continued to the second part of the study. Subjects on </w:t>
      </w:r>
      <w:proofErr w:type="spellStart"/>
      <w:r w:rsidR="001E6DDC">
        <w:t>Amgevita</w:t>
      </w:r>
      <w:proofErr w:type="spellEnd"/>
      <w:r>
        <w:t xml:space="preserve"> continued and those who had received </w:t>
      </w:r>
      <w:r w:rsidR="001E6DDC">
        <w:t>Humira</w:t>
      </w:r>
      <w:r>
        <w:t xml:space="preserve"> were re-randomised with 79 continuing </w:t>
      </w:r>
      <w:r w:rsidR="001E6DDC">
        <w:t>Humira</w:t>
      </w:r>
      <w:r>
        <w:t xml:space="preserve"> and 77 switching to </w:t>
      </w:r>
      <w:proofErr w:type="spellStart"/>
      <w:r w:rsidR="001E6DDC">
        <w:t>Amgevita</w:t>
      </w:r>
      <w:proofErr w:type="spellEnd"/>
      <w:r>
        <w:t>.</w:t>
      </w:r>
      <w:r w:rsidR="005602B8">
        <w:t xml:space="preserve"> </w:t>
      </w:r>
      <w:r>
        <w:t>Treatment effect was maintained in all 3 treatment groups with (observed cases).</w:t>
      </w:r>
      <w:r w:rsidR="005602B8">
        <w:t xml:space="preserve"> </w:t>
      </w:r>
      <w:r>
        <w:t xml:space="preserve">At </w:t>
      </w:r>
      <w:r w:rsidR="001F7B96">
        <w:t>W</w:t>
      </w:r>
      <w:r>
        <w:t>eek 32, the mean PASI % improvement from baseline was 87.62%,</w:t>
      </w:r>
      <w:r w:rsidR="005602B8">
        <w:t xml:space="preserve"> </w:t>
      </w:r>
      <w:r>
        <w:t>88.16%</w:t>
      </w:r>
      <w:r w:rsidR="005602B8">
        <w:t xml:space="preserve"> </w:t>
      </w:r>
      <w:r>
        <w:t xml:space="preserve">and 86.98% in subjects given </w:t>
      </w:r>
      <w:proofErr w:type="spellStart"/>
      <w:r w:rsidR="001E6DDC">
        <w:t>Amgevita</w:t>
      </w:r>
      <w:proofErr w:type="spellEnd"/>
      <w:r>
        <w:t>/</w:t>
      </w:r>
      <w:proofErr w:type="spellStart"/>
      <w:r w:rsidR="001E6DDC">
        <w:t>Amgevita</w:t>
      </w:r>
      <w:proofErr w:type="spellEnd"/>
      <w:r>
        <w:t xml:space="preserve">; </w:t>
      </w:r>
      <w:proofErr w:type="spellStart"/>
      <w:r w:rsidR="001E6DDC">
        <w:t>Humira</w:t>
      </w:r>
      <w:proofErr w:type="spellEnd"/>
      <w:r>
        <w:t>/</w:t>
      </w:r>
      <w:proofErr w:type="spellStart"/>
      <w:r w:rsidR="001E6DDC">
        <w:t>Humira</w:t>
      </w:r>
      <w:proofErr w:type="spellEnd"/>
      <w:r>
        <w:t xml:space="preserve">; and </w:t>
      </w:r>
      <w:proofErr w:type="spellStart"/>
      <w:r w:rsidR="001E6DDC">
        <w:t>Humira</w:t>
      </w:r>
      <w:proofErr w:type="spellEnd"/>
      <w:r>
        <w:t>/</w:t>
      </w:r>
      <w:proofErr w:type="spellStart"/>
      <w:r w:rsidR="001E6DDC">
        <w:t>Amgevita</w:t>
      </w:r>
      <w:proofErr w:type="spellEnd"/>
      <w:r>
        <w:t xml:space="preserve"> respectively.</w:t>
      </w:r>
    </w:p>
    <w:p w14:paraId="2213E5E9" w14:textId="27423C40" w:rsidR="00770053" w:rsidRDefault="00770053" w:rsidP="00770053">
      <w:r>
        <w:t xml:space="preserve">At </w:t>
      </w:r>
      <w:r w:rsidR="001F7B96">
        <w:t>W</w:t>
      </w:r>
      <w:r>
        <w:t>eek 50 the mean PASI</w:t>
      </w:r>
      <w:r w:rsidR="0028421B">
        <w:t xml:space="preserve"> </w:t>
      </w:r>
      <w:r>
        <w:t xml:space="preserve">% improvement from baseline was 87.16%, 88.11% and 85.82% in subjects given </w:t>
      </w:r>
      <w:proofErr w:type="spellStart"/>
      <w:r w:rsidR="001E6DDC">
        <w:t>Amgevita</w:t>
      </w:r>
      <w:proofErr w:type="spellEnd"/>
      <w:r>
        <w:t xml:space="preserve">/ </w:t>
      </w:r>
      <w:proofErr w:type="spellStart"/>
      <w:r w:rsidR="001E6DDC">
        <w:t>Amgevita</w:t>
      </w:r>
      <w:proofErr w:type="spellEnd"/>
      <w:r>
        <w:t xml:space="preserve">; </w:t>
      </w:r>
      <w:proofErr w:type="spellStart"/>
      <w:r w:rsidR="001E6DDC">
        <w:t>Humira</w:t>
      </w:r>
      <w:proofErr w:type="spellEnd"/>
      <w:r>
        <w:t xml:space="preserve">/ </w:t>
      </w:r>
      <w:proofErr w:type="spellStart"/>
      <w:r w:rsidR="001E6DDC">
        <w:t>Humira</w:t>
      </w:r>
      <w:proofErr w:type="spellEnd"/>
      <w:r>
        <w:t xml:space="preserve">; and </w:t>
      </w:r>
      <w:proofErr w:type="spellStart"/>
      <w:r w:rsidR="001E6DDC">
        <w:t>Humira</w:t>
      </w:r>
      <w:proofErr w:type="spellEnd"/>
      <w:r>
        <w:t xml:space="preserve">/ </w:t>
      </w:r>
      <w:proofErr w:type="spellStart"/>
      <w:r w:rsidR="001E6DDC">
        <w:t>Amgevita</w:t>
      </w:r>
      <w:proofErr w:type="spellEnd"/>
      <w:r>
        <w:t xml:space="preserve"> respectively.</w:t>
      </w:r>
      <w:r w:rsidR="005602B8">
        <w:t xml:space="preserve"> </w:t>
      </w:r>
      <w:r>
        <w:t>All the between group comparisons for mean change in PASI</w:t>
      </w:r>
      <w:r w:rsidR="008766ED">
        <w:t xml:space="preserve"> </w:t>
      </w:r>
      <w:r>
        <w:t xml:space="preserve">% from </w:t>
      </w:r>
      <w:r w:rsidR="008766ED">
        <w:t xml:space="preserve">Baseline </w:t>
      </w:r>
      <w:r>
        <w:t>in this stage of the study were within the 95%CI for equivalence that was determined for the primary efficacy endpoint</w:t>
      </w:r>
      <w:r w:rsidR="001F7B96">
        <w:t>, that is,</w:t>
      </w:r>
      <w:r>
        <w:t xml:space="preserve"> within ±15%.</w:t>
      </w:r>
      <w:r w:rsidR="005602B8">
        <w:t xml:space="preserve"> </w:t>
      </w:r>
      <w:r>
        <w:t xml:space="preserve">Subject retention was good with the </w:t>
      </w:r>
      <w:r w:rsidR="001F7B96">
        <w:t>W</w:t>
      </w:r>
      <w:r>
        <w:t xml:space="preserve">eek 50 efficacy analysis based on 134 subjects given </w:t>
      </w:r>
      <w:proofErr w:type="spellStart"/>
      <w:r w:rsidR="001E6DDC">
        <w:t>Amgevita</w:t>
      </w:r>
      <w:proofErr w:type="spellEnd"/>
      <w:r>
        <w:t>/</w:t>
      </w:r>
      <w:proofErr w:type="spellStart"/>
      <w:r w:rsidR="001E6DDC">
        <w:t>Amgevita</w:t>
      </w:r>
      <w:proofErr w:type="spellEnd"/>
      <w:r>
        <w:t xml:space="preserve">; 70 given </w:t>
      </w:r>
      <w:proofErr w:type="spellStart"/>
      <w:r w:rsidR="001E6DDC">
        <w:t>Humira</w:t>
      </w:r>
      <w:proofErr w:type="spellEnd"/>
      <w:r>
        <w:t>/</w:t>
      </w:r>
      <w:proofErr w:type="spellStart"/>
      <w:r w:rsidR="001E6DDC">
        <w:t>Humira</w:t>
      </w:r>
      <w:proofErr w:type="spellEnd"/>
      <w:r>
        <w:t xml:space="preserve">; and 69 given </w:t>
      </w:r>
      <w:proofErr w:type="spellStart"/>
      <w:r w:rsidR="001E6DDC">
        <w:t>Humira</w:t>
      </w:r>
      <w:proofErr w:type="spellEnd"/>
      <w:r>
        <w:t>/</w:t>
      </w:r>
      <w:proofErr w:type="spellStart"/>
      <w:r w:rsidR="001E6DDC">
        <w:t>Amgevita</w:t>
      </w:r>
      <w:proofErr w:type="spellEnd"/>
      <w:r w:rsidR="001F7B96">
        <w:t xml:space="preserve"> respectively</w:t>
      </w:r>
      <w:r>
        <w:t>.</w:t>
      </w:r>
    </w:p>
    <w:p w14:paraId="7067D2CA" w14:textId="5941AD8C" w:rsidR="00770053" w:rsidRDefault="00770053" w:rsidP="00770053">
      <w:r>
        <w:t>Safety data from the two equivalence studies has not shown clinically significant differences in any of the safety outcomes assessed.</w:t>
      </w:r>
      <w:r w:rsidR="005602B8">
        <w:t xml:space="preserve"> </w:t>
      </w:r>
      <w:r>
        <w:t>Due to the small numbers of subjects assessed it is possible that significant differences in less frequent adverse effects are present between the two products.</w:t>
      </w:r>
      <w:r w:rsidR="005602B8">
        <w:t xml:space="preserve"> </w:t>
      </w:r>
      <w:r>
        <w:t xml:space="preserve">The safety assessment of most interest is immunogenicity. Data on the presence of neutralising antibodies in 77 subjects who switched from </w:t>
      </w:r>
      <w:proofErr w:type="spellStart"/>
      <w:r w:rsidR="001E6DDC">
        <w:t>Humira</w:t>
      </w:r>
      <w:proofErr w:type="spellEnd"/>
      <w:r>
        <w:t xml:space="preserve"> to </w:t>
      </w:r>
      <w:proofErr w:type="spellStart"/>
      <w:r w:rsidR="001E6DDC">
        <w:t>Amgevita</w:t>
      </w:r>
      <w:proofErr w:type="spellEnd"/>
      <w:r>
        <w:t xml:space="preserve"> at </w:t>
      </w:r>
      <w:r w:rsidR="005C0570">
        <w:t>Week 16</w:t>
      </w:r>
      <w:r>
        <w:t xml:space="preserve"> was presented for comparison with subjects continuing </w:t>
      </w:r>
      <w:proofErr w:type="spellStart"/>
      <w:r w:rsidR="001E6DDC">
        <w:t>Amgevita</w:t>
      </w:r>
      <w:proofErr w:type="spellEnd"/>
      <w:r>
        <w:t xml:space="preserve"> to </w:t>
      </w:r>
      <w:r w:rsidR="001F7B96">
        <w:t>W</w:t>
      </w:r>
      <w:r>
        <w:t>eek 52.</w:t>
      </w:r>
      <w:r w:rsidR="005602B8">
        <w:t xml:space="preserve"> </w:t>
      </w:r>
      <w:r>
        <w:t xml:space="preserve">An extract of Table 14-10.2.3 from the study report showing immunogenicity results over time in </w:t>
      </w:r>
      <w:r w:rsidR="008766ED">
        <w:t>Study 20120</w:t>
      </w:r>
      <w:r>
        <w:t>263 is</w:t>
      </w:r>
      <w:r w:rsidR="008766ED">
        <w:t xml:space="preserve"> shown</w:t>
      </w:r>
      <w:r>
        <w:t xml:space="preserve"> below</w:t>
      </w:r>
      <w:r w:rsidR="001F7B96">
        <w:t xml:space="preserve"> </w:t>
      </w:r>
      <w:r w:rsidR="008766ED">
        <w:t>as</w:t>
      </w:r>
      <w:r w:rsidR="00A2040D">
        <w:t xml:space="preserve"> </w:t>
      </w:r>
      <w:r w:rsidR="001F7B96">
        <w:t>Table 6.</w:t>
      </w:r>
    </w:p>
    <w:p w14:paraId="5A0E8398" w14:textId="47ABAC46" w:rsidR="001F7B96" w:rsidRDefault="001F7B96" w:rsidP="001F7B96">
      <w:pPr>
        <w:pStyle w:val="TableTitle"/>
      </w:pPr>
      <w:r>
        <w:t xml:space="preserve">Table 6: Anti-drug antibodies summary results by treatment for </w:t>
      </w:r>
      <w:r w:rsidR="00B1353B">
        <w:t>ABP 5</w:t>
      </w:r>
      <w:r>
        <w:t>01 or adalimumab assay through entire study (ADA analysis set)</w:t>
      </w:r>
    </w:p>
    <w:p w14:paraId="79DB53EE" w14:textId="77777777" w:rsidR="001F7B96" w:rsidRDefault="001F7B96" w:rsidP="00770053">
      <w:r>
        <w:rPr>
          <w:rFonts w:asciiTheme="minorHAnsi" w:hAnsiTheme="minorHAnsi"/>
          <w:noProof/>
          <w:lang w:eastAsia="en-AU"/>
        </w:rPr>
        <w:drawing>
          <wp:inline distT="0" distB="0" distL="0" distR="0" wp14:anchorId="4879006B" wp14:editId="6511D7B2">
            <wp:extent cx="5371299" cy="1909267"/>
            <wp:effectExtent l="0" t="0" r="1270" b="0"/>
            <wp:docPr id="3" name="Picture 3" descr="Table 6: Anti-drug antibodies summary results by treatment for ABP501 or adalimumab assay through entire study (ADA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lum bright="-20000" contrast="40000"/>
                      <a:extLst>
                        <a:ext uri="{28A0092B-C50C-407E-A947-70E740481C1C}">
                          <a14:useLocalDpi xmlns:a14="http://schemas.microsoft.com/office/drawing/2010/main" val="0"/>
                        </a:ext>
                      </a:extLst>
                    </a:blip>
                    <a:srcRect l="2981" t="17468" r="5149" b="12369"/>
                    <a:stretch/>
                  </pic:blipFill>
                  <pic:spPr bwMode="auto">
                    <a:xfrm>
                      <a:off x="0" y="0"/>
                      <a:ext cx="5372716" cy="1909771"/>
                    </a:xfrm>
                    <a:prstGeom prst="rect">
                      <a:avLst/>
                    </a:prstGeom>
                    <a:noFill/>
                    <a:ln>
                      <a:noFill/>
                    </a:ln>
                    <a:extLst>
                      <a:ext uri="{53640926-AAD7-44D8-BBD7-CCE9431645EC}">
                        <a14:shadowObscured xmlns:a14="http://schemas.microsoft.com/office/drawing/2010/main"/>
                      </a:ext>
                    </a:extLst>
                  </pic:spPr>
                </pic:pic>
              </a:graphicData>
            </a:graphic>
          </wp:inline>
        </w:drawing>
      </w:r>
    </w:p>
    <w:p w14:paraId="6E2FB902" w14:textId="04E0849C" w:rsidR="00770053" w:rsidRPr="00770053" w:rsidRDefault="00770053" w:rsidP="00770053">
      <w:r>
        <w:t xml:space="preserve">While there is no clear increase in immunogenicity with switching from </w:t>
      </w:r>
      <w:proofErr w:type="spellStart"/>
      <w:r w:rsidR="001E6DDC">
        <w:t>Humira</w:t>
      </w:r>
      <w:proofErr w:type="spellEnd"/>
      <w:r>
        <w:t xml:space="preserve"> to </w:t>
      </w:r>
      <w:proofErr w:type="spellStart"/>
      <w:r w:rsidR="001E6DDC">
        <w:t>Amgevita</w:t>
      </w:r>
      <w:proofErr w:type="spellEnd"/>
      <w:r>
        <w:t xml:space="preserve"> the subject numbers are too small to draw conclusions.</w:t>
      </w:r>
    </w:p>
    <w:p w14:paraId="37D98321" w14:textId="77777777" w:rsidR="008E7846" w:rsidRDefault="00386150" w:rsidP="007B6132">
      <w:pPr>
        <w:pStyle w:val="Heading3"/>
        <w:rPr>
          <w:lang w:eastAsia="en-AU"/>
        </w:rPr>
      </w:pPr>
      <w:bookmarkStart w:id="117" w:name="_Toc314842514"/>
      <w:bookmarkStart w:id="118" w:name="_Toc519244669"/>
      <w:r>
        <w:rPr>
          <w:lang w:eastAsia="en-AU"/>
        </w:rPr>
        <w:t>Risk m</w:t>
      </w:r>
      <w:r w:rsidR="008E7846">
        <w:rPr>
          <w:lang w:eastAsia="en-AU"/>
        </w:rPr>
        <w:t xml:space="preserve">anagement </w:t>
      </w:r>
      <w:r>
        <w:rPr>
          <w:lang w:eastAsia="en-AU"/>
        </w:rPr>
        <w:t>p</w:t>
      </w:r>
      <w:r w:rsidR="008E7846">
        <w:rPr>
          <w:lang w:eastAsia="en-AU"/>
        </w:rPr>
        <w:t>lan</w:t>
      </w:r>
      <w:bookmarkEnd w:id="117"/>
      <w:bookmarkEnd w:id="118"/>
    </w:p>
    <w:p w14:paraId="2E885724" w14:textId="1FFCE029" w:rsidR="00770053" w:rsidRDefault="00770053" w:rsidP="00770053">
      <w:r>
        <w:t>There were no RMP objections to approval.</w:t>
      </w:r>
      <w:r w:rsidR="005602B8">
        <w:t xml:space="preserve"> </w:t>
      </w:r>
      <w:r>
        <w:t>The RMP evaluator is satisfied with version 3 of the Australian-specific Annex to the Risk Management Plan.</w:t>
      </w:r>
    </w:p>
    <w:p w14:paraId="3F83C4DD" w14:textId="77777777" w:rsidR="008E7846" w:rsidRDefault="00770053" w:rsidP="00770053">
      <w:r>
        <w:t xml:space="preserve">The RMP evaluator has noted the changes to the indications for the innovator adalimumab in Australia and that these additional indications will affect the content of the PI for </w:t>
      </w:r>
      <w:proofErr w:type="spellStart"/>
      <w:r w:rsidR="001E6DDC">
        <w:t>Amgevita</w:t>
      </w:r>
      <w:proofErr w:type="spellEnd"/>
      <w:r>
        <w:t>.</w:t>
      </w:r>
    </w:p>
    <w:p w14:paraId="3D242262" w14:textId="77777777" w:rsidR="008E7846" w:rsidRDefault="00AA0ED0" w:rsidP="008E7846">
      <w:pPr>
        <w:pStyle w:val="Heading3"/>
      </w:pPr>
      <w:bookmarkStart w:id="119" w:name="_Toc247691531"/>
      <w:bookmarkStart w:id="120" w:name="_Toc314842515"/>
      <w:bookmarkStart w:id="121" w:name="_Toc196046505"/>
      <w:bookmarkStart w:id="122" w:name="_Toc196046949"/>
      <w:bookmarkStart w:id="123" w:name="_Toc519244670"/>
      <w:r>
        <w:t>Risk-benefit a</w:t>
      </w:r>
      <w:r w:rsidR="008E7846">
        <w:t>nalysis</w:t>
      </w:r>
      <w:bookmarkEnd w:id="119"/>
      <w:bookmarkEnd w:id="120"/>
      <w:bookmarkEnd w:id="123"/>
    </w:p>
    <w:p w14:paraId="2E47EA1C" w14:textId="77777777" w:rsidR="00D23139" w:rsidRDefault="00D23139" w:rsidP="00D23139">
      <w:pPr>
        <w:pStyle w:val="Heading4"/>
      </w:pPr>
      <w:r w:rsidRPr="00D23139">
        <w:t xml:space="preserve">Delegate’s considerations </w:t>
      </w:r>
    </w:p>
    <w:p w14:paraId="17ED0C37" w14:textId="4330397F" w:rsidR="00770053" w:rsidRDefault="00770053" w:rsidP="00770053">
      <w:r>
        <w:t>Clinical aspects of this submission were well presented.</w:t>
      </w:r>
      <w:r w:rsidR="005602B8">
        <w:t xml:space="preserve"> </w:t>
      </w:r>
      <w:r>
        <w:t xml:space="preserve">The single dose PK study showed bioequivalence of </w:t>
      </w:r>
      <w:proofErr w:type="spellStart"/>
      <w:r w:rsidR="001E6DDC">
        <w:t>Amgevita</w:t>
      </w:r>
      <w:proofErr w:type="spellEnd"/>
      <w:r>
        <w:t xml:space="preserve"> and </w:t>
      </w:r>
      <w:proofErr w:type="spellStart"/>
      <w:r w:rsidR="001E6DDC">
        <w:t>Humira</w:t>
      </w:r>
      <w:proofErr w:type="spellEnd"/>
      <w:r>
        <w:t xml:space="preserve"> for C</w:t>
      </w:r>
      <w:r w:rsidRPr="00DA1ADD">
        <w:rPr>
          <w:vertAlign w:val="subscript"/>
        </w:rPr>
        <w:t>max</w:t>
      </w:r>
      <w:r>
        <w:t xml:space="preserve"> and AUC.</w:t>
      </w:r>
      <w:r w:rsidR="005602B8">
        <w:t xml:space="preserve"> </w:t>
      </w:r>
      <w:r>
        <w:t>The two clinical equivalence studies were well designed, used appropriate clinical endpoints, adequately justified the equivalence margins and convincingly demonstrated clinical equivalence for subjects with rheumatoid arthritis and subjects with plaque psoriasis.</w:t>
      </w:r>
    </w:p>
    <w:p w14:paraId="7BFA5DDD" w14:textId="2C1A843F" w:rsidR="00770053" w:rsidRDefault="00770053" w:rsidP="00770053">
      <w:r>
        <w:t>The sensitivity of assessment of clinical equivalence is likely to be higher in the plaque psoriasis population because those individuals were not also taking MTX which would have reduced both the difference in response to treatment with a biological agent and</w:t>
      </w:r>
      <w:r w:rsidR="005602B8">
        <w:t xml:space="preserve"> </w:t>
      </w:r>
      <w:r>
        <w:t>potentially masked differences in immunogenicity.</w:t>
      </w:r>
      <w:r w:rsidR="005602B8">
        <w:t xml:space="preserve"> </w:t>
      </w:r>
      <w:r>
        <w:t>Immunogenicity over 52 weeks was assessed only in the plaque psoriasis population and that was appropriate.</w:t>
      </w:r>
      <w:r w:rsidR="005602B8">
        <w:t xml:space="preserve"> </w:t>
      </w:r>
      <w:r>
        <w:t>There was no signal for increased immunogenicity on switching in the limited data provided.</w:t>
      </w:r>
    </w:p>
    <w:p w14:paraId="4EEFD6DA" w14:textId="77777777" w:rsidR="00770053" w:rsidRDefault="00770053" w:rsidP="00770053">
      <w:r>
        <w:t>Evaluation of this submission was prolonged due to a requirement for additional quality data to be submitted.</w:t>
      </w:r>
      <w:r w:rsidR="005602B8">
        <w:t xml:space="preserve"> </w:t>
      </w:r>
      <w:r>
        <w:t>Quality and nonclinical issues are now resolved.</w:t>
      </w:r>
    </w:p>
    <w:p w14:paraId="621254DE" w14:textId="1CE7FBD8" w:rsidR="00770053" w:rsidRDefault="00770053" w:rsidP="00770053">
      <w:r>
        <w:t xml:space="preserve">While there are no clinical issues regarding the function of </w:t>
      </w:r>
      <w:proofErr w:type="spellStart"/>
      <w:r w:rsidR="001E6DDC">
        <w:t>Amgevita</w:t>
      </w:r>
      <w:proofErr w:type="spellEnd"/>
      <w:r>
        <w:t xml:space="preserve"> it is not clear that all indications for </w:t>
      </w:r>
      <w:r w:rsidR="001E6DDC">
        <w:t>Humira</w:t>
      </w:r>
      <w:r>
        <w:t xml:space="preserve"> are able to be approved for </w:t>
      </w:r>
      <w:proofErr w:type="spellStart"/>
      <w:r w:rsidR="001E6DDC">
        <w:t>Amgevita</w:t>
      </w:r>
      <w:proofErr w:type="spellEnd"/>
      <w:r>
        <w:t xml:space="preserve"> due to patent issues.</w:t>
      </w:r>
      <w:r w:rsidR="005602B8">
        <w:t xml:space="preserve"> </w:t>
      </w:r>
      <w:r>
        <w:t xml:space="preserve">New indications for </w:t>
      </w:r>
      <w:r w:rsidR="001E6DDC">
        <w:t>Humira</w:t>
      </w:r>
      <w:r>
        <w:t xml:space="preserve"> were approved during the course of evaluation of this submission.</w:t>
      </w:r>
      <w:r w:rsidR="005602B8">
        <w:t xml:space="preserve"> </w:t>
      </w:r>
      <w:proofErr w:type="gramStart"/>
      <w:r>
        <w:t xml:space="preserve">The most recent being </w:t>
      </w:r>
      <w:r w:rsidR="008766ED">
        <w:t>enthesitis</w:t>
      </w:r>
      <w:r>
        <w:t>-</w:t>
      </w:r>
      <w:r w:rsidR="008766ED">
        <w:t xml:space="preserve">related arthritis </w:t>
      </w:r>
      <w:r>
        <w:t>(ERA).</w:t>
      </w:r>
      <w:proofErr w:type="gramEnd"/>
      <w:r w:rsidR="005602B8">
        <w:t xml:space="preserve"> </w:t>
      </w:r>
      <w:r>
        <w:t xml:space="preserve">The approach taken to these indications will impact on the content of the </w:t>
      </w:r>
      <w:r w:rsidR="008766ED">
        <w:t>PI</w:t>
      </w:r>
      <w:r>
        <w:t xml:space="preserve"> for </w:t>
      </w:r>
      <w:proofErr w:type="spellStart"/>
      <w:r w:rsidR="001E6DDC">
        <w:t>Amgevita</w:t>
      </w:r>
      <w:proofErr w:type="spellEnd"/>
      <w:r>
        <w:t>.</w:t>
      </w:r>
      <w:r w:rsidR="005602B8">
        <w:t xml:space="preserve"> </w:t>
      </w:r>
      <w:r>
        <w:t xml:space="preserve">At this stage </w:t>
      </w:r>
      <w:r w:rsidR="00DA1ADD">
        <w:t>the Delegate</w:t>
      </w:r>
      <w:r>
        <w:t xml:space="preserve"> intend</w:t>
      </w:r>
      <w:r w:rsidR="00DA1ADD">
        <w:t>s</w:t>
      </w:r>
      <w:r>
        <w:t xml:space="preserve"> to proceed as if all indications were able to be approved.</w:t>
      </w:r>
      <w:r w:rsidR="005602B8">
        <w:t xml:space="preserve"> </w:t>
      </w:r>
      <w:r>
        <w:t>Should this not be the case, further review of the PI will be required.</w:t>
      </w:r>
    </w:p>
    <w:p w14:paraId="744EA329" w14:textId="77777777" w:rsidR="00770053" w:rsidRDefault="00770053" w:rsidP="00770053">
      <w:pPr>
        <w:pStyle w:val="Heading4"/>
      </w:pPr>
      <w:r>
        <w:t>Summary of Issues</w:t>
      </w:r>
    </w:p>
    <w:p w14:paraId="07D645EC" w14:textId="77777777" w:rsidR="00770053" w:rsidRDefault="00770053" w:rsidP="00770053">
      <w:r>
        <w:t>While quality issues have been resolved and the clinical trial evidence is adequate to support registration it is not yet clear that the sponsor is able to market this product for all indications approved for the innovator adalimumab product (</w:t>
      </w:r>
      <w:r w:rsidR="001E6DDC">
        <w:t>Humira</w:t>
      </w:r>
      <w:r>
        <w:t>).</w:t>
      </w:r>
      <w:r w:rsidR="005602B8">
        <w:t xml:space="preserve"> </w:t>
      </w:r>
      <w:r>
        <w:t>This is to be resolved outside the forum of the ACM.</w:t>
      </w:r>
    </w:p>
    <w:p w14:paraId="4245231C" w14:textId="77777777" w:rsidR="00D23139" w:rsidRDefault="00D23139" w:rsidP="00D23139">
      <w:pPr>
        <w:pStyle w:val="Heading4"/>
      </w:pPr>
      <w:r w:rsidRPr="00D23139">
        <w:t>Proposed action</w:t>
      </w:r>
    </w:p>
    <w:p w14:paraId="7160C1BC" w14:textId="77777777" w:rsidR="00770053" w:rsidRPr="00770053" w:rsidRDefault="00DA1ADD" w:rsidP="00770053">
      <w:r>
        <w:t>The Delegate had</w:t>
      </w:r>
      <w:r w:rsidR="00770053" w:rsidRPr="00770053">
        <w:t xml:space="preserve"> no reason to say, at this time, that the application for </w:t>
      </w:r>
      <w:proofErr w:type="spellStart"/>
      <w:r w:rsidR="001E6DDC">
        <w:t>Amgevita</w:t>
      </w:r>
      <w:proofErr w:type="spellEnd"/>
      <w:r w:rsidR="00770053" w:rsidRPr="00770053">
        <w:t xml:space="preserve"> (adalimumab)</w:t>
      </w:r>
      <w:r w:rsidR="005602B8">
        <w:t xml:space="preserve"> </w:t>
      </w:r>
      <w:r w:rsidR="00770053" w:rsidRPr="00770053">
        <w:t>should not be approved for registration.</w:t>
      </w:r>
    </w:p>
    <w:p w14:paraId="27F53DF6" w14:textId="77777777" w:rsidR="00D23139" w:rsidRDefault="00D23139" w:rsidP="00D23139">
      <w:pPr>
        <w:pStyle w:val="Heading4"/>
      </w:pPr>
      <w:r w:rsidRPr="00DA1ADD">
        <w:t>Request for ACPM advice</w:t>
      </w:r>
    </w:p>
    <w:p w14:paraId="0656D92B" w14:textId="77777777" w:rsidR="00DA1ADD" w:rsidRPr="00770053" w:rsidRDefault="00DA1ADD" w:rsidP="00DA1ADD">
      <w:r>
        <w:t>The committee was requested to provide advice on any other issues that it thinks may be relevant to a decision on whether or not to approve this application.</w:t>
      </w:r>
    </w:p>
    <w:p w14:paraId="4CD5EF15" w14:textId="52688D8F" w:rsidR="00D23139" w:rsidRDefault="000667DE" w:rsidP="00D23139">
      <w:pPr>
        <w:pStyle w:val="Heading4"/>
      </w:pPr>
      <w:r>
        <w:t>Response from s</w:t>
      </w:r>
      <w:r w:rsidR="00DF4855">
        <w:t>ponsor</w:t>
      </w:r>
    </w:p>
    <w:p w14:paraId="4641D5C4" w14:textId="0AB5400D" w:rsidR="00DF4855" w:rsidRDefault="00DF4855" w:rsidP="00DF4855">
      <w:r>
        <w:t xml:space="preserve">The indications requested in the original submission for </w:t>
      </w:r>
      <w:proofErr w:type="spellStart"/>
      <w:r w:rsidR="001E6DDC">
        <w:t>Amgevita</w:t>
      </w:r>
      <w:proofErr w:type="spellEnd"/>
      <w:r>
        <w:t xml:space="preserve"> remain unchanged.</w:t>
      </w:r>
      <w:r w:rsidR="008766ED">
        <w:t xml:space="preserve"> </w:t>
      </w:r>
      <w:r>
        <w:t xml:space="preserve">During review, Amgen added newly approved indications for Humira as suggested by the </w:t>
      </w:r>
      <w:r w:rsidR="00DA1ADD">
        <w:t>clinical evaluator</w:t>
      </w:r>
      <w:r>
        <w:t xml:space="preserve">. The indications requested for </w:t>
      </w:r>
      <w:proofErr w:type="spellStart"/>
      <w:r w:rsidR="001E6DDC">
        <w:t>Amgevita</w:t>
      </w:r>
      <w:proofErr w:type="spellEnd"/>
      <w:r>
        <w:t xml:space="preserve"> therefore now also include hidradenitis </w:t>
      </w:r>
      <w:proofErr w:type="spellStart"/>
      <w:r>
        <w:t>suppurativa</w:t>
      </w:r>
      <w:proofErr w:type="spellEnd"/>
      <w:r>
        <w:t xml:space="preserve">, uveitis and </w:t>
      </w:r>
      <w:proofErr w:type="spellStart"/>
      <w:r>
        <w:t>enthesis</w:t>
      </w:r>
      <w:proofErr w:type="spellEnd"/>
      <w:r>
        <w:t xml:space="preserve">-related arthritis. The amended indications can be found in the annotated </w:t>
      </w:r>
      <w:r w:rsidR="00DA1ADD">
        <w:t>PI</w:t>
      </w:r>
      <w:r>
        <w:t>.</w:t>
      </w:r>
    </w:p>
    <w:p w14:paraId="66B29193" w14:textId="77777777" w:rsidR="00DF4855" w:rsidRDefault="00DF4855" w:rsidP="00DF4855">
      <w:r>
        <w:t>The Delegate has requested the ACM’s advice on any issues it thinks may be relevant to a decision on whether or not to approve this application.</w:t>
      </w:r>
    </w:p>
    <w:p w14:paraId="6B879848" w14:textId="12583E32" w:rsidR="00DF4855" w:rsidRDefault="00DF4855" w:rsidP="00DF4855">
      <w:r>
        <w:t xml:space="preserve">The marketing application for </w:t>
      </w:r>
      <w:proofErr w:type="spellStart"/>
      <w:r w:rsidR="001E6DDC">
        <w:t>Amgevita</w:t>
      </w:r>
      <w:proofErr w:type="spellEnd"/>
      <w:r>
        <w:t xml:space="preserve"> presented comprehensive results of analytical similarity, nonclinical, and clinical studies to establish the </w:t>
      </w:r>
      <w:proofErr w:type="spellStart"/>
      <w:r>
        <w:t>biosimilarity</w:t>
      </w:r>
      <w:proofErr w:type="spellEnd"/>
      <w:r>
        <w:t xml:space="preserve"> of </w:t>
      </w:r>
      <w:proofErr w:type="spellStart"/>
      <w:r w:rsidR="001E6DDC">
        <w:t>Amgevita</w:t>
      </w:r>
      <w:proofErr w:type="spellEnd"/>
      <w:r>
        <w:t xml:space="preserve"> to adalimumab (</w:t>
      </w:r>
      <w:proofErr w:type="spellStart"/>
      <w:r>
        <w:t>Humira</w:t>
      </w:r>
      <w:proofErr w:type="spellEnd"/>
      <w:r>
        <w:t xml:space="preserve">). The </w:t>
      </w:r>
      <w:proofErr w:type="spellStart"/>
      <w:r w:rsidR="001E6DDC">
        <w:t>Amgevita</w:t>
      </w:r>
      <w:proofErr w:type="spellEnd"/>
      <w:r>
        <w:t xml:space="preserve"> quality program demonstrated that </w:t>
      </w:r>
      <w:proofErr w:type="spellStart"/>
      <w:r w:rsidR="001E6DDC">
        <w:t>Amgevita</w:t>
      </w:r>
      <w:proofErr w:type="spellEnd"/>
      <w:r>
        <w:t xml:space="preserve"> is analytically similar to both adalimumab (US) and adalimumab (EU)</w:t>
      </w:r>
      <w:proofErr w:type="gramStart"/>
      <w:r>
        <w:t>,</w:t>
      </w:r>
      <w:proofErr w:type="gramEnd"/>
      <w:r>
        <w:t xml:space="preserve"> thereby supporting use of clinical data generated using adalimumab sourced from both regions. Minor analytical differences in biological attributes observed between </w:t>
      </w:r>
      <w:proofErr w:type="spellStart"/>
      <w:r w:rsidR="001E6DDC">
        <w:t>Amgevita</w:t>
      </w:r>
      <w:proofErr w:type="spellEnd"/>
      <w:r>
        <w:t xml:space="preserve"> and the reference product were shown not to impact biological activity, mechanism of action, or PK. The results of these studies comprehensively demonstrated the </w:t>
      </w:r>
      <w:proofErr w:type="spellStart"/>
      <w:r>
        <w:t>biosimilarity</w:t>
      </w:r>
      <w:proofErr w:type="spellEnd"/>
      <w:r>
        <w:t xml:space="preserve"> of </w:t>
      </w:r>
      <w:proofErr w:type="spellStart"/>
      <w:r w:rsidR="001E6DDC">
        <w:t>Amgevita</w:t>
      </w:r>
      <w:proofErr w:type="spellEnd"/>
      <w:r>
        <w:t xml:space="preserve"> to adalimumab.</w:t>
      </w:r>
    </w:p>
    <w:p w14:paraId="4BE9E0DD" w14:textId="77777777" w:rsidR="00DF4855" w:rsidRDefault="00DF4855" w:rsidP="00DF4855">
      <w:r>
        <w:t xml:space="preserve">Following the establishment of analytical similarity of </w:t>
      </w:r>
      <w:proofErr w:type="spellStart"/>
      <w:r w:rsidR="001E6DDC">
        <w:t>Amgevita</w:t>
      </w:r>
      <w:proofErr w:type="spellEnd"/>
      <w:r>
        <w:t xml:space="preserve"> to adalimumab, clinical equivalence of </w:t>
      </w:r>
      <w:proofErr w:type="spellStart"/>
      <w:r w:rsidR="001E6DDC">
        <w:t>Amgevita</w:t>
      </w:r>
      <w:proofErr w:type="spellEnd"/>
      <w:r>
        <w:t xml:space="preserve"> versus adalimumab in efficacy, safety and immunogenicity was confirmed in two independent clinical trials (Study 20120262 and Study 20120263). These trials were conducted in rheumatoid arthritis and plaque psoriasis subjects respectively. The results presented confirmed the clinical equivalence of </w:t>
      </w:r>
      <w:proofErr w:type="spellStart"/>
      <w:r w:rsidR="001E6DDC">
        <w:t>Amgevita</w:t>
      </w:r>
      <w:proofErr w:type="spellEnd"/>
      <w:r>
        <w:t xml:space="preserve"> and adalimumab, and combined with the analytical, nonclinical and PK similarity data, contributed to the evidence to establish the </w:t>
      </w:r>
      <w:proofErr w:type="spellStart"/>
      <w:r>
        <w:t>biosimilarity</w:t>
      </w:r>
      <w:proofErr w:type="spellEnd"/>
      <w:r>
        <w:t xml:space="preserve"> of </w:t>
      </w:r>
      <w:proofErr w:type="spellStart"/>
      <w:r w:rsidR="001E6DDC">
        <w:t>Amgevita</w:t>
      </w:r>
      <w:proofErr w:type="spellEnd"/>
      <w:r>
        <w:t xml:space="preserve"> to adalimumab.</w:t>
      </w:r>
    </w:p>
    <w:p w14:paraId="66646EE6" w14:textId="77777777" w:rsidR="00DF4855" w:rsidRDefault="00DF4855" w:rsidP="00DF4855">
      <w:r>
        <w:t>The Delegate has noted the following issue:</w:t>
      </w:r>
    </w:p>
    <w:p w14:paraId="35FF6DFC" w14:textId="319E08D7" w:rsidR="00DF4855" w:rsidRPr="00A2040D" w:rsidRDefault="00DF4855" w:rsidP="00A2040D">
      <w:pPr>
        <w:ind w:left="720"/>
        <w:rPr>
          <w:i/>
        </w:rPr>
      </w:pPr>
      <w:r w:rsidRPr="00A2040D">
        <w:rPr>
          <w:i/>
        </w:rPr>
        <w:t>‘While quality issues have been resolved and the clinical trial evidence is adequate to support registration it is not yet clear that the sponsor is able to market this product for all indications approved for the innovator adalimumab product (</w:t>
      </w:r>
      <w:r w:rsidR="001E6DDC" w:rsidRPr="00A2040D">
        <w:rPr>
          <w:i/>
        </w:rPr>
        <w:t>Humira</w:t>
      </w:r>
      <w:r w:rsidRPr="00A2040D">
        <w:rPr>
          <w:i/>
        </w:rPr>
        <w:t>). This is to be resolved outside the forum of the ACM</w:t>
      </w:r>
      <w:r w:rsidR="008766ED" w:rsidRPr="00A2040D">
        <w:rPr>
          <w:i/>
        </w:rPr>
        <w:t>’</w:t>
      </w:r>
      <w:r w:rsidRPr="00A2040D">
        <w:rPr>
          <w:i/>
        </w:rPr>
        <w:t>.</w:t>
      </w:r>
    </w:p>
    <w:p w14:paraId="232B1CC3" w14:textId="1A736953" w:rsidR="00DF4855" w:rsidRDefault="00DF4855" w:rsidP="000667DE">
      <w:pPr>
        <w:keepNext/>
      </w:pPr>
      <w:r>
        <w:t xml:space="preserve">The TGA have adopted EU Guideline EMEA/CHMP/BMWP/42832/2005: Guideline on similar biological medicinal products </w:t>
      </w:r>
      <w:r w:rsidR="008766ED">
        <w:t>containing biotechnology-derived proteins as active substances: non-clinical and clinical issues</w:t>
      </w:r>
      <w:r>
        <w:t>. This guideline states the following in relation to extrapolation of indications:</w:t>
      </w:r>
    </w:p>
    <w:p w14:paraId="47FB31DE" w14:textId="77777777" w:rsidR="00DF4855" w:rsidRDefault="00DF4855" w:rsidP="00DF4855">
      <w:r>
        <w:t>‘</w:t>
      </w:r>
      <w:r w:rsidRPr="00DA1ADD">
        <w:rPr>
          <w:i/>
        </w:rPr>
        <w:t>In case the originally authorised medicinal product has more than one indication, the efficacy and safety of the medicinal product claimed to be similar has to be justified or, if necessary, demonstrated separately for each of the claimed indications. In certain cases, it may be possible to extrapolate therapeutic similarity shown in one indication to other indications of the reference medicinal product. Justification will depend on e.g., clinical experience, available literature data, whether or not the same mechanisms of action or the same receptor(s) are involved in all indications. Possible safety issues in different subpopulations should also be addressed</w:t>
      </w:r>
      <w:r>
        <w:t>.’</w:t>
      </w:r>
    </w:p>
    <w:p w14:paraId="0AB4E100" w14:textId="77777777" w:rsidR="00DF4855" w:rsidRDefault="00DF4855" w:rsidP="00DF4855">
      <w:r>
        <w:t xml:space="preserve">The marketing application for </w:t>
      </w:r>
      <w:proofErr w:type="spellStart"/>
      <w:r w:rsidR="001E6DDC">
        <w:t>Amgevita</w:t>
      </w:r>
      <w:proofErr w:type="spellEnd"/>
      <w:r>
        <w:t xml:space="preserve"> presented data from two global clinical studies in rheumatoid arthritis and plaque psoriasis, as discussed above. The </w:t>
      </w:r>
      <w:proofErr w:type="spellStart"/>
      <w:r w:rsidR="001E6DDC">
        <w:t>Amgevita</w:t>
      </w:r>
      <w:proofErr w:type="spellEnd"/>
      <w:r>
        <w:t xml:space="preserve"> indications proposed for registration in Australia include all those approved for the innovator product Humira:</w:t>
      </w:r>
    </w:p>
    <w:p w14:paraId="58287E30" w14:textId="77777777" w:rsidR="00DF4855" w:rsidRDefault="00DF4855" w:rsidP="004E7509">
      <w:pPr>
        <w:pStyle w:val="ListBullet"/>
      </w:pPr>
      <w:r>
        <w:t>rheumatoid arthritis</w:t>
      </w:r>
    </w:p>
    <w:p w14:paraId="247DD254" w14:textId="77777777" w:rsidR="00DF4855" w:rsidRDefault="00DF4855" w:rsidP="004E7509">
      <w:pPr>
        <w:pStyle w:val="ListBullet"/>
      </w:pPr>
      <w:r>
        <w:t>plaque psoriasis</w:t>
      </w:r>
    </w:p>
    <w:p w14:paraId="09FAA0A8" w14:textId="77777777" w:rsidR="00DF4855" w:rsidRDefault="00DF4855" w:rsidP="004E7509">
      <w:pPr>
        <w:pStyle w:val="ListBullet"/>
      </w:pPr>
      <w:r>
        <w:t>polyarticular juvenile idiopathic arthritis</w:t>
      </w:r>
    </w:p>
    <w:p w14:paraId="6EF21316" w14:textId="77777777" w:rsidR="00DF4855" w:rsidRDefault="00DF4855" w:rsidP="004E7509">
      <w:pPr>
        <w:pStyle w:val="ListBullet"/>
      </w:pPr>
      <w:r>
        <w:t>ankylosing spondylosis</w:t>
      </w:r>
    </w:p>
    <w:p w14:paraId="57D32CD3" w14:textId="77777777" w:rsidR="00DF4855" w:rsidRDefault="00DF4855" w:rsidP="004E7509">
      <w:pPr>
        <w:pStyle w:val="ListBullet"/>
      </w:pPr>
      <w:r>
        <w:t>Crohn’s disease in adults and children ≥6 years</w:t>
      </w:r>
    </w:p>
    <w:p w14:paraId="5B6B81FA" w14:textId="77777777" w:rsidR="00DF4855" w:rsidRDefault="00DF4855" w:rsidP="004E7509">
      <w:pPr>
        <w:pStyle w:val="ListBullet"/>
      </w:pPr>
      <w:r>
        <w:t>ulcerative colitis</w:t>
      </w:r>
    </w:p>
    <w:p w14:paraId="4666402B" w14:textId="77777777" w:rsidR="00DF4855" w:rsidRDefault="00DF4855" w:rsidP="004E7509">
      <w:pPr>
        <w:pStyle w:val="ListBullet"/>
      </w:pPr>
      <w:r>
        <w:t>psoriasis</w:t>
      </w:r>
    </w:p>
    <w:p w14:paraId="5BB87E1F" w14:textId="77777777" w:rsidR="00DF4855" w:rsidRDefault="00DF4855" w:rsidP="004E7509">
      <w:pPr>
        <w:pStyle w:val="ListBullet"/>
      </w:pPr>
      <w:r>
        <w:t>uveitis</w:t>
      </w:r>
    </w:p>
    <w:p w14:paraId="4FCB568F" w14:textId="77777777" w:rsidR="00DF4855" w:rsidRDefault="00DF4855" w:rsidP="004E7509">
      <w:pPr>
        <w:pStyle w:val="ListBullet"/>
      </w:pPr>
      <w:r>
        <w:t xml:space="preserve">hidradenitis </w:t>
      </w:r>
      <w:proofErr w:type="spellStart"/>
      <w:r>
        <w:t>suppurativa</w:t>
      </w:r>
      <w:proofErr w:type="spellEnd"/>
    </w:p>
    <w:p w14:paraId="46C489FC" w14:textId="77777777" w:rsidR="00DF4855" w:rsidRDefault="00DF4855" w:rsidP="004E7509">
      <w:pPr>
        <w:pStyle w:val="ListBullet"/>
      </w:pPr>
      <w:proofErr w:type="spellStart"/>
      <w:proofErr w:type="gramStart"/>
      <w:r>
        <w:t>enthesis</w:t>
      </w:r>
      <w:proofErr w:type="spellEnd"/>
      <w:r>
        <w:t>-related</w:t>
      </w:r>
      <w:proofErr w:type="gramEnd"/>
      <w:r>
        <w:t xml:space="preserve"> arthritis.</w:t>
      </w:r>
    </w:p>
    <w:p w14:paraId="7CEE60CF" w14:textId="77777777" w:rsidR="00DF4855" w:rsidRDefault="00DF4855" w:rsidP="00DF4855">
      <w:r>
        <w:t xml:space="preserve">The clinical trial data presented for </w:t>
      </w:r>
      <w:proofErr w:type="spellStart"/>
      <w:r w:rsidR="001E6DDC">
        <w:t>Amgevita</w:t>
      </w:r>
      <w:proofErr w:type="spellEnd"/>
      <w:r>
        <w:t xml:space="preserve"> established clinical equivalence of ABP 501 to adalimumab in the indications studied. The results ‘</w:t>
      </w:r>
      <w:r w:rsidRPr="00DA1ADD">
        <w:rPr>
          <w:i/>
        </w:rPr>
        <w:t>convincingly demonstrated clinical equivalence for subjects with rheumatoid arthritis and subjects with plaque psoriasis’</w:t>
      </w:r>
      <w:r w:rsidR="00DA1ADD">
        <w:t xml:space="preserve"> (Delegate’s Overview above</w:t>
      </w:r>
      <w:r>
        <w:t>). Furthermore, the indications that Amgen selected to study in clinical trials were suitable to allow extrapolation across other Humira indications, as supported by the clinical evaluator’s comment ‘</w:t>
      </w:r>
      <w:r w:rsidRPr="00DA1ADD">
        <w:rPr>
          <w:i/>
        </w:rPr>
        <w:t>The sponsor has chosen two appropriate clinical study populations (indications) to enable extrapolation to the other approved indications for the reference product</w:t>
      </w:r>
      <w:r>
        <w:t>’.</w:t>
      </w:r>
    </w:p>
    <w:p w14:paraId="6004E45A" w14:textId="5E56CDE4" w:rsidR="00DF4855" w:rsidRDefault="00DF4855" w:rsidP="00DF4855">
      <w:r>
        <w:t>Extrapolation is based upon the premise that a biosimilar product that has been demonstrated to be highly similar to the reference product through multiple lines of testing, especially those known to be important to the mechanism of action in each indication, is expected to have similar clinical activity in all indications for which the reference product has been tested and approved. Therefore, the findings of no meaningful analytical, nonclinical, or clinical differences between ABP 501 and adalimumab support extrapolation to the full range of indications for which adalimumab is approved.</w:t>
      </w:r>
      <w:r w:rsidR="005602B8">
        <w:t xml:space="preserve"> </w:t>
      </w:r>
      <w:r>
        <w:t xml:space="preserve">This position is reinforced by the </w:t>
      </w:r>
      <w:r w:rsidR="00DA1ADD">
        <w:t xml:space="preserve">clinical evaluators </w:t>
      </w:r>
      <w:r>
        <w:t>comment ‘</w:t>
      </w:r>
      <w:r w:rsidRPr="00DA1ADD">
        <w:rPr>
          <w:i/>
        </w:rPr>
        <w:t>extrapolation to all currently approved indications of the reference product is supported from a clinical evaluation point of view</w:t>
      </w:r>
      <w:r>
        <w:t xml:space="preserve">’ and also by the </w:t>
      </w:r>
      <w:r w:rsidR="00DA1ADD">
        <w:t xml:space="preserve">clinical evaluator’s </w:t>
      </w:r>
      <w:r>
        <w:t xml:space="preserve">proposal to incorporate a newly approved </w:t>
      </w:r>
      <w:proofErr w:type="spellStart"/>
      <w:r>
        <w:t>Humira</w:t>
      </w:r>
      <w:proofErr w:type="spellEnd"/>
      <w:r>
        <w:t xml:space="preserve"> indication (hidradenitis </w:t>
      </w:r>
      <w:proofErr w:type="spellStart"/>
      <w:r>
        <w:t>suppurativa</w:t>
      </w:r>
      <w:proofErr w:type="spellEnd"/>
      <w:r>
        <w:t xml:space="preserve">) during review. Subsequently, </w:t>
      </w:r>
      <w:r w:rsidR="002A4790">
        <w:t xml:space="preserve">the sponsor </w:t>
      </w:r>
      <w:r>
        <w:t xml:space="preserve">proposed inclusion of a further newly registered </w:t>
      </w:r>
      <w:proofErr w:type="spellStart"/>
      <w:r>
        <w:t>Humira</w:t>
      </w:r>
      <w:proofErr w:type="spellEnd"/>
      <w:r>
        <w:t xml:space="preserve"> indication (</w:t>
      </w:r>
      <w:proofErr w:type="spellStart"/>
      <w:r>
        <w:t>enthesis</w:t>
      </w:r>
      <w:proofErr w:type="spellEnd"/>
      <w:r>
        <w:t xml:space="preserve">-related arthritis) which was accepted. Amgen therefore agrees with the </w:t>
      </w:r>
      <w:r w:rsidR="00DA1ADD">
        <w:t xml:space="preserve">clinical evaluator </w:t>
      </w:r>
      <w:r>
        <w:t xml:space="preserve">and Delegate’s opinion that the extrapolation of therapeutic similarity shown in the two indications studied with </w:t>
      </w:r>
      <w:proofErr w:type="spellStart"/>
      <w:r w:rsidR="001E6DDC">
        <w:t>Amgevita</w:t>
      </w:r>
      <w:proofErr w:type="spellEnd"/>
      <w:r>
        <w:t xml:space="preserve"> to all other approved indications for Humira is appropriate.</w:t>
      </w:r>
    </w:p>
    <w:p w14:paraId="36B933FA" w14:textId="432599D7" w:rsidR="00DF4855" w:rsidRPr="00DF4855" w:rsidRDefault="00F44AFB" w:rsidP="00DF4855">
      <w:r>
        <w:t>T</w:t>
      </w:r>
      <w:r w:rsidR="00DF4855">
        <w:t xml:space="preserve">he Delegate has recommended several revisions to the </w:t>
      </w:r>
      <w:proofErr w:type="spellStart"/>
      <w:r w:rsidR="001E6DDC">
        <w:t>Amgevita</w:t>
      </w:r>
      <w:proofErr w:type="spellEnd"/>
      <w:r w:rsidR="00DF4855">
        <w:t xml:space="preserve"> Product Information.</w:t>
      </w:r>
      <w:r>
        <w:t xml:space="preserve"> </w:t>
      </w:r>
      <w:r w:rsidR="00DF4855">
        <w:t xml:space="preserve">These revisions have all been incorporated into the draft </w:t>
      </w:r>
      <w:r w:rsidR="002A4790">
        <w:t>PI</w:t>
      </w:r>
      <w:r w:rsidR="00DF4855">
        <w:t xml:space="preserve"> provided </w:t>
      </w:r>
      <w:r>
        <w:t>with this response</w:t>
      </w:r>
      <w:r w:rsidR="00DF4855">
        <w:t>.</w:t>
      </w:r>
    </w:p>
    <w:p w14:paraId="7A0BCB25" w14:textId="02DE9E0E" w:rsidR="008E7846" w:rsidRDefault="000667DE" w:rsidP="000667DE">
      <w:pPr>
        <w:pStyle w:val="Heading4"/>
      </w:pPr>
      <w:r>
        <w:t xml:space="preserve">Advisory </w:t>
      </w:r>
      <w:r w:rsidRPr="000667DE">
        <w:t>committee</w:t>
      </w:r>
      <w:r>
        <w:t xml:space="preserve"> c</w:t>
      </w:r>
      <w:r w:rsidR="008E7846">
        <w:t>onsiderations</w:t>
      </w:r>
    </w:p>
    <w:p w14:paraId="2B8091E7" w14:textId="1C0B9429" w:rsidR="0073661B" w:rsidRPr="00A2040D" w:rsidRDefault="0073661B" w:rsidP="00A2040D">
      <w:bookmarkStart w:id="124" w:name="_Toc247691532"/>
      <w:bookmarkStart w:id="125" w:name="_Toc314842516"/>
      <w:bookmarkEnd w:id="97"/>
      <w:bookmarkEnd w:id="121"/>
      <w:bookmarkEnd w:id="122"/>
      <w:r w:rsidRPr="003D39DE">
        <w:t>The ACM taking into account the submitted evidence of efficacy, safety</w:t>
      </w:r>
      <w:r w:rsidR="00F44AFB">
        <w:t xml:space="preserve"> and quality, agreed with the D</w:t>
      </w:r>
      <w:r w:rsidRPr="003D39DE">
        <w:t xml:space="preserve">elegate and considered </w:t>
      </w:r>
      <w:r w:rsidR="001E6DDC">
        <w:rPr>
          <w:noProof/>
        </w:rPr>
        <w:t>Amgevita</w:t>
      </w:r>
      <w:r w:rsidRPr="003D39DE">
        <w:t xml:space="preserve"> </w:t>
      </w:r>
      <w:r w:rsidR="002A4790">
        <w:rPr>
          <w:noProof/>
        </w:rPr>
        <w:t>p</w:t>
      </w:r>
      <w:r w:rsidR="002A4790" w:rsidRPr="00D55E49">
        <w:rPr>
          <w:noProof/>
        </w:rPr>
        <w:t>re</w:t>
      </w:r>
      <w:r w:rsidRPr="00D55E49">
        <w:rPr>
          <w:noProof/>
        </w:rPr>
        <w:t>-filled syringe pen injector</w:t>
      </w:r>
      <w:r w:rsidRPr="003D39DE">
        <w:t xml:space="preserve"> containing </w:t>
      </w:r>
      <w:r w:rsidRPr="00D55E49">
        <w:rPr>
          <w:noProof/>
        </w:rPr>
        <w:t>20</w:t>
      </w:r>
      <w:r w:rsidR="002A4790">
        <w:rPr>
          <w:noProof/>
        </w:rPr>
        <w:t> </w:t>
      </w:r>
      <w:r w:rsidRPr="00D55E49">
        <w:rPr>
          <w:noProof/>
        </w:rPr>
        <w:t>mg/0.4 mL, 40 mg/0.8 mL, 40 mg/0.8 mL</w:t>
      </w:r>
      <w:r w:rsidRPr="003D39DE">
        <w:t xml:space="preserve"> of </w:t>
      </w:r>
      <w:r w:rsidRPr="00D55E49">
        <w:rPr>
          <w:noProof/>
        </w:rPr>
        <w:t>adalimumab</w:t>
      </w:r>
      <w:r w:rsidRPr="003D39DE">
        <w:t xml:space="preserve"> to have an overall positive benefit-risk profile for </w:t>
      </w:r>
      <w:r w:rsidRPr="004F00EE">
        <w:t>the indication</w:t>
      </w:r>
      <w:r w:rsidR="002A4790">
        <w:t>s a</w:t>
      </w:r>
      <w:r w:rsidRPr="00A2040D">
        <w:t xml:space="preserve">s per the innovator product </w:t>
      </w:r>
      <w:r w:rsidR="001E6DDC" w:rsidRPr="00A2040D">
        <w:t>Humira</w:t>
      </w:r>
      <w:r w:rsidR="002A4790">
        <w:t>:</w:t>
      </w:r>
    </w:p>
    <w:p w14:paraId="7E6A07E8" w14:textId="033FAF08" w:rsidR="0073661B" w:rsidRPr="00A2040D" w:rsidRDefault="002A4790">
      <w:pPr>
        <w:pStyle w:val="ListBullet"/>
        <w:rPr>
          <w:i/>
        </w:rPr>
      </w:pPr>
      <w:r w:rsidRPr="00A2040D">
        <w:rPr>
          <w:i/>
        </w:rPr>
        <w:t>rheumatoid arthritis;</w:t>
      </w:r>
    </w:p>
    <w:p w14:paraId="44BE49F0" w14:textId="52C68DB9" w:rsidR="0073661B" w:rsidRPr="00A2040D" w:rsidRDefault="002A4790">
      <w:pPr>
        <w:pStyle w:val="ListBullet"/>
        <w:rPr>
          <w:i/>
        </w:rPr>
      </w:pPr>
      <w:r w:rsidRPr="00A2040D">
        <w:rPr>
          <w:i/>
        </w:rPr>
        <w:t>polyarticular juvenile idiopathic arthritis;</w:t>
      </w:r>
    </w:p>
    <w:p w14:paraId="5327635D" w14:textId="46D7EBCE" w:rsidR="0073661B" w:rsidRPr="00A2040D" w:rsidRDefault="002A4790">
      <w:pPr>
        <w:pStyle w:val="ListBullet"/>
        <w:rPr>
          <w:i/>
        </w:rPr>
      </w:pPr>
      <w:r w:rsidRPr="00A2040D">
        <w:rPr>
          <w:i/>
        </w:rPr>
        <w:t>psoriatic arthritis;</w:t>
      </w:r>
    </w:p>
    <w:p w14:paraId="291BC532" w14:textId="555C0E23" w:rsidR="0073661B" w:rsidRPr="00A2040D" w:rsidRDefault="002A4790">
      <w:pPr>
        <w:pStyle w:val="ListBullet"/>
        <w:rPr>
          <w:i/>
        </w:rPr>
      </w:pPr>
      <w:r w:rsidRPr="00A2040D">
        <w:rPr>
          <w:i/>
        </w:rPr>
        <w:t>ankylosing spondylitis;</w:t>
      </w:r>
    </w:p>
    <w:p w14:paraId="2968E3E9" w14:textId="3D2A79FB" w:rsidR="0073661B" w:rsidRPr="00A2040D" w:rsidRDefault="002A4790">
      <w:pPr>
        <w:pStyle w:val="ListBullet"/>
        <w:rPr>
          <w:i/>
        </w:rPr>
      </w:pPr>
      <w:r>
        <w:rPr>
          <w:i/>
        </w:rPr>
        <w:t>C</w:t>
      </w:r>
      <w:r w:rsidRPr="00A2040D">
        <w:rPr>
          <w:i/>
        </w:rPr>
        <w:t>rohn’s disease in adults and children (≥ 6 years);</w:t>
      </w:r>
    </w:p>
    <w:p w14:paraId="37FC25D5" w14:textId="3C7BE5FC" w:rsidR="0073661B" w:rsidRPr="00A2040D" w:rsidRDefault="002A4790">
      <w:pPr>
        <w:pStyle w:val="ListBullet"/>
        <w:rPr>
          <w:i/>
        </w:rPr>
      </w:pPr>
      <w:r w:rsidRPr="00A2040D">
        <w:rPr>
          <w:i/>
        </w:rPr>
        <w:t>ulcerative colitis;</w:t>
      </w:r>
    </w:p>
    <w:p w14:paraId="5F441B18" w14:textId="75C1C0CD" w:rsidR="0073661B" w:rsidRPr="00A2040D" w:rsidRDefault="002A4790">
      <w:pPr>
        <w:pStyle w:val="ListBullet"/>
        <w:rPr>
          <w:i/>
        </w:rPr>
      </w:pPr>
      <w:r w:rsidRPr="00A2040D">
        <w:rPr>
          <w:i/>
        </w:rPr>
        <w:t>psoriasis;</w:t>
      </w:r>
    </w:p>
    <w:p w14:paraId="52D042D5" w14:textId="7E29A26A" w:rsidR="0073661B" w:rsidRPr="00A2040D" w:rsidRDefault="002A4790">
      <w:pPr>
        <w:pStyle w:val="ListBullet"/>
        <w:rPr>
          <w:i/>
        </w:rPr>
      </w:pPr>
      <w:r w:rsidRPr="00A2040D">
        <w:rPr>
          <w:i/>
        </w:rPr>
        <w:t xml:space="preserve">hidradenitis </w:t>
      </w:r>
      <w:proofErr w:type="spellStart"/>
      <w:r w:rsidRPr="00A2040D">
        <w:rPr>
          <w:i/>
        </w:rPr>
        <w:t>suppurativa</w:t>
      </w:r>
      <w:proofErr w:type="spellEnd"/>
      <w:r w:rsidRPr="00A2040D">
        <w:rPr>
          <w:i/>
        </w:rPr>
        <w:t xml:space="preserve"> (added during evaluation);</w:t>
      </w:r>
    </w:p>
    <w:p w14:paraId="1AA0BA6D" w14:textId="303626D8" w:rsidR="0073661B" w:rsidRPr="00A2040D" w:rsidRDefault="002A4790">
      <w:pPr>
        <w:pStyle w:val="ListBullet"/>
        <w:rPr>
          <w:i/>
        </w:rPr>
      </w:pPr>
      <w:r w:rsidRPr="00A2040D">
        <w:rPr>
          <w:i/>
        </w:rPr>
        <w:t>uveitis (added during evaluation); and</w:t>
      </w:r>
    </w:p>
    <w:p w14:paraId="231CA14B" w14:textId="419CBE96" w:rsidR="0073661B" w:rsidRPr="00A2040D" w:rsidRDefault="002A4790">
      <w:pPr>
        <w:pStyle w:val="ListBullet"/>
        <w:rPr>
          <w:i/>
        </w:rPr>
      </w:pPr>
      <w:proofErr w:type="gramStart"/>
      <w:r w:rsidRPr="00A2040D">
        <w:rPr>
          <w:i/>
        </w:rPr>
        <w:t>enthesitis-related</w:t>
      </w:r>
      <w:proofErr w:type="gramEnd"/>
      <w:r w:rsidRPr="00A2040D">
        <w:rPr>
          <w:i/>
        </w:rPr>
        <w:t xml:space="preserve"> arthritis (era).</w:t>
      </w:r>
    </w:p>
    <w:p w14:paraId="1C648ED8" w14:textId="2196753E" w:rsidR="0073661B" w:rsidRPr="003D39DE" w:rsidRDefault="0073661B" w:rsidP="0073661B">
      <w:r w:rsidRPr="003D39DE">
        <w:t>In making this recommendation the ACM</w:t>
      </w:r>
      <w:r w:rsidR="002A4790">
        <w:t>:</w:t>
      </w:r>
    </w:p>
    <w:p w14:paraId="58C8AAB7" w14:textId="77777777" w:rsidR="0073661B" w:rsidRDefault="0073661B" w:rsidP="0073661B">
      <w:pPr>
        <w:pStyle w:val="ListBullet"/>
      </w:pPr>
      <w:r>
        <w:t>noted this is the first application in Australia for a biosimilar version for adalimumab</w:t>
      </w:r>
    </w:p>
    <w:p w14:paraId="254A1BCE" w14:textId="77777777" w:rsidR="0073661B" w:rsidRDefault="0073661B" w:rsidP="000667DE">
      <w:pPr>
        <w:pStyle w:val="ListBullet"/>
      </w:pPr>
      <w:r>
        <w:t>noted the number of extrapolated indications to consider</w:t>
      </w:r>
    </w:p>
    <w:p w14:paraId="271961D7" w14:textId="33F7BDF7" w:rsidR="0073661B" w:rsidRPr="005548E3" w:rsidRDefault="0073661B" w:rsidP="0073661B">
      <w:pPr>
        <w:pStyle w:val="ListBullet"/>
      </w:pPr>
      <w:proofErr w:type="gramStart"/>
      <w:r w:rsidRPr="005548E3">
        <w:t>expressed</w:t>
      </w:r>
      <w:proofErr w:type="gramEnd"/>
      <w:r w:rsidRPr="005548E3">
        <w:t xml:space="preserve"> concern that multiple switching of biosimilar products would be an issue in the future</w:t>
      </w:r>
      <w:r w:rsidR="002A4790">
        <w:t>.</w:t>
      </w:r>
    </w:p>
    <w:p w14:paraId="13CB2AD5" w14:textId="1D5D6575" w:rsidR="0073661B" w:rsidRPr="003D39DE" w:rsidRDefault="0073661B" w:rsidP="0073661B">
      <w:pPr>
        <w:pStyle w:val="Heading5"/>
      </w:pPr>
      <w:r w:rsidRPr="003D39DE">
        <w:t xml:space="preserve">Specific </w:t>
      </w:r>
      <w:r w:rsidR="000667DE">
        <w:t>a</w:t>
      </w:r>
      <w:r w:rsidRPr="003D39DE">
        <w:t>dvice</w:t>
      </w:r>
    </w:p>
    <w:p w14:paraId="7436E9EB" w14:textId="77777777" w:rsidR="0073661B" w:rsidRDefault="0073661B" w:rsidP="0073661B">
      <w:r w:rsidRPr="003D39DE">
        <w:t>The ACM advised th</w:t>
      </w:r>
      <w:r w:rsidR="00F44AFB">
        <w:t>e following in response to the D</w:t>
      </w:r>
      <w:r w:rsidRPr="003D39DE">
        <w:t xml:space="preserve">elegate’s specific questions on the </w:t>
      </w:r>
      <w:r w:rsidRPr="004F00EE">
        <w:t>submission:</w:t>
      </w:r>
    </w:p>
    <w:p w14:paraId="79B8D394" w14:textId="75B5F396" w:rsidR="0073661B" w:rsidRPr="00C71E8E" w:rsidRDefault="002A4790" w:rsidP="00A2040D">
      <w:pPr>
        <w:pStyle w:val="ListBullet"/>
      </w:pPr>
      <w:r>
        <w:t xml:space="preserve">The </w:t>
      </w:r>
      <w:r w:rsidR="0073661B" w:rsidRPr="00C71E8E">
        <w:t xml:space="preserve">ACM noted that the only quality use of medicine issue will be the </w:t>
      </w:r>
      <w:r w:rsidR="0073661B">
        <w:t xml:space="preserve">potential </w:t>
      </w:r>
      <w:r w:rsidR="0073661B" w:rsidRPr="00C71E8E">
        <w:t xml:space="preserve">difference in </w:t>
      </w:r>
      <w:r w:rsidR="0073661B">
        <w:t xml:space="preserve">injection device </w:t>
      </w:r>
      <w:r w:rsidR="0073661B" w:rsidRPr="00C71E8E">
        <w:t xml:space="preserve">in the context of switching </w:t>
      </w:r>
      <w:r w:rsidR="0073661B">
        <w:t>between biosimilar medicines</w:t>
      </w:r>
      <w:r w:rsidR="0073661B" w:rsidRPr="00C71E8E">
        <w:t>.</w:t>
      </w:r>
    </w:p>
    <w:p w14:paraId="4299D4AB" w14:textId="604EB748" w:rsidR="0073661B" w:rsidRPr="003D39DE" w:rsidRDefault="002A4790" w:rsidP="00A2040D">
      <w:pPr>
        <w:pStyle w:val="ListBullet"/>
      </w:pPr>
      <w:r>
        <w:t xml:space="preserve">The </w:t>
      </w:r>
      <w:r w:rsidR="0073661B" w:rsidRPr="00C71E8E">
        <w:t>ACM agreed that the data provided supports the listi</w:t>
      </w:r>
      <w:r w:rsidR="0073661B">
        <w:t xml:space="preserve">ng of </w:t>
      </w:r>
      <w:proofErr w:type="spellStart"/>
      <w:r w:rsidR="001E6DDC">
        <w:t>Amgevita</w:t>
      </w:r>
      <w:proofErr w:type="spellEnd"/>
      <w:r w:rsidR="0073661B">
        <w:t xml:space="preserve"> for the proposed</w:t>
      </w:r>
      <w:r w:rsidR="0073661B" w:rsidRPr="00C71E8E">
        <w:t xml:space="preserve"> indications</w:t>
      </w:r>
      <w:r w:rsidR="0073661B">
        <w:t>.</w:t>
      </w:r>
    </w:p>
    <w:p w14:paraId="2280805C" w14:textId="77777777" w:rsidR="0073661B" w:rsidRPr="004F00EE" w:rsidRDefault="0073661B" w:rsidP="0073661B">
      <w:r w:rsidRPr="003D39DE">
        <w:t xml:space="preserve">The ACM advised that implementation by the sponsor of the recommendations outlined above to the satisfaction of the TGA, in addition to the evidence of efficacy and safety provided would support the safe and effective </w:t>
      </w:r>
      <w:r w:rsidRPr="004F00EE">
        <w:t>use of this product.</w:t>
      </w:r>
    </w:p>
    <w:p w14:paraId="36C913E7" w14:textId="77777777" w:rsidR="008E7846" w:rsidRPr="002E238E" w:rsidRDefault="008E7846" w:rsidP="000667DE">
      <w:pPr>
        <w:pStyle w:val="Heading3"/>
      </w:pPr>
      <w:bookmarkStart w:id="126" w:name="_Toc519244671"/>
      <w:r w:rsidRPr="000667DE">
        <w:t>Outcome</w:t>
      </w:r>
      <w:bookmarkEnd w:id="124"/>
      <w:bookmarkEnd w:id="125"/>
      <w:bookmarkEnd w:id="126"/>
    </w:p>
    <w:p w14:paraId="5B0D4D86" w14:textId="77777777" w:rsidR="00DF4855" w:rsidRDefault="00D23139" w:rsidP="000667DE">
      <w:pPr>
        <w:keepNext/>
        <w:keepLines/>
      </w:pPr>
      <w:bookmarkStart w:id="127" w:name="_Toc247691533"/>
      <w:bookmarkStart w:id="128" w:name="_Toc314842517"/>
      <w:r w:rsidRPr="00D23139">
        <w:t>Based on a review of quality, safety and efficacy, TG</w:t>
      </w:r>
      <w:r w:rsidR="00EB27B6">
        <w:t xml:space="preserve">A approved the registration of </w:t>
      </w:r>
      <w:proofErr w:type="spellStart"/>
      <w:r w:rsidR="001E6DDC">
        <w:t>Amgevita</w:t>
      </w:r>
      <w:proofErr w:type="spellEnd"/>
      <w:r w:rsidR="00DF4855">
        <w:t xml:space="preserve"> adalimumab (</w:t>
      </w:r>
      <w:proofErr w:type="spellStart"/>
      <w:r w:rsidR="00DF4855">
        <w:t>rch</w:t>
      </w:r>
      <w:proofErr w:type="spellEnd"/>
      <w:r w:rsidR="00DF4855">
        <w:t>) 4</w:t>
      </w:r>
      <w:r w:rsidR="00C3267F">
        <w:t>0 mg</w:t>
      </w:r>
      <w:r w:rsidR="00DF4855">
        <w:t>/0.8</w:t>
      </w:r>
      <w:r w:rsidR="00822775">
        <w:t xml:space="preserve"> </w:t>
      </w:r>
      <w:r w:rsidR="00DF4855">
        <w:t>mL injection solution syringe within a pen injector</w:t>
      </w:r>
      <w:r w:rsidR="00822775">
        <w:t xml:space="preserve"> and</w:t>
      </w:r>
      <w:r w:rsidR="00DF4855">
        <w:t xml:space="preserve"> </w:t>
      </w:r>
      <w:proofErr w:type="spellStart"/>
      <w:r w:rsidR="001E6DDC">
        <w:t>Amgevita</w:t>
      </w:r>
      <w:proofErr w:type="spellEnd"/>
      <w:r w:rsidR="00DF4855">
        <w:t xml:space="preserve"> adalimumab (</w:t>
      </w:r>
      <w:proofErr w:type="spellStart"/>
      <w:r w:rsidR="00DF4855">
        <w:t>rch</w:t>
      </w:r>
      <w:proofErr w:type="spellEnd"/>
      <w:r w:rsidR="00DF4855">
        <w:t>) 4</w:t>
      </w:r>
      <w:r w:rsidR="00C3267F">
        <w:t>0 mg</w:t>
      </w:r>
      <w:r w:rsidR="00DF4855">
        <w:t>/0.8</w:t>
      </w:r>
      <w:r w:rsidR="00822775">
        <w:t xml:space="preserve"> </w:t>
      </w:r>
      <w:r w:rsidR="00DF4855">
        <w:t>mL injection solution syringe</w:t>
      </w:r>
      <w:r w:rsidR="00EB27B6">
        <w:t xml:space="preserve"> </w:t>
      </w:r>
      <w:proofErr w:type="spellStart"/>
      <w:r w:rsidR="001E6DDC">
        <w:t>Amgevita</w:t>
      </w:r>
      <w:proofErr w:type="spellEnd"/>
      <w:r w:rsidR="00DF4855">
        <w:t xml:space="preserve"> adalimumab (</w:t>
      </w:r>
      <w:proofErr w:type="spellStart"/>
      <w:r w:rsidR="00DF4855">
        <w:t>rch</w:t>
      </w:r>
      <w:proofErr w:type="spellEnd"/>
      <w:r w:rsidR="00DF4855">
        <w:t>) 2</w:t>
      </w:r>
      <w:r w:rsidR="00C3267F">
        <w:t>0 mg</w:t>
      </w:r>
      <w:r w:rsidR="00DF4855">
        <w:t>/0.4</w:t>
      </w:r>
      <w:r w:rsidR="00822775">
        <w:t xml:space="preserve"> </w:t>
      </w:r>
      <w:r w:rsidR="00DF4855">
        <w:t>mL injection solution syringe</w:t>
      </w:r>
      <w:r w:rsidR="00EB27B6">
        <w:t xml:space="preserve">, </w:t>
      </w:r>
      <w:r w:rsidR="00EB27B6" w:rsidRPr="00D23139">
        <w:t>indicated for:</w:t>
      </w:r>
    </w:p>
    <w:p w14:paraId="2863E7E5" w14:textId="1771E7DC" w:rsidR="00DF4855" w:rsidRPr="00C62F1E" w:rsidRDefault="000667DE" w:rsidP="00EB27B6">
      <w:pPr>
        <w:ind w:left="720"/>
        <w:rPr>
          <w:b/>
          <w:i/>
        </w:rPr>
      </w:pPr>
      <w:r>
        <w:rPr>
          <w:b/>
          <w:i/>
        </w:rPr>
        <w:t>Rheumatoid a</w:t>
      </w:r>
      <w:r w:rsidR="00DF4855" w:rsidRPr="00C62F1E">
        <w:rPr>
          <w:b/>
          <w:i/>
        </w:rPr>
        <w:t>rthritis</w:t>
      </w:r>
    </w:p>
    <w:p w14:paraId="1BC40A58" w14:textId="77777777" w:rsidR="00DF4855" w:rsidRPr="00EB27B6" w:rsidRDefault="001E6DDC" w:rsidP="00EB27B6">
      <w:pPr>
        <w:ind w:left="720"/>
        <w:rPr>
          <w:i/>
        </w:rPr>
      </w:pPr>
      <w:proofErr w:type="spellStart"/>
      <w:r>
        <w:rPr>
          <w:i/>
        </w:rPr>
        <w:t>Amgevita</w:t>
      </w:r>
      <w:proofErr w:type="spellEnd"/>
      <w:r w:rsidR="00DF4855" w:rsidRPr="00EB27B6">
        <w:rPr>
          <w:i/>
        </w:rPr>
        <w:t xml:space="preserve">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 </w:t>
      </w:r>
      <w:proofErr w:type="spellStart"/>
      <w:r>
        <w:rPr>
          <w:i/>
        </w:rPr>
        <w:t>Amgevita</w:t>
      </w:r>
      <w:proofErr w:type="spellEnd"/>
      <w:r w:rsidR="00DF4855" w:rsidRPr="00EB27B6">
        <w:rPr>
          <w:i/>
        </w:rPr>
        <w:t xml:space="preserve"> can be used alone or in combination with methotrexate.</w:t>
      </w:r>
    </w:p>
    <w:p w14:paraId="4ACD96C1" w14:textId="30E43F43" w:rsidR="00DF4855" w:rsidRPr="00C62F1E" w:rsidRDefault="00DF4855" w:rsidP="00EB27B6">
      <w:pPr>
        <w:ind w:left="720"/>
        <w:rPr>
          <w:b/>
          <w:i/>
        </w:rPr>
      </w:pPr>
      <w:r w:rsidRPr="00C62F1E">
        <w:rPr>
          <w:b/>
          <w:i/>
        </w:rPr>
        <w:t xml:space="preserve">Juvenile </w:t>
      </w:r>
      <w:r w:rsidR="000667DE">
        <w:rPr>
          <w:b/>
          <w:i/>
        </w:rPr>
        <w:t>i</w:t>
      </w:r>
      <w:r w:rsidRPr="00C62F1E">
        <w:rPr>
          <w:b/>
          <w:i/>
        </w:rPr>
        <w:t xml:space="preserve">diopathic </w:t>
      </w:r>
      <w:r w:rsidR="000667DE">
        <w:rPr>
          <w:b/>
          <w:i/>
        </w:rPr>
        <w:t>a</w:t>
      </w:r>
      <w:r w:rsidRPr="00C62F1E">
        <w:rPr>
          <w:b/>
          <w:i/>
        </w:rPr>
        <w:t>rthritis</w:t>
      </w:r>
    </w:p>
    <w:p w14:paraId="4C1D3A36" w14:textId="53FFE9D3" w:rsidR="00DF4855" w:rsidRPr="00C62F1E" w:rsidRDefault="000667DE" w:rsidP="00EB27B6">
      <w:pPr>
        <w:ind w:left="720"/>
        <w:rPr>
          <w:b/>
          <w:i/>
        </w:rPr>
      </w:pPr>
      <w:proofErr w:type="spellStart"/>
      <w:r>
        <w:rPr>
          <w:b/>
          <w:i/>
        </w:rPr>
        <w:t>Polyarticular</w:t>
      </w:r>
      <w:proofErr w:type="spellEnd"/>
      <w:r>
        <w:rPr>
          <w:b/>
          <w:i/>
        </w:rPr>
        <w:t xml:space="preserve"> j</w:t>
      </w:r>
      <w:r w:rsidR="00DF4855" w:rsidRPr="00C62F1E">
        <w:rPr>
          <w:b/>
          <w:i/>
        </w:rPr>
        <w:t xml:space="preserve">uvenile </w:t>
      </w:r>
      <w:r>
        <w:rPr>
          <w:b/>
          <w:i/>
        </w:rPr>
        <w:t>i</w:t>
      </w:r>
      <w:r w:rsidR="00DF4855" w:rsidRPr="00C62F1E">
        <w:rPr>
          <w:b/>
          <w:i/>
        </w:rPr>
        <w:t xml:space="preserve">diopathic </w:t>
      </w:r>
      <w:r>
        <w:rPr>
          <w:b/>
          <w:i/>
        </w:rPr>
        <w:t>arthritis</w:t>
      </w:r>
    </w:p>
    <w:p w14:paraId="184F0A21" w14:textId="77777777" w:rsidR="00D23139" w:rsidRDefault="001E6DDC" w:rsidP="00EB27B6">
      <w:pPr>
        <w:ind w:left="720"/>
        <w:rPr>
          <w:i/>
        </w:rPr>
      </w:pPr>
      <w:proofErr w:type="spellStart"/>
      <w:r>
        <w:rPr>
          <w:i/>
        </w:rPr>
        <w:t>Amgevita</w:t>
      </w:r>
      <w:proofErr w:type="spellEnd"/>
      <w:r w:rsidR="00DF4855" w:rsidRPr="00EB27B6">
        <w:rPr>
          <w:i/>
        </w:rPr>
        <w:t xml:space="preserve"> in combination with methotrexate is indicated for reducing the signs and symptoms of moderately to severely active polyarticular juvenile idiopathic arthritis in patients 2 years of age and older who have had an inadequate response to one or more disease modifying antirheumatic drugs (DMARDs). </w:t>
      </w:r>
      <w:proofErr w:type="spellStart"/>
      <w:r>
        <w:rPr>
          <w:i/>
        </w:rPr>
        <w:t>Amgevita</w:t>
      </w:r>
      <w:proofErr w:type="spellEnd"/>
      <w:r w:rsidR="00DF4855" w:rsidRPr="00EB27B6">
        <w:rPr>
          <w:i/>
        </w:rPr>
        <w:t xml:space="preserve"> can be given as monotherapy in case of intolerance to methotrexate or when continued treatment with methotrexate is inappropriate.</w:t>
      </w:r>
    </w:p>
    <w:p w14:paraId="2B4445AB" w14:textId="6F771DDC" w:rsidR="00EB27B6" w:rsidRPr="00C62F1E" w:rsidRDefault="00EB27B6" w:rsidP="00C62F1E">
      <w:pPr>
        <w:keepNext/>
        <w:ind w:left="720"/>
        <w:rPr>
          <w:b/>
          <w:i/>
        </w:rPr>
      </w:pPr>
      <w:proofErr w:type="spellStart"/>
      <w:r w:rsidRPr="00C62F1E">
        <w:rPr>
          <w:b/>
          <w:i/>
        </w:rPr>
        <w:t>Enthesitis</w:t>
      </w:r>
      <w:proofErr w:type="spellEnd"/>
      <w:r w:rsidRPr="00C62F1E">
        <w:rPr>
          <w:b/>
          <w:i/>
        </w:rPr>
        <w:t>-</w:t>
      </w:r>
      <w:r w:rsidR="000667DE">
        <w:rPr>
          <w:b/>
          <w:i/>
        </w:rPr>
        <w:t>r</w:t>
      </w:r>
      <w:r w:rsidRPr="00C62F1E">
        <w:rPr>
          <w:b/>
          <w:i/>
        </w:rPr>
        <w:t xml:space="preserve">elated </w:t>
      </w:r>
      <w:r w:rsidR="000667DE">
        <w:rPr>
          <w:b/>
          <w:i/>
        </w:rPr>
        <w:t>a</w:t>
      </w:r>
      <w:r w:rsidRPr="00C62F1E">
        <w:rPr>
          <w:b/>
          <w:i/>
        </w:rPr>
        <w:t>rthritis</w:t>
      </w:r>
    </w:p>
    <w:p w14:paraId="75317501" w14:textId="77777777" w:rsidR="00EB27B6" w:rsidRPr="00EB27B6" w:rsidRDefault="001E6DDC" w:rsidP="00EB27B6">
      <w:pPr>
        <w:ind w:left="720"/>
        <w:rPr>
          <w:i/>
        </w:rPr>
      </w:pPr>
      <w:proofErr w:type="spellStart"/>
      <w:r>
        <w:rPr>
          <w:i/>
        </w:rPr>
        <w:t>Amgevita</w:t>
      </w:r>
      <w:proofErr w:type="spellEnd"/>
      <w:r w:rsidR="00EB27B6" w:rsidRPr="00EB27B6">
        <w:rPr>
          <w:i/>
        </w:rPr>
        <w:t xml:space="preserve"> is indicated for the treatment of enthesitis-related arthritis in children, who have</w:t>
      </w:r>
      <w:r w:rsidR="00EB27B6">
        <w:rPr>
          <w:i/>
        </w:rPr>
        <w:t xml:space="preserve"> </w:t>
      </w:r>
      <w:r w:rsidR="00EB27B6" w:rsidRPr="00EB27B6">
        <w:rPr>
          <w:i/>
        </w:rPr>
        <w:t>had an inadequate response to, or who are intolerant to, conventional therapy.</w:t>
      </w:r>
    </w:p>
    <w:p w14:paraId="056296EF" w14:textId="6521BEC4" w:rsidR="00EB27B6" w:rsidRPr="00C62F1E" w:rsidRDefault="00EB27B6" w:rsidP="00EB27B6">
      <w:pPr>
        <w:ind w:left="720"/>
        <w:rPr>
          <w:b/>
          <w:i/>
        </w:rPr>
      </w:pPr>
      <w:r w:rsidRPr="00C62F1E">
        <w:rPr>
          <w:b/>
          <w:i/>
        </w:rPr>
        <w:t xml:space="preserve">Psoriatic </w:t>
      </w:r>
      <w:r w:rsidR="000667DE">
        <w:rPr>
          <w:b/>
          <w:i/>
        </w:rPr>
        <w:t>a</w:t>
      </w:r>
      <w:r w:rsidRPr="00C62F1E">
        <w:rPr>
          <w:b/>
          <w:i/>
        </w:rPr>
        <w:t>rthritis</w:t>
      </w:r>
    </w:p>
    <w:p w14:paraId="32451422" w14:textId="77777777" w:rsidR="00EB27B6" w:rsidRPr="00EB27B6" w:rsidRDefault="001E6DDC" w:rsidP="00EB27B6">
      <w:pPr>
        <w:ind w:left="720"/>
        <w:rPr>
          <w:i/>
        </w:rPr>
      </w:pPr>
      <w:proofErr w:type="spellStart"/>
      <w:r>
        <w:rPr>
          <w:i/>
        </w:rPr>
        <w:t>Amgevita</w:t>
      </w:r>
      <w:proofErr w:type="spellEnd"/>
      <w:r w:rsidR="00EB27B6" w:rsidRPr="00EB27B6">
        <w:rPr>
          <w:i/>
        </w:rPr>
        <w:t xml:space="preserve"> is indicated for the treatment of signs and symptoms, as well as inhibiting the</w:t>
      </w:r>
      <w:r w:rsidR="00EB27B6">
        <w:rPr>
          <w:i/>
        </w:rPr>
        <w:t xml:space="preserve"> </w:t>
      </w:r>
      <w:r w:rsidR="00EB27B6" w:rsidRPr="00EB27B6">
        <w:rPr>
          <w:i/>
        </w:rPr>
        <w:t>progression of structural damage, of moderately to severely active psoriatic arthritis in adult</w:t>
      </w:r>
      <w:r w:rsidR="00EB27B6">
        <w:rPr>
          <w:i/>
        </w:rPr>
        <w:t xml:space="preserve"> </w:t>
      </w:r>
      <w:r w:rsidR="00EB27B6" w:rsidRPr="00EB27B6">
        <w:rPr>
          <w:i/>
        </w:rPr>
        <w:t>patients where response to previous DMARDs has been inadequate.</w:t>
      </w:r>
    </w:p>
    <w:p w14:paraId="1F2236DE" w14:textId="331FF42E" w:rsidR="00EB27B6" w:rsidRPr="00C62F1E" w:rsidRDefault="00EB27B6" w:rsidP="00EB27B6">
      <w:pPr>
        <w:ind w:left="720"/>
        <w:rPr>
          <w:b/>
          <w:i/>
        </w:rPr>
      </w:pPr>
      <w:r w:rsidRPr="00C62F1E">
        <w:rPr>
          <w:b/>
          <w:i/>
        </w:rPr>
        <w:t xml:space="preserve">Ankylosing </w:t>
      </w:r>
      <w:r w:rsidR="000667DE">
        <w:rPr>
          <w:b/>
          <w:i/>
        </w:rPr>
        <w:t>s</w:t>
      </w:r>
      <w:r w:rsidRPr="00C62F1E">
        <w:rPr>
          <w:b/>
          <w:i/>
        </w:rPr>
        <w:t>pondylitis</w:t>
      </w:r>
    </w:p>
    <w:p w14:paraId="7E9FA64E" w14:textId="77777777" w:rsidR="00EB27B6" w:rsidRPr="00EB27B6" w:rsidRDefault="001E6DDC" w:rsidP="00EB27B6">
      <w:pPr>
        <w:ind w:left="720"/>
        <w:rPr>
          <w:i/>
        </w:rPr>
      </w:pPr>
      <w:proofErr w:type="spellStart"/>
      <w:r>
        <w:rPr>
          <w:i/>
        </w:rPr>
        <w:t>Amgevita</w:t>
      </w:r>
      <w:proofErr w:type="spellEnd"/>
      <w:r w:rsidR="00EB27B6" w:rsidRPr="00EB27B6">
        <w:rPr>
          <w:i/>
        </w:rPr>
        <w:t xml:space="preserve"> is indicated for reducing signs and symptoms in patients with active ankylosing</w:t>
      </w:r>
      <w:r w:rsidR="00EB27B6">
        <w:rPr>
          <w:i/>
        </w:rPr>
        <w:t xml:space="preserve"> </w:t>
      </w:r>
      <w:r w:rsidR="00EB27B6" w:rsidRPr="00EB27B6">
        <w:rPr>
          <w:i/>
        </w:rPr>
        <w:t>spondylitis.</w:t>
      </w:r>
    </w:p>
    <w:p w14:paraId="4DBBFF5D" w14:textId="243F1FCA" w:rsidR="00EB27B6" w:rsidRPr="00C62F1E" w:rsidRDefault="000667DE" w:rsidP="00EB27B6">
      <w:pPr>
        <w:ind w:left="720"/>
        <w:rPr>
          <w:b/>
          <w:i/>
        </w:rPr>
      </w:pPr>
      <w:r>
        <w:rPr>
          <w:b/>
          <w:i/>
        </w:rPr>
        <w:t>Crohn’s d</w:t>
      </w:r>
      <w:r w:rsidR="00EB27B6" w:rsidRPr="00C62F1E">
        <w:rPr>
          <w:b/>
          <w:i/>
        </w:rPr>
        <w:t>isease in</w:t>
      </w:r>
      <w:r>
        <w:rPr>
          <w:b/>
          <w:i/>
        </w:rPr>
        <w:t xml:space="preserve"> a</w:t>
      </w:r>
      <w:r w:rsidR="00EB27B6" w:rsidRPr="00C62F1E">
        <w:rPr>
          <w:b/>
          <w:i/>
        </w:rPr>
        <w:t xml:space="preserve">dults and </w:t>
      </w:r>
      <w:r>
        <w:rPr>
          <w:b/>
          <w:i/>
        </w:rPr>
        <w:t>c</w:t>
      </w:r>
      <w:r w:rsidR="00EB27B6" w:rsidRPr="00C62F1E">
        <w:rPr>
          <w:b/>
          <w:i/>
        </w:rPr>
        <w:t>hildren (≥6 years)</w:t>
      </w:r>
    </w:p>
    <w:p w14:paraId="40406488" w14:textId="77777777" w:rsidR="00EB27B6" w:rsidRPr="00EB27B6" w:rsidRDefault="001E6DDC" w:rsidP="00EB27B6">
      <w:pPr>
        <w:ind w:left="720"/>
        <w:rPr>
          <w:i/>
        </w:rPr>
      </w:pPr>
      <w:proofErr w:type="spellStart"/>
      <w:r>
        <w:rPr>
          <w:i/>
        </w:rPr>
        <w:t>Amgevita</w:t>
      </w:r>
      <w:proofErr w:type="spellEnd"/>
      <w:r w:rsidR="00EB27B6" w:rsidRPr="00EB27B6">
        <w:rPr>
          <w:i/>
        </w:rPr>
        <w:t xml:space="preserve"> is indicated for the treatment of moderate to severe Crohn’s disease, to reduce the</w:t>
      </w:r>
      <w:r w:rsidR="00EB27B6">
        <w:rPr>
          <w:i/>
        </w:rPr>
        <w:t xml:space="preserve"> </w:t>
      </w:r>
      <w:r w:rsidR="00EB27B6" w:rsidRPr="00EB27B6">
        <w:rPr>
          <w:i/>
        </w:rPr>
        <w:t>signs and symptoms of the disease and to induce and maintain clinical remission in patients;</w:t>
      </w:r>
      <w:r w:rsidR="00EB27B6">
        <w:rPr>
          <w:i/>
        </w:rPr>
        <w:t xml:space="preserve"> </w:t>
      </w:r>
      <w:r w:rsidR="00EB27B6" w:rsidRPr="00EB27B6">
        <w:rPr>
          <w:i/>
        </w:rPr>
        <w:t>- who have had an inadequate response to conventional therapies or,</w:t>
      </w:r>
      <w:r w:rsidR="00EB27B6">
        <w:rPr>
          <w:i/>
        </w:rPr>
        <w:t xml:space="preserve"> </w:t>
      </w:r>
      <w:r w:rsidR="00EB27B6" w:rsidRPr="00EB27B6">
        <w:rPr>
          <w:i/>
        </w:rPr>
        <w:t>- who have lost response to or are intolerant of infliximab.</w:t>
      </w:r>
    </w:p>
    <w:p w14:paraId="015D95C5" w14:textId="77777777" w:rsidR="00EB27B6" w:rsidRPr="00C62F1E" w:rsidRDefault="00EB27B6" w:rsidP="00EB27B6">
      <w:pPr>
        <w:ind w:left="720"/>
        <w:rPr>
          <w:b/>
          <w:i/>
        </w:rPr>
      </w:pPr>
      <w:r w:rsidRPr="00C62F1E">
        <w:rPr>
          <w:b/>
          <w:i/>
        </w:rPr>
        <w:t>Ulcerative colitis</w:t>
      </w:r>
    </w:p>
    <w:p w14:paraId="7E474A4E" w14:textId="77777777" w:rsidR="00EB27B6" w:rsidRPr="00EB27B6" w:rsidRDefault="001E6DDC" w:rsidP="00EB27B6">
      <w:pPr>
        <w:ind w:left="720"/>
        <w:rPr>
          <w:i/>
        </w:rPr>
      </w:pPr>
      <w:proofErr w:type="spellStart"/>
      <w:r>
        <w:rPr>
          <w:i/>
        </w:rPr>
        <w:t>Amgevita</w:t>
      </w:r>
      <w:proofErr w:type="spellEnd"/>
      <w:r w:rsidR="00EB27B6" w:rsidRPr="00EB27B6">
        <w:rPr>
          <w:i/>
        </w:rPr>
        <w:t xml:space="preserve"> is indicated for the treatment of moderate to severe ulcerative colitis in adult</w:t>
      </w:r>
      <w:r w:rsidR="00EB27B6">
        <w:rPr>
          <w:i/>
        </w:rPr>
        <w:t xml:space="preserve"> </w:t>
      </w:r>
      <w:r w:rsidR="00EB27B6" w:rsidRPr="00EB27B6">
        <w:rPr>
          <w:i/>
        </w:rPr>
        <w:t>patients who have had an inadequate response to conventional therapy or who are intolerant to</w:t>
      </w:r>
      <w:r w:rsidR="00EB27B6">
        <w:rPr>
          <w:i/>
        </w:rPr>
        <w:t xml:space="preserve"> </w:t>
      </w:r>
      <w:r w:rsidR="00EB27B6" w:rsidRPr="00EB27B6">
        <w:rPr>
          <w:i/>
        </w:rPr>
        <w:t>or have medical contraindications for such therapies. Patients should show a clinical response</w:t>
      </w:r>
      <w:r w:rsidR="00EB27B6">
        <w:rPr>
          <w:i/>
        </w:rPr>
        <w:t xml:space="preserve"> </w:t>
      </w:r>
      <w:r w:rsidR="00EB27B6" w:rsidRPr="00EB27B6">
        <w:rPr>
          <w:i/>
        </w:rPr>
        <w:t>within 8 weeks of treatment to continue treatment beyond that time. (</w:t>
      </w:r>
      <w:proofErr w:type="gramStart"/>
      <w:r w:rsidR="00EB27B6" w:rsidRPr="00EB27B6">
        <w:rPr>
          <w:i/>
        </w:rPr>
        <w:t>see</w:t>
      </w:r>
      <w:proofErr w:type="gramEnd"/>
      <w:r w:rsidR="00EB27B6" w:rsidRPr="00EB27B6">
        <w:rPr>
          <w:i/>
        </w:rPr>
        <w:t xml:space="preserve"> CLINICAL TRIALS).</w:t>
      </w:r>
    </w:p>
    <w:p w14:paraId="0FFA84D5" w14:textId="16CB074D" w:rsidR="00EB27B6" w:rsidRPr="00C62F1E" w:rsidRDefault="000667DE" w:rsidP="00EB27B6">
      <w:pPr>
        <w:ind w:left="720"/>
        <w:rPr>
          <w:b/>
          <w:i/>
        </w:rPr>
      </w:pPr>
      <w:r>
        <w:rPr>
          <w:b/>
          <w:i/>
        </w:rPr>
        <w:t>Psoriasis in a</w:t>
      </w:r>
      <w:r w:rsidR="00EB27B6" w:rsidRPr="00C62F1E">
        <w:rPr>
          <w:b/>
          <w:i/>
        </w:rPr>
        <w:t xml:space="preserve">dults and </w:t>
      </w:r>
      <w:r>
        <w:rPr>
          <w:b/>
          <w:i/>
        </w:rPr>
        <w:t>c</w:t>
      </w:r>
      <w:r w:rsidR="00EB27B6" w:rsidRPr="00C62F1E">
        <w:rPr>
          <w:b/>
          <w:i/>
        </w:rPr>
        <w:t>hildren</w:t>
      </w:r>
    </w:p>
    <w:p w14:paraId="18C68D03" w14:textId="77777777" w:rsidR="00EB27B6" w:rsidRPr="00EB27B6" w:rsidRDefault="001E6DDC" w:rsidP="00EB27B6">
      <w:pPr>
        <w:ind w:left="720"/>
        <w:rPr>
          <w:i/>
        </w:rPr>
      </w:pPr>
      <w:proofErr w:type="spellStart"/>
      <w:r>
        <w:rPr>
          <w:i/>
        </w:rPr>
        <w:t>Amgevita</w:t>
      </w:r>
      <w:proofErr w:type="spellEnd"/>
      <w:r w:rsidR="00EB27B6" w:rsidRPr="00EB27B6">
        <w:rPr>
          <w:i/>
        </w:rPr>
        <w:t xml:space="preserve"> is indicated for the treatment of moderate to severe chronic plaque psoriasis</w:t>
      </w:r>
      <w:r w:rsidR="00EB27B6">
        <w:rPr>
          <w:i/>
        </w:rPr>
        <w:t xml:space="preserve"> </w:t>
      </w:r>
      <w:r w:rsidR="00EB27B6" w:rsidRPr="00EB27B6">
        <w:rPr>
          <w:i/>
        </w:rPr>
        <w:t xml:space="preserve">in adult patients who are candidates for systemic therapy or phototherapy. </w:t>
      </w:r>
      <w:proofErr w:type="spellStart"/>
      <w:r>
        <w:rPr>
          <w:i/>
        </w:rPr>
        <w:t>Amgevita</w:t>
      </w:r>
      <w:proofErr w:type="spellEnd"/>
      <w:r w:rsidR="00EB27B6" w:rsidRPr="00EB27B6">
        <w:rPr>
          <w:i/>
        </w:rPr>
        <w:t xml:space="preserve"> is</w:t>
      </w:r>
      <w:r w:rsidR="00EB27B6">
        <w:rPr>
          <w:i/>
        </w:rPr>
        <w:t xml:space="preserve"> </w:t>
      </w:r>
      <w:r w:rsidR="00EB27B6" w:rsidRPr="00EB27B6">
        <w:rPr>
          <w:i/>
        </w:rPr>
        <w:t>indicated for the treatment of severe chronic plaque psoriasis in children and adolescent</w:t>
      </w:r>
      <w:r w:rsidR="00EB27B6">
        <w:rPr>
          <w:i/>
        </w:rPr>
        <w:t xml:space="preserve"> </w:t>
      </w:r>
      <w:r w:rsidR="00EB27B6" w:rsidRPr="00EB27B6">
        <w:rPr>
          <w:i/>
        </w:rPr>
        <w:t>patients from 4 years of age who have had an inadequate response to or are inappropriate</w:t>
      </w:r>
      <w:r w:rsidR="00EB27B6">
        <w:rPr>
          <w:i/>
        </w:rPr>
        <w:t xml:space="preserve"> </w:t>
      </w:r>
      <w:r w:rsidR="00EB27B6" w:rsidRPr="00EB27B6">
        <w:rPr>
          <w:i/>
        </w:rPr>
        <w:t>candidates for topical therapy and phototherapy.</w:t>
      </w:r>
    </w:p>
    <w:p w14:paraId="141C7752" w14:textId="10E0BAAF" w:rsidR="00EB27B6" w:rsidRPr="00C62F1E" w:rsidRDefault="00EB27B6" w:rsidP="00EB27B6">
      <w:pPr>
        <w:ind w:left="720"/>
        <w:rPr>
          <w:b/>
          <w:i/>
        </w:rPr>
      </w:pPr>
      <w:r w:rsidRPr="00C62F1E">
        <w:rPr>
          <w:b/>
          <w:i/>
        </w:rPr>
        <w:t xml:space="preserve">Hidradenitis </w:t>
      </w:r>
      <w:proofErr w:type="spellStart"/>
      <w:r w:rsidR="000667DE">
        <w:rPr>
          <w:b/>
          <w:i/>
        </w:rPr>
        <w:t>s</w:t>
      </w:r>
      <w:r w:rsidRPr="00C62F1E">
        <w:rPr>
          <w:b/>
          <w:i/>
        </w:rPr>
        <w:t>uppurativa</w:t>
      </w:r>
      <w:proofErr w:type="spellEnd"/>
    </w:p>
    <w:p w14:paraId="231A465A" w14:textId="77777777" w:rsidR="00EB27B6" w:rsidRPr="00EB27B6" w:rsidRDefault="001E6DDC" w:rsidP="00EB27B6">
      <w:pPr>
        <w:ind w:left="720"/>
        <w:rPr>
          <w:i/>
        </w:rPr>
      </w:pPr>
      <w:proofErr w:type="spellStart"/>
      <w:r>
        <w:rPr>
          <w:i/>
        </w:rPr>
        <w:t>Amgevita</w:t>
      </w:r>
      <w:proofErr w:type="spellEnd"/>
      <w:r w:rsidR="00EB27B6" w:rsidRPr="00EB27B6">
        <w:rPr>
          <w:i/>
        </w:rPr>
        <w:t xml:space="preserve"> is indicated for the treatment of active moderate to severe hidradenitis</w:t>
      </w:r>
      <w:r w:rsidR="00EB27B6">
        <w:rPr>
          <w:i/>
        </w:rPr>
        <w:t xml:space="preserve"> </w:t>
      </w:r>
      <w:proofErr w:type="spellStart"/>
      <w:r w:rsidR="00EB27B6" w:rsidRPr="00EB27B6">
        <w:rPr>
          <w:i/>
        </w:rPr>
        <w:t>suppurativa</w:t>
      </w:r>
      <w:proofErr w:type="spellEnd"/>
      <w:r w:rsidR="00EB27B6" w:rsidRPr="00EB27B6">
        <w:rPr>
          <w:i/>
        </w:rPr>
        <w:t xml:space="preserve"> (acne </w:t>
      </w:r>
      <w:proofErr w:type="spellStart"/>
      <w:r w:rsidR="00EB27B6" w:rsidRPr="00EB27B6">
        <w:rPr>
          <w:i/>
        </w:rPr>
        <w:t>inversa</w:t>
      </w:r>
      <w:proofErr w:type="spellEnd"/>
      <w:r w:rsidR="00EB27B6" w:rsidRPr="00EB27B6">
        <w:rPr>
          <w:i/>
        </w:rPr>
        <w:t>) in adult patients with an inadequate response to conventional</w:t>
      </w:r>
      <w:r w:rsidR="00EB27B6">
        <w:rPr>
          <w:i/>
        </w:rPr>
        <w:t xml:space="preserve"> </w:t>
      </w:r>
      <w:r w:rsidR="00EB27B6" w:rsidRPr="00EB27B6">
        <w:rPr>
          <w:i/>
        </w:rPr>
        <w:t xml:space="preserve">systemic hidradenitis </w:t>
      </w:r>
      <w:proofErr w:type="spellStart"/>
      <w:r w:rsidR="00EB27B6" w:rsidRPr="00EB27B6">
        <w:rPr>
          <w:i/>
        </w:rPr>
        <w:t>suppurativa</w:t>
      </w:r>
      <w:proofErr w:type="spellEnd"/>
      <w:r w:rsidR="00EB27B6" w:rsidRPr="00EB27B6">
        <w:rPr>
          <w:i/>
        </w:rPr>
        <w:t xml:space="preserve"> therapy.</w:t>
      </w:r>
    </w:p>
    <w:p w14:paraId="4209C210" w14:textId="77777777" w:rsidR="00EB27B6" w:rsidRPr="00C62F1E" w:rsidRDefault="00EB27B6" w:rsidP="00EB27B6">
      <w:pPr>
        <w:ind w:left="720"/>
        <w:rPr>
          <w:b/>
          <w:i/>
        </w:rPr>
      </w:pPr>
      <w:r w:rsidRPr="00C62F1E">
        <w:rPr>
          <w:b/>
          <w:i/>
        </w:rPr>
        <w:t>Uveitis</w:t>
      </w:r>
    </w:p>
    <w:p w14:paraId="0B66B1B6" w14:textId="77777777" w:rsidR="00EB27B6" w:rsidRPr="00EB27B6" w:rsidRDefault="001E6DDC" w:rsidP="00EB27B6">
      <w:pPr>
        <w:ind w:left="720"/>
        <w:rPr>
          <w:i/>
        </w:rPr>
      </w:pPr>
      <w:proofErr w:type="spellStart"/>
      <w:r>
        <w:rPr>
          <w:i/>
        </w:rPr>
        <w:t>Amgevita</w:t>
      </w:r>
      <w:proofErr w:type="spellEnd"/>
      <w:r w:rsidR="00EB27B6" w:rsidRPr="00EB27B6">
        <w:rPr>
          <w:i/>
        </w:rPr>
        <w:t xml:space="preserve"> is indicated for the treatment of non-infectious intermediate, posterior and</w:t>
      </w:r>
      <w:r w:rsidR="00EB27B6">
        <w:rPr>
          <w:i/>
        </w:rPr>
        <w:t xml:space="preserve"> </w:t>
      </w:r>
      <w:r w:rsidR="00EB27B6" w:rsidRPr="00EB27B6">
        <w:rPr>
          <w:i/>
        </w:rPr>
        <w:t>pan-uveitis in adult patients who have had an inadequate response to corticosteroids, in</w:t>
      </w:r>
      <w:r w:rsidR="00EB27B6">
        <w:rPr>
          <w:i/>
        </w:rPr>
        <w:t xml:space="preserve"> </w:t>
      </w:r>
      <w:r w:rsidR="00EB27B6" w:rsidRPr="00EB27B6">
        <w:rPr>
          <w:i/>
        </w:rPr>
        <w:t>patients in need of corticosteroid sparing, or in whom corticosteroid treatment is</w:t>
      </w:r>
      <w:r w:rsidR="00EB27B6">
        <w:rPr>
          <w:i/>
        </w:rPr>
        <w:t xml:space="preserve"> </w:t>
      </w:r>
      <w:r>
        <w:rPr>
          <w:i/>
        </w:rPr>
        <w:t>inappropriate.</w:t>
      </w:r>
    </w:p>
    <w:p w14:paraId="7DBC5B0B" w14:textId="77777777" w:rsidR="00D23139" w:rsidRPr="00D23139" w:rsidRDefault="00D23139" w:rsidP="00D23139">
      <w:pPr>
        <w:pStyle w:val="Heading4"/>
      </w:pPr>
      <w:r w:rsidRPr="00D23139">
        <w:t>Specific conditions of registration applying to these goods</w:t>
      </w:r>
    </w:p>
    <w:p w14:paraId="3DFDC396" w14:textId="18667589" w:rsidR="00D23139" w:rsidRDefault="00EB27B6" w:rsidP="004E7509">
      <w:pPr>
        <w:pStyle w:val="Numberbullet0"/>
        <w:numPr>
          <w:ilvl w:val="0"/>
          <w:numId w:val="38"/>
        </w:numPr>
      </w:pPr>
      <w:r>
        <w:t>The EU- Risk Management Plan (EU-RMP), version 1.2, dated November 2016, data lock point 8 May 2015, with Australian specific annex (version 3.0, dated 14 February 2017), and any subsequent revisions, as agreed with the TGA will be implemented in Australia as a condition of registration.</w:t>
      </w:r>
    </w:p>
    <w:p w14:paraId="4B451E71" w14:textId="77777777" w:rsidR="00EB27B6" w:rsidRDefault="00EB27B6" w:rsidP="00C62F1E">
      <w:pPr>
        <w:pStyle w:val="Numberbullet0"/>
        <w:keepNext/>
      </w:pPr>
      <w:r>
        <w:t>Batch Release Testing &amp; Compliance with Certified Product Details (CPD):</w:t>
      </w:r>
    </w:p>
    <w:p w14:paraId="35ADC3CC" w14:textId="77777777" w:rsidR="00EB27B6" w:rsidRDefault="00EB27B6" w:rsidP="00ED392F">
      <w:pPr>
        <w:ind w:left="426"/>
      </w:pPr>
      <w:r>
        <w:t xml:space="preserve">It is a condition of registration that all batches of </w:t>
      </w:r>
      <w:proofErr w:type="spellStart"/>
      <w:r w:rsidR="001E6DDC">
        <w:t>Amgevita</w:t>
      </w:r>
      <w:proofErr w:type="spellEnd"/>
      <w:r>
        <w:t>™ adalimumab (</w:t>
      </w:r>
      <w:proofErr w:type="spellStart"/>
      <w:r>
        <w:t>rch</w:t>
      </w:r>
      <w:proofErr w:type="spellEnd"/>
      <w:r>
        <w:t>)</w:t>
      </w:r>
      <w:r w:rsidR="00ED392F">
        <w:t xml:space="preserve"> </w:t>
      </w:r>
      <w:r>
        <w:t>imported into/manufactured in Australia must comply with the product details and</w:t>
      </w:r>
      <w:r w:rsidR="00ED392F">
        <w:t xml:space="preserve"> </w:t>
      </w:r>
      <w:r>
        <w:t>specifications approved during evaluation and detailed in the Certified Product</w:t>
      </w:r>
      <w:r w:rsidR="00ED392F">
        <w:t xml:space="preserve"> </w:t>
      </w:r>
      <w:r>
        <w:t>Details (CPD).</w:t>
      </w:r>
    </w:p>
    <w:p w14:paraId="663D2E6B" w14:textId="77777777" w:rsidR="00EB27B6" w:rsidRDefault="00EB27B6" w:rsidP="00ED392F">
      <w:pPr>
        <w:ind w:left="426"/>
      </w:pPr>
      <w:r>
        <w:t xml:space="preserve">It is a condition of registration that each batch of </w:t>
      </w:r>
      <w:proofErr w:type="spellStart"/>
      <w:r w:rsidR="001E6DDC">
        <w:t>Amgevita</w:t>
      </w:r>
      <w:proofErr w:type="spellEnd"/>
      <w:r>
        <w:t>™ adalimumab (</w:t>
      </w:r>
      <w:proofErr w:type="spellStart"/>
      <w:r>
        <w:t>rch</w:t>
      </w:r>
      <w:proofErr w:type="spellEnd"/>
      <w:r>
        <w:t>)</w:t>
      </w:r>
      <w:r w:rsidR="00ED392F">
        <w:t xml:space="preserve"> </w:t>
      </w:r>
      <w:r>
        <w:t>imported into/manufactured in Australia is not released for sale until samples and/or</w:t>
      </w:r>
      <w:r w:rsidR="00ED392F">
        <w:t xml:space="preserve"> </w:t>
      </w:r>
      <w:r>
        <w:t>the manufacturer’s release data have been assessed and endorsed for release by the</w:t>
      </w:r>
      <w:r w:rsidR="00ED392F">
        <w:t xml:space="preserve"> </w:t>
      </w:r>
      <w:r>
        <w:t>TGA Laboratories Branch.</w:t>
      </w:r>
    </w:p>
    <w:p w14:paraId="542A9962" w14:textId="77777777" w:rsidR="00ED392F" w:rsidRPr="00D23139" w:rsidRDefault="00ED392F" w:rsidP="00ED392F">
      <w:pPr>
        <w:pStyle w:val="Numberbullet0"/>
      </w:pPr>
      <w:r>
        <w:t xml:space="preserve">It is a specific condition of registration for </w:t>
      </w:r>
      <w:proofErr w:type="spellStart"/>
      <w:r w:rsidR="001E6DDC">
        <w:t>Amgevita</w:t>
      </w:r>
      <w:proofErr w:type="spellEnd"/>
      <w:r>
        <w:t xml:space="preserve"> that the Product Information and Consumer Medicine Information documents be updated within ONE month of safety-related changes made by the innovator. It is your responsibility to routinely check the TGA website at www.ebs.tga.gov.au for any updates to the innovator Product Information.</w:t>
      </w:r>
    </w:p>
    <w:p w14:paraId="014B2EA1" w14:textId="77777777" w:rsidR="008E7846" w:rsidRDefault="00A80B5B" w:rsidP="00D23139">
      <w:pPr>
        <w:pStyle w:val="Heading2"/>
      </w:pPr>
      <w:bookmarkStart w:id="129" w:name="_Toc519244672"/>
      <w:proofErr w:type="gramStart"/>
      <w:r>
        <w:t>Attachment 1.</w:t>
      </w:r>
      <w:proofErr w:type="gramEnd"/>
      <w:r>
        <w:t xml:space="preserve"> </w:t>
      </w:r>
      <w:r w:rsidR="008E7846">
        <w:t xml:space="preserve">Product </w:t>
      </w:r>
      <w:r w:rsidR="00AA0ED0">
        <w:t>I</w:t>
      </w:r>
      <w:r w:rsidR="008E7846">
        <w:t>nformation</w:t>
      </w:r>
      <w:bookmarkEnd w:id="127"/>
      <w:bookmarkEnd w:id="128"/>
      <w:bookmarkEnd w:id="129"/>
    </w:p>
    <w:p w14:paraId="3C488ACA" w14:textId="77777777" w:rsidR="00C80137" w:rsidRDefault="006136D7" w:rsidP="00C80137">
      <w:pPr>
        <w:rPr>
          <w:color w:val="000000"/>
          <w:lang w:eastAsia="en-AU"/>
        </w:rPr>
      </w:pPr>
      <w:r w:rsidRPr="002B3624">
        <w:t xml:space="preserve">The </w:t>
      </w:r>
      <w:r>
        <w:t>PI</w:t>
      </w:r>
      <w:r w:rsidRPr="002B3624">
        <w:t xml:space="preserve"> for </w:t>
      </w:r>
      <w:proofErr w:type="spellStart"/>
      <w:r w:rsidR="00DF4855">
        <w:t>Amgevita</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19" w:history="1">
        <w:r w:rsidR="007C6B9B" w:rsidRPr="007C6B9B">
          <w:rPr>
            <w:rStyle w:val="Hyperlink"/>
          </w:rPr>
          <w:t>https://www.tga.gov.au/product-information-pi</w:t>
        </w:r>
      </w:hyperlink>
      <w:r w:rsidR="00DF4855">
        <w:t>&gt;.</w:t>
      </w:r>
    </w:p>
    <w:p w14:paraId="460138FB" w14:textId="77777777" w:rsidR="00C80137" w:rsidRDefault="00C80137" w:rsidP="00C80137">
      <w:pPr>
        <w:pStyle w:val="Heading2"/>
        <w:rPr>
          <w:lang w:eastAsia="en-AU"/>
        </w:rPr>
      </w:pPr>
      <w:bookmarkStart w:id="130" w:name="_Toc519244673"/>
      <w:proofErr w:type="gramStart"/>
      <w:r>
        <w:rPr>
          <w:lang w:eastAsia="en-AU"/>
        </w:rPr>
        <w:t>Attachment 2.</w:t>
      </w:r>
      <w:proofErr w:type="gramEnd"/>
      <w:r w:rsidR="00A80B5B">
        <w:rPr>
          <w:lang w:eastAsia="en-AU"/>
        </w:rPr>
        <w:t xml:space="preserve"> </w:t>
      </w:r>
      <w:r>
        <w:rPr>
          <w:lang w:eastAsia="en-AU"/>
        </w:rPr>
        <w:t>Extract from the Clinical Evaluation Report</w:t>
      </w:r>
      <w:bookmarkEnd w:id="130"/>
    </w:p>
    <w:p w14:paraId="37F3D312" w14:textId="77777777" w:rsidR="00291957" w:rsidRDefault="00291957" w:rsidP="00291957">
      <w:pPr>
        <w:rPr>
          <w:lang w:eastAsia="ja-JP"/>
        </w:rPr>
      </w:pPr>
    </w:p>
    <w:p w14:paraId="1FF523DF" w14:textId="77777777" w:rsidR="00C80137" w:rsidRPr="001D043B" w:rsidRDefault="00C80137" w:rsidP="003A7F6C">
      <w:pPr>
        <w:pStyle w:val="TableTitle"/>
        <w:sectPr w:rsidR="00C80137" w:rsidRPr="001D043B" w:rsidSect="00B452CE">
          <w:headerReference w:type="even" r:id="rId20"/>
          <w:headerReference w:type="default" r:id="rId21"/>
          <w:headerReference w:type="first" r:id="rId22"/>
          <w:footerReference w:type="first" r:id="rId2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3B7E1AC" w14:textId="77777777" w:rsidTr="00A05FA4">
        <w:trPr>
          <w:trHeight w:hRule="exact" w:val="704"/>
        </w:trPr>
        <w:tc>
          <w:tcPr>
            <w:tcW w:w="9175" w:type="dxa"/>
          </w:tcPr>
          <w:p w14:paraId="1A6DDCAF" w14:textId="77777777" w:rsidR="001C32CD" w:rsidRPr="00487162" w:rsidRDefault="001C32CD" w:rsidP="00A05FA4">
            <w:pPr>
              <w:pStyle w:val="TGASignoff"/>
            </w:pPr>
            <w:r w:rsidRPr="00487162">
              <w:t>Therapeutic Goods Administration</w:t>
            </w:r>
          </w:p>
        </w:tc>
      </w:tr>
      <w:tr w:rsidR="001C32CD" w:rsidRPr="004C239D" w14:paraId="7C217CBE" w14:textId="77777777" w:rsidTr="00A05FA4">
        <w:trPr>
          <w:trHeight w:val="1221"/>
        </w:trPr>
        <w:tc>
          <w:tcPr>
            <w:tcW w:w="9175" w:type="dxa"/>
            <w:tcMar>
              <w:top w:w="28" w:type="dxa"/>
            </w:tcMar>
          </w:tcPr>
          <w:p w14:paraId="40592A86" w14:textId="77777777" w:rsidR="001C32CD" w:rsidRPr="00487162" w:rsidRDefault="001C32CD" w:rsidP="00A05FA4">
            <w:pPr>
              <w:pStyle w:val="Address"/>
            </w:pPr>
            <w:r w:rsidRPr="00487162">
              <w:t>PO Box 100 Woden ACT 2606 Australia</w:t>
            </w:r>
          </w:p>
          <w:p w14:paraId="37C12282" w14:textId="77777777" w:rsidR="001C32CD" w:rsidRPr="00487162" w:rsidRDefault="001C32CD" w:rsidP="00A05FA4">
            <w:pPr>
              <w:pStyle w:val="Address"/>
            </w:pPr>
            <w:r w:rsidRPr="00487162">
              <w:t xml:space="preserve">Email: </w:t>
            </w:r>
            <w:hyperlink r:id="rId24" w:history="1">
              <w:r w:rsidRPr="004C239D">
                <w:rPr>
                  <w:rStyle w:val="Hyperlink"/>
                </w:rPr>
                <w:t>info@tga.gov.au</w:t>
              </w:r>
            </w:hyperlink>
            <w:r w:rsidR="005602B8">
              <w:t xml:space="preserve"> </w:t>
            </w:r>
            <w:r w:rsidRPr="00487162">
              <w:t>Phone: 1800 020 653</w:t>
            </w:r>
            <w:r w:rsidR="005602B8">
              <w:t xml:space="preserve"> </w:t>
            </w:r>
            <w:r w:rsidRPr="00487162">
              <w:t>Fax: 02 6232 8605</w:t>
            </w:r>
          </w:p>
          <w:p w14:paraId="0755A82D" w14:textId="77777777" w:rsidR="001C32CD" w:rsidRPr="004C239D" w:rsidRDefault="007C5835" w:rsidP="00A05FA4">
            <w:pPr>
              <w:pStyle w:val="Address"/>
              <w:spacing w:line="260" w:lineRule="atLeast"/>
              <w:rPr>
                <w:b/>
                <w:color w:val="0000FF"/>
                <w:u w:val="single"/>
              </w:rPr>
            </w:pPr>
            <w:hyperlink r:id="rId25" w:history="1">
              <w:r w:rsidR="007C6B9B" w:rsidRPr="007C6B9B">
                <w:rPr>
                  <w:rStyle w:val="Hyperlink"/>
                  <w:b/>
                </w:rPr>
                <w:t>https://www.tga.gov.au</w:t>
              </w:r>
            </w:hyperlink>
          </w:p>
        </w:tc>
      </w:tr>
    </w:tbl>
    <w:p w14:paraId="2BBB8048" w14:textId="77777777" w:rsidR="00774E1D" w:rsidRPr="008A5E0B" w:rsidRDefault="00774E1D" w:rsidP="004C239D"/>
    <w:sectPr w:rsidR="00774E1D" w:rsidRPr="008A5E0B" w:rsidSect="001C32CD">
      <w:headerReference w:type="even" r:id="rId26"/>
      <w:headerReference w:type="default" r:id="rId27"/>
      <w:footerReference w:type="default" r:id="rId28"/>
      <w:headerReference w:type="first" r:id="rId29"/>
      <w:footerReference w:type="first" r:id="rId30"/>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4E5FD3" w15:done="0"/>
  <w15:commentEx w15:paraId="34BE55A4" w15:done="0"/>
  <w15:commentEx w15:paraId="7A742A13" w15:done="0"/>
  <w15:commentEx w15:paraId="1761CC76" w15:done="0"/>
  <w15:commentEx w15:paraId="42915FC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BC930" w14:textId="77777777" w:rsidR="007C5835" w:rsidRDefault="007C5835" w:rsidP="00C40A36">
      <w:pPr>
        <w:spacing w:after="0"/>
      </w:pPr>
      <w:r>
        <w:separator/>
      </w:r>
    </w:p>
  </w:endnote>
  <w:endnote w:type="continuationSeparator" w:id="0">
    <w:p w14:paraId="692D1A16" w14:textId="77777777" w:rsidR="007C5835" w:rsidRDefault="007C583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C5835" w:rsidRPr="00487162" w14:paraId="021D084D" w14:textId="77777777" w:rsidTr="00DB750B">
      <w:trPr>
        <w:trHeight w:val="269"/>
      </w:trPr>
      <w:tc>
        <w:tcPr>
          <w:tcW w:w="7371" w:type="dxa"/>
          <w:tcMar>
            <w:top w:w="142" w:type="dxa"/>
            <w:bottom w:w="0" w:type="dxa"/>
          </w:tcMar>
        </w:tcPr>
        <w:p w14:paraId="680FF9AD" w14:textId="084ED42D" w:rsidR="007C5835" w:rsidRPr="00487162" w:rsidRDefault="007C5835" w:rsidP="00A0012A">
          <w:pPr>
            <w:pStyle w:val="Footer"/>
          </w:pPr>
          <w:proofErr w:type="spellStart"/>
          <w:r w:rsidRPr="00487162">
            <w:t>AusPA</w:t>
          </w:r>
          <w:r>
            <w:t>R</w:t>
          </w:r>
          <w:proofErr w:type="spellEnd"/>
          <w:r>
            <w:t xml:space="preserve"> </w:t>
          </w:r>
          <w:proofErr w:type="spellStart"/>
          <w:r>
            <w:t>Amgevita</w:t>
          </w:r>
          <w:proofErr w:type="spellEnd"/>
          <w:r>
            <w:t xml:space="preserve"> </w:t>
          </w:r>
          <w:r w:rsidRPr="00D82B8C">
            <w:t xml:space="preserve">adalimumab Amgen Australia Pty Ltd </w:t>
          </w:r>
          <w:r>
            <w:t>PM-2016</w:t>
          </w:r>
          <w:r w:rsidRPr="00487162">
            <w:t>-</w:t>
          </w:r>
          <w:r>
            <w:t>00845</w:t>
          </w:r>
          <w:r w:rsidRPr="00487162">
            <w:t>-</w:t>
          </w:r>
          <w:r>
            <w:t>1-</w:t>
          </w:r>
          <w:r w:rsidRPr="00487162">
            <w:t>-</w:t>
          </w:r>
          <w:r>
            <w:t>1</w:t>
          </w:r>
          <w:r>
            <w:br/>
            <w:t>Final 25 June 2018</w:t>
          </w:r>
        </w:p>
      </w:tc>
      <w:tc>
        <w:tcPr>
          <w:tcW w:w="1490" w:type="dxa"/>
          <w:tcMar>
            <w:top w:w="142" w:type="dxa"/>
            <w:bottom w:w="0" w:type="dxa"/>
          </w:tcMar>
        </w:tcPr>
        <w:p w14:paraId="47EA49C6" w14:textId="77777777" w:rsidR="007C5835" w:rsidRPr="00487162" w:rsidRDefault="007C5835" w:rsidP="00DB750B">
          <w:pPr>
            <w:pStyle w:val="Footer"/>
            <w:jc w:val="right"/>
          </w:pPr>
          <w:r w:rsidRPr="00487162">
            <w:t xml:space="preserve">Page </w:t>
          </w:r>
          <w:r>
            <w:fldChar w:fldCharType="begin"/>
          </w:r>
          <w:r>
            <w:instrText xml:space="preserve"> PAGE  \* Arabic </w:instrText>
          </w:r>
          <w:r>
            <w:fldChar w:fldCharType="separate"/>
          </w:r>
          <w:r w:rsidR="004A1F75">
            <w:rPr>
              <w:noProof/>
            </w:rPr>
            <w:t>4</w:t>
          </w:r>
          <w:r>
            <w:fldChar w:fldCharType="end"/>
          </w:r>
          <w:r w:rsidRPr="00487162">
            <w:t xml:space="preserve"> of </w:t>
          </w:r>
          <w:r>
            <w:fldChar w:fldCharType="begin"/>
          </w:r>
          <w:r>
            <w:instrText xml:space="preserve"> NUMPAGES  \* Arabic </w:instrText>
          </w:r>
          <w:r>
            <w:fldChar w:fldCharType="separate"/>
          </w:r>
          <w:r w:rsidR="004A1F75">
            <w:rPr>
              <w:noProof/>
            </w:rPr>
            <w:t>50</w:t>
          </w:r>
          <w:r>
            <w:rPr>
              <w:noProof/>
            </w:rPr>
            <w:fldChar w:fldCharType="end"/>
          </w:r>
        </w:p>
      </w:tc>
    </w:tr>
  </w:tbl>
  <w:p w14:paraId="2ED41D82" w14:textId="77777777" w:rsidR="007C5835" w:rsidRDefault="007C5835"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C5835" w:rsidRPr="00487162" w14:paraId="6D39566B" w14:textId="77777777" w:rsidTr="00E45619">
      <w:trPr>
        <w:trHeight w:val="269"/>
      </w:trPr>
      <w:tc>
        <w:tcPr>
          <w:tcW w:w="4519" w:type="dxa"/>
          <w:tcBorders>
            <w:top w:val="single" w:sz="4" w:space="0" w:color="auto"/>
          </w:tcBorders>
          <w:tcMar>
            <w:top w:w="142" w:type="dxa"/>
            <w:bottom w:w="0" w:type="dxa"/>
          </w:tcMar>
        </w:tcPr>
        <w:p w14:paraId="32392CF0" w14:textId="77777777" w:rsidR="007C5835" w:rsidRPr="00487162" w:rsidRDefault="007C5835" w:rsidP="00FE1DEE">
          <w:pPr>
            <w:pStyle w:val="Footer"/>
          </w:pPr>
          <w:r w:rsidRPr="00487162">
            <w:t>Document title, Part #, Section # - Section title</w:t>
          </w:r>
        </w:p>
        <w:p w14:paraId="567DD3D8" w14:textId="77777777" w:rsidR="007C5835" w:rsidRPr="00487162" w:rsidRDefault="007C5835" w:rsidP="00FE1DEE">
          <w:pPr>
            <w:pStyle w:val="Footer"/>
          </w:pPr>
          <w:r w:rsidRPr="00487162">
            <w:t>V1.0 October 2010</w:t>
          </w:r>
        </w:p>
      </w:tc>
      <w:tc>
        <w:tcPr>
          <w:tcW w:w="4342" w:type="dxa"/>
          <w:tcBorders>
            <w:top w:val="single" w:sz="4" w:space="0" w:color="auto"/>
          </w:tcBorders>
          <w:tcMar>
            <w:top w:w="142" w:type="dxa"/>
            <w:bottom w:w="0" w:type="dxa"/>
          </w:tcMar>
        </w:tcPr>
        <w:p w14:paraId="3434EB72" w14:textId="77777777" w:rsidR="007C5835" w:rsidRPr="00487162" w:rsidRDefault="007C583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14:paraId="4BB53730" w14:textId="77777777" w:rsidR="007C5835" w:rsidRDefault="007C5835">
    <w:pPr>
      <w:pStyle w:val="Footer"/>
    </w:pPr>
  </w:p>
  <w:p w14:paraId="02131112" w14:textId="77777777" w:rsidR="007C5835" w:rsidRDefault="007C5835"/>
  <w:p w14:paraId="308290D8" w14:textId="77777777" w:rsidR="007C5835" w:rsidRDefault="007C583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32571" w14:textId="77777777" w:rsidR="007C5835" w:rsidRPr="001C32CD" w:rsidRDefault="007C5835"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C5835" w14:paraId="30630BA4" w14:textId="77777777" w:rsidTr="0010601F">
      <w:trPr>
        <w:trHeight w:val="108"/>
      </w:trPr>
      <w:tc>
        <w:tcPr>
          <w:tcW w:w="8875" w:type="dxa"/>
          <w:gridSpan w:val="2"/>
          <w:tcBorders>
            <w:bottom w:val="single" w:sz="4" w:space="0" w:color="auto"/>
          </w:tcBorders>
          <w:tcMar>
            <w:right w:w="284" w:type="dxa"/>
          </w:tcMar>
        </w:tcPr>
        <w:p w14:paraId="5657DEAE" w14:textId="77777777" w:rsidR="007C5835" w:rsidRDefault="007C5835" w:rsidP="006E08B3">
          <w:pPr>
            <w:pStyle w:val="Heading3"/>
          </w:pPr>
          <w:r>
            <w:t>Copyright</w:t>
          </w:r>
        </w:p>
        <w:p w14:paraId="04068C9C" w14:textId="77777777" w:rsidR="007C5835" w:rsidRDefault="007C5835" w:rsidP="006E08B3">
          <w:r>
            <w:rPr>
              <w:rFonts w:cs="Arial"/>
            </w:rPr>
            <w:t>©</w:t>
          </w:r>
          <w:r>
            <w:t xml:space="preserve"> Commonwealth of Australia [add year]</w:t>
          </w:r>
        </w:p>
        <w:p w14:paraId="0A4CF685" w14:textId="77777777" w:rsidR="007C5835" w:rsidRDefault="007C5835" w:rsidP="006E08B3"/>
        <w:p w14:paraId="459A087C" w14:textId="77777777" w:rsidR="007C5835" w:rsidRDefault="007C583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144516B" w14:textId="77777777" w:rsidR="007C5835" w:rsidRDefault="007C5835" w:rsidP="006E08B3"/>
        <w:p w14:paraId="74F43D93" w14:textId="77777777" w:rsidR="007C5835" w:rsidRDefault="007C5835" w:rsidP="006E08B3">
          <w:pPr>
            <w:pStyle w:val="Heading3"/>
          </w:pPr>
          <w:r>
            <w:t>Confidentiality</w:t>
          </w:r>
        </w:p>
        <w:p w14:paraId="58EB2A16" w14:textId="77777777" w:rsidR="007C5835" w:rsidRDefault="007C583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0BA673B" w14:textId="77777777" w:rsidR="007C5835" w:rsidRDefault="007C5835" w:rsidP="006E08B3"/>
        <w:p w14:paraId="1A172917" w14:textId="77777777" w:rsidR="007C5835" w:rsidRDefault="007C5835" w:rsidP="006E08B3">
          <w:r>
            <w:t>For submission made by individuals, all personal details, other than your name, will be removed from your submission before it is published on the TGA’s Internet site.</w:t>
          </w:r>
        </w:p>
        <w:p w14:paraId="059004FE" w14:textId="77777777" w:rsidR="007C5835" w:rsidRDefault="007C5835" w:rsidP="006E08B3"/>
        <w:p w14:paraId="011C2924" w14:textId="77777777" w:rsidR="007C5835" w:rsidRDefault="007C5835" w:rsidP="006E08B3">
          <w:r>
            <w:t>In addition, a list of parties making submissions will be published. If you do not wish to be identified with your submission you must specifically request this in the space provided ib the submission coversheet.</w:t>
          </w:r>
        </w:p>
      </w:tc>
    </w:tr>
    <w:tr w:rsidR="007C5835" w14:paraId="3B418927" w14:textId="77777777" w:rsidTr="0010601F">
      <w:trPr>
        <w:trHeight w:val="417"/>
      </w:trPr>
      <w:tc>
        <w:tcPr>
          <w:tcW w:w="4519" w:type="dxa"/>
          <w:tcBorders>
            <w:top w:val="single" w:sz="4" w:space="0" w:color="auto"/>
          </w:tcBorders>
          <w:tcMar>
            <w:top w:w="142" w:type="dxa"/>
            <w:bottom w:w="0" w:type="dxa"/>
          </w:tcMar>
        </w:tcPr>
        <w:p w14:paraId="62C269F2" w14:textId="77777777" w:rsidR="007C5835" w:rsidRDefault="007C5835" w:rsidP="006E08B3">
          <w:r>
            <w:t>Document title, Part #, Section # - Section title</w:t>
          </w:r>
        </w:p>
        <w:p w14:paraId="57674650" w14:textId="77777777" w:rsidR="007C5835" w:rsidRDefault="007C5835" w:rsidP="006E08B3">
          <w:r>
            <w:t>V1.0 October 2010</w:t>
          </w:r>
        </w:p>
      </w:tc>
      <w:tc>
        <w:tcPr>
          <w:tcW w:w="4356" w:type="dxa"/>
          <w:tcBorders>
            <w:top w:val="single" w:sz="4" w:space="0" w:color="auto"/>
          </w:tcBorders>
          <w:tcMar>
            <w:top w:w="142" w:type="dxa"/>
            <w:bottom w:w="0" w:type="dxa"/>
          </w:tcMar>
        </w:tcPr>
        <w:p w14:paraId="300141AE" w14:textId="77777777" w:rsidR="007C5835" w:rsidRDefault="007C583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14:paraId="5C3767F2" w14:textId="77777777" w:rsidR="007C5835" w:rsidRDefault="007C58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9DDBBB" w14:textId="77777777" w:rsidR="007C5835" w:rsidRDefault="007C5835" w:rsidP="00C40A36">
      <w:pPr>
        <w:spacing w:after="0"/>
      </w:pPr>
      <w:r>
        <w:separator/>
      </w:r>
    </w:p>
  </w:footnote>
  <w:footnote w:type="continuationSeparator" w:id="0">
    <w:p w14:paraId="10BE78AA" w14:textId="77777777" w:rsidR="007C5835" w:rsidRDefault="007C5835" w:rsidP="00C40A36">
      <w:pPr>
        <w:spacing w:after="0"/>
      </w:pPr>
      <w:r>
        <w:continuationSeparator/>
      </w:r>
    </w:p>
  </w:footnote>
  <w:footnote w:id="1">
    <w:p w14:paraId="738B1C4F" w14:textId="4D2C29EB" w:rsidR="007C5835" w:rsidRPr="004605FC" w:rsidRDefault="007C5835" w:rsidP="0025261B">
      <w:pPr>
        <w:pStyle w:val="FootnoteText"/>
        <w:rPr>
          <w:lang w:val="en-GB"/>
        </w:rPr>
      </w:pPr>
      <w:r>
        <w:rPr>
          <w:rStyle w:val="FootnoteReference"/>
        </w:rPr>
        <w:footnoteRef/>
      </w:r>
      <w:r>
        <w:t xml:space="preserve"> </w:t>
      </w:r>
      <w:r w:rsidRPr="00BB0EC2">
        <w:t xml:space="preserve">Note: this condition is only approved for product stored </w:t>
      </w:r>
      <w:r>
        <w:t xml:space="preserve">for the 6 month shelf life at 2 to </w:t>
      </w:r>
      <w:r w:rsidRPr="00BB0EC2">
        <w:t>8°C</w:t>
      </w:r>
      <w:r>
        <w:t>.</w:t>
      </w:r>
    </w:p>
  </w:footnote>
  <w:footnote w:id="2">
    <w:p w14:paraId="6F34193A" w14:textId="77777777" w:rsidR="007C5835" w:rsidRDefault="007C5835">
      <w:pPr>
        <w:pStyle w:val="FootnoteText"/>
      </w:pPr>
      <w:r>
        <w:rPr>
          <w:rStyle w:val="FootnoteReference"/>
        </w:rPr>
        <w:footnoteRef/>
      </w:r>
      <w:r>
        <w:t xml:space="preserve"> </w:t>
      </w:r>
      <w:r w:rsidRPr="005A08D6">
        <w:t>EMEA/CHMP/BMWP/42832/2005 Rev 1 – Guideline on similar biological medicinal products containing biotechnology- derived proteins as active substance: nonclinical and clinical issues.</w:t>
      </w:r>
    </w:p>
    <w:p w14:paraId="3CB8B6B0" w14:textId="77777777" w:rsidR="007C5835" w:rsidRPr="005A08D6" w:rsidRDefault="007C5835">
      <w:pPr>
        <w:pStyle w:val="FootnoteText"/>
        <w:rPr>
          <w:lang w:val="en-US"/>
        </w:rPr>
      </w:pPr>
      <w:r w:rsidRPr="005A08D6">
        <w:rPr>
          <w:lang w:val="en-US"/>
        </w:rPr>
        <w:t>EMA/CHMP/BMWP/403543/2010 – Guideline on similar biological medicinal products containing monoclonal antibodies – nonclinical and clinical issues.</w:t>
      </w:r>
    </w:p>
  </w:footnote>
  <w:footnote w:id="3">
    <w:p w14:paraId="15455814" w14:textId="48A07DEF" w:rsidR="007C5835" w:rsidRPr="005A08D6" w:rsidRDefault="007C5835">
      <w:pPr>
        <w:pStyle w:val="FootnoteText"/>
        <w:rPr>
          <w:lang w:val="en-US"/>
        </w:rPr>
      </w:pPr>
      <w:r>
        <w:rPr>
          <w:rStyle w:val="FootnoteReference"/>
        </w:rPr>
        <w:footnoteRef/>
      </w:r>
      <w:r>
        <w:t xml:space="preserve"> </w:t>
      </w:r>
      <w:proofErr w:type="gramStart"/>
      <w:r w:rsidR="0025261B" w:rsidRPr="0025261B">
        <w:t xml:space="preserve">Biosimilar medicines regulation </w:t>
      </w:r>
      <w:r w:rsidR="0025261B">
        <w:t>(</w:t>
      </w:r>
      <w:r w:rsidRPr="005A08D6">
        <w:t>http://www.tga.gov.au/pub</w:t>
      </w:r>
      <w:r w:rsidR="0025261B">
        <w:t>lication/evaluation-biosimilars).</w:t>
      </w:r>
      <w:proofErr w:type="gramEnd"/>
    </w:p>
  </w:footnote>
  <w:footnote w:id="4">
    <w:p w14:paraId="2050BE73" w14:textId="77777777" w:rsidR="007C5835" w:rsidRPr="00875F5D" w:rsidRDefault="007C5835">
      <w:pPr>
        <w:pStyle w:val="FootnoteText"/>
        <w:rPr>
          <w:lang w:val="en-US"/>
        </w:rPr>
      </w:pPr>
      <w:r>
        <w:rPr>
          <w:rStyle w:val="FootnoteReference"/>
        </w:rPr>
        <w:footnoteRef/>
      </w:r>
      <w:r>
        <w:t xml:space="preserve"> </w:t>
      </w:r>
      <w:proofErr w:type="spellStart"/>
      <w:r w:rsidRPr="00875F5D">
        <w:t>Vos</w:t>
      </w:r>
      <w:proofErr w:type="spellEnd"/>
      <w:r w:rsidRPr="00875F5D">
        <w:t xml:space="preserve"> ACW, </w:t>
      </w:r>
      <w:proofErr w:type="spellStart"/>
      <w:r w:rsidRPr="00875F5D">
        <w:t>Wildenberg</w:t>
      </w:r>
      <w:proofErr w:type="spellEnd"/>
      <w:r w:rsidRPr="00875F5D">
        <w:t xml:space="preserve"> ME, </w:t>
      </w:r>
      <w:proofErr w:type="spellStart"/>
      <w:r w:rsidRPr="00875F5D">
        <w:t>Duijvestein</w:t>
      </w:r>
      <w:proofErr w:type="spellEnd"/>
      <w:r w:rsidRPr="00875F5D">
        <w:t xml:space="preserve"> M, </w:t>
      </w:r>
      <w:proofErr w:type="spellStart"/>
      <w:r w:rsidRPr="00875F5D">
        <w:t>Verhaar</w:t>
      </w:r>
      <w:proofErr w:type="spellEnd"/>
      <w:r w:rsidRPr="00875F5D">
        <w:t xml:space="preserve"> AP, Van den Brink GR &amp; Hommes DW (2011). Anti-tumour necrosis factor–α </w:t>
      </w:r>
      <w:proofErr w:type="gramStart"/>
      <w:r w:rsidRPr="00875F5D">
        <w:t>antibodies</w:t>
      </w:r>
      <w:proofErr w:type="gramEnd"/>
      <w:r w:rsidRPr="00875F5D">
        <w:t xml:space="preserve"> induce regulatory macrophages in an Fc region-dependent manner. Gastroenterology, 140, 221–230.</w:t>
      </w:r>
    </w:p>
  </w:footnote>
  <w:footnote w:id="5">
    <w:p w14:paraId="54A70AAE" w14:textId="75353EAB" w:rsidR="007C5835" w:rsidRPr="00875F5D" w:rsidRDefault="007C5835">
      <w:pPr>
        <w:pStyle w:val="FootnoteText"/>
        <w:rPr>
          <w:lang w:val="en-US"/>
        </w:rPr>
      </w:pPr>
      <w:r>
        <w:rPr>
          <w:rStyle w:val="FootnoteReference"/>
        </w:rPr>
        <w:footnoteRef/>
      </w:r>
      <w:r>
        <w:t xml:space="preserve"> </w:t>
      </w:r>
      <w:r w:rsidRPr="00875F5D">
        <w:t>EMEA/CHMP/BMWP/42832/2005 Rev 1 – Guideline on similar biological medicinal products containing biotechnology- derived proteins as active substance: nonclinical and clinical issues</w:t>
      </w:r>
      <w:r>
        <w:t>.</w:t>
      </w:r>
    </w:p>
  </w:footnote>
  <w:footnote w:id="6">
    <w:p w14:paraId="2751AB4D" w14:textId="77777777" w:rsidR="007C5835" w:rsidRPr="00D16E71" w:rsidRDefault="007C5835">
      <w:pPr>
        <w:pStyle w:val="FootnoteText"/>
        <w:rPr>
          <w:lang w:val="en-US"/>
        </w:rPr>
      </w:pPr>
      <w:r>
        <w:rPr>
          <w:rStyle w:val="FootnoteReference"/>
        </w:rPr>
        <w:footnoteRef/>
      </w:r>
      <w:r>
        <w:t xml:space="preserve"> </w:t>
      </w:r>
      <w:r w:rsidRPr="00D16E71">
        <w:t>EMA/CHMP/BMWP/403543/2010 – Guideline on similar biological medicinal products containing monoclonal antibodies – nonclinical and clinical issues.</w:t>
      </w:r>
    </w:p>
  </w:footnote>
  <w:footnote w:id="7">
    <w:p w14:paraId="032566A5" w14:textId="77777777" w:rsidR="007C5835" w:rsidRPr="00D16E71" w:rsidRDefault="007C5835">
      <w:pPr>
        <w:pStyle w:val="FootnoteText"/>
        <w:rPr>
          <w:lang w:val="en-US"/>
        </w:rPr>
      </w:pPr>
      <w:r>
        <w:rPr>
          <w:rStyle w:val="FootnoteReference"/>
        </w:rPr>
        <w:footnoteRef/>
      </w:r>
      <w:r>
        <w:t xml:space="preserve"> </w:t>
      </w:r>
      <w:r w:rsidRPr="00D16E71">
        <w:t>US FDA Pharmacology Review for HUMIRA® (http://www.fda.gov/downloads/Drugs/DevelopmentApprovalProcess/HowDrugsareDevelopedandApproved/Approval Applications/</w:t>
      </w:r>
      <w:proofErr w:type="spellStart"/>
      <w:r w:rsidRPr="00D16E71">
        <w:t>TherapeuticBiologicApplications</w:t>
      </w:r>
      <w:proofErr w:type="spellEnd"/>
      <w:r w:rsidRPr="00D16E71">
        <w:t>/ucm092772.pdf)</w:t>
      </w:r>
    </w:p>
  </w:footnote>
  <w:footnote w:id="8">
    <w:p w14:paraId="4CDF67DC" w14:textId="24450E98" w:rsidR="007C5835" w:rsidRPr="00D16E71" w:rsidRDefault="007C5835">
      <w:pPr>
        <w:pStyle w:val="FootnoteText"/>
        <w:rPr>
          <w:lang w:val="en-US"/>
        </w:rPr>
      </w:pPr>
      <w:r>
        <w:rPr>
          <w:rStyle w:val="FootnoteReference"/>
        </w:rPr>
        <w:footnoteRef/>
      </w:r>
      <w:r>
        <w:t xml:space="preserve"> </w:t>
      </w:r>
      <w:r w:rsidRPr="00D16E71">
        <w:t>EMA/CHMP/BMWP/403543/2010 Guideline on similar biological medicinal products containing monoclonal antibodies</w:t>
      </w:r>
      <w:r>
        <w:t xml:space="preserve">: </w:t>
      </w:r>
      <w:r w:rsidRPr="00D16E71">
        <w:t>nonclinical and clinical issues.</w:t>
      </w:r>
    </w:p>
  </w:footnote>
  <w:footnote w:id="9">
    <w:p w14:paraId="31A04B4D" w14:textId="25BCEB6B" w:rsidR="007C5835" w:rsidRPr="00D16E71" w:rsidRDefault="007C5835">
      <w:pPr>
        <w:pStyle w:val="FootnoteText"/>
        <w:rPr>
          <w:lang w:val="en-US"/>
        </w:rPr>
      </w:pPr>
      <w:r>
        <w:rPr>
          <w:rStyle w:val="FootnoteReference"/>
        </w:rPr>
        <w:footnoteRef/>
      </w:r>
      <w:r>
        <w:t xml:space="preserve"> </w:t>
      </w:r>
      <w:r w:rsidRPr="00D16E71">
        <w:t>EMEA/CHMP/BMWP/42832/2005 Rev 1 Guideline on similar biological medicinal products containing biotechnology-derived proteins as active substance: nonclinical and clinical issues.</w:t>
      </w:r>
    </w:p>
  </w:footnote>
  <w:footnote w:id="10">
    <w:p w14:paraId="6D75946C" w14:textId="77777777" w:rsidR="007C5835" w:rsidRPr="00241B4E" w:rsidRDefault="007C5835">
      <w:pPr>
        <w:pStyle w:val="FootnoteText"/>
        <w:rPr>
          <w:lang w:val="en-US"/>
        </w:rPr>
      </w:pPr>
      <w:r>
        <w:rPr>
          <w:rStyle w:val="FootnoteReference"/>
        </w:rPr>
        <w:footnoteRef/>
      </w:r>
      <w:r>
        <w:t xml:space="preserve"> </w:t>
      </w:r>
      <w:r>
        <w:rPr>
          <w:lang w:val="en-US"/>
        </w:rPr>
        <w:t>The sponsor has now received a waiver from the FDA.</w:t>
      </w:r>
    </w:p>
  </w:footnote>
  <w:footnote w:id="11">
    <w:p w14:paraId="52CBF010" w14:textId="77777777" w:rsidR="007C5835" w:rsidRPr="002B05D7" w:rsidRDefault="007C5835">
      <w:pPr>
        <w:pStyle w:val="FootnoteText"/>
        <w:rPr>
          <w:lang w:val="en-US"/>
        </w:rPr>
      </w:pPr>
      <w:r>
        <w:rPr>
          <w:rStyle w:val="FootnoteReference"/>
        </w:rPr>
        <w:footnoteRef/>
      </w:r>
      <w:r>
        <w:t xml:space="preserve"> </w:t>
      </w:r>
      <w:r w:rsidRPr="002B05D7">
        <w:t xml:space="preserve">Lai Z, La </w:t>
      </w:r>
      <w:proofErr w:type="spellStart"/>
      <w:r w:rsidRPr="002B05D7">
        <w:t>Noce</w:t>
      </w:r>
      <w:proofErr w:type="spellEnd"/>
      <w:r w:rsidRPr="002B05D7">
        <w:t xml:space="preserve"> A 2016. Key design considerations on comparative clinical efficacy studies for biosimilars: adalimumab as an example. RMD Open 2(1):e000154</w:t>
      </w:r>
    </w:p>
  </w:footnote>
  <w:footnote w:id="12">
    <w:p w14:paraId="74C58753" w14:textId="77777777" w:rsidR="007C5835" w:rsidRPr="00C661C5" w:rsidRDefault="007C5835" w:rsidP="00C661C5">
      <w:pPr>
        <w:pStyle w:val="FootnoteText"/>
        <w:rPr>
          <w:szCs w:val="18"/>
          <w:lang w:val="en-US"/>
        </w:rPr>
      </w:pPr>
      <w:r w:rsidRPr="00C661C5">
        <w:rPr>
          <w:rStyle w:val="FootnoteReference"/>
          <w:szCs w:val="18"/>
        </w:rPr>
        <w:footnoteRef/>
      </w:r>
      <w:r w:rsidRPr="00C661C5">
        <w:rPr>
          <w:szCs w:val="18"/>
        </w:rPr>
        <w:t xml:space="preserve"> Psoriasis Area and Severity Index (PASI) is the most widely used tool for the measurement of severity of psoriasis. PASI combines the assessment of the severity of lesions and the area affected into a single score in the range 0 (no disease) to 72 (maximal disease).</w:t>
      </w:r>
    </w:p>
  </w:footnote>
  <w:footnote w:id="13">
    <w:p w14:paraId="58E58279" w14:textId="77777777" w:rsidR="007C5835" w:rsidRDefault="007C5835" w:rsidP="00C661C5">
      <w:pPr>
        <w:spacing w:before="0" w:after="0" w:line="240" w:lineRule="auto"/>
        <w:rPr>
          <w:sz w:val="18"/>
          <w:szCs w:val="18"/>
          <w:lang w:eastAsia="ja-JP"/>
        </w:rPr>
      </w:pPr>
      <w:r w:rsidRPr="00C661C5">
        <w:rPr>
          <w:rStyle w:val="FootnoteReference"/>
          <w:sz w:val="18"/>
          <w:szCs w:val="18"/>
        </w:rPr>
        <w:footnoteRef/>
      </w:r>
      <w:r w:rsidRPr="00C661C5">
        <w:rPr>
          <w:sz w:val="18"/>
          <w:szCs w:val="18"/>
        </w:rPr>
        <w:t xml:space="preserve"> </w:t>
      </w:r>
      <w:r w:rsidRPr="00C661C5">
        <w:rPr>
          <w:sz w:val="18"/>
          <w:szCs w:val="18"/>
          <w:lang w:eastAsia="ja-JP"/>
        </w:rPr>
        <w:t xml:space="preserve">Feldman S, Krueger G 2005. Psoriasis assessment tools in clinical trials. </w:t>
      </w:r>
      <w:r w:rsidRPr="00C661C5">
        <w:rPr>
          <w:i/>
          <w:sz w:val="18"/>
          <w:szCs w:val="18"/>
          <w:lang w:eastAsia="ja-JP"/>
        </w:rPr>
        <w:t>Ann Rheum Dis</w:t>
      </w:r>
      <w:r>
        <w:rPr>
          <w:sz w:val="18"/>
          <w:szCs w:val="18"/>
          <w:lang w:eastAsia="ja-JP"/>
        </w:rPr>
        <w:t xml:space="preserve"> 64(Suppl 2): ii65–ii68.</w:t>
      </w:r>
    </w:p>
    <w:p w14:paraId="77CB3797" w14:textId="77777777" w:rsidR="007C5835" w:rsidRPr="00C661C5" w:rsidRDefault="007C5835" w:rsidP="00C661C5">
      <w:pPr>
        <w:spacing w:before="0" w:after="0" w:line="240" w:lineRule="auto"/>
        <w:rPr>
          <w:sz w:val="18"/>
          <w:szCs w:val="18"/>
          <w:lang w:eastAsia="ja-JP"/>
        </w:rPr>
      </w:pPr>
      <w:proofErr w:type="spellStart"/>
      <w:r w:rsidRPr="00C661C5">
        <w:rPr>
          <w:sz w:val="18"/>
          <w:szCs w:val="18"/>
          <w:lang w:eastAsia="ja-JP"/>
        </w:rPr>
        <w:t>Spuls</w:t>
      </w:r>
      <w:proofErr w:type="spellEnd"/>
      <w:r w:rsidRPr="00C661C5">
        <w:rPr>
          <w:sz w:val="18"/>
          <w:szCs w:val="18"/>
          <w:lang w:eastAsia="ja-JP"/>
        </w:rPr>
        <w:t xml:space="preserve"> PI, </w:t>
      </w:r>
      <w:proofErr w:type="spellStart"/>
      <w:r w:rsidRPr="00C661C5">
        <w:rPr>
          <w:sz w:val="18"/>
          <w:szCs w:val="18"/>
          <w:lang w:eastAsia="ja-JP"/>
        </w:rPr>
        <w:t>Lecluse</w:t>
      </w:r>
      <w:proofErr w:type="spellEnd"/>
      <w:r w:rsidRPr="00C661C5">
        <w:rPr>
          <w:sz w:val="18"/>
          <w:szCs w:val="18"/>
          <w:lang w:eastAsia="ja-JP"/>
        </w:rPr>
        <w:t xml:space="preserve"> LL, </w:t>
      </w:r>
      <w:proofErr w:type="spellStart"/>
      <w:r w:rsidRPr="00C661C5">
        <w:rPr>
          <w:sz w:val="18"/>
          <w:szCs w:val="18"/>
          <w:lang w:eastAsia="ja-JP"/>
        </w:rPr>
        <w:t>Poulsen</w:t>
      </w:r>
      <w:proofErr w:type="spellEnd"/>
      <w:r w:rsidRPr="00C661C5">
        <w:rPr>
          <w:sz w:val="18"/>
          <w:szCs w:val="18"/>
          <w:lang w:eastAsia="ja-JP"/>
        </w:rPr>
        <w:t xml:space="preserve"> ML, </w:t>
      </w:r>
      <w:proofErr w:type="spellStart"/>
      <w:r w:rsidRPr="00C661C5">
        <w:rPr>
          <w:sz w:val="18"/>
          <w:szCs w:val="18"/>
          <w:lang w:eastAsia="ja-JP"/>
        </w:rPr>
        <w:t>Bos</w:t>
      </w:r>
      <w:proofErr w:type="spellEnd"/>
      <w:r w:rsidRPr="00C661C5">
        <w:rPr>
          <w:sz w:val="18"/>
          <w:szCs w:val="18"/>
          <w:lang w:eastAsia="ja-JP"/>
        </w:rPr>
        <w:t xml:space="preserve"> JD, Stern RS, </w:t>
      </w:r>
      <w:proofErr w:type="spellStart"/>
      <w:r w:rsidRPr="00C661C5">
        <w:rPr>
          <w:sz w:val="18"/>
          <w:szCs w:val="18"/>
          <w:lang w:eastAsia="ja-JP"/>
        </w:rPr>
        <w:t>Nijsten</w:t>
      </w:r>
      <w:proofErr w:type="spellEnd"/>
      <w:r w:rsidRPr="00C661C5">
        <w:rPr>
          <w:sz w:val="18"/>
          <w:szCs w:val="18"/>
          <w:lang w:eastAsia="ja-JP"/>
        </w:rPr>
        <w:t xml:space="preserve"> T 2010. How good are clinical severity and outcome measures for psoriasis</w:t>
      </w:r>
      <w:proofErr w:type="gramStart"/>
      <w:r w:rsidRPr="00C661C5">
        <w:rPr>
          <w:sz w:val="18"/>
          <w:szCs w:val="18"/>
          <w:lang w:eastAsia="ja-JP"/>
        </w:rPr>
        <w:t>?:</w:t>
      </w:r>
      <w:proofErr w:type="gramEnd"/>
      <w:r w:rsidRPr="00C661C5">
        <w:rPr>
          <w:sz w:val="18"/>
          <w:szCs w:val="18"/>
          <w:lang w:eastAsia="ja-JP"/>
        </w:rPr>
        <w:t xml:space="preserve"> quantitative evaluation in a systematic review. J Invest Dermatol 130(4):933–943</w:t>
      </w:r>
    </w:p>
  </w:footnote>
  <w:footnote w:id="14">
    <w:p w14:paraId="4A20A1AD" w14:textId="75657487" w:rsidR="007C5835" w:rsidRPr="00C661C5" w:rsidRDefault="007C5835">
      <w:pPr>
        <w:pStyle w:val="FootnoteText"/>
        <w:rPr>
          <w:lang w:val="en-US"/>
        </w:rPr>
      </w:pPr>
      <w:r>
        <w:rPr>
          <w:rStyle w:val="FootnoteReference"/>
        </w:rPr>
        <w:footnoteRef/>
      </w:r>
      <w:r>
        <w:t xml:space="preserve"> </w:t>
      </w:r>
      <w:proofErr w:type="gramStart"/>
      <w:r w:rsidRPr="00C661C5">
        <w:t>CHMP/EWP/2454/02 corr</w:t>
      </w:r>
      <w:r>
        <w:t>.</w:t>
      </w:r>
      <w:proofErr w:type="gramEnd"/>
    </w:p>
  </w:footnote>
  <w:footnote w:id="15">
    <w:p w14:paraId="60E75392" w14:textId="73BEDD80" w:rsidR="007C5835" w:rsidRPr="00BA7BA6" w:rsidRDefault="007C5835">
      <w:pPr>
        <w:pStyle w:val="FootnoteText"/>
        <w:rPr>
          <w:lang w:val="en-US"/>
        </w:rPr>
      </w:pPr>
      <w:r>
        <w:rPr>
          <w:rStyle w:val="FootnoteReference"/>
        </w:rPr>
        <w:footnoteRef/>
      </w:r>
      <w:r>
        <w:t xml:space="preserve"> </w:t>
      </w:r>
      <w:proofErr w:type="gramStart"/>
      <w:r w:rsidRPr="00BA7BA6">
        <w:t>Non-Inferiority Clinical Trials (March 2010) (FDA, 2010)</w:t>
      </w:r>
      <w: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464D9" w14:textId="77777777" w:rsidR="007C5835" w:rsidRDefault="007C583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119C3" w14:textId="77777777" w:rsidR="007C5835" w:rsidRDefault="007C5835">
    <w:pPr>
      <w:rPr>
        <w:noProof/>
        <w:lang w:eastAsia="en-AU"/>
      </w:rPr>
    </w:pPr>
    <w:r w:rsidRPr="00347824">
      <w:rPr>
        <w:noProof/>
        <w:lang w:eastAsia="en-AU"/>
      </w:rPr>
      <w:drawing>
        <wp:anchor distT="0" distB="0" distL="114300" distR="114300" simplePos="0" relativeHeight="251659264" behindDoc="1" locked="0" layoutInCell="1" allowOverlap="1" wp14:anchorId="0FF725E3" wp14:editId="17752C3D">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53611A6" w14:textId="77777777" w:rsidR="007C5835" w:rsidRDefault="007C5835" w:rsidP="00593AD1">
    <w:pPr>
      <w:pStyle w:val="HeaderNoLine"/>
    </w:pPr>
    <w:r>
      <w:rPr>
        <w:noProof/>
        <w:lang w:eastAsia="en-AU"/>
      </w:rPr>
      <w:drawing>
        <wp:inline distT="0" distB="0" distL="0" distR="0" wp14:anchorId="052EF189" wp14:editId="74F4D248">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98EA3" w14:textId="77777777" w:rsidR="007C5835" w:rsidRDefault="007C5835">
    <w:pPr>
      <w:pStyle w:val="Header"/>
    </w:pPr>
  </w:p>
  <w:p w14:paraId="3201D663" w14:textId="77777777" w:rsidR="007C5835" w:rsidRDefault="007C5835"/>
  <w:p w14:paraId="0B8A5F45" w14:textId="77777777" w:rsidR="007C5835" w:rsidRDefault="007C583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B9AD3" w14:textId="77777777" w:rsidR="007C5835" w:rsidRDefault="007C583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2A072" w14:textId="77777777" w:rsidR="007C5835" w:rsidRDefault="007C5835">
    <w:pPr>
      <w:pStyle w:val="Header"/>
    </w:pPr>
    <w:r>
      <w:t>Therapeutic Goods Administration</w:t>
    </w:r>
  </w:p>
  <w:p w14:paraId="47B1F09B" w14:textId="77777777" w:rsidR="007C5835" w:rsidRDefault="007C5835"/>
  <w:p w14:paraId="1068572F" w14:textId="77777777" w:rsidR="007C5835" w:rsidRDefault="007C583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60731" w14:textId="77777777" w:rsidR="007C5835" w:rsidRDefault="007C583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D87B3" w14:textId="77777777" w:rsidR="007C5835" w:rsidRDefault="007C5835"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5013A" w14:textId="77777777" w:rsidR="007C5835" w:rsidRDefault="007C5835" w:rsidP="006E08B3">
    <w:r>
      <w:t>Therapeutic Goods Administration</w:t>
    </w:r>
  </w:p>
  <w:p w14:paraId="513CB33C" w14:textId="77777777" w:rsidR="007C5835" w:rsidRDefault="007C583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6A9C7E90"/>
    <w:lvl w:ilvl="0">
      <w:start w:val="1"/>
      <w:numFmt w:val="decimal"/>
      <w:pStyle w:val="ListNumber2"/>
      <w:lvlText w:val="%1."/>
      <w:lvlJc w:val="left"/>
      <w:pPr>
        <w:tabs>
          <w:tab w:val="num" w:pos="643"/>
        </w:tabs>
        <w:ind w:left="643" w:hanging="360"/>
      </w:pPr>
    </w:lvl>
  </w:abstractNum>
  <w:abstractNum w:abstractNumId="1">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3">
    <w:nsid w:val="FFFFFF89"/>
    <w:multiLevelType w:val="singleLevel"/>
    <w:tmpl w:val="F9608270"/>
    <w:lvl w:ilvl="0">
      <w:start w:val="1"/>
      <w:numFmt w:val="bullet"/>
      <w:lvlText w:val=""/>
      <w:lvlJc w:val="left"/>
      <w:pPr>
        <w:tabs>
          <w:tab w:val="num" w:pos="360"/>
        </w:tabs>
        <w:ind w:left="360" w:hanging="360"/>
      </w:pPr>
      <w:rPr>
        <w:rFonts w:ascii="Symbol" w:hAnsi="Symbol" w:hint="default"/>
      </w:rPr>
    </w:lvl>
  </w:abstractNum>
  <w:abstractNum w:abstractNumId="4">
    <w:nsid w:val="FFFFFFFE"/>
    <w:multiLevelType w:val="singleLevel"/>
    <w:tmpl w:val="B8320B0A"/>
    <w:lvl w:ilvl="0">
      <w:numFmt w:val="bullet"/>
      <w:lvlText w:val="*"/>
      <w:lvlJc w:val="left"/>
    </w:lvl>
  </w:abstractNum>
  <w:abstractNum w:abstractNumId="5">
    <w:nsid w:val="06CF5DEE"/>
    <w:multiLevelType w:val="hybridMultilevel"/>
    <w:tmpl w:val="800CD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F637B2"/>
    <w:multiLevelType w:val="hybridMultilevel"/>
    <w:tmpl w:val="B40CA8D4"/>
    <w:lvl w:ilvl="0" w:tplc="6C6E1760">
      <w:start w:val="1"/>
      <w:numFmt w:val="decimal"/>
      <w:lvlText w:val="%1)"/>
      <w:lvlJc w:val="left"/>
      <w:pPr>
        <w:ind w:left="360" w:hanging="360"/>
      </w:pPr>
      <w:rPr>
        <w:rFonts w:ascii="Cambria" w:eastAsiaTheme="minorHAnsi" w:hAnsi="Cambria" w:cs="Calibri"/>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04F6308"/>
    <w:multiLevelType w:val="hybridMultilevel"/>
    <w:tmpl w:val="2CFE869E"/>
    <w:lvl w:ilvl="0" w:tplc="A54856B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370C00E5"/>
    <w:multiLevelType w:val="hybridMultilevel"/>
    <w:tmpl w:val="F9284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7115257"/>
    <w:multiLevelType w:val="hybridMultilevel"/>
    <w:tmpl w:val="A8821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AEA6455"/>
    <w:multiLevelType w:val="hybridMultilevel"/>
    <w:tmpl w:val="1B422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53C5BB7"/>
    <w:multiLevelType w:val="hybridMultilevel"/>
    <w:tmpl w:val="74929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10"/>
  </w:num>
  <w:num w:numId="5">
    <w:abstractNumId w:val="1"/>
  </w:num>
  <w:num w:numId="6">
    <w:abstractNumId w:val="10"/>
  </w:num>
  <w:num w:numId="7">
    <w:abstractNumId w:val="10"/>
  </w:num>
  <w:num w:numId="8">
    <w:abstractNumId w:val="8"/>
  </w:num>
  <w:num w:numId="9">
    <w:abstractNumId w:val="8"/>
  </w:num>
  <w:num w:numId="10">
    <w:abstractNumId w:val="8"/>
  </w:num>
  <w:num w:numId="11">
    <w:abstractNumId w:val="8"/>
  </w:num>
  <w:num w:numId="12">
    <w:abstractNumId w:val="4"/>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8"/>
  </w:num>
  <w:num w:numId="17">
    <w:abstractNumId w:val="8"/>
  </w:num>
  <w:num w:numId="18">
    <w:abstractNumId w:val="8"/>
  </w:num>
  <w:num w:numId="19">
    <w:abstractNumId w:val="10"/>
  </w:num>
  <w:num w:numId="20">
    <w:abstractNumId w:val="10"/>
  </w:num>
  <w:num w:numId="21">
    <w:abstractNumId w:val="10"/>
  </w:num>
  <w:num w:numId="22">
    <w:abstractNumId w:val="8"/>
  </w:num>
  <w:num w:numId="23">
    <w:abstractNumId w:val="8"/>
  </w:num>
  <w:num w:numId="24">
    <w:abstractNumId w:val="8"/>
  </w:num>
  <w:num w:numId="25">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1"/>
  </w:num>
  <w:num w:numId="30">
    <w:abstractNumId w:val="7"/>
  </w:num>
  <w:num w:numId="31">
    <w:abstractNumId w:val="13"/>
  </w:num>
  <w:num w:numId="32">
    <w:abstractNumId w:val="9"/>
  </w:num>
  <w:num w:numId="33">
    <w:abstractNumId w:val="0"/>
  </w:num>
  <w:num w:numId="34">
    <w:abstractNumId w:val="6"/>
  </w:num>
  <w:num w:numId="35">
    <w:abstractNumId w:val="5"/>
  </w:num>
  <w:num w:numId="36">
    <w:abstractNumId w:val="14"/>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B8C"/>
    <w:rsid w:val="00002031"/>
    <w:rsid w:val="00002998"/>
    <w:rsid w:val="00004734"/>
    <w:rsid w:val="00006B22"/>
    <w:rsid w:val="00007DAA"/>
    <w:rsid w:val="00010B6D"/>
    <w:rsid w:val="0001276A"/>
    <w:rsid w:val="000232F0"/>
    <w:rsid w:val="000246AE"/>
    <w:rsid w:val="00025C67"/>
    <w:rsid w:val="00044772"/>
    <w:rsid w:val="0005559E"/>
    <w:rsid w:val="000604D6"/>
    <w:rsid w:val="000667DE"/>
    <w:rsid w:val="000734D8"/>
    <w:rsid w:val="00077775"/>
    <w:rsid w:val="00077A39"/>
    <w:rsid w:val="000859E8"/>
    <w:rsid w:val="00090471"/>
    <w:rsid w:val="00094C61"/>
    <w:rsid w:val="00096AA7"/>
    <w:rsid w:val="000A3AED"/>
    <w:rsid w:val="000B3532"/>
    <w:rsid w:val="000B3A75"/>
    <w:rsid w:val="000C00C2"/>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25318"/>
    <w:rsid w:val="001305A2"/>
    <w:rsid w:val="00133238"/>
    <w:rsid w:val="00133A1B"/>
    <w:rsid w:val="0014197B"/>
    <w:rsid w:val="001447CD"/>
    <w:rsid w:val="0015166F"/>
    <w:rsid w:val="001516B1"/>
    <w:rsid w:val="001532E4"/>
    <w:rsid w:val="00154EBB"/>
    <w:rsid w:val="00156316"/>
    <w:rsid w:val="00161181"/>
    <w:rsid w:val="00162D14"/>
    <w:rsid w:val="00165389"/>
    <w:rsid w:val="0017693F"/>
    <w:rsid w:val="0018110E"/>
    <w:rsid w:val="00181684"/>
    <w:rsid w:val="001843C6"/>
    <w:rsid w:val="001850E0"/>
    <w:rsid w:val="001A2158"/>
    <w:rsid w:val="001A525F"/>
    <w:rsid w:val="001B09F9"/>
    <w:rsid w:val="001B1CCD"/>
    <w:rsid w:val="001B5C90"/>
    <w:rsid w:val="001B6448"/>
    <w:rsid w:val="001C32CD"/>
    <w:rsid w:val="001D2984"/>
    <w:rsid w:val="001D7755"/>
    <w:rsid w:val="001E07CF"/>
    <w:rsid w:val="001E2643"/>
    <w:rsid w:val="001E59F1"/>
    <w:rsid w:val="001E6DDC"/>
    <w:rsid w:val="001F2CEE"/>
    <w:rsid w:val="001F49EB"/>
    <w:rsid w:val="001F6CBA"/>
    <w:rsid w:val="001F7B96"/>
    <w:rsid w:val="00201D4E"/>
    <w:rsid w:val="002076C9"/>
    <w:rsid w:val="0021339F"/>
    <w:rsid w:val="00220B8A"/>
    <w:rsid w:val="002257F3"/>
    <w:rsid w:val="002302CB"/>
    <w:rsid w:val="00233456"/>
    <w:rsid w:val="002339A5"/>
    <w:rsid w:val="0023705B"/>
    <w:rsid w:val="00241B4E"/>
    <w:rsid w:val="0025261B"/>
    <w:rsid w:val="00257848"/>
    <w:rsid w:val="00270567"/>
    <w:rsid w:val="0027084A"/>
    <w:rsid w:val="00277E12"/>
    <w:rsid w:val="0028421B"/>
    <w:rsid w:val="00286434"/>
    <w:rsid w:val="00286A1F"/>
    <w:rsid w:val="00286C59"/>
    <w:rsid w:val="00291957"/>
    <w:rsid w:val="002942D1"/>
    <w:rsid w:val="0029501A"/>
    <w:rsid w:val="00296943"/>
    <w:rsid w:val="002A3721"/>
    <w:rsid w:val="002A4790"/>
    <w:rsid w:val="002B05D7"/>
    <w:rsid w:val="002B1638"/>
    <w:rsid w:val="002B3624"/>
    <w:rsid w:val="002B65C3"/>
    <w:rsid w:val="002D0952"/>
    <w:rsid w:val="002E40B3"/>
    <w:rsid w:val="002E4C9A"/>
    <w:rsid w:val="002F11F8"/>
    <w:rsid w:val="002F39DE"/>
    <w:rsid w:val="002F3F56"/>
    <w:rsid w:val="002F44B5"/>
    <w:rsid w:val="003110F3"/>
    <w:rsid w:val="00311AC0"/>
    <w:rsid w:val="003176FC"/>
    <w:rsid w:val="0032583B"/>
    <w:rsid w:val="00327883"/>
    <w:rsid w:val="00335504"/>
    <w:rsid w:val="00340C18"/>
    <w:rsid w:val="00341A10"/>
    <w:rsid w:val="003442FD"/>
    <w:rsid w:val="00347824"/>
    <w:rsid w:val="00350567"/>
    <w:rsid w:val="003521E8"/>
    <w:rsid w:val="00370CE3"/>
    <w:rsid w:val="003728F3"/>
    <w:rsid w:val="0037496E"/>
    <w:rsid w:val="00383221"/>
    <w:rsid w:val="00386150"/>
    <w:rsid w:val="003874CE"/>
    <w:rsid w:val="00390900"/>
    <w:rsid w:val="003A2E1F"/>
    <w:rsid w:val="003A7F6C"/>
    <w:rsid w:val="003B4D60"/>
    <w:rsid w:val="003B7E39"/>
    <w:rsid w:val="003C58DC"/>
    <w:rsid w:val="003D1E62"/>
    <w:rsid w:val="003E0B99"/>
    <w:rsid w:val="003E2486"/>
    <w:rsid w:val="003E3208"/>
    <w:rsid w:val="003E68BF"/>
    <w:rsid w:val="003E7D7A"/>
    <w:rsid w:val="003F0B04"/>
    <w:rsid w:val="0040134E"/>
    <w:rsid w:val="00422C81"/>
    <w:rsid w:val="004334C7"/>
    <w:rsid w:val="00440A2D"/>
    <w:rsid w:val="00441C3F"/>
    <w:rsid w:val="0045249C"/>
    <w:rsid w:val="004564A7"/>
    <w:rsid w:val="004605FC"/>
    <w:rsid w:val="004617BF"/>
    <w:rsid w:val="00463658"/>
    <w:rsid w:val="004637A0"/>
    <w:rsid w:val="00464ADE"/>
    <w:rsid w:val="004722CC"/>
    <w:rsid w:val="00475429"/>
    <w:rsid w:val="004936E4"/>
    <w:rsid w:val="00494E60"/>
    <w:rsid w:val="00495B1D"/>
    <w:rsid w:val="00497487"/>
    <w:rsid w:val="004A1F75"/>
    <w:rsid w:val="004A6189"/>
    <w:rsid w:val="004A7390"/>
    <w:rsid w:val="004B7B76"/>
    <w:rsid w:val="004C239D"/>
    <w:rsid w:val="004C2DCA"/>
    <w:rsid w:val="004C61D2"/>
    <w:rsid w:val="004E7509"/>
    <w:rsid w:val="004F0C4A"/>
    <w:rsid w:val="004F0F38"/>
    <w:rsid w:val="004F47D6"/>
    <w:rsid w:val="005007C5"/>
    <w:rsid w:val="00501921"/>
    <w:rsid w:val="00511AD7"/>
    <w:rsid w:val="005158DF"/>
    <w:rsid w:val="00530354"/>
    <w:rsid w:val="0053625B"/>
    <w:rsid w:val="005434C6"/>
    <w:rsid w:val="00543B39"/>
    <w:rsid w:val="00546154"/>
    <w:rsid w:val="00550096"/>
    <w:rsid w:val="00555280"/>
    <w:rsid w:val="00557FF9"/>
    <w:rsid w:val="005602B8"/>
    <w:rsid w:val="00561FCF"/>
    <w:rsid w:val="00562327"/>
    <w:rsid w:val="005642D2"/>
    <w:rsid w:val="005711D5"/>
    <w:rsid w:val="00576378"/>
    <w:rsid w:val="00577130"/>
    <w:rsid w:val="00577945"/>
    <w:rsid w:val="00577E38"/>
    <w:rsid w:val="00585322"/>
    <w:rsid w:val="005857C6"/>
    <w:rsid w:val="0058642E"/>
    <w:rsid w:val="00592F6E"/>
    <w:rsid w:val="00593AD1"/>
    <w:rsid w:val="005A08D6"/>
    <w:rsid w:val="005A3A45"/>
    <w:rsid w:val="005A68B6"/>
    <w:rsid w:val="005C0570"/>
    <w:rsid w:val="005C5570"/>
    <w:rsid w:val="005C79A4"/>
    <w:rsid w:val="005D5442"/>
    <w:rsid w:val="005D7F42"/>
    <w:rsid w:val="00603F32"/>
    <w:rsid w:val="00605AD4"/>
    <w:rsid w:val="006136D7"/>
    <w:rsid w:val="00625A6E"/>
    <w:rsid w:val="00632398"/>
    <w:rsid w:val="00640FC3"/>
    <w:rsid w:val="00642020"/>
    <w:rsid w:val="0065337B"/>
    <w:rsid w:val="0065419D"/>
    <w:rsid w:val="0065759F"/>
    <w:rsid w:val="006604D8"/>
    <w:rsid w:val="00664A5B"/>
    <w:rsid w:val="0066735C"/>
    <w:rsid w:val="006732B3"/>
    <w:rsid w:val="006763D2"/>
    <w:rsid w:val="00680C08"/>
    <w:rsid w:val="006829AA"/>
    <w:rsid w:val="006916A0"/>
    <w:rsid w:val="00692239"/>
    <w:rsid w:val="006931B1"/>
    <w:rsid w:val="006A15C0"/>
    <w:rsid w:val="006B4CE6"/>
    <w:rsid w:val="006C285D"/>
    <w:rsid w:val="006C3E2A"/>
    <w:rsid w:val="006C642F"/>
    <w:rsid w:val="006D03E5"/>
    <w:rsid w:val="006D1E27"/>
    <w:rsid w:val="006D5D3E"/>
    <w:rsid w:val="006D7DF9"/>
    <w:rsid w:val="006E08B3"/>
    <w:rsid w:val="006F17AC"/>
    <w:rsid w:val="006F25B8"/>
    <w:rsid w:val="006F572E"/>
    <w:rsid w:val="007046D6"/>
    <w:rsid w:val="00705553"/>
    <w:rsid w:val="00705DB0"/>
    <w:rsid w:val="00721057"/>
    <w:rsid w:val="00722B57"/>
    <w:rsid w:val="00730F8A"/>
    <w:rsid w:val="00735A8C"/>
    <w:rsid w:val="0073661B"/>
    <w:rsid w:val="0074253D"/>
    <w:rsid w:val="0074429B"/>
    <w:rsid w:val="00752DB1"/>
    <w:rsid w:val="007615BC"/>
    <w:rsid w:val="00762F05"/>
    <w:rsid w:val="007652FF"/>
    <w:rsid w:val="00770053"/>
    <w:rsid w:val="00770CAC"/>
    <w:rsid w:val="00770EF1"/>
    <w:rsid w:val="00773EF7"/>
    <w:rsid w:val="00774E1D"/>
    <w:rsid w:val="007765D8"/>
    <w:rsid w:val="0077675A"/>
    <w:rsid w:val="00780355"/>
    <w:rsid w:val="007819FD"/>
    <w:rsid w:val="00785717"/>
    <w:rsid w:val="00785721"/>
    <w:rsid w:val="00793A59"/>
    <w:rsid w:val="007B6132"/>
    <w:rsid w:val="007B6E9F"/>
    <w:rsid w:val="007C0B86"/>
    <w:rsid w:val="007C1216"/>
    <w:rsid w:val="007C1AF7"/>
    <w:rsid w:val="007C5122"/>
    <w:rsid w:val="007C5835"/>
    <w:rsid w:val="007C6B9B"/>
    <w:rsid w:val="00805D27"/>
    <w:rsid w:val="00806644"/>
    <w:rsid w:val="00806DCB"/>
    <w:rsid w:val="00821776"/>
    <w:rsid w:val="00822775"/>
    <w:rsid w:val="008321F5"/>
    <w:rsid w:val="00832369"/>
    <w:rsid w:val="00834611"/>
    <w:rsid w:val="00834660"/>
    <w:rsid w:val="00836BC2"/>
    <w:rsid w:val="0085156D"/>
    <w:rsid w:val="00853A05"/>
    <w:rsid w:val="0085641B"/>
    <w:rsid w:val="00857136"/>
    <w:rsid w:val="00875A6B"/>
    <w:rsid w:val="00875F5D"/>
    <w:rsid w:val="008766ED"/>
    <w:rsid w:val="00881A5C"/>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D6EEE"/>
    <w:rsid w:val="008E7846"/>
    <w:rsid w:val="008F02E5"/>
    <w:rsid w:val="008F1CCC"/>
    <w:rsid w:val="008F2967"/>
    <w:rsid w:val="008F63C5"/>
    <w:rsid w:val="008F6943"/>
    <w:rsid w:val="00902A21"/>
    <w:rsid w:val="00920330"/>
    <w:rsid w:val="009219D7"/>
    <w:rsid w:val="00922D53"/>
    <w:rsid w:val="00923B70"/>
    <w:rsid w:val="00924482"/>
    <w:rsid w:val="00930237"/>
    <w:rsid w:val="0093757C"/>
    <w:rsid w:val="00937C17"/>
    <w:rsid w:val="00940A89"/>
    <w:rsid w:val="00946EA5"/>
    <w:rsid w:val="00963C08"/>
    <w:rsid w:val="009650DF"/>
    <w:rsid w:val="00974C58"/>
    <w:rsid w:val="009752A5"/>
    <w:rsid w:val="00981FD7"/>
    <w:rsid w:val="0098585A"/>
    <w:rsid w:val="009A4CED"/>
    <w:rsid w:val="009A690D"/>
    <w:rsid w:val="009B1D12"/>
    <w:rsid w:val="009B416B"/>
    <w:rsid w:val="009B5B83"/>
    <w:rsid w:val="009C4BD5"/>
    <w:rsid w:val="009D7B77"/>
    <w:rsid w:val="009E0BB0"/>
    <w:rsid w:val="009E3FBB"/>
    <w:rsid w:val="009F7353"/>
    <w:rsid w:val="00A0012A"/>
    <w:rsid w:val="00A04F85"/>
    <w:rsid w:val="00A05FA4"/>
    <w:rsid w:val="00A07C6A"/>
    <w:rsid w:val="00A102E4"/>
    <w:rsid w:val="00A12C42"/>
    <w:rsid w:val="00A14DF7"/>
    <w:rsid w:val="00A2040D"/>
    <w:rsid w:val="00A3246D"/>
    <w:rsid w:val="00A36FA7"/>
    <w:rsid w:val="00A44A3E"/>
    <w:rsid w:val="00A44DDB"/>
    <w:rsid w:val="00A46675"/>
    <w:rsid w:val="00A475B7"/>
    <w:rsid w:val="00A47AF7"/>
    <w:rsid w:val="00A47C3E"/>
    <w:rsid w:val="00A50226"/>
    <w:rsid w:val="00A55DB5"/>
    <w:rsid w:val="00A60BAD"/>
    <w:rsid w:val="00A80B5B"/>
    <w:rsid w:val="00A84E36"/>
    <w:rsid w:val="00A964D1"/>
    <w:rsid w:val="00AA0ED0"/>
    <w:rsid w:val="00AA11AC"/>
    <w:rsid w:val="00AA53D9"/>
    <w:rsid w:val="00AC2B40"/>
    <w:rsid w:val="00AC2BB2"/>
    <w:rsid w:val="00AC2C3C"/>
    <w:rsid w:val="00AC512D"/>
    <w:rsid w:val="00AD0083"/>
    <w:rsid w:val="00AD3935"/>
    <w:rsid w:val="00AE60DB"/>
    <w:rsid w:val="00AE65EB"/>
    <w:rsid w:val="00AE67A7"/>
    <w:rsid w:val="00AF1D94"/>
    <w:rsid w:val="00AF60C5"/>
    <w:rsid w:val="00B009C6"/>
    <w:rsid w:val="00B01548"/>
    <w:rsid w:val="00B1353B"/>
    <w:rsid w:val="00B13EBD"/>
    <w:rsid w:val="00B21D29"/>
    <w:rsid w:val="00B25034"/>
    <w:rsid w:val="00B33588"/>
    <w:rsid w:val="00B33863"/>
    <w:rsid w:val="00B37D17"/>
    <w:rsid w:val="00B4175E"/>
    <w:rsid w:val="00B42CBE"/>
    <w:rsid w:val="00B436C5"/>
    <w:rsid w:val="00B452CE"/>
    <w:rsid w:val="00B54C25"/>
    <w:rsid w:val="00B76B91"/>
    <w:rsid w:val="00B77EB1"/>
    <w:rsid w:val="00B811C6"/>
    <w:rsid w:val="00B855B0"/>
    <w:rsid w:val="00B877A4"/>
    <w:rsid w:val="00B92E08"/>
    <w:rsid w:val="00BA7BA6"/>
    <w:rsid w:val="00BB0EC2"/>
    <w:rsid w:val="00BC622A"/>
    <w:rsid w:val="00BE0A78"/>
    <w:rsid w:val="00BE3CEB"/>
    <w:rsid w:val="00BE3D3D"/>
    <w:rsid w:val="00BE5EE0"/>
    <w:rsid w:val="00BE79F0"/>
    <w:rsid w:val="00BF046D"/>
    <w:rsid w:val="00BF1190"/>
    <w:rsid w:val="00BF3E2C"/>
    <w:rsid w:val="00BF5D04"/>
    <w:rsid w:val="00C009AA"/>
    <w:rsid w:val="00C1164D"/>
    <w:rsid w:val="00C16861"/>
    <w:rsid w:val="00C3267F"/>
    <w:rsid w:val="00C346AB"/>
    <w:rsid w:val="00C404A6"/>
    <w:rsid w:val="00C40A36"/>
    <w:rsid w:val="00C44419"/>
    <w:rsid w:val="00C45E7B"/>
    <w:rsid w:val="00C471B1"/>
    <w:rsid w:val="00C57BDD"/>
    <w:rsid w:val="00C62F1E"/>
    <w:rsid w:val="00C6316B"/>
    <w:rsid w:val="00C634A9"/>
    <w:rsid w:val="00C64586"/>
    <w:rsid w:val="00C65910"/>
    <w:rsid w:val="00C661C5"/>
    <w:rsid w:val="00C70D53"/>
    <w:rsid w:val="00C73D0B"/>
    <w:rsid w:val="00C772FF"/>
    <w:rsid w:val="00C80137"/>
    <w:rsid w:val="00C801AF"/>
    <w:rsid w:val="00C80256"/>
    <w:rsid w:val="00C94CD4"/>
    <w:rsid w:val="00C9747E"/>
    <w:rsid w:val="00CB6BC0"/>
    <w:rsid w:val="00CC1B7C"/>
    <w:rsid w:val="00CC594E"/>
    <w:rsid w:val="00CC727F"/>
    <w:rsid w:val="00CD3796"/>
    <w:rsid w:val="00CF15C3"/>
    <w:rsid w:val="00CF2B6F"/>
    <w:rsid w:val="00CF2F3E"/>
    <w:rsid w:val="00CF58B6"/>
    <w:rsid w:val="00D0062D"/>
    <w:rsid w:val="00D017ED"/>
    <w:rsid w:val="00D040D3"/>
    <w:rsid w:val="00D04C65"/>
    <w:rsid w:val="00D16E71"/>
    <w:rsid w:val="00D201D2"/>
    <w:rsid w:val="00D21BD7"/>
    <w:rsid w:val="00D224FE"/>
    <w:rsid w:val="00D23139"/>
    <w:rsid w:val="00D308A1"/>
    <w:rsid w:val="00D425BB"/>
    <w:rsid w:val="00D6493E"/>
    <w:rsid w:val="00D7195D"/>
    <w:rsid w:val="00D7301E"/>
    <w:rsid w:val="00D82B8C"/>
    <w:rsid w:val="00D83AE1"/>
    <w:rsid w:val="00D855D4"/>
    <w:rsid w:val="00D902C9"/>
    <w:rsid w:val="00D90DB9"/>
    <w:rsid w:val="00D93466"/>
    <w:rsid w:val="00DA1124"/>
    <w:rsid w:val="00DA1ADD"/>
    <w:rsid w:val="00DB6124"/>
    <w:rsid w:val="00DB750B"/>
    <w:rsid w:val="00DB75B7"/>
    <w:rsid w:val="00DC6E02"/>
    <w:rsid w:val="00DD28CD"/>
    <w:rsid w:val="00DE02AE"/>
    <w:rsid w:val="00DF191E"/>
    <w:rsid w:val="00DF1D7F"/>
    <w:rsid w:val="00DF4855"/>
    <w:rsid w:val="00DF4BE4"/>
    <w:rsid w:val="00E02FB4"/>
    <w:rsid w:val="00E13FC7"/>
    <w:rsid w:val="00E20571"/>
    <w:rsid w:val="00E235F7"/>
    <w:rsid w:val="00E23659"/>
    <w:rsid w:val="00E239D4"/>
    <w:rsid w:val="00E26130"/>
    <w:rsid w:val="00E40B22"/>
    <w:rsid w:val="00E44ED1"/>
    <w:rsid w:val="00E45619"/>
    <w:rsid w:val="00E4588F"/>
    <w:rsid w:val="00E46DA3"/>
    <w:rsid w:val="00E51BB1"/>
    <w:rsid w:val="00E57B4A"/>
    <w:rsid w:val="00E624A5"/>
    <w:rsid w:val="00E64BA4"/>
    <w:rsid w:val="00E7344E"/>
    <w:rsid w:val="00E74A4F"/>
    <w:rsid w:val="00E82665"/>
    <w:rsid w:val="00E954A2"/>
    <w:rsid w:val="00EB0798"/>
    <w:rsid w:val="00EB27B6"/>
    <w:rsid w:val="00EB40AD"/>
    <w:rsid w:val="00EB586E"/>
    <w:rsid w:val="00EB5FC8"/>
    <w:rsid w:val="00EC38CE"/>
    <w:rsid w:val="00EC463D"/>
    <w:rsid w:val="00EC488D"/>
    <w:rsid w:val="00EC7A85"/>
    <w:rsid w:val="00ED2922"/>
    <w:rsid w:val="00ED392F"/>
    <w:rsid w:val="00ED3CAD"/>
    <w:rsid w:val="00ED5A41"/>
    <w:rsid w:val="00EE1DE8"/>
    <w:rsid w:val="00EE27C2"/>
    <w:rsid w:val="00EF4BAD"/>
    <w:rsid w:val="00EF59DC"/>
    <w:rsid w:val="00F033EC"/>
    <w:rsid w:val="00F03C98"/>
    <w:rsid w:val="00F04F68"/>
    <w:rsid w:val="00F12670"/>
    <w:rsid w:val="00F14B27"/>
    <w:rsid w:val="00F3148D"/>
    <w:rsid w:val="00F325C5"/>
    <w:rsid w:val="00F32D0E"/>
    <w:rsid w:val="00F32FE0"/>
    <w:rsid w:val="00F3436E"/>
    <w:rsid w:val="00F35298"/>
    <w:rsid w:val="00F4432B"/>
    <w:rsid w:val="00F44AFB"/>
    <w:rsid w:val="00F47333"/>
    <w:rsid w:val="00F47E37"/>
    <w:rsid w:val="00F50F44"/>
    <w:rsid w:val="00F53C07"/>
    <w:rsid w:val="00F54B65"/>
    <w:rsid w:val="00F640B6"/>
    <w:rsid w:val="00F66DF2"/>
    <w:rsid w:val="00F80594"/>
    <w:rsid w:val="00F80E40"/>
    <w:rsid w:val="00F848D9"/>
    <w:rsid w:val="00FA5B82"/>
    <w:rsid w:val="00FA639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D57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E750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5A3A45"/>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5A3A45"/>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5A3A45"/>
    <w:pPr>
      <w:framePr w:hSpace="180" w:wrap="around" w:vAnchor="page" w:hAnchor="text" w:y="3316"/>
      <w:numPr>
        <w:ilvl w:val="1"/>
      </w:numPr>
      <w:spacing w:after="36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5A3A45"/>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5A3A45"/>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5A3A45"/>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table" w:customStyle="1" w:styleId="TableTGA2">
    <w:name w:val="Table TGA 2"/>
    <w:basedOn w:val="TableNormal"/>
    <w:uiPriority w:val="99"/>
    <w:rsid w:val="001532E4"/>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keepNext/>
        <w:wordWrap/>
      </w:pPr>
      <w:rPr>
        <w:rFonts w:ascii="Cambria" w:hAnsi="Cambria"/>
        <w:b/>
        <w:color w:val="FFFFFF"/>
        <w:sz w:val="22"/>
      </w:rPr>
      <w:tblPr/>
      <w:trPr>
        <w:cantSplit/>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NoSpacing">
    <w:name w:val="No Spacing"/>
    <w:uiPriority w:val="1"/>
    <w:rsid w:val="001532E4"/>
    <w:pPr>
      <w:adjustRightInd w:val="0"/>
      <w:snapToGrid w:val="0"/>
      <w:spacing w:after="0" w:line="240" w:lineRule="auto"/>
    </w:pPr>
    <w:rPr>
      <w:rFonts w:ascii="Cambria" w:eastAsia="MS Mincho" w:hAnsi="Cambria" w:cs="Times New Roman"/>
      <w:szCs w:val="20"/>
      <w:lang w:eastAsia="ja-JP"/>
    </w:rPr>
  </w:style>
  <w:style w:type="paragraph" w:customStyle="1" w:styleId="GuidanceText">
    <w:name w:val="Guidance Text"/>
    <w:basedOn w:val="Normal"/>
    <w:link w:val="GuidanceTextChar"/>
    <w:autoRedefine/>
    <w:rsid w:val="00A55DB5"/>
    <w:pPr>
      <w:autoSpaceDE w:val="0"/>
      <w:autoSpaceDN w:val="0"/>
      <w:adjustRightInd w:val="0"/>
      <w:spacing w:before="0" w:after="0" w:line="276" w:lineRule="auto"/>
    </w:pPr>
    <w:rPr>
      <w:rFonts w:asciiTheme="minorHAnsi" w:eastAsia="Times New Roman" w:hAnsiTheme="minorHAnsi" w:cstheme="majorHAnsi"/>
      <w:lang w:eastAsia="en-AU"/>
    </w:rPr>
  </w:style>
  <w:style w:type="character" w:customStyle="1" w:styleId="GuidanceTextChar">
    <w:name w:val="Guidance Text Char"/>
    <w:basedOn w:val="DefaultParagraphFont"/>
    <w:link w:val="GuidanceText"/>
    <w:rsid w:val="00A55DB5"/>
    <w:rPr>
      <w:rFonts w:eastAsia="Times New Roman" w:cstheme="majorHAnsi"/>
      <w:lang w:eastAsia="en-AU"/>
    </w:rPr>
  </w:style>
  <w:style w:type="paragraph" w:styleId="ListParagraph">
    <w:name w:val="List Paragraph"/>
    <w:basedOn w:val="Normal"/>
    <w:uiPriority w:val="34"/>
    <w:qFormat/>
    <w:rsid w:val="00A55DB5"/>
    <w:pPr>
      <w:spacing w:before="0" w:after="0" w:line="240" w:lineRule="auto"/>
      <w:ind w:left="720"/>
      <w:contextualSpacing/>
    </w:pPr>
    <w:rPr>
      <w:rFonts w:ascii="Times New Roman" w:eastAsia="Times New Roman" w:hAnsi="Times New Roman"/>
      <w:sz w:val="24"/>
      <w:szCs w:val="20"/>
      <w:lang w:eastAsia="en-AU"/>
    </w:rPr>
  </w:style>
  <w:style w:type="paragraph" w:customStyle="1" w:styleId="Standard">
    <w:name w:val="Standard"/>
    <w:basedOn w:val="Normal"/>
    <w:link w:val="StandardChar"/>
    <w:qFormat/>
    <w:rsid w:val="001D7755"/>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1D7755"/>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1D7755"/>
    <w:pPr>
      <w:numPr>
        <w:numId w:val="30"/>
      </w:numPr>
      <w:spacing w:after="180"/>
      <w:ind w:left="426" w:hanging="284"/>
    </w:pPr>
    <w:rPr>
      <w:kern w:val="2"/>
    </w:rPr>
  </w:style>
  <w:style w:type="character" w:customStyle="1" w:styleId="TabletextChar">
    <w:name w:val="Table text Char"/>
    <w:basedOn w:val="StandardChar"/>
    <w:link w:val="Tabletext"/>
    <w:rsid w:val="001D7755"/>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1D7755"/>
    <w:rPr>
      <w:rFonts w:ascii="Cambria" w:eastAsia="Times New Roman" w:hAnsi="Cambria" w:cs="Times New Roman"/>
      <w:snapToGrid w:val="0"/>
      <w:kern w:val="2"/>
      <w:sz w:val="23"/>
      <w:szCs w:val="24"/>
    </w:rPr>
  </w:style>
  <w:style w:type="paragraph" w:styleId="Quote">
    <w:name w:val="Quote"/>
    <w:basedOn w:val="Normal"/>
    <w:next w:val="Normal"/>
    <w:link w:val="QuoteChar"/>
    <w:uiPriority w:val="29"/>
    <w:qFormat/>
    <w:rsid w:val="001D7755"/>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1D7755"/>
    <w:rPr>
      <w:rFonts w:asciiTheme="majorHAnsi" w:hAnsiTheme="majorHAnsi"/>
      <w:i/>
      <w:iCs/>
      <w:color w:val="000000" w:themeColor="text1"/>
      <w:sz w:val="23"/>
    </w:rPr>
  </w:style>
  <w:style w:type="paragraph" w:customStyle="1" w:styleId="Summaryofsafetyconcerns">
    <w:name w:val="Summary of safety concerns"/>
    <w:basedOn w:val="Tabletext"/>
    <w:link w:val="SummaryofsafetyconcernsChar"/>
    <w:qFormat/>
    <w:rsid w:val="001D7755"/>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1D7755"/>
    <w:rPr>
      <w:rFonts w:ascii="Cambria" w:eastAsia="Times New Roman" w:hAnsi="Cambria" w:cs="Times New Roman"/>
      <w:b/>
      <w:snapToGrid w:val="0"/>
      <w:kern w:val="16"/>
      <w:sz w:val="20"/>
      <w:szCs w:val="24"/>
    </w:rPr>
  </w:style>
  <w:style w:type="paragraph" w:styleId="ListNumber2">
    <w:name w:val="List Number 2"/>
    <w:basedOn w:val="Normal"/>
    <w:uiPriority w:val="99"/>
    <w:unhideWhenUsed/>
    <w:rsid w:val="0073661B"/>
    <w:pPr>
      <w:numPr>
        <w:numId w:val="33"/>
      </w:numPr>
      <w:spacing w:before="0" w:after="200" w:line="276" w:lineRule="auto"/>
      <w:contextualSpacing/>
    </w:pPr>
    <w:rPr>
      <w:rFonts w:asciiTheme="minorHAnsi" w:eastAsiaTheme="minorHAnsi" w:hAnsiTheme="minorHAnsi" w:cstheme="minorBidi"/>
    </w:rPr>
  </w:style>
  <w:style w:type="paragraph" w:customStyle="1" w:styleId="Tabletitle0">
    <w:name w:val="Table title"/>
    <w:basedOn w:val="Normal"/>
    <w:next w:val="Normal"/>
    <w:rsid w:val="00E74A4F"/>
    <w:pPr>
      <w:keepNext/>
      <w:spacing w:after="180"/>
      <w:outlineLvl w:val="4"/>
    </w:pPr>
    <w:rPr>
      <w:b/>
    </w:rPr>
  </w:style>
  <w:style w:type="paragraph" w:styleId="DocumentMap">
    <w:name w:val="Document Map"/>
    <w:basedOn w:val="Normal"/>
    <w:link w:val="DocumentMapChar"/>
    <w:uiPriority w:val="99"/>
    <w:semiHidden/>
    <w:unhideWhenUsed/>
    <w:rsid w:val="00B1353B"/>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B1353B"/>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E750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5A3A45"/>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5A3A45"/>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5A3A45"/>
    <w:pPr>
      <w:framePr w:hSpace="180" w:wrap="around" w:vAnchor="page" w:hAnchor="text" w:y="3316"/>
      <w:numPr>
        <w:ilvl w:val="1"/>
      </w:numPr>
      <w:spacing w:after="36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5A3A45"/>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5A3A45"/>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5A3A45"/>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table" w:customStyle="1" w:styleId="TableTGA2">
    <w:name w:val="Table TGA 2"/>
    <w:basedOn w:val="TableNormal"/>
    <w:uiPriority w:val="99"/>
    <w:rsid w:val="001532E4"/>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keepNext/>
        <w:wordWrap/>
      </w:pPr>
      <w:rPr>
        <w:rFonts w:ascii="Cambria" w:hAnsi="Cambria"/>
        <w:b/>
        <w:color w:val="FFFFFF"/>
        <w:sz w:val="22"/>
      </w:rPr>
      <w:tblPr/>
      <w:trPr>
        <w:cantSplit/>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NoSpacing">
    <w:name w:val="No Spacing"/>
    <w:uiPriority w:val="1"/>
    <w:rsid w:val="001532E4"/>
    <w:pPr>
      <w:adjustRightInd w:val="0"/>
      <w:snapToGrid w:val="0"/>
      <w:spacing w:after="0" w:line="240" w:lineRule="auto"/>
    </w:pPr>
    <w:rPr>
      <w:rFonts w:ascii="Cambria" w:eastAsia="MS Mincho" w:hAnsi="Cambria" w:cs="Times New Roman"/>
      <w:szCs w:val="20"/>
      <w:lang w:eastAsia="ja-JP"/>
    </w:rPr>
  </w:style>
  <w:style w:type="paragraph" w:customStyle="1" w:styleId="GuidanceText">
    <w:name w:val="Guidance Text"/>
    <w:basedOn w:val="Normal"/>
    <w:link w:val="GuidanceTextChar"/>
    <w:autoRedefine/>
    <w:rsid w:val="00A55DB5"/>
    <w:pPr>
      <w:autoSpaceDE w:val="0"/>
      <w:autoSpaceDN w:val="0"/>
      <w:adjustRightInd w:val="0"/>
      <w:spacing w:before="0" w:after="0" w:line="276" w:lineRule="auto"/>
    </w:pPr>
    <w:rPr>
      <w:rFonts w:asciiTheme="minorHAnsi" w:eastAsia="Times New Roman" w:hAnsiTheme="minorHAnsi" w:cstheme="majorHAnsi"/>
      <w:lang w:eastAsia="en-AU"/>
    </w:rPr>
  </w:style>
  <w:style w:type="character" w:customStyle="1" w:styleId="GuidanceTextChar">
    <w:name w:val="Guidance Text Char"/>
    <w:basedOn w:val="DefaultParagraphFont"/>
    <w:link w:val="GuidanceText"/>
    <w:rsid w:val="00A55DB5"/>
    <w:rPr>
      <w:rFonts w:eastAsia="Times New Roman" w:cstheme="majorHAnsi"/>
      <w:lang w:eastAsia="en-AU"/>
    </w:rPr>
  </w:style>
  <w:style w:type="paragraph" w:styleId="ListParagraph">
    <w:name w:val="List Paragraph"/>
    <w:basedOn w:val="Normal"/>
    <w:uiPriority w:val="34"/>
    <w:qFormat/>
    <w:rsid w:val="00A55DB5"/>
    <w:pPr>
      <w:spacing w:before="0" w:after="0" w:line="240" w:lineRule="auto"/>
      <w:ind w:left="720"/>
      <w:contextualSpacing/>
    </w:pPr>
    <w:rPr>
      <w:rFonts w:ascii="Times New Roman" w:eastAsia="Times New Roman" w:hAnsi="Times New Roman"/>
      <w:sz w:val="24"/>
      <w:szCs w:val="20"/>
      <w:lang w:eastAsia="en-AU"/>
    </w:rPr>
  </w:style>
  <w:style w:type="paragraph" w:customStyle="1" w:styleId="Standard">
    <w:name w:val="Standard"/>
    <w:basedOn w:val="Normal"/>
    <w:link w:val="StandardChar"/>
    <w:qFormat/>
    <w:rsid w:val="001D7755"/>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1D7755"/>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1D7755"/>
    <w:pPr>
      <w:numPr>
        <w:numId w:val="30"/>
      </w:numPr>
      <w:spacing w:after="180"/>
      <w:ind w:left="426" w:hanging="284"/>
    </w:pPr>
    <w:rPr>
      <w:kern w:val="2"/>
    </w:rPr>
  </w:style>
  <w:style w:type="character" w:customStyle="1" w:styleId="TabletextChar">
    <w:name w:val="Table text Char"/>
    <w:basedOn w:val="StandardChar"/>
    <w:link w:val="Tabletext"/>
    <w:rsid w:val="001D7755"/>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1D7755"/>
    <w:rPr>
      <w:rFonts w:ascii="Cambria" w:eastAsia="Times New Roman" w:hAnsi="Cambria" w:cs="Times New Roman"/>
      <w:snapToGrid w:val="0"/>
      <w:kern w:val="2"/>
      <w:sz w:val="23"/>
      <w:szCs w:val="24"/>
    </w:rPr>
  </w:style>
  <w:style w:type="paragraph" w:styleId="Quote">
    <w:name w:val="Quote"/>
    <w:basedOn w:val="Normal"/>
    <w:next w:val="Normal"/>
    <w:link w:val="QuoteChar"/>
    <w:uiPriority w:val="29"/>
    <w:qFormat/>
    <w:rsid w:val="001D7755"/>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1D7755"/>
    <w:rPr>
      <w:rFonts w:asciiTheme="majorHAnsi" w:hAnsiTheme="majorHAnsi"/>
      <w:i/>
      <w:iCs/>
      <w:color w:val="000000" w:themeColor="text1"/>
      <w:sz w:val="23"/>
    </w:rPr>
  </w:style>
  <w:style w:type="paragraph" w:customStyle="1" w:styleId="Summaryofsafetyconcerns">
    <w:name w:val="Summary of safety concerns"/>
    <w:basedOn w:val="Tabletext"/>
    <w:link w:val="SummaryofsafetyconcernsChar"/>
    <w:qFormat/>
    <w:rsid w:val="001D7755"/>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1D7755"/>
    <w:rPr>
      <w:rFonts w:ascii="Cambria" w:eastAsia="Times New Roman" w:hAnsi="Cambria" w:cs="Times New Roman"/>
      <w:b/>
      <w:snapToGrid w:val="0"/>
      <w:kern w:val="16"/>
      <w:sz w:val="20"/>
      <w:szCs w:val="24"/>
    </w:rPr>
  </w:style>
  <w:style w:type="paragraph" w:styleId="ListNumber2">
    <w:name w:val="List Number 2"/>
    <w:basedOn w:val="Normal"/>
    <w:uiPriority w:val="99"/>
    <w:unhideWhenUsed/>
    <w:rsid w:val="0073661B"/>
    <w:pPr>
      <w:numPr>
        <w:numId w:val="33"/>
      </w:numPr>
      <w:spacing w:before="0" w:after="200" w:line="276" w:lineRule="auto"/>
      <w:contextualSpacing/>
    </w:pPr>
    <w:rPr>
      <w:rFonts w:asciiTheme="minorHAnsi" w:eastAsiaTheme="minorHAnsi" w:hAnsiTheme="minorHAnsi" w:cstheme="minorBidi"/>
    </w:rPr>
  </w:style>
  <w:style w:type="paragraph" w:customStyle="1" w:styleId="Tabletitle0">
    <w:name w:val="Table title"/>
    <w:basedOn w:val="Normal"/>
    <w:next w:val="Normal"/>
    <w:rsid w:val="00E74A4F"/>
    <w:pPr>
      <w:keepNext/>
      <w:spacing w:after="180"/>
      <w:outlineLvl w:val="4"/>
    </w:pPr>
    <w:rPr>
      <w:b/>
    </w:rPr>
  </w:style>
  <w:style w:type="paragraph" w:styleId="DocumentMap">
    <w:name w:val="Document Map"/>
    <w:basedOn w:val="Normal"/>
    <w:link w:val="DocumentMapChar"/>
    <w:uiPriority w:val="99"/>
    <w:semiHidden/>
    <w:unhideWhenUsed/>
    <w:rsid w:val="00B1353B"/>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B1353B"/>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94801">
      <w:bodyDiv w:val="1"/>
      <w:marLeft w:val="0"/>
      <w:marRight w:val="0"/>
      <w:marTop w:val="0"/>
      <w:marBottom w:val="0"/>
      <w:divBdr>
        <w:top w:val="none" w:sz="0" w:space="0" w:color="auto"/>
        <w:left w:val="none" w:sz="0" w:space="0" w:color="auto"/>
        <w:bottom w:val="none" w:sz="0" w:space="0" w:color="auto"/>
        <w:right w:val="none" w:sz="0" w:space="0" w:color="auto"/>
      </w:divBdr>
    </w:div>
    <w:div w:id="112554748">
      <w:bodyDiv w:val="1"/>
      <w:marLeft w:val="0"/>
      <w:marRight w:val="0"/>
      <w:marTop w:val="0"/>
      <w:marBottom w:val="0"/>
      <w:divBdr>
        <w:top w:val="none" w:sz="0" w:space="0" w:color="auto"/>
        <w:left w:val="none" w:sz="0" w:space="0" w:color="auto"/>
        <w:bottom w:val="none" w:sz="0" w:space="0" w:color="auto"/>
        <w:right w:val="none" w:sz="0" w:space="0" w:color="auto"/>
      </w:divBdr>
    </w:div>
    <w:div w:id="115416720">
      <w:bodyDiv w:val="1"/>
      <w:marLeft w:val="0"/>
      <w:marRight w:val="0"/>
      <w:marTop w:val="0"/>
      <w:marBottom w:val="0"/>
      <w:divBdr>
        <w:top w:val="none" w:sz="0" w:space="0" w:color="auto"/>
        <w:left w:val="none" w:sz="0" w:space="0" w:color="auto"/>
        <w:bottom w:val="none" w:sz="0" w:space="0" w:color="auto"/>
        <w:right w:val="none" w:sz="0" w:space="0" w:color="auto"/>
      </w:divBdr>
    </w:div>
    <w:div w:id="131413044">
      <w:bodyDiv w:val="1"/>
      <w:marLeft w:val="0"/>
      <w:marRight w:val="0"/>
      <w:marTop w:val="0"/>
      <w:marBottom w:val="0"/>
      <w:divBdr>
        <w:top w:val="none" w:sz="0" w:space="0" w:color="auto"/>
        <w:left w:val="none" w:sz="0" w:space="0" w:color="auto"/>
        <w:bottom w:val="none" w:sz="0" w:space="0" w:color="auto"/>
        <w:right w:val="none" w:sz="0" w:space="0" w:color="auto"/>
      </w:divBdr>
    </w:div>
    <w:div w:id="140192028">
      <w:bodyDiv w:val="1"/>
      <w:marLeft w:val="0"/>
      <w:marRight w:val="0"/>
      <w:marTop w:val="0"/>
      <w:marBottom w:val="0"/>
      <w:divBdr>
        <w:top w:val="none" w:sz="0" w:space="0" w:color="auto"/>
        <w:left w:val="none" w:sz="0" w:space="0" w:color="auto"/>
        <w:bottom w:val="none" w:sz="0" w:space="0" w:color="auto"/>
        <w:right w:val="none" w:sz="0" w:space="0" w:color="auto"/>
      </w:divBdr>
    </w:div>
    <w:div w:id="218782845">
      <w:bodyDiv w:val="1"/>
      <w:marLeft w:val="0"/>
      <w:marRight w:val="0"/>
      <w:marTop w:val="0"/>
      <w:marBottom w:val="0"/>
      <w:divBdr>
        <w:top w:val="none" w:sz="0" w:space="0" w:color="auto"/>
        <w:left w:val="none" w:sz="0" w:space="0" w:color="auto"/>
        <w:bottom w:val="none" w:sz="0" w:space="0" w:color="auto"/>
        <w:right w:val="none" w:sz="0" w:space="0" w:color="auto"/>
      </w:divBdr>
    </w:div>
    <w:div w:id="308436837">
      <w:bodyDiv w:val="1"/>
      <w:marLeft w:val="0"/>
      <w:marRight w:val="0"/>
      <w:marTop w:val="0"/>
      <w:marBottom w:val="0"/>
      <w:divBdr>
        <w:top w:val="none" w:sz="0" w:space="0" w:color="auto"/>
        <w:left w:val="none" w:sz="0" w:space="0" w:color="auto"/>
        <w:bottom w:val="none" w:sz="0" w:space="0" w:color="auto"/>
        <w:right w:val="none" w:sz="0" w:space="0" w:color="auto"/>
      </w:divBdr>
    </w:div>
    <w:div w:id="344938296">
      <w:bodyDiv w:val="1"/>
      <w:marLeft w:val="0"/>
      <w:marRight w:val="0"/>
      <w:marTop w:val="0"/>
      <w:marBottom w:val="0"/>
      <w:divBdr>
        <w:top w:val="none" w:sz="0" w:space="0" w:color="auto"/>
        <w:left w:val="none" w:sz="0" w:space="0" w:color="auto"/>
        <w:bottom w:val="none" w:sz="0" w:space="0" w:color="auto"/>
        <w:right w:val="none" w:sz="0" w:space="0" w:color="auto"/>
      </w:divBdr>
    </w:div>
    <w:div w:id="350106305">
      <w:bodyDiv w:val="1"/>
      <w:marLeft w:val="0"/>
      <w:marRight w:val="0"/>
      <w:marTop w:val="0"/>
      <w:marBottom w:val="0"/>
      <w:divBdr>
        <w:top w:val="none" w:sz="0" w:space="0" w:color="auto"/>
        <w:left w:val="none" w:sz="0" w:space="0" w:color="auto"/>
        <w:bottom w:val="none" w:sz="0" w:space="0" w:color="auto"/>
        <w:right w:val="none" w:sz="0" w:space="0" w:color="auto"/>
      </w:divBdr>
    </w:div>
    <w:div w:id="352417051">
      <w:bodyDiv w:val="1"/>
      <w:marLeft w:val="0"/>
      <w:marRight w:val="0"/>
      <w:marTop w:val="0"/>
      <w:marBottom w:val="0"/>
      <w:divBdr>
        <w:top w:val="none" w:sz="0" w:space="0" w:color="auto"/>
        <w:left w:val="none" w:sz="0" w:space="0" w:color="auto"/>
        <w:bottom w:val="none" w:sz="0" w:space="0" w:color="auto"/>
        <w:right w:val="none" w:sz="0" w:space="0" w:color="auto"/>
      </w:divBdr>
    </w:div>
    <w:div w:id="352997565">
      <w:bodyDiv w:val="1"/>
      <w:marLeft w:val="0"/>
      <w:marRight w:val="0"/>
      <w:marTop w:val="0"/>
      <w:marBottom w:val="0"/>
      <w:divBdr>
        <w:top w:val="none" w:sz="0" w:space="0" w:color="auto"/>
        <w:left w:val="none" w:sz="0" w:space="0" w:color="auto"/>
        <w:bottom w:val="none" w:sz="0" w:space="0" w:color="auto"/>
        <w:right w:val="none" w:sz="0" w:space="0" w:color="auto"/>
      </w:divBdr>
    </w:div>
    <w:div w:id="372118549">
      <w:bodyDiv w:val="1"/>
      <w:marLeft w:val="0"/>
      <w:marRight w:val="0"/>
      <w:marTop w:val="0"/>
      <w:marBottom w:val="0"/>
      <w:divBdr>
        <w:top w:val="none" w:sz="0" w:space="0" w:color="auto"/>
        <w:left w:val="none" w:sz="0" w:space="0" w:color="auto"/>
        <w:bottom w:val="none" w:sz="0" w:space="0" w:color="auto"/>
        <w:right w:val="none" w:sz="0" w:space="0" w:color="auto"/>
      </w:divBdr>
    </w:div>
    <w:div w:id="465125346">
      <w:bodyDiv w:val="1"/>
      <w:marLeft w:val="0"/>
      <w:marRight w:val="0"/>
      <w:marTop w:val="0"/>
      <w:marBottom w:val="0"/>
      <w:divBdr>
        <w:top w:val="none" w:sz="0" w:space="0" w:color="auto"/>
        <w:left w:val="none" w:sz="0" w:space="0" w:color="auto"/>
        <w:bottom w:val="none" w:sz="0" w:space="0" w:color="auto"/>
        <w:right w:val="none" w:sz="0" w:space="0" w:color="auto"/>
      </w:divBdr>
    </w:div>
    <w:div w:id="482897399">
      <w:bodyDiv w:val="1"/>
      <w:marLeft w:val="0"/>
      <w:marRight w:val="0"/>
      <w:marTop w:val="0"/>
      <w:marBottom w:val="0"/>
      <w:divBdr>
        <w:top w:val="none" w:sz="0" w:space="0" w:color="auto"/>
        <w:left w:val="none" w:sz="0" w:space="0" w:color="auto"/>
        <w:bottom w:val="none" w:sz="0" w:space="0" w:color="auto"/>
        <w:right w:val="none" w:sz="0" w:space="0" w:color="auto"/>
      </w:divBdr>
    </w:div>
    <w:div w:id="843785673">
      <w:bodyDiv w:val="1"/>
      <w:marLeft w:val="0"/>
      <w:marRight w:val="0"/>
      <w:marTop w:val="0"/>
      <w:marBottom w:val="0"/>
      <w:divBdr>
        <w:top w:val="none" w:sz="0" w:space="0" w:color="auto"/>
        <w:left w:val="none" w:sz="0" w:space="0" w:color="auto"/>
        <w:bottom w:val="none" w:sz="0" w:space="0" w:color="auto"/>
        <w:right w:val="none" w:sz="0" w:space="0" w:color="auto"/>
      </w:divBdr>
    </w:div>
    <w:div w:id="912549418">
      <w:bodyDiv w:val="1"/>
      <w:marLeft w:val="0"/>
      <w:marRight w:val="0"/>
      <w:marTop w:val="0"/>
      <w:marBottom w:val="0"/>
      <w:divBdr>
        <w:top w:val="none" w:sz="0" w:space="0" w:color="auto"/>
        <w:left w:val="none" w:sz="0" w:space="0" w:color="auto"/>
        <w:bottom w:val="none" w:sz="0" w:space="0" w:color="auto"/>
        <w:right w:val="none" w:sz="0" w:space="0" w:color="auto"/>
      </w:divBdr>
    </w:div>
    <w:div w:id="915701089">
      <w:bodyDiv w:val="1"/>
      <w:marLeft w:val="0"/>
      <w:marRight w:val="0"/>
      <w:marTop w:val="0"/>
      <w:marBottom w:val="0"/>
      <w:divBdr>
        <w:top w:val="none" w:sz="0" w:space="0" w:color="auto"/>
        <w:left w:val="none" w:sz="0" w:space="0" w:color="auto"/>
        <w:bottom w:val="none" w:sz="0" w:space="0" w:color="auto"/>
        <w:right w:val="none" w:sz="0" w:space="0" w:color="auto"/>
      </w:divBdr>
    </w:div>
    <w:div w:id="1014841621">
      <w:bodyDiv w:val="1"/>
      <w:marLeft w:val="0"/>
      <w:marRight w:val="0"/>
      <w:marTop w:val="0"/>
      <w:marBottom w:val="0"/>
      <w:divBdr>
        <w:top w:val="none" w:sz="0" w:space="0" w:color="auto"/>
        <w:left w:val="none" w:sz="0" w:space="0" w:color="auto"/>
        <w:bottom w:val="none" w:sz="0" w:space="0" w:color="auto"/>
        <w:right w:val="none" w:sz="0" w:space="0" w:color="auto"/>
      </w:divBdr>
    </w:div>
    <w:div w:id="1063482117">
      <w:bodyDiv w:val="1"/>
      <w:marLeft w:val="0"/>
      <w:marRight w:val="0"/>
      <w:marTop w:val="0"/>
      <w:marBottom w:val="0"/>
      <w:divBdr>
        <w:top w:val="none" w:sz="0" w:space="0" w:color="auto"/>
        <w:left w:val="none" w:sz="0" w:space="0" w:color="auto"/>
        <w:bottom w:val="none" w:sz="0" w:space="0" w:color="auto"/>
        <w:right w:val="none" w:sz="0" w:space="0" w:color="auto"/>
      </w:divBdr>
    </w:div>
    <w:div w:id="1074930023">
      <w:bodyDiv w:val="1"/>
      <w:marLeft w:val="0"/>
      <w:marRight w:val="0"/>
      <w:marTop w:val="0"/>
      <w:marBottom w:val="0"/>
      <w:divBdr>
        <w:top w:val="none" w:sz="0" w:space="0" w:color="auto"/>
        <w:left w:val="none" w:sz="0" w:space="0" w:color="auto"/>
        <w:bottom w:val="none" w:sz="0" w:space="0" w:color="auto"/>
        <w:right w:val="none" w:sz="0" w:space="0" w:color="auto"/>
      </w:divBdr>
    </w:div>
    <w:div w:id="1181315630">
      <w:bodyDiv w:val="1"/>
      <w:marLeft w:val="0"/>
      <w:marRight w:val="0"/>
      <w:marTop w:val="0"/>
      <w:marBottom w:val="0"/>
      <w:divBdr>
        <w:top w:val="none" w:sz="0" w:space="0" w:color="auto"/>
        <w:left w:val="none" w:sz="0" w:space="0" w:color="auto"/>
        <w:bottom w:val="none" w:sz="0" w:space="0" w:color="auto"/>
        <w:right w:val="none" w:sz="0" w:space="0" w:color="auto"/>
      </w:divBdr>
    </w:div>
    <w:div w:id="1202016640">
      <w:bodyDiv w:val="1"/>
      <w:marLeft w:val="0"/>
      <w:marRight w:val="0"/>
      <w:marTop w:val="0"/>
      <w:marBottom w:val="0"/>
      <w:divBdr>
        <w:top w:val="none" w:sz="0" w:space="0" w:color="auto"/>
        <w:left w:val="none" w:sz="0" w:space="0" w:color="auto"/>
        <w:bottom w:val="none" w:sz="0" w:space="0" w:color="auto"/>
        <w:right w:val="none" w:sz="0" w:space="0" w:color="auto"/>
      </w:divBdr>
    </w:div>
    <w:div w:id="1308587324">
      <w:bodyDiv w:val="1"/>
      <w:marLeft w:val="0"/>
      <w:marRight w:val="0"/>
      <w:marTop w:val="0"/>
      <w:marBottom w:val="0"/>
      <w:divBdr>
        <w:top w:val="none" w:sz="0" w:space="0" w:color="auto"/>
        <w:left w:val="none" w:sz="0" w:space="0" w:color="auto"/>
        <w:bottom w:val="none" w:sz="0" w:space="0" w:color="auto"/>
        <w:right w:val="none" w:sz="0" w:space="0" w:color="auto"/>
      </w:divBdr>
    </w:div>
    <w:div w:id="1308825516">
      <w:bodyDiv w:val="1"/>
      <w:marLeft w:val="0"/>
      <w:marRight w:val="0"/>
      <w:marTop w:val="0"/>
      <w:marBottom w:val="0"/>
      <w:divBdr>
        <w:top w:val="none" w:sz="0" w:space="0" w:color="auto"/>
        <w:left w:val="none" w:sz="0" w:space="0" w:color="auto"/>
        <w:bottom w:val="none" w:sz="0" w:space="0" w:color="auto"/>
        <w:right w:val="none" w:sz="0" w:space="0" w:color="auto"/>
      </w:divBdr>
    </w:div>
    <w:div w:id="1320840185">
      <w:bodyDiv w:val="1"/>
      <w:marLeft w:val="0"/>
      <w:marRight w:val="0"/>
      <w:marTop w:val="0"/>
      <w:marBottom w:val="0"/>
      <w:divBdr>
        <w:top w:val="none" w:sz="0" w:space="0" w:color="auto"/>
        <w:left w:val="none" w:sz="0" w:space="0" w:color="auto"/>
        <w:bottom w:val="none" w:sz="0" w:space="0" w:color="auto"/>
        <w:right w:val="none" w:sz="0" w:space="0" w:color="auto"/>
      </w:divBdr>
    </w:div>
    <w:div w:id="1439368823">
      <w:bodyDiv w:val="1"/>
      <w:marLeft w:val="0"/>
      <w:marRight w:val="0"/>
      <w:marTop w:val="0"/>
      <w:marBottom w:val="0"/>
      <w:divBdr>
        <w:top w:val="none" w:sz="0" w:space="0" w:color="auto"/>
        <w:left w:val="none" w:sz="0" w:space="0" w:color="auto"/>
        <w:bottom w:val="none" w:sz="0" w:space="0" w:color="auto"/>
        <w:right w:val="none" w:sz="0" w:space="0" w:color="auto"/>
      </w:divBdr>
    </w:div>
    <w:div w:id="1457718180">
      <w:bodyDiv w:val="1"/>
      <w:marLeft w:val="0"/>
      <w:marRight w:val="0"/>
      <w:marTop w:val="0"/>
      <w:marBottom w:val="0"/>
      <w:divBdr>
        <w:top w:val="none" w:sz="0" w:space="0" w:color="auto"/>
        <w:left w:val="none" w:sz="0" w:space="0" w:color="auto"/>
        <w:bottom w:val="none" w:sz="0" w:space="0" w:color="auto"/>
        <w:right w:val="none" w:sz="0" w:space="0" w:color="auto"/>
      </w:divBdr>
    </w:div>
    <w:div w:id="1494181257">
      <w:bodyDiv w:val="1"/>
      <w:marLeft w:val="0"/>
      <w:marRight w:val="0"/>
      <w:marTop w:val="0"/>
      <w:marBottom w:val="0"/>
      <w:divBdr>
        <w:top w:val="none" w:sz="0" w:space="0" w:color="auto"/>
        <w:left w:val="none" w:sz="0" w:space="0" w:color="auto"/>
        <w:bottom w:val="none" w:sz="0" w:space="0" w:color="auto"/>
        <w:right w:val="none" w:sz="0" w:space="0" w:color="auto"/>
      </w:divBdr>
    </w:div>
    <w:div w:id="1498886377">
      <w:bodyDiv w:val="1"/>
      <w:marLeft w:val="0"/>
      <w:marRight w:val="0"/>
      <w:marTop w:val="0"/>
      <w:marBottom w:val="0"/>
      <w:divBdr>
        <w:top w:val="none" w:sz="0" w:space="0" w:color="auto"/>
        <w:left w:val="none" w:sz="0" w:space="0" w:color="auto"/>
        <w:bottom w:val="none" w:sz="0" w:space="0" w:color="auto"/>
        <w:right w:val="none" w:sz="0" w:space="0" w:color="auto"/>
      </w:divBdr>
    </w:div>
    <w:div w:id="1516840496">
      <w:bodyDiv w:val="1"/>
      <w:marLeft w:val="0"/>
      <w:marRight w:val="0"/>
      <w:marTop w:val="0"/>
      <w:marBottom w:val="0"/>
      <w:divBdr>
        <w:top w:val="none" w:sz="0" w:space="0" w:color="auto"/>
        <w:left w:val="none" w:sz="0" w:space="0" w:color="auto"/>
        <w:bottom w:val="none" w:sz="0" w:space="0" w:color="auto"/>
        <w:right w:val="none" w:sz="0" w:space="0" w:color="auto"/>
      </w:divBdr>
    </w:div>
    <w:div w:id="1517231228">
      <w:bodyDiv w:val="1"/>
      <w:marLeft w:val="0"/>
      <w:marRight w:val="0"/>
      <w:marTop w:val="0"/>
      <w:marBottom w:val="0"/>
      <w:divBdr>
        <w:top w:val="none" w:sz="0" w:space="0" w:color="auto"/>
        <w:left w:val="none" w:sz="0" w:space="0" w:color="auto"/>
        <w:bottom w:val="none" w:sz="0" w:space="0" w:color="auto"/>
        <w:right w:val="none" w:sz="0" w:space="0" w:color="auto"/>
      </w:divBdr>
    </w:div>
    <w:div w:id="1599411134">
      <w:bodyDiv w:val="1"/>
      <w:marLeft w:val="0"/>
      <w:marRight w:val="0"/>
      <w:marTop w:val="0"/>
      <w:marBottom w:val="0"/>
      <w:divBdr>
        <w:top w:val="none" w:sz="0" w:space="0" w:color="auto"/>
        <w:left w:val="none" w:sz="0" w:space="0" w:color="auto"/>
        <w:bottom w:val="none" w:sz="0" w:space="0" w:color="auto"/>
        <w:right w:val="none" w:sz="0" w:space="0" w:color="auto"/>
      </w:divBdr>
    </w:div>
    <w:div w:id="1622571921">
      <w:bodyDiv w:val="1"/>
      <w:marLeft w:val="0"/>
      <w:marRight w:val="0"/>
      <w:marTop w:val="0"/>
      <w:marBottom w:val="0"/>
      <w:divBdr>
        <w:top w:val="none" w:sz="0" w:space="0" w:color="auto"/>
        <w:left w:val="none" w:sz="0" w:space="0" w:color="auto"/>
        <w:bottom w:val="none" w:sz="0" w:space="0" w:color="auto"/>
        <w:right w:val="none" w:sz="0" w:space="0" w:color="auto"/>
      </w:divBdr>
    </w:div>
    <w:div w:id="1652368871">
      <w:bodyDiv w:val="1"/>
      <w:marLeft w:val="0"/>
      <w:marRight w:val="0"/>
      <w:marTop w:val="0"/>
      <w:marBottom w:val="0"/>
      <w:divBdr>
        <w:top w:val="none" w:sz="0" w:space="0" w:color="auto"/>
        <w:left w:val="none" w:sz="0" w:space="0" w:color="auto"/>
        <w:bottom w:val="none" w:sz="0" w:space="0" w:color="auto"/>
        <w:right w:val="none" w:sz="0" w:space="0" w:color="auto"/>
      </w:divBdr>
    </w:div>
    <w:div w:id="1710686961">
      <w:bodyDiv w:val="1"/>
      <w:marLeft w:val="0"/>
      <w:marRight w:val="0"/>
      <w:marTop w:val="0"/>
      <w:marBottom w:val="0"/>
      <w:divBdr>
        <w:top w:val="none" w:sz="0" w:space="0" w:color="auto"/>
        <w:left w:val="none" w:sz="0" w:space="0" w:color="auto"/>
        <w:bottom w:val="none" w:sz="0" w:space="0" w:color="auto"/>
        <w:right w:val="none" w:sz="0" w:space="0" w:color="auto"/>
      </w:divBdr>
    </w:div>
    <w:div w:id="1730154852">
      <w:bodyDiv w:val="1"/>
      <w:marLeft w:val="0"/>
      <w:marRight w:val="0"/>
      <w:marTop w:val="0"/>
      <w:marBottom w:val="0"/>
      <w:divBdr>
        <w:top w:val="none" w:sz="0" w:space="0" w:color="auto"/>
        <w:left w:val="none" w:sz="0" w:space="0" w:color="auto"/>
        <w:bottom w:val="none" w:sz="0" w:space="0" w:color="auto"/>
        <w:right w:val="none" w:sz="0" w:space="0" w:color="auto"/>
      </w:divBdr>
    </w:div>
    <w:div w:id="1800295409">
      <w:bodyDiv w:val="1"/>
      <w:marLeft w:val="0"/>
      <w:marRight w:val="0"/>
      <w:marTop w:val="0"/>
      <w:marBottom w:val="0"/>
      <w:divBdr>
        <w:top w:val="none" w:sz="0" w:space="0" w:color="auto"/>
        <w:left w:val="none" w:sz="0" w:space="0" w:color="auto"/>
        <w:bottom w:val="none" w:sz="0" w:space="0" w:color="auto"/>
        <w:right w:val="none" w:sz="0" w:space="0" w:color="auto"/>
      </w:divBdr>
    </w:div>
    <w:div w:id="1804620519">
      <w:bodyDiv w:val="1"/>
      <w:marLeft w:val="0"/>
      <w:marRight w:val="0"/>
      <w:marTop w:val="0"/>
      <w:marBottom w:val="0"/>
      <w:divBdr>
        <w:top w:val="none" w:sz="0" w:space="0" w:color="auto"/>
        <w:left w:val="none" w:sz="0" w:space="0" w:color="auto"/>
        <w:bottom w:val="none" w:sz="0" w:space="0" w:color="auto"/>
        <w:right w:val="none" w:sz="0" w:space="0" w:color="auto"/>
      </w:divBdr>
    </w:div>
    <w:div w:id="1830823575">
      <w:bodyDiv w:val="1"/>
      <w:marLeft w:val="0"/>
      <w:marRight w:val="0"/>
      <w:marTop w:val="0"/>
      <w:marBottom w:val="0"/>
      <w:divBdr>
        <w:top w:val="none" w:sz="0" w:space="0" w:color="auto"/>
        <w:left w:val="none" w:sz="0" w:space="0" w:color="auto"/>
        <w:bottom w:val="none" w:sz="0" w:space="0" w:color="auto"/>
        <w:right w:val="none" w:sz="0" w:space="0" w:color="auto"/>
      </w:divBdr>
    </w:div>
    <w:div w:id="1858078371">
      <w:bodyDiv w:val="1"/>
      <w:marLeft w:val="0"/>
      <w:marRight w:val="0"/>
      <w:marTop w:val="0"/>
      <w:marBottom w:val="0"/>
      <w:divBdr>
        <w:top w:val="none" w:sz="0" w:space="0" w:color="auto"/>
        <w:left w:val="none" w:sz="0" w:space="0" w:color="auto"/>
        <w:bottom w:val="none" w:sz="0" w:space="0" w:color="auto"/>
        <w:right w:val="none" w:sz="0" w:space="0" w:color="auto"/>
      </w:divBdr>
    </w:div>
    <w:div w:id="1905603554">
      <w:bodyDiv w:val="1"/>
      <w:marLeft w:val="0"/>
      <w:marRight w:val="0"/>
      <w:marTop w:val="0"/>
      <w:marBottom w:val="0"/>
      <w:divBdr>
        <w:top w:val="none" w:sz="0" w:space="0" w:color="auto"/>
        <w:left w:val="none" w:sz="0" w:space="0" w:color="auto"/>
        <w:bottom w:val="none" w:sz="0" w:space="0" w:color="auto"/>
        <w:right w:val="none" w:sz="0" w:space="0" w:color="auto"/>
      </w:divBdr>
    </w:div>
    <w:div w:id="1908415685">
      <w:bodyDiv w:val="1"/>
      <w:marLeft w:val="0"/>
      <w:marRight w:val="0"/>
      <w:marTop w:val="0"/>
      <w:marBottom w:val="0"/>
      <w:divBdr>
        <w:top w:val="none" w:sz="0" w:space="0" w:color="auto"/>
        <w:left w:val="none" w:sz="0" w:space="0" w:color="auto"/>
        <w:bottom w:val="none" w:sz="0" w:space="0" w:color="auto"/>
        <w:right w:val="none" w:sz="0" w:space="0" w:color="auto"/>
      </w:divBdr>
    </w:div>
    <w:div w:id="1915892742">
      <w:bodyDiv w:val="1"/>
      <w:marLeft w:val="0"/>
      <w:marRight w:val="0"/>
      <w:marTop w:val="0"/>
      <w:marBottom w:val="0"/>
      <w:divBdr>
        <w:top w:val="none" w:sz="0" w:space="0" w:color="auto"/>
        <w:left w:val="none" w:sz="0" w:space="0" w:color="auto"/>
        <w:bottom w:val="none" w:sz="0" w:space="0" w:color="auto"/>
        <w:right w:val="none" w:sz="0" w:space="0" w:color="auto"/>
      </w:divBdr>
    </w:div>
    <w:div w:id="2032678236">
      <w:bodyDiv w:val="1"/>
      <w:marLeft w:val="0"/>
      <w:marRight w:val="0"/>
      <w:marTop w:val="0"/>
      <w:marBottom w:val="0"/>
      <w:divBdr>
        <w:top w:val="none" w:sz="0" w:space="0" w:color="auto"/>
        <w:left w:val="none" w:sz="0" w:space="0" w:color="auto"/>
        <w:bottom w:val="none" w:sz="0" w:space="0" w:color="auto"/>
        <w:right w:val="none" w:sz="0" w:space="0" w:color="auto"/>
      </w:divBdr>
    </w:div>
    <w:div w:id="2085447219">
      <w:bodyDiv w:val="1"/>
      <w:marLeft w:val="0"/>
      <w:marRight w:val="0"/>
      <w:marTop w:val="0"/>
      <w:marBottom w:val="0"/>
      <w:divBdr>
        <w:top w:val="none" w:sz="0" w:space="0" w:color="auto"/>
        <w:left w:val="none" w:sz="0" w:space="0" w:color="auto"/>
        <w:bottom w:val="none" w:sz="0" w:space="0" w:color="auto"/>
        <w:right w:val="none" w:sz="0" w:space="0" w:color="auto"/>
      </w:divBdr>
    </w:div>
    <w:div w:id="212573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hyperlink" Target="https://www.tga.gov.au"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info@tga.gov.a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hyperlink" Target="https://www.tga.gov.au/product-information-pi"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432\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1B2F5-F740-42ED-8EDE-1CBF68AE0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template.DOTX</Template>
  <TotalTime>29</TotalTime>
  <Pages>50</Pages>
  <Words>17934</Words>
  <Characters>102229</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Company>
  <LinksUpToDate>false</LinksUpToDate>
  <CharactersWithSpaces>119924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Adalimumab</dc:title>
  <dc:subject>prescription medicines</dc:subject>
  <dc:creator>Therapeutic Goods Administration</dc:creator>
  <cp:keywords>AusPARs</cp:keywords>
  <cp:lastModifiedBy>SHEPPARD, Fran</cp:lastModifiedBy>
  <cp:revision>13</cp:revision>
  <cp:lastPrinted>2015-09-22T23:39:00Z</cp:lastPrinted>
  <dcterms:created xsi:type="dcterms:W3CDTF">2018-06-25T02:11:00Z</dcterms:created>
  <dcterms:modified xsi:type="dcterms:W3CDTF">2018-07-13T01:29:00Z</dcterms:modified>
</cp:coreProperties>
</file>