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tblGrid>
      <w:tr w:rsidR="008E7846" w:rsidRPr="00487162" w:rsidTr="00BF1190">
        <w:trPr>
          <w:trHeight w:val="1863"/>
        </w:trPr>
        <w:tc>
          <w:tcPr>
            <w:tcW w:w="3652" w:type="dxa"/>
            <w:tcBorders>
              <w:top w:val="nil"/>
              <w:left w:val="nil"/>
              <w:bottom w:val="nil"/>
              <w:right w:val="nil"/>
            </w:tcBorders>
          </w:tcPr>
          <w:p w:rsidR="008E7846" w:rsidRPr="00096AA7" w:rsidRDefault="009E3D47" w:rsidP="00D51439">
            <w:pPr>
              <w:rPr>
                <w:rFonts w:ascii="Arial" w:hAnsi="Arial" w:cs="Arial"/>
                <w:b/>
                <w:color w:val="002C47"/>
                <w:sz w:val="36"/>
                <w:szCs w:val="36"/>
              </w:rPr>
            </w:pPr>
            <w:r>
              <w:rPr>
                <w:rFonts w:ascii="Arial" w:hAnsi="Arial" w:cs="Arial"/>
                <w:b/>
                <w:color w:val="002C47"/>
                <w:sz w:val="36"/>
                <w:szCs w:val="36"/>
              </w:rPr>
              <w:t xml:space="preserve">March </w:t>
            </w:r>
            <w:r w:rsidR="00D51439">
              <w:rPr>
                <w:rFonts w:ascii="Arial" w:hAnsi="Arial" w:cs="Arial"/>
                <w:b/>
                <w:color w:val="002C47"/>
                <w:sz w:val="36"/>
                <w:szCs w:val="36"/>
              </w:rPr>
              <w:t>2017</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rsidTr="0032583B">
        <w:trPr>
          <w:trHeight w:val="868"/>
        </w:trPr>
        <w:tc>
          <w:tcPr>
            <w:tcW w:w="9079" w:type="dxa"/>
          </w:tcPr>
          <w:p w:rsidR="0032583B" w:rsidRPr="00A964D1" w:rsidRDefault="0032583B" w:rsidP="00D51439">
            <w:pPr>
              <w:pStyle w:val="Title"/>
              <w:rPr>
                <w:color w:val="FFFFFF" w:themeColor="background1"/>
              </w:rPr>
            </w:pPr>
            <w:r w:rsidRPr="00A964D1">
              <w:rPr>
                <w:color w:val="FFFFFF" w:themeColor="background1"/>
              </w:rPr>
              <w:t xml:space="preserve">Australian Public Assessment Report for </w:t>
            </w:r>
            <w:r w:rsidR="00D51439" w:rsidRPr="00D51439">
              <w:rPr>
                <w:color w:val="FFFFFF" w:themeColor="background1"/>
              </w:rPr>
              <w:t>Adalimumab</w:t>
            </w:r>
          </w:p>
        </w:tc>
      </w:tr>
      <w:tr w:rsidR="0032583B" w:rsidRPr="00B64760" w:rsidTr="0032583B">
        <w:tc>
          <w:tcPr>
            <w:tcW w:w="9079" w:type="dxa"/>
          </w:tcPr>
          <w:p w:rsidR="0032583B" w:rsidRPr="008E7846" w:rsidRDefault="0032583B" w:rsidP="00D51439">
            <w:pPr>
              <w:pStyle w:val="Subtitle"/>
              <w:rPr>
                <w:color w:val="FFFFFF" w:themeColor="background1"/>
              </w:rPr>
            </w:pPr>
            <w:r w:rsidRPr="008E7846">
              <w:rPr>
                <w:color w:val="FFFFFF" w:themeColor="background1"/>
              </w:rPr>
              <w:t xml:space="preserve">Proprietary Product Name: </w:t>
            </w:r>
            <w:r w:rsidR="00D51439">
              <w:rPr>
                <w:color w:val="FFFFFF" w:themeColor="background1"/>
              </w:rPr>
              <w:t>Humira</w:t>
            </w:r>
          </w:p>
        </w:tc>
      </w:tr>
      <w:tr w:rsidR="0032583B" w:rsidRPr="00B64760" w:rsidTr="0032583B">
        <w:trPr>
          <w:trHeight w:val="486"/>
        </w:trPr>
        <w:tc>
          <w:tcPr>
            <w:tcW w:w="9079" w:type="dxa"/>
          </w:tcPr>
          <w:p w:rsidR="0032583B" w:rsidRPr="008E7846" w:rsidRDefault="0032583B" w:rsidP="0032583B">
            <w:pPr>
              <w:pStyle w:val="Subtitle"/>
              <w:rPr>
                <w:color w:val="FFFFFF" w:themeColor="background1"/>
              </w:rPr>
            </w:pPr>
            <w:r w:rsidRPr="008E7846">
              <w:rPr>
                <w:color w:val="FFFFFF" w:themeColor="background1"/>
              </w:rPr>
              <w:t>Sponsor:</w:t>
            </w:r>
            <w:r w:rsidR="00184B82">
              <w:rPr>
                <w:color w:val="FFFFFF" w:themeColor="background1"/>
              </w:rPr>
              <w:t xml:space="preserve"> </w:t>
            </w:r>
            <w:r w:rsidR="00D51439" w:rsidRPr="00D51439">
              <w:rPr>
                <w:color w:val="FFFFFF" w:themeColor="background1"/>
              </w:rPr>
              <w:t>Abb</w:t>
            </w:r>
            <w:r w:rsidR="003B61A0">
              <w:rPr>
                <w:color w:val="FFFFFF" w:themeColor="background1"/>
              </w:rPr>
              <w:t>V</w:t>
            </w:r>
            <w:r w:rsidR="00D51439" w:rsidRPr="00D51439">
              <w:rPr>
                <w:color w:val="FFFFFF" w:themeColor="background1"/>
              </w:rPr>
              <w:t>ie Pty Ltd</w:t>
            </w:r>
            <w:r w:rsidR="00184B82">
              <w:rPr>
                <w:color w:val="FFFFFF" w:themeColor="background1"/>
              </w:rPr>
              <w:t xml:space="preserve"> </w:t>
            </w:r>
          </w:p>
        </w:tc>
      </w:tr>
    </w:tbl>
    <w:p w:rsidR="008E7846" w:rsidRPr="0085156D" w:rsidRDefault="008E7846" w:rsidP="0085156D">
      <w:r w:rsidRPr="0085156D">
        <w:br w:type="page"/>
      </w:r>
    </w:p>
    <w:p w:rsidR="008E7846" w:rsidRPr="001F6CBA" w:rsidRDefault="008E7846" w:rsidP="008E7846">
      <w:pPr>
        <w:pStyle w:val="NonTOCHeading2"/>
      </w:pPr>
      <w:r w:rsidRPr="001F6CBA">
        <w:lastRenderedPageBreak/>
        <w:t>About the Therapeutic Goods Administration (TGA)</w:t>
      </w:r>
    </w:p>
    <w:p w:rsidR="008E7846" w:rsidRDefault="008E7846" w:rsidP="009322BC">
      <w:pPr>
        <w:pStyle w:val="ListBullet"/>
        <w:numPr>
          <w:ilvl w:val="0"/>
          <w:numId w:val="1"/>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rsidR="008E7846" w:rsidRDefault="00C80137" w:rsidP="009322BC">
      <w:pPr>
        <w:pStyle w:val="ListBullet"/>
        <w:numPr>
          <w:ilvl w:val="0"/>
          <w:numId w:val="1"/>
        </w:numPr>
        <w:ind w:left="357" w:hanging="357"/>
      </w:pPr>
      <w:r>
        <w:t xml:space="preserve">The </w:t>
      </w:r>
      <w:r w:rsidR="008E7846">
        <w:t xml:space="preserve">TGA administers the </w:t>
      </w:r>
      <w:r w:rsidR="008E7846" w:rsidRPr="00F640B6">
        <w:rPr>
          <w:i/>
        </w:rPr>
        <w:t>Therapeutic Goods Act 1989</w:t>
      </w:r>
      <w:r w:rsidR="00785717">
        <w:rPr>
          <w:i/>
        </w:rPr>
        <w:t xml:space="preserve"> </w:t>
      </w:r>
      <w:r w:rsidR="00785717" w:rsidRPr="00785717">
        <w:t>(the Act)</w:t>
      </w:r>
      <w:r w:rsidR="008E7846" w:rsidRPr="00785717">
        <w:t>,</w:t>
      </w:r>
      <w:r w:rsidR="008E7846">
        <w:t xml:space="preserve"> applying a risk management approach designed to ensure therapeutic goods supplied in Australia meet acceptable standards of quality, safety and efficacy (performance) when necessary.</w:t>
      </w:r>
    </w:p>
    <w:p w:rsidR="008E7846" w:rsidRDefault="008E7846" w:rsidP="009322BC">
      <w:pPr>
        <w:pStyle w:val="ListBullet"/>
        <w:numPr>
          <w:ilvl w:val="0"/>
          <w:numId w:val="1"/>
        </w:numPr>
        <w:ind w:left="357" w:hanging="357"/>
      </w:pPr>
      <w:r>
        <w:t>The work of the TGA is based on applying scientific and clinical expertise to decision-making, to ensure that the benefits to consumers outweigh any risks associated with the use of medicines and medical devices.</w:t>
      </w:r>
    </w:p>
    <w:p w:rsidR="008E7846" w:rsidRDefault="008E7846" w:rsidP="009322BC">
      <w:pPr>
        <w:pStyle w:val="ListBullet"/>
        <w:numPr>
          <w:ilvl w:val="0"/>
          <w:numId w:val="1"/>
        </w:numPr>
        <w:ind w:left="357" w:hanging="357"/>
      </w:pPr>
      <w:r>
        <w:t>The TGA relies on the public, healthcare professionals and industry to report problems with medicines or medical devices. TGA investigates reports received by it to determine any necessary regulatory action.</w:t>
      </w:r>
    </w:p>
    <w:p w:rsidR="00441C3F" w:rsidRDefault="008E7846" w:rsidP="009322BC">
      <w:pPr>
        <w:pStyle w:val="ListBullet"/>
        <w:numPr>
          <w:ilvl w:val="0"/>
          <w:numId w:val="1"/>
        </w:numPr>
        <w:ind w:left="357" w:hanging="357"/>
      </w:pPr>
      <w:r>
        <w:t xml:space="preserve">To report a problem with a medicine or medical device, please see the information on </w:t>
      </w:r>
      <w:r w:rsidR="00441C3F">
        <w:t>the TGA website &lt;</w:t>
      </w:r>
      <w:hyperlink r:id="rId9" w:history="1">
        <w:r w:rsidR="00441C3F">
          <w:rPr>
            <w:rStyle w:val="Hyperlink"/>
          </w:rPr>
          <w:t>https://www.tga.gov.au</w:t>
        </w:r>
      </w:hyperlink>
      <w:r w:rsidR="00441C3F">
        <w:t>&gt;.</w:t>
      </w:r>
    </w:p>
    <w:p w:rsidR="008E7846" w:rsidRDefault="008E7846" w:rsidP="00875A6B">
      <w:pPr>
        <w:pStyle w:val="NonTOCHeading2"/>
      </w:pPr>
      <w:r>
        <w:t>About AusPARs</w:t>
      </w:r>
    </w:p>
    <w:p w:rsidR="008E7846" w:rsidRDefault="008E7846" w:rsidP="009322BC">
      <w:pPr>
        <w:pStyle w:val="ListBullet"/>
        <w:numPr>
          <w:ilvl w:val="0"/>
          <w:numId w:val="1"/>
        </w:numPr>
        <w:ind w:left="357" w:hanging="357"/>
      </w:pPr>
      <w:r>
        <w:t>An Australian Public Assessment Re</w:t>
      </w:r>
      <w:r w:rsidR="00133A1B">
        <w:t>port</w:t>
      </w:r>
      <w:r>
        <w:t xml:space="preserve"> (AusPAR) provides information about the evaluation of a prescription medicine and the considerations that led the TGA to approve or not approve a pr</w:t>
      </w:r>
      <w:r w:rsidR="00441C3F">
        <w:t>escription medicine submission.</w:t>
      </w:r>
    </w:p>
    <w:p w:rsidR="008E7846" w:rsidRDefault="008E7846" w:rsidP="009322BC">
      <w:pPr>
        <w:pStyle w:val="ListBullet"/>
        <w:numPr>
          <w:ilvl w:val="0"/>
          <w:numId w:val="1"/>
        </w:numPr>
        <w:ind w:left="357" w:hanging="357"/>
      </w:pPr>
      <w:r>
        <w:t>AusPARs are prepared and published by the TGA.</w:t>
      </w:r>
    </w:p>
    <w:p w:rsidR="008E7846" w:rsidRDefault="008E7846" w:rsidP="009322BC">
      <w:pPr>
        <w:pStyle w:val="ListBullet"/>
        <w:numPr>
          <w:ilvl w:val="0"/>
          <w:numId w:val="1"/>
        </w:numPr>
        <w:ind w:left="357" w:hanging="357"/>
      </w:pPr>
      <w:r>
        <w:t>An AusPAR is prepared for submissions that relate to new chemical entities, generic medicines, major variations and extensions of indications.</w:t>
      </w:r>
    </w:p>
    <w:p w:rsidR="008E7846" w:rsidRDefault="008E7846" w:rsidP="009322BC">
      <w:pPr>
        <w:pStyle w:val="ListBullet"/>
        <w:numPr>
          <w:ilvl w:val="0"/>
          <w:numId w:val="1"/>
        </w:numPr>
        <w:ind w:left="357" w:hanging="357"/>
      </w:pPr>
      <w:r>
        <w:t>An AusPAR is a static document</w:t>
      </w:r>
      <w:r w:rsidR="00133A1B">
        <w:t>;</w:t>
      </w:r>
      <w:r>
        <w:t xml:space="preserve"> it provide</w:t>
      </w:r>
      <w:r w:rsidR="00133A1B">
        <w:t>s</w:t>
      </w:r>
      <w:r>
        <w:t xml:space="preserve"> information that relates to a submission at a particular point in time.</w:t>
      </w:r>
    </w:p>
    <w:p w:rsidR="00B452CE" w:rsidRDefault="008E7846" w:rsidP="009322BC">
      <w:pPr>
        <w:pStyle w:val="ListBullet"/>
        <w:numPr>
          <w:ilvl w:val="0"/>
          <w:numId w:val="1"/>
        </w:numPr>
        <w:ind w:left="357" w:hanging="357"/>
      </w:pPr>
      <w:r>
        <w:t>A new AusPAR will be developed to reflect changes to indications and/or major variations to a prescription medicine subject to evaluation by the TGA.</w:t>
      </w:r>
    </w:p>
    <w:p w:rsidR="00924482" w:rsidRPr="00DF1D7F" w:rsidRDefault="00924482" w:rsidP="00F54B65">
      <w:pPr>
        <w:pStyle w:val="LegalSubheading"/>
        <w:spacing w:before="3120"/>
      </w:pPr>
      <w:r w:rsidRPr="00DF1D7F">
        <w:t>Copyright</w:t>
      </w:r>
    </w:p>
    <w:p w:rsidR="00924482" w:rsidRDefault="00924482" w:rsidP="00924482">
      <w:pPr>
        <w:pStyle w:val="LegalCopy"/>
      </w:pPr>
      <w:r w:rsidRPr="00191B3B">
        <w:rPr>
          <w:rFonts w:cs="Arial"/>
          <w:lang w:val="en-GB"/>
        </w:rPr>
        <w:t>© Comm</w:t>
      </w:r>
      <w:r>
        <w:rPr>
          <w:rFonts w:cs="Arial"/>
          <w:lang w:val="en-GB"/>
        </w:rPr>
        <w:t>onwealth of Australia 201</w:t>
      </w:r>
      <w:r w:rsidR="00C4490D">
        <w:rPr>
          <w:rFonts w:cs="Arial"/>
          <w:lang w:val="en-GB"/>
        </w:rPr>
        <w:t>7</w:t>
      </w:r>
      <w:r w:rsidRPr="00191B3B">
        <w:rPr>
          <w:rFonts w:cs="Arial"/>
          <w:lang w:val="en-GB"/>
        </w:rPr>
        <w:br/>
      </w:r>
      <w:proofErr w:type="gramStart"/>
      <w:r w:rsidRPr="00191B3B">
        <w:rPr>
          <w:rFonts w:cs="Arial"/>
          <w:lang w:val="en-GB"/>
        </w:rPr>
        <w:t>This</w:t>
      </w:r>
      <w:proofErr w:type="gramEnd"/>
      <w:r w:rsidRPr="00191B3B">
        <w:rPr>
          <w:rFonts w:cs="Arial"/>
          <w:lang w:val="en-GB"/>
        </w:rPr>
        <w:t xml:space="preserve">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10" w:history="1">
        <w:r w:rsidRPr="00191B3B">
          <w:rPr>
            <w:rStyle w:val="Hyperlink"/>
            <w:rFonts w:cs="Arial"/>
            <w:lang w:val="en-GB"/>
          </w:rPr>
          <w:t>tga.copyright@tga.gov.au</w:t>
        </w:r>
      </w:hyperlink>
      <w:r w:rsidRPr="00191B3B">
        <w:rPr>
          <w:rFonts w:cs="Arial"/>
        </w:rPr>
        <w:t>&gt;.</w:t>
      </w:r>
    </w:p>
    <w:p w:rsidR="00924482" w:rsidRDefault="00924482" w:rsidP="00924482">
      <w:pPr>
        <w:pStyle w:val="LegalCopy"/>
        <w:sectPr w:rsidR="00924482" w:rsidSect="003D1E62">
          <w:headerReference w:type="default" r:id="rId11"/>
          <w:footerReference w:type="default" r:id="rId12"/>
          <w:headerReference w:type="first" r:id="rId13"/>
          <w:pgSz w:w="11906" w:h="16838" w:code="9"/>
          <w:pgMar w:top="426" w:right="1701" w:bottom="0" w:left="1701" w:header="907" w:footer="142" w:gutter="0"/>
          <w:pgNumType w:fmt="lowerRoman" w:start="1"/>
          <w:cols w:space="708"/>
          <w:titlePg/>
          <w:docGrid w:linePitch="360"/>
        </w:sectPr>
      </w:pPr>
    </w:p>
    <w:bookmarkStart w:id="0" w:name="_Toc247691501" w:displacedByCustomXml="next"/>
    <w:bookmarkStart w:id="1"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rsidR="0089635C" w:rsidRPr="0089635C" w:rsidRDefault="0089635C" w:rsidP="0010788A">
          <w:pPr>
            <w:pStyle w:val="Contents"/>
          </w:pPr>
          <w:r w:rsidRPr="0010788A">
            <w:t>Con</w:t>
          </w:r>
          <w:bookmarkStart w:id="2" w:name="_GoBack"/>
          <w:bookmarkEnd w:id="2"/>
          <w:r w:rsidRPr="0010788A">
            <w:t>tents</w:t>
          </w:r>
        </w:p>
        <w:p w:rsidR="00985004" w:rsidRDefault="00DB6124">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479772043" w:history="1">
            <w:r w:rsidR="00985004" w:rsidRPr="0074026A">
              <w:rPr>
                <w:rStyle w:val="Hyperlink"/>
                <w:noProof/>
              </w:rPr>
              <w:t>Common abbreviations</w:t>
            </w:r>
            <w:r w:rsidR="00985004">
              <w:rPr>
                <w:noProof/>
                <w:webHidden/>
              </w:rPr>
              <w:tab/>
            </w:r>
            <w:r w:rsidR="00985004">
              <w:rPr>
                <w:noProof/>
                <w:webHidden/>
              </w:rPr>
              <w:fldChar w:fldCharType="begin"/>
            </w:r>
            <w:r w:rsidR="00985004">
              <w:rPr>
                <w:noProof/>
                <w:webHidden/>
              </w:rPr>
              <w:instrText xml:space="preserve"> PAGEREF _Toc479772043 \h </w:instrText>
            </w:r>
            <w:r w:rsidR="00985004">
              <w:rPr>
                <w:noProof/>
                <w:webHidden/>
              </w:rPr>
            </w:r>
            <w:r w:rsidR="00985004">
              <w:rPr>
                <w:noProof/>
                <w:webHidden/>
              </w:rPr>
              <w:fldChar w:fldCharType="separate"/>
            </w:r>
            <w:r w:rsidR="00985004">
              <w:rPr>
                <w:noProof/>
                <w:webHidden/>
              </w:rPr>
              <w:t>4</w:t>
            </w:r>
            <w:r w:rsidR="00985004">
              <w:rPr>
                <w:noProof/>
                <w:webHidden/>
              </w:rPr>
              <w:fldChar w:fldCharType="end"/>
            </w:r>
          </w:hyperlink>
        </w:p>
        <w:p w:rsidR="00985004" w:rsidRDefault="00985004">
          <w:pPr>
            <w:pStyle w:val="TOC2"/>
            <w:rPr>
              <w:rFonts w:asciiTheme="minorHAnsi" w:eastAsiaTheme="minorEastAsia" w:hAnsiTheme="minorHAnsi" w:cstheme="minorBidi"/>
              <w:b w:val="0"/>
              <w:noProof/>
              <w:sz w:val="22"/>
              <w:lang w:eastAsia="en-AU"/>
            </w:rPr>
          </w:pPr>
          <w:hyperlink w:anchor="_Toc479772044" w:history="1">
            <w:r w:rsidRPr="0074026A">
              <w:rPr>
                <w:rStyle w:val="Hyperlink"/>
                <w:noProof/>
              </w:rPr>
              <w:t>I. Introduction to product submission</w:t>
            </w:r>
            <w:r>
              <w:rPr>
                <w:noProof/>
                <w:webHidden/>
              </w:rPr>
              <w:tab/>
            </w:r>
            <w:r>
              <w:rPr>
                <w:noProof/>
                <w:webHidden/>
              </w:rPr>
              <w:fldChar w:fldCharType="begin"/>
            </w:r>
            <w:r>
              <w:rPr>
                <w:noProof/>
                <w:webHidden/>
              </w:rPr>
              <w:instrText xml:space="preserve"> PAGEREF _Toc479772044 \h </w:instrText>
            </w:r>
            <w:r>
              <w:rPr>
                <w:noProof/>
                <w:webHidden/>
              </w:rPr>
            </w:r>
            <w:r>
              <w:rPr>
                <w:noProof/>
                <w:webHidden/>
              </w:rPr>
              <w:fldChar w:fldCharType="separate"/>
            </w:r>
            <w:r>
              <w:rPr>
                <w:noProof/>
                <w:webHidden/>
              </w:rPr>
              <w:t>7</w:t>
            </w:r>
            <w:r>
              <w:rPr>
                <w:noProof/>
                <w:webHidden/>
              </w:rPr>
              <w:fldChar w:fldCharType="end"/>
            </w:r>
          </w:hyperlink>
        </w:p>
        <w:p w:rsidR="00985004" w:rsidRDefault="00985004">
          <w:pPr>
            <w:pStyle w:val="TOC3"/>
            <w:rPr>
              <w:rFonts w:asciiTheme="minorHAnsi" w:eastAsiaTheme="minorEastAsia" w:hAnsiTheme="minorHAnsi" w:cstheme="minorBidi"/>
              <w:noProof/>
              <w:lang w:eastAsia="en-AU"/>
            </w:rPr>
          </w:pPr>
          <w:hyperlink w:anchor="_Toc479772045" w:history="1">
            <w:r w:rsidRPr="0074026A">
              <w:rPr>
                <w:rStyle w:val="Hyperlink"/>
                <w:noProof/>
                <w:lang w:eastAsia="en-AU"/>
              </w:rPr>
              <w:t>Submission details</w:t>
            </w:r>
            <w:r>
              <w:rPr>
                <w:noProof/>
                <w:webHidden/>
              </w:rPr>
              <w:tab/>
            </w:r>
            <w:r>
              <w:rPr>
                <w:noProof/>
                <w:webHidden/>
              </w:rPr>
              <w:fldChar w:fldCharType="begin"/>
            </w:r>
            <w:r>
              <w:rPr>
                <w:noProof/>
                <w:webHidden/>
              </w:rPr>
              <w:instrText xml:space="preserve"> PAGEREF _Toc479772045 \h </w:instrText>
            </w:r>
            <w:r>
              <w:rPr>
                <w:noProof/>
                <w:webHidden/>
              </w:rPr>
            </w:r>
            <w:r>
              <w:rPr>
                <w:noProof/>
                <w:webHidden/>
              </w:rPr>
              <w:fldChar w:fldCharType="separate"/>
            </w:r>
            <w:r>
              <w:rPr>
                <w:noProof/>
                <w:webHidden/>
              </w:rPr>
              <w:t>7</w:t>
            </w:r>
            <w:r>
              <w:rPr>
                <w:noProof/>
                <w:webHidden/>
              </w:rPr>
              <w:fldChar w:fldCharType="end"/>
            </w:r>
          </w:hyperlink>
        </w:p>
        <w:p w:rsidR="00985004" w:rsidRDefault="00985004">
          <w:pPr>
            <w:pStyle w:val="TOC3"/>
            <w:rPr>
              <w:rFonts w:asciiTheme="minorHAnsi" w:eastAsiaTheme="minorEastAsia" w:hAnsiTheme="minorHAnsi" w:cstheme="minorBidi"/>
              <w:noProof/>
              <w:lang w:eastAsia="en-AU"/>
            </w:rPr>
          </w:pPr>
          <w:hyperlink w:anchor="_Toc479772046" w:history="1">
            <w:r w:rsidRPr="0074026A">
              <w:rPr>
                <w:rStyle w:val="Hyperlink"/>
                <w:noProof/>
              </w:rPr>
              <w:t>Product background</w:t>
            </w:r>
            <w:r>
              <w:rPr>
                <w:noProof/>
                <w:webHidden/>
              </w:rPr>
              <w:tab/>
            </w:r>
            <w:r>
              <w:rPr>
                <w:noProof/>
                <w:webHidden/>
              </w:rPr>
              <w:fldChar w:fldCharType="begin"/>
            </w:r>
            <w:r>
              <w:rPr>
                <w:noProof/>
                <w:webHidden/>
              </w:rPr>
              <w:instrText xml:space="preserve"> PAGEREF _Toc479772046 \h </w:instrText>
            </w:r>
            <w:r>
              <w:rPr>
                <w:noProof/>
                <w:webHidden/>
              </w:rPr>
            </w:r>
            <w:r>
              <w:rPr>
                <w:noProof/>
                <w:webHidden/>
              </w:rPr>
              <w:fldChar w:fldCharType="separate"/>
            </w:r>
            <w:r>
              <w:rPr>
                <w:noProof/>
                <w:webHidden/>
              </w:rPr>
              <w:t>8</w:t>
            </w:r>
            <w:r>
              <w:rPr>
                <w:noProof/>
                <w:webHidden/>
              </w:rPr>
              <w:fldChar w:fldCharType="end"/>
            </w:r>
          </w:hyperlink>
        </w:p>
        <w:p w:rsidR="00985004" w:rsidRDefault="00985004">
          <w:pPr>
            <w:pStyle w:val="TOC3"/>
            <w:rPr>
              <w:rFonts w:asciiTheme="minorHAnsi" w:eastAsiaTheme="minorEastAsia" w:hAnsiTheme="minorHAnsi" w:cstheme="minorBidi"/>
              <w:noProof/>
              <w:lang w:eastAsia="en-AU"/>
            </w:rPr>
          </w:pPr>
          <w:hyperlink w:anchor="_Toc479772047" w:history="1">
            <w:r w:rsidRPr="0074026A">
              <w:rPr>
                <w:rStyle w:val="Hyperlink"/>
                <w:noProof/>
              </w:rPr>
              <w:t>Regulatory status</w:t>
            </w:r>
            <w:r>
              <w:rPr>
                <w:noProof/>
                <w:webHidden/>
              </w:rPr>
              <w:tab/>
            </w:r>
            <w:r>
              <w:rPr>
                <w:noProof/>
                <w:webHidden/>
              </w:rPr>
              <w:fldChar w:fldCharType="begin"/>
            </w:r>
            <w:r>
              <w:rPr>
                <w:noProof/>
                <w:webHidden/>
              </w:rPr>
              <w:instrText xml:space="preserve"> PAGEREF _Toc479772047 \h </w:instrText>
            </w:r>
            <w:r>
              <w:rPr>
                <w:noProof/>
                <w:webHidden/>
              </w:rPr>
            </w:r>
            <w:r>
              <w:rPr>
                <w:noProof/>
                <w:webHidden/>
              </w:rPr>
              <w:fldChar w:fldCharType="separate"/>
            </w:r>
            <w:r>
              <w:rPr>
                <w:noProof/>
                <w:webHidden/>
              </w:rPr>
              <w:t>10</w:t>
            </w:r>
            <w:r>
              <w:rPr>
                <w:noProof/>
                <w:webHidden/>
              </w:rPr>
              <w:fldChar w:fldCharType="end"/>
            </w:r>
          </w:hyperlink>
        </w:p>
        <w:p w:rsidR="00985004" w:rsidRDefault="00985004">
          <w:pPr>
            <w:pStyle w:val="TOC3"/>
            <w:rPr>
              <w:rFonts w:asciiTheme="minorHAnsi" w:eastAsiaTheme="minorEastAsia" w:hAnsiTheme="minorHAnsi" w:cstheme="minorBidi"/>
              <w:noProof/>
              <w:lang w:eastAsia="en-AU"/>
            </w:rPr>
          </w:pPr>
          <w:hyperlink w:anchor="_Toc479772048" w:history="1">
            <w:r w:rsidRPr="0074026A">
              <w:rPr>
                <w:rStyle w:val="Hyperlink"/>
                <w:noProof/>
              </w:rPr>
              <w:t>Product Information</w:t>
            </w:r>
            <w:r>
              <w:rPr>
                <w:noProof/>
                <w:webHidden/>
              </w:rPr>
              <w:tab/>
            </w:r>
            <w:r>
              <w:rPr>
                <w:noProof/>
                <w:webHidden/>
              </w:rPr>
              <w:fldChar w:fldCharType="begin"/>
            </w:r>
            <w:r>
              <w:rPr>
                <w:noProof/>
                <w:webHidden/>
              </w:rPr>
              <w:instrText xml:space="preserve"> PAGEREF _Toc479772048 \h </w:instrText>
            </w:r>
            <w:r>
              <w:rPr>
                <w:noProof/>
                <w:webHidden/>
              </w:rPr>
            </w:r>
            <w:r>
              <w:rPr>
                <w:noProof/>
                <w:webHidden/>
              </w:rPr>
              <w:fldChar w:fldCharType="separate"/>
            </w:r>
            <w:r>
              <w:rPr>
                <w:noProof/>
                <w:webHidden/>
              </w:rPr>
              <w:t>12</w:t>
            </w:r>
            <w:r>
              <w:rPr>
                <w:noProof/>
                <w:webHidden/>
              </w:rPr>
              <w:fldChar w:fldCharType="end"/>
            </w:r>
          </w:hyperlink>
        </w:p>
        <w:p w:rsidR="00985004" w:rsidRDefault="00985004">
          <w:pPr>
            <w:pStyle w:val="TOC2"/>
            <w:rPr>
              <w:rFonts w:asciiTheme="minorHAnsi" w:eastAsiaTheme="minorEastAsia" w:hAnsiTheme="minorHAnsi" w:cstheme="minorBidi"/>
              <w:b w:val="0"/>
              <w:noProof/>
              <w:sz w:val="22"/>
              <w:lang w:eastAsia="en-AU"/>
            </w:rPr>
          </w:pPr>
          <w:hyperlink w:anchor="_Toc479772049" w:history="1">
            <w:r w:rsidRPr="0074026A">
              <w:rPr>
                <w:rStyle w:val="Hyperlink"/>
                <w:noProof/>
              </w:rPr>
              <w:t>II. Quality findings</w:t>
            </w:r>
            <w:r>
              <w:rPr>
                <w:noProof/>
                <w:webHidden/>
              </w:rPr>
              <w:tab/>
            </w:r>
            <w:r>
              <w:rPr>
                <w:noProof/>
                <w:webHidden/>
              </w:rPr>
              <w:fldChar w:fldCharType="begin"/>
            </w:r>
            <w:r>
              <w:rPr>
                <w:noProof/>
                <w:webHidden/>
              </w:rPr>
              <w:instrText xml:space="preserve"> PAGEREF _Toc479772049 \h </w:instrText>
            </w:r>
            <w:r>
              <w:rPr>
                <w:noProof/>
                <w:webHidden/>
              </w:rPr>
            </w:r>
            <w:r>
              <w:rPr>
                <w:noProof/>
                <w:webHidden/>
              </w:rPr>
              <w:fldChar w:fldCharType="separate"/>
            </w:r>
            <w:r>
              <w:rPr>
                <w:noProof/>
                <w:webHidden/>
              </w:rPr>
              <w:t>12</w:t>
            </w:r>
            <w:r>
              <w:rPr>
                <w:noProof/>
                <w:webHidden/>
              </w:rPr>
              <w:fldChar w:fldCharType="end"/>
            </w:r>
          </w:hyperlink>
        </w:p>
        <w:p w:rsidR="00985004" w:rsidRDefault="00985004">
          <w:pPr>
            <w:pStyle w:val="TOC2"/>
            <w:rPr>
              <w:rFonts w:asciiTheme="minorHAnsi" w:eastAsiaTheme="minorEastAsia" w:hAnsiTheme="minorHAnsi" w:cstheme="minorBidi"/>
              <w:b w:val="0"/>
              <w:noProof/>
              <w:sz w:val="22"/>
              <w:lang w:eastAsia="en-AU"/>
            </w:rPr>
          </w:pPr>
          <w:hyperlink w:anchor="_Toc479772050" w:history="1">
            <w:r w:rsidRPr="0074026A">
              <w:rPr>
                <w:rStyle w:val="Hyperlink"/>
                <w:noProof/>
              </w:rPr>
              <w:t>III. Nonclinical findings</w:t>
            </w:r>
            <w:r>
              <w:rPr>
                <w:noProof/>
                <w:webHidden/>
              </w:rPr>
              <w:tab/>
            </w:r>
            <w:r>
              <w:rPr>
                <w:noProof/>
                <w:webHidden/>
              </w:rPr>
              <w:fldChar w:fldCharType="begin"/>
            </w:r>
            <w:r>
              <w:rPr>
                <w:noProof/>
                <w:webHidden/>
              </w:rPr>
              <w:instrText xml:space="preserve"> PAGEREF _Toc479772050 \h </w:instrText>
            </w:r>
            <w:r>
              <w:rPr>
                <w:noProof/>
                <w:webHidden/>
              </w:rPr>
            </w:r>
            <w:r>
              <w:rPr>
                <w:noProof/>
                <w:webHidden/>
              </w:rPr>
              <w:fldChar w:fldCharType="separate"/>
            </w:r>
            <w:r>
              <w:rPr>
                <w:noProof/>
                <w:webHidden/>
              </w:rPr>
              <w:t>12</w:t>
            </w:r>
            <w:r>
              <w:rPr>
                <w:noProof/>
                <w:webHidden/>
              </w:rPr>
              <w:fldChar w:fldCharType="end"/>
            </w:r>
          </w:hyperlink>
        </w:p>
        <w:p w:rsidR="00985004" w:rsidRDefault="00985004">
          <w:pPr>
            <w:pStyle w:val="TOC2"/>
            <w:rPr>
              <w:rFonts w:asciiTheme="minorHAnsi" w:eastAsiaTheme="minorEastAsia" w:hAnsiTheme="minorHAnsi" w:cstheme="minorBidi"/>
              <w:b w:val="0"/>
              <w:noProof/>
              <w:sz w:val="22"/>
              <w:lang w:eastAsia="en-AU"/>
            </w:rPr>
          </w:pPr>
          <w:hyperlink w:anchor="_Toc479772051" w:history="1">
            <w:r w:rsidRPr="0074026A">
              <w:rPr>
                <w:rStyle w:val="Hyperlink"/>
                <w:noProof/>
              </w:rPr>
              <w:t>IV. Clinical findings</w:t>
            </w:r>
            <w:r>
              <w:rPr>
                <w:noProof/>
                <w:webHidden/>
              </w:rPr>
              <w:tab/>
            </w:r>
            <w:r>
              <w:rPr>
                <w:noProof/>
                <w:webHidden/>
              </w:rPr>
              <w:fldChar w:fldCharType="begin"/>
            </w:r>
            <w:r>
              <w:rPr>
                <w:noProof/>
                <w:webHidden/>
              </w:rPr>
              <w:instrText xml:space="preserve"> PAGEREF _Toc479772051 \h </w:instrText>
            </w:r>
            <w:r>
              <w:rPr>
                <w:noProof/>
                <w:webHidden/>
              </w:rPr>
            </w:r>
            <w:r>
              <w:rPr>
                <w:noProof/>
                <w:webHidden/>
              </w:rPr>
              <w:fldChar w:fldCharType="separate"/>
            </w:r>
            <w:r>
              <w:rPr>
                <w:noProof/>
                <w:webHidden/>
              </w:rPr>
              <w:t>12</w:t>
            </w:r>
            <w:r>
              <w:rPr>
                <w:noProof/>
                <w:webHidden/>
              </w:rPr>
              <w:fldChar w:fldCharType="end"/>
            </w:r>
          </w:hyperlink>
        </w:p>
        <w:p w:rsidR="00985004" w:rsidRDefault="00985004">
          <w:pPr>
            <w:pStyle w:val="TOC3"/>
            <w:rPr>
              <w:rFonts w:asciiTheme="minorHAnsi" w:eastAsiaTheme="minorEastAsia" w:hAnsiTheme="minorHAnsi" w:cstheme="minorBidi"/>
              <w:noProof/>
              <w:lang w:eastAsia="en-AU"/>
            </w:rPr>
          </w:pPr>
          <w:hyperlink w:anchor="_Toc479772052" w:history="1">
            <w:r w:rsidRPr="0074026A">
              <w:rPr>
                <w:rStyle w:val="Hyperlink"/>
                <w:noProof/>
              </w:rPr>
              <w:t>Introduction</w:t>
            </w:r>
            <w:r>
              <w:rPr>
                <w:noProof/>
                <w:webHidden/>
              </w:rPr>
              <w:tab/>
            </w:r>
            <w:r>
              <w:rPr>
                <w:noProof/>
                <w:webHidden/>
              </w:rPr>
              <w:fldChar w:fldCharType="begin"/>
            </w:r>
            <w:r>
              <w:rPr>
                <w:noProof/>
                <w:webHidden/>
              </w:rPr>
              <w:instrText xml:space="preserve"> PAGEREF _Toc479772052 \h </w:instrText>
            </w:r>
            <w:r>
              <w:rPr>
                <w:noProof/>
                <w:webHidden/>
              </w:rPr>
            </w:r>
            <w:r>
              <w:rPr>
                <w:noProof/>
                <w:webHidden/>
              </w:rPr>
              <w:fldChar w:fldCharType="separate"/>
            </w:r>
            <w:r>
              <w:rPr>
                <w:noProof/>
                <w:webHidden/>
              </w:rPr>
              <w:t>12</w:t>
            </w:r>
            <w:r>
              <w:rPr>
                <w:noProof/>
                <w:webHidden/>
              </w:rPr>
              <w:fldChar w:fldCharType="end"/>
            </w:r>
          </w:hyperlink>
        </w:p>
        <w:p w:rsidR="00985004" w:rsidRDefault="00985004">
          <w:pPr>
            <w:pStyle w:val="TOC3"/>
            <w:rPr>
              <w:rFonts w:asciiTheme="minorHAnsi" w:eastAsiaTheme="minorEastAsia" w:hAnsiTheme="minorHAnsi" w:cstheme="minorBidi"/>
              <w:noProof/>
              <w:lang w:eastAsia="en-AU"/>
            </w:rPr>
          </w:pPr>
          <w:hyperlink w:anchor="_Toc479772053" w:history="1">
            <w:r w:rsidRPr="0074026A">
              <w:rPr>
                <w:rStyle w:val="Hyperlink"/>
                <w:noProof/>
              </w:rPr>
              <w:t>Pharmacokinetics</w:t>
            </w:r>
            <w:r>
              <w:rPr>
                <w:noProof/>
                <w:webHidden/>
              </w:rPr>
              <w:tab/>
            </w:r>
            <w:r>
              <w:rPr>
                <w:noProof/>
                <w:webHidden/>
              </w:rPr>
              <w:fldChar w:fldCharType="begin"/>
            </w:r>
            <w:r>
              <w:rPr>
                <w:noProof/>
                <w:webHidden/>
              </w:rPr>
              <w:instrText xml:space="preserve"> PAGEREF _Toc479772053 \h </w:instrText>
            </w:r>
            <w:r>
              <w:rPr>
                <w:noProof/>
                <w:webHidden/>
              </w:rPr>
            </w:r>
            <w:r>
              <w:rPr>
                <w:noProof/>
                <w:webHidden/>
              </w:rPr>
              <w:fldChar w:fldCharType="separate"/>
            </w:r>
            <w:r>
              <w:rPr>
                <w:noProof/>
                <w:webHidden/>
              </w:rPr>
              <w:t>15</w:t>
            </w:r>
            <w:r>
              <w:rPr>
                <w:noProof/>
                <w:webHidden/>
              </w:rPr>
              <w:fldChar w:fldCharType="end"/>
            </w:r>
          </w:hyperlink>
        </w:p>
        <w:p w:rsidR="00985004" w:rsidRDefault="00985004">
          <w:pPr>
            <w:pStyle w:val="TOC3"/>
            <w:rPr>
              <w:rFonts w:asciiTheme="minorHAnsi" w:eastAsiaTheme="minorEastAsia" w:hAnsiTheme="minorHAnsi" w:cstheme="minorBidi"/>
              <w:noProof/>
              <w:lang w:eastAsia="en-AU"/>
            </w:rPr>
          </w:pPr>
          <w:hyperlink w:anchor="_Toc479772054" w:history="1">
            <w:r w:rsidRPr="0074026A">
              <w:rPr>
                <w:rStyle w:val="Hyperlink"/>
                <w:noProof/>
              </w:rPr>
              <w:t>Population pharmacokinetics</w:t>
            </w:r>
            <w:r>
              <w:rPr>
                <w:noProof/>
                <w:webHidden/>
              </w:rPr>
              <w:tab/>
            </w:r>
            <w:r>
              <w:rPr>
                <w:noProof/>
                <w:webHidden/>
              </w:rPr>
              <w:fldChar w:fldCharType="begin"/>
            </w:r>
            <w:r>
              <w:rPr>
                <w:noProof/>
                <w:webHidden/>
              </w:rPr>
              <w:instrText xml:space="preserve"> PAGEREF _Toc479772054 \h </w:instrText>
            </w:r>
            <w:r>
              <w:rPr>
                <w:noProof/>
                <w:webHidden/>
              </w:rPr>
            </w:r>
            <w:r>
              <w:rPr>
                <w:noProof/>
                <w:webHidden/>
              </w:rPr>
              <w:fldChar w:fldCharType="separate"/>
            </w:r>
            <w:r>
              <w:rPr>
                <w:noProof/>
                <w:webHidden/>
              </w:rPr>
              <w:t>16</w:t>
            </w:r>
            <w:r>
              <w:rPr>
                <w:noProof/>
                <w:webHidden/>
              </w:rPr>
              <w:fldChar w:fldCharType="end"/>
            </w:r>
          </w:hyperlink>
        </w:p>
        <w:p w:rsidR="00985004" w:rsidRDefault="00985004">
          <w:pPr>
            <w:pStyle w:val="TOC3"/>
            <w:rPr>
              <w:rFonts w:asciiTheme="minorHAnsi" w:eastAsiaTheme="minorEastAsia" w:hAnsiTheme="minorHAnsi" w:cstheme="minorBidi"/>
              <w:noProof/>
              <w:lang w:eastAsia="en-AU"/>
            </w:rPr>
          </w:pPr>
          <w:hyperlink w:anchor="_Toc479772055" w:history="1">
            <w:r w:rsidRPr="0074026A">
              <w:rPr>
                <w:rStyle w:val="Hyperlink"/>
                <w:noProof/>
              </w:rPr>
              <w:t>Pharmacodynamics</w:t>
            </w:r>
            <w:r>
              <w:rPr>
                <w:noProof/>
                <w:webHidden/>
              </w:rPr>
              <w:tab/>
            </w:r>
            <w:r>
              <w:rPr>
                <w:noProof/>
                <w:webHidden/>
              </w:rPr>
              <w:fldChar w:fldCharType="begin"/>
            </w:r>
            <w:r>
              <w:rPr>
                <w:noProof/>
                <w:webHidden/>
              </w:rPr>
              <w:instrText xml:space="preserve"> PAGEREF _Toc479772055 \h </w:instrText>
            </w:r>
            <w:r>
              <w:rPr>
                <w:noProof/>
                <w:webHidden/>
              </w:rPr>
            </w:r>
            <w:r>
              <w:rPr>
                <w:noProof/>
                <w:webHidden/>
              </w:rPr>
              <w:fldChar w:fldCharType="separate"/>
            </w:r>
            <w:r>
              <w:rPr>
                <w:noProof/>
                <w:webHidden/>
              </w:rPr>
              <w:t>18</w:t>
            </w:r>
            <w:r>
              <w:rPr>
                <w:noProof/>
                <w:webHidden/>
              </w:rPr>
              <w:fldChar w:fldCharType="end"/>
            </w:r>
          </w:hyperlink>
        </w:p>
        <w:p w:rsidR="00985004" w:rsidRDefault="00985004">
          <w:pPr>
            <w:pStyle w:val="TOC3"/>
            <w:rPr>
              <w:rFonts w:asciiTheme="minorHAnsi" w:eastAsiaTheme="minorEastAsia" w:hAnsiTheme="minorHAnsi" w:cstheme="minorBidi"/>
              <w:noProof/>
              <w:lang w:eastAsia="en-AU"/>
            </w:rPr>
          </w:pPr>
          <w:hyperlink w:anchor="_Toc479772056" w:history="1">
            <w:r w:rsidRPr="0074026A">
              <w:rPr>
                <w:rStyle w:val="Hyperlink"/>
                <w:noProof/>
              </w:rPr>
              <w:t>Dosage selection for the pivotal studies</w:t>
            </w:r>
            <w:r>
              <w:rPr>
                <w:noProof/>
                <w:webHidden/>
              </w:rPr>
              <w:tab/>
            </w:r>
            <w:r>
              <w:rPr>
                <w:noProof/>
                <w:webHidden/>
              </w:rPr>
              <w:fldChar w:fldCharType="begin"/>
            </w:r>
            <w:r>
              <w:rPr>
                <w:noProof/>
                <w:webHidden/>
              </w:rPr>
              <w:instrText xml:space="preserve"> PAGEREF _Toc479772056 \h </w:instrText>
            </w:r>
            <w:r>
              <w:rPr>
                <w:noProof/>
                <w:webHidden/>
              </w:rPr>
            </w:r>
            <w:r>
              <w:rPr>
                <w:noProof/>
                <w:webHidden/>
              </w:rPr>
              <w:fldChar w:fldCharType="separate"/>
            </w:r>
            <w:r>
              <w:rPr>
                <w:noProof/>
                <w:webHidden/>
              </w:rPr>
              <w:t>18</w:t>
            </w:r>
            <w:r>
              <w:rPr>
                <w:noProof/>
                <w:webHidden/>
              </w:rPr>
              <w:fldChar w:fldCharType="end"/>
            </w:r>
          </w:hyperlink>
        </w:p>
        <w:p w:rsidR="00985004" w:rsidRDefault="00985004">
          <w:pPr>
            <w:pStyle w:val="TOC3"/>
            <w:rPr>
              <w:rFonts w:asciiTheme="minorHAnsi" w:eastAsiaTheme="minorEastAsia" w:hAnsiTheme="minorHAnsi" w:cstheme="minorBidi"/>
              <w:noProof/>
              <w:lang w:eastAsia="en-AU"/>
            </w:rPr>
          </w:pPr>
          <w:hyperlink w:anchor="_Toc479772057" w:history="1">
            <w:r w:rsidRPr="0074026A">
              <w:rPr>
                <w:rStyle w:val="Hyperlink"/>
                <w:noProof/>
              </w:rPr>
              <w:t>Efficacy</w:t>
            </w:r>
            <w:r>
              <w:rPr>
                <w:noProof/>
                <w:webHidden/>
              </w:rPr>
              <w:tab/>
            </w:r>
            <w:r>
              <w:rPr>
                <w:noProof/>
                <w:webHidden/>
              </w:rPr>
              <w:fldChar w:fldCharType="begin"/>
            </w:r>
            <w:r>
              <w:rPr>
                <w:noProof/>
                <w:webHidden/>
              </w:rPr>
              <w:instrText xml:space="preserve"> PAGEREF _Toc479772057 \h </w:instrText>
            </w:r>
            <w:r>
              <w:rPr>
                <w:noProof/>
                <w:webHidden/>
              </w:rPr>
            </w:r>
            <w:r>
              <w:rPr>
                <w:noProof/>
                <w:webHidden/>
              </w:rPr>
              <w:fldChar w:fldCharType="separate"/>
            </w:r>
            <w:r>
              <w:rPr>
                <w:noProof/>
                <w:webHidden/>
              </w:rPr>
              <w:t>19</w:t>
            </w:r>
            <w:r>
              <w:rPr>
                <w:noProof/>
                <w:webHidden/>
              </w:rPr>
              <w:fldChar w:fldCharType="end"/>
            </w:r>
          </w:hyperlink>
        </w:p>
        <w:p w:rsidR="00985004" w:rsidRDefault="00985004">
          <w:pPr>
            <w:pStyle w:val="TOC3"/>
            <w:rPr>
              <w:rFonts w:asciiTheme="minorHAnsi" w:eastAsiaTheme="minorEastAsia" w:hAnsiTheme="minorHAnsi" w:cstheme="minorBidi"/>
              <w:noProof/>
              <w:lang w:eastAsia="en-AU"/>
            </w:rPr>
          </w:pPr>
          <w:hyperlink w:anchor="_Toc479772058" w:history="1">
            <w:r w:rsidRPr="0074026A">
              <w:rPr>
                <w:rStyle w:val="Hyperlink"/>
                <w:noProof/>
              </w:rPr>
              <w:t>Safety</w:t>
            </w:r>
            <w:r>
              <w:rPr>
                <w:noProof/>
                <w:webHidden/>
              </w:rPr>
              <w:tab/>
            </w:r>
            <w:r>
              <w:rPr>
                <w:noProof/>
                <w:webHidden/>
              </w:rPr>
              <w:fldChar w:fldCharType="begin"/>
            </w:r>
            <w:r>
              <w:rPr>
                <w:noProof/>
                <w:webHidden/>
              </w:rPr>
              <w:instrText xml:space="preserve"> PAGEREF _Toc479772058 \h </w:instrText>
            </w:r>
            <w:r>
              <w:rPr>
                <w:noProof/>
                <w:webHidden/>
              </w:rPr>
            </w:r>
            <w:r>
              <w:rPr>
                <w:noProof/>
                <w:webHidden/>
              </w:rPr>
              <w:fldChar w:fldCharType="separate"/>
            </w:r>
            <w:r>
              <w:rPr>
                <w:noProof/>
                <w:webHidden/>
              </w:rPr>
              <w:t>23</w:t>
            </w:r>
            <w:r>
              <w:rPr>
                <w:noProof/>
                <w:webHidden/>
              </w:rPr>
              <w:fldChar w:fldCharType="end"/>
            </w:r>
          </w:hyperlink>
        </w:p>
        <w:p w:rsidR="00985004" w:rsidRDefault="00985004">
          <w:pPr>
            <w:pStyle w:val="TOC3"/>
            <w:rPr>
              <w:rFonts w:asciiTheme="minorHAnsi" w:eastAsiaTheme="minorEastAsia" w:hAnsiTheme="minorHAnsi" w:cstheme="minorBidi"/>
              <w:noProof/>
              <w:lang w:eastAsia="en-AU"/>
            </w:rPr>
          </w:pPr>
          <w:hyperlink w:anchor="_Toc479772059" w:history="1">
            <w:r w:rsidRPr="0074026A">
              <w:rPr>
                <w:rStyle w:val="Hyperlink"/>
                <w:noProof/>
              </w:rPr>
              <w:t>First round benefit-risk assessment</w:t>
            </w:r>
            <w:r>
              <w:rPr>
                <w:noProof/>
                <w:webHidden/>
              </w:rPr>
              <w:tab/>
            </w:r>
            <w:r>
              <w:rPr>
                <w:noProof/>
                <w:webHidden/>
              </w:rPr>
              <w:fldChar w:fldCharType="begin"/>
            </w:r>
            <w:r>
              <w:rPr>
                <w:noProof/>
                <w:webHidden/>
              </w:rPr>
              <w:instrText xml:space="preserve"> PAGEREF _Toc479772059 \h </w:instrText>
            </w:r>
            <w:r>
              <w:rPr>
                <w:noProof/>
                <w:webHidden/>
              </w:rPr>
            </w:r>
            <w:r>
              <w:rPr>
                <w:noProof/>
                <w:webHidden/>
              </w:rPr>
              <w:fldChar w:fldCharType="separate"/>
            </w:r>
            <w:r>
              <w:rPr>
                <w:noProof/>
                <w:webHidden/>
              </w:rPr>
              <w:t>29</w:t>
            </w:r>
            <w:r>
              <w:rPr>
                <w:noProof/>
                <w:webHidden/>
              </w:rPr>
              <w:fldChar w:fldCharType="end"/>
            </w:r>
          </w:hyperlink>
        </w:p>
        <w:p w:rsidR="00985004" w:rsidRDefault="00985004">
          <w:pPr>
            <w:pStyle w:val="TOC3"/>
            <w:rPr>
              <w:rFonts w:asciiTheme="minorHAnsi" w:eastAsiaTheme="minorEastAsia" w:hAnsiTheme="minorHAnsi" w:cstheme="minorBidi"/>
              <w:noProof/>
              <w:lang w:eastAsia="en-AU"/>
            </w:rPr>
          </w:pPr>
          <w:hyperlink w:anchor="_Toc479772060" w:history="1">
            <w:r w:rsidRPr="0074026A">
              <w:rPr>
                <w:rStyle w:val="Hyperlink"/>
                <w:noProof/>
              </w:rPr>
              <w:t>Clinical questions</w:t>
            </w:r>
            <w:r>
              <w:rPr>
                <w:noProof/>
                <w:webHidden/>
              </w:rPr>
              <w:tab/>
            </w:r>
            <w:r>
              <w:rPr>
                <w:noProof/>
                <w:webHidden/>
              </w:rPr>
              <w:fldChar w:fldCharType="begin"/>
            </w:r>
            <w:r>
              <w:rPr>
                <w:noProof/>
                <w:webHidden/>
              </w:rPr>
              <w:instrText xml:space="preserve"> PAGEREF _Toc479772060 \h </w:instrText>
            </w:r>
            <w:r>
              <w:rPr>
                <w:noProof/>
                <w:webHidden/>
              </w:rPr>
            </w:r>
            <w:r>
              <w:rPr>
                <w:noProof/>
                <w:webHidden/>
              </w:rPr>
              <w:fldChar w:fldCharType="separate"/>
            </w:r>
            <w:r>
              <w:rPr>
                <w:noProof/>
                <w:webHidden/>
              </w:rPr>
              <w:t>32</w:t>
            </w:r>
            <w:r>
              <w:rPr>
                <w:noProof/>
                <w:webHidden/>
              </w:rPr>
              <w:fldChar w:fldCharType="end"/>
            </w:r>
          </w:hyperlink>
        </w:p>
        <w:p w:rsidR="00985004" w:rsidRDefault="00985004">
          <w:pPr>
            <w:pStyle w:val="TOC3"/>
            <w:rPr>
              <w:rFonts w:asciiTheme="minorHAnsi" w:eastAsiaTheme="minorEastAsia" w:hAnsiTheme="minorHAnsi" w:cstheme="minorBidi"/>
              <w:noProof/>
              <w:lang w:eastAsia="en-AU"/>
            </w:rPr>
          </w:pPr>
          <w:hyperlink w:anchor="_Toc479772061" w:history="1">
            <w:r w:rsidRPr="0074026A">
              <w:rPr>
                <w:rStyle w:val="Hyperlink"/>
                <w:noProof/>
              </w:rPr>
              <w:t>Efficacy</w:t>
            </w:r>
            <w:r>
              <w:rPr>
                <w:noProof/>
                <w:webHidden/>
              </w:rPr>
              <w:tab/>
            </w:r>
            <w:r>
              <w:rPr>
                <w:noProof/>
                <w:webHidden/>
              </w:rPr>
              <w:fldChar w:fldCharType="begin"/>
            </w:r>
            <w:r>
              <w:rPr>
                <w:noProof/>
                <w:webHidden/>
              </w:rPr>
              <w:instrText xml:space="preserve"> PAGEREF _Toc479772061 \h </w:instrText>
            </w:r>
            <w:r>
              <w:rPr>
                <w:noProof/>
                <w:webHidden/>
              </w:rPr>
            </w:r>
            <w:r>
              <w:rPr>
                <w:noProof/>
                <w:webHidden/>
              </w:rPr>
              <w:fldChar w:fldCharType="separate"/>
            </w:r>
            <w:r>
              <w:rPr>
                <w:noProof/>
                <w:webHidden/>
              </w:rPr>
              <w:t>32</w:t>
            </w:r>
            <w:r>
              <w:rPr>
                <w:noProof/>
                <w:webHidden/>
              </w:rPr>
              <w:fldChar w:fldCharType="end"/>
            </w:r>
          </w:hyperlink>
        </w:p>
        <w:p w:rsidR="00985004" w:rsidRDefault="00985004">
          <w:pPr>
            <w:pStyle w:val="TOC3"/>
            <w:rPr>
              <w:rFonts w:asciiTheme="minorHAnsi" w:eastAsiaTheme="minorEastAsia" w:hAnsiTheme="minorHAnsi" w:cstheme="minorBidi"/>
              <w:noProof/>
              <w:lang w:eastAsia="en-AU"/>
            </w:rPr>
          </w:pPr>
          <w:hyperlink w:anchor="_Toc479772062" w:history="1">
            <w:r w:rsidRPr="0074026A">
              <w:rPr>
                <w:rStyle w:val="Hyperlink"/>
                <w:noProof/>
              </w:rPr>
              <w:t>Safety</w:t>
            </w:r>
            <w:r>
              <w:rPr>
                <w:noProof/>
                <w:webHidden/>
              </w:rPr>
              <w:tab/>
            </w:r>
            <w:r>
              <w:rPr>
                <w:noProof/>
                <w:webHidden/>
              </w:rPr>
              <w:fldChar w:fldCharType="begin"/>
            </w:r>
            <w:r>
              <w:rPr>
                <w:noProof/>
                <w:webHidden/>
              </w:rPr>
              <w:instrText xml:space="preserve"> PAGEREF _Toc479772062 \h </w:instrText>
            </w:r>
            <w:r>
              <w:rPr>
                <w:noProof/>
                <w:webHidden/>
              </w:rPr>
            </w:r>
            <w:r>
              <w:rPr>
                <w:noProof/>
                <w:webHidden/>
              </w:rPr>
              <w:fldChar w:fldCharType="separate"/>
            </w:r>
            <w:r>
              <w:rPr>
                <w:noProof/>
                <w:webHidden/>
              </w:rPr>
              <w:t>33</w:t>
            </w:r>
            <w:r>
              <w:rPr>
                <w:noProof/>
                <w:webHidden/>
              </w:rPr>
              <w:fldChar w:fldCharType="end"/>
            </w:r>
          </w:hyperlink>
        </w:p>
        <w:p w:rsidR="00985004" w:rsidRDefault="00985004">
          <w:pPr>
            <w:pStyle w:val="TOC3"/>
            <w:rPr>
              <w:rFonts w:asciiTheme="minorHAnsi" w:eastAsiaTheme="minorEastAsia" w:hAnsiTheme="minorHAnsi" w:cstheme="minorBidi"/>
              <w:noProof/>
              <w:lang w:eastAsia="en-AU"/>
            </w:rPr>
          </w:pPr>
          <w:hyperlink w:anchor="_Toc479772063" w:history="1">
            <w:r w:rsidRPr="0074026A">
              <w:rPr>
                <w:rStyle w:val="Hyperlink"/>
                <w:noProof/>
              </w:rPr>
              <w:t>Second round evaluation of clinical data submitted in response to questions</w:t>
            </w:r>
            <w:r>
              <w:rPr>
                <w:noProof/>
                <w:webHidden/>
              </w:rPr>
              <w:tab/>
            </w:r>
            <w:r>
              <w:rPr>
                <w:noProof/>
                <w:webHidden/>
              </w:rPr>
              <w:fldChar w:fldCharType="begin"/>
            </w:r>
            <w:r>
              <w:rPr>
                <w:noProof/>
                <w:webHidden/>
              </w:rPr>
              <w:instrText xml:space="preserve"> PAGEREF _Toc479772063 \h </w:instrText>
            </w:r>
            <w:r>
              <w:rPr>
                <w:noProof/>
                <w:webHidden/>
              </w:rPr>
            </w:r>
            <w:r>
              <w:rPr>
                <w:noProof/>
                <w:webHidden/>
              </w:rPr>
              <w:fldChar w:fldCharType="separate"/>
            </w:r>
            <w:r>
              <w:rPr>
                <w:noProof/>
                <w:webHidden/>
              </w:rPr>
              <w:t>33</w:t>
            </w:r>
            <w:r>
              <w:rPr>
                <w:noProof/>
                <w:webHidden/>
              </w:rPr>
              <w:fldChar w:fldCharType="end"/>
            </w:r>
          </w:hyperlink>
        </w:p>
        <w:p w:rsidR="00985004" w:rsidRDefault="00985004">
          <w:pPr>
            <w:pStyle w:val="TOC3"/>
            <w:rPr>
              <w:rFonts w:asciiTheme="minorHAnsi" w:eastAsiaTheme="minorEastAsia" w:hAnsiTheme="minorHAnsi" w:cstheme="minorBidi"/>
              <w:noProof/>
              <w:lang w:eastAsia="en-AU"/>
            </w:rPr>
          </w:pPr>
          <w:hyperlink w:anchor="_Toc479772064" w:history="1">
            <w:r w:rsidRPr="0074026A">
              <w:rPr>
                <w:rStyle w:val="Hyperlink"/>
                <w:noProof/>
              </w:rPr>
              <w:t>Second round benefit-risk assessment</w:t>
            </w:r>
            <w:r>
              <w:rPr>
                <w:noProof/>
                <w:webHidden/>
              </w:rPr>
              <w:tab/>
            </w:r>
            <w:r>
              <w:rPr>
                <w:noProof/>
                <w:webHidden/>
              </w:rPr>
              <w:fldChar w:fldCharType="begin"/>
            </w:r>
            <w:r>
              <w:rPr>
                <w:noProof/>
                <w:webHidden/>
              </w:rPr>
              <w:instrText xml:space="preserve"> PAGEREF _Toc479772064 \h </w:instrText>
            </w:r>
            <w:r>
              <w:rPr>
                <w:noProof/>
                <w:webHidden/>
              </w:rPr>
            </w:r>
            <w:r>
              <w:rPr>
                <w:noProof/>
                <w:webHidden/>
              </w:rPr>
              <w:fldChar w:fldCharType="separate"/>
            </w:r>
            <w:r>
              <w:rPr>
                <w:noProof/>
                <w:webHidden/>
              </w:rPr>
              <w:t>34</w:t>
            </w:r>
            <w:r>
              <w:rPr>
                <w:noProof/>
                <w:webHidden/>
              </w:rPr>
              <w:fldChar w:fldCharType="end"/>
            </w:r>
          </w:hyperlink>
        </w:p>
        <w:p w:rsidR="00985004" w:rsidRDefault="00985004">
          <w:pPr>
            <w:pStyle w:val="TOC2"/>
            <w:rPr>
              <w:rFonts w:asciiTheme="minorHAnsi" w:eastAsiaTheme="minorEastAsia" w:hAnsiTheme="minorHAnsi" w:cstheme="minorBidi"/>
              <w:b w:val="0"/>
              <w:noProof/>
              <w:sz w:val="22"/>
              <w:lang w:eastAsia="en-AU"/>
            </w:rPr>
          </w:pPr>
          <w:hyperlink w:anchor="_Toc479772065" w:history="1">
            <w:r w:rsidRPr="0074026A">
              <w:rPr>
                <w:rStyle w:val="Hyperlink"/>
                <w:noProof/>
              </w:rPr>
              <w:t>V. Pharmacovigilance findings</w:t>
            </w:r>
            <w:r>
              <w:rPr>
                <w:noProof/>
                <w:webHidden/>
              </w:rPr>
              <w:tab/>
            </w:r>
            <w:r>
              <w:rPr>
                <w:noProof/>
                <w:webHidden/>
              </w:rPr>
              <w:fldChar w:fldCharType="begin"/>
            </w:r>
            <w:r>
              <w:rPr>
                <w:noProof/>
                <w:webHidden/>
              </w:rPr>
              <w:instrText xml:space="preserve"> PAGEREF _Toc479772065 \h </w:instrText>
            </w:r>
            <w:r>
              <w:rPr>
                <w:noProof/>
                <w:webHidden/>
              </w:rPr>
            </w:r>
            <w:r>
              <w:rPr>
                <w:noProof/>
                <w:webHidden/>
              </w:rPr>
              <w:fldChar w:fldCharType="separate"/>
            </w:r>
            <w:r>
              <w:rPr>
                <w:noProof/>
                <w:webHidden/>
              </w:rPr>
              <w:t>35</w:t>
            </w:r>
            <w:r>
              <w:rPr>
                <w:noProof/>
                <w:webHidden/>
              </w:rPr>
              <w:fldChar w:fldCharType="end"/>
            </w:r>
          </w:hyperlink>
        </w:p>
        <w:p w:rsidR="00985004" w:rsidRDefault="00985004">
          <w:pPr>
            <w:pStyle w:val="TOC3"/>
            <w:rPr>
              <w:rFonts w:asciiTheme="minorHAnsi" w:eastAsiaTheme="minorEastAsia" w:hAnsiTheme="minorHAnsi" w:cstheme="minorBidi"/>
              <w:noProof/>
              <w:lang w:eastAsia="en-AU"/>
            </w:rPr>
          </w:pPr>
          <w:hyperlink w:anchor="_Toc479772066" w:history="1">
            <w:r w:rsidRPr="0074026A">
              <w:rPr>
                <w:rStyle w:val="Hyperlink"/>
                <w:noProof/>
                <w:lang w:eastAsia="en-AU"/>
              </w:rPr>
              <w:t>Risk management plan</w:t>
            </w:r>
            <w:r>
              <w:rPr>
                <w:noProof/>
                <w:webHidden/>
              </w:rPr>
              <w:tab/>
            </w:r>
            <w:r>
              <w:rPr>
                <w:noProof/>
                <w:webHidden/>
              </w:rPr>
              <w:fldChar w:fldCharType="begin"/>
            </w:r>
            <w:r>
              <w:rPr>
                <w:noProof/>
                <w:webHidden/>
              </w:rPr>
              <w:instrText xml:space="preserve"> PAGEREF _Toc479772066 \h </w:instrText>
            </w:r>
            <w:r>
              <w:rPr>
                <w:noProof/>
                <w:webHidden/>
              </w:rPr>
            </w:r>
            <w:r>
              <w:rPr>
                <w:noProof/>
                <w:webHidden/>
              </w:rPr>
              <w:fldChar w:fldCharType="separate"/>
            </w:r>
            <w:r>
              <w:rPr>
                <w:noProof/>
                <w:webHidden/>
              </w:rPr>
              <w:t>35</w:t>
            </w:r>
            <w:r>
              <w:rPr>
                <w:noProof/>
                <w:webHidden/>
              </w:rPr>
              <w:fldChar w:fldCharType="end"/>
            </w:r>
          </w:hyperlink>
        </w:p>
        <w:p w:rsidR="00985004" w:rsidRDefault="00985004">
          <w:pPr>
            <w:pStyle w:val="TOC2"/>
            <w:rPr>
              <w:rFonts w:asciiTheme="minorHAnsi" w:eastAsiaTheme="minorEastAsia" w:hAnsiTheme="minorHAnsi" w:cstheme="minorBidi"/>
              <w:b w:val="0"/>
              <w:noProof/>
              <w:sz w:val="22"/>
              <w:lang w:eastAsia="en-AU"/>
            </w:rPr>
          </w:pPr>
          <w:hyperlink w:anchor="_Toc479772067" w:history="1">
            <w:r w:rsidRPr="0074026A">
              <w:rPr>
                <w:rStyle w:val="Hyperlink"/>
                <w:noProof/>
              </w:rPr>
              <w:t>VI. Overall conclusion and risk/benefit assessment</w:t>
            </w:r>
            <w:r>
              <w:rPr>
                <w:noProof/>
                <w:webHidden/>
              </w:rPr>
              <w:tab/>
            </w:r>
            <w:r>
              <w:rPr>
                <w:noProof/>
                <w:webHidden/>
              </w:rPr>
              <w:fldChar w:fldCharType="begin"/>
            </w:r>
            <w:r>
              <w:rPr>
                <w:noProof/>
                <w:webHidden/>
              </w:rPr>
              <w:instrText xml:space="preserve"> PAGEREF _Toc479772067 \h </w:instrText>
            </w:r>
            <w:r>
              <w:rPr>
                <w:noProof/>
                <w:webHidden/>
              </w:rPr>
            </w:r>
            <w:r>
              <w:rPr>
                <w:noProof/>
                <w:webHidden/>
              </w:rPr>
              <w:fldChar w:fldCharType="separate"/>
            </w:r>
            <w:r>
              <w:rPr>
                <w:noProof/>
                <w:webHidden/>
              </w:rPr>
              <w:t>41</w:t>
            </w:r>
            <w:r>
              <w:rPr>
                <w:noProof/>
                <w:webHidden/>
              </w:rPr>
              <w:fldChar w:fldCharType="end"/>
            </w:r>
          </w:hyperlink>
        </w:p>
        <w:p w:rsidR="00985004" w:rsidRDefault="00985004">
          <w:pPr>
            <w:pStyle w:val="TOC3"/>
            <w:rPr>
              <w:rFonts w:asciiTheme="minorHAnsi" w:eastAsiaTheme="minorEastAsia" w:hAnsiTheme="minorHAnsi" w:cstheme="minorBidi"/>
              <w:noProof/>
              <w:lang w:eastAsia="en-AU"/>
            </w:rPr>
          </w:pPr>
          <w:hyperlink w:anchor="_Toc479772068" w:history="1">
            <w:r w:rsidRPr="0074026A">
              <w:rPr>
                <w:rStyle w:val="Hyperlink"/>
                <w:noProof/>
              </w:rPr>
              <w:t>Delegate 1: Overview of the enthesitis associated arthritis indication</w:t>
            </w:r>
            <w:r>
              <w:rPr>
                <w:noProof/>
                <w:webHidden/>
              </w:rPr>
              <w:tab/>
            </w:r>
            <w:r>
              <w:rPr>
                <w:noProof/>
                <w:webHidden/>
              </w:rPr>
              <w:fldChar w:fldCharType="begin"/>
            </w:r>
            <w:r>
              <w:rPr>
                <w:noProof/>
                <w:webHidden/>
              </w:rPr>
              <w:instrText xml:space="preserve"> PAGEREF _Toc479772068 \h </w:instrText>
            </w:r>
            <w:r>
              <w:rPr>
                <w:noProof/>
                <w:webHidden/>
              </w:rPr>
            </w:r>
            <w:r>
              <w:rPr>
                <w:noProof/>
                <w:webHidden/>
              </w:rPr>
              <w:fldChar w:fldCharType="separate"/>
            </w:r>
            <w:r>
              <w:rPr>
                <w:noProof/>
                <w:webHidden/>
              </w:rPr>
              <w:t>41</w:t>
            </w:r>
            <w:r>
              <w:rPr>
                <w:noProof/>
                <w:webHidden/>
              </w:rPr>
              <w:fldChar w:fldCharType="end"/>
            </w:r>
          </w:hyperlink>
        </w:p>
        <w:p w:rsidR="00985004" w:rsidRDefault="00985004">
          <w:pPr>
            <w:pStyle w:val="TOC3"/>
            <w:rPr>
              <w:rFonts w:asciiTheme="minorHAnsi" w:eastAsiaTheme="minorEastAsia" w:hAnsiTheme="minorHAnsi" w:cstheme="minorBidi"/>
              <w:noProof/>
              <w:lang w:eastAsia="en-AU"/>
            </w:rPr>
          </w:pPr>
          <w:hyperlink w:anchor="_Toc479772069" w:history="1">
            <w:r w:rsidRPr="0074026A">
              <w:rPr>
                <w:rStyle w:val="Hyperlink"/>
                <w:noProof/>
              </w:rPr>
              <w:t>Delegate 2: Paediatric psoriasis indication</w:t>
            </w:r>
            <w:r>
              <w:rPr>
                <w:noProof/>
                <w:webHidden/>
              </w:rPr>
              <w:tab/>
            </w:r>
            <w:r>
              <w:rPr>
                <w:noProof/>
                <w:webHidden/>
              </w:rPr>
              <w:fldChar w:fldCharType="begin"/>
            </w:r>
            <w:r>
              <w:rPr>
                <w:noProof/>
                <w:webHidden/>
              </w:rPr>
              <w:instrText xml:space="preserve"> PAGEREF _Toc479772069 \h </w:instrText>
            </w:r>
            <w:r>
              <w:rPr>
                <w:noProof/>
                <w:webHidden/>
              </w:rPr>
            </w:r>
            <w:r>
              <w:rPr>
                <w:noProof/>
                <w:webHidden/>
              </w:rPr>
              <w:fldChar w:fldCharType="separate"/>
            </w:r>
            <w:r>
              <w:rPr>
                <w:noProof/>
                <w:webHidden/>
              </w:rPr>
              <w:t>48</w:t>
            </w:r>
            <w:r>
              <w:rPr>
                <w:noProof/>
                <w:webHidden/>
              </w:rPr>
              <w:fldChar w:fldCharType="end"/>
            </w:r>
          </w:hyperlink>
        </w:p>
        <w:p w:rsidR="00985004" w:rsidRDefault="00985004">
          <w:pPr>
            <w:pStyle w:val="TOC3"/>
            <w:rPr>
              <w:rFonts w:asciiTheme="minorHAnsi" w:eastAsiaTheme="minorEastAsia" w:hAnsiTheme="minorHAnsi" w:cstheme="minorBidi"/>
              <w:noProof/>
              <w:lang w:eastAsia="en-AU"/>
            </w:rPr>
          </w:pPr>
          <w:hyperlink w:anchor="_Toc479772070" w:history="1">
            <w:r w:rsidRPr="0074026A">
              <w:rPr>
                <w:rStyle w:val="Hyperlink"/>
                <w:noProof/>
              </w:rPr>
              <w:t>Outcome</w:t>
            </w:r>
            <w:r>
              <w:rPr>
                <w:noProof/>
                <w:webHidden/>
              </w:rPr>
              <w:tab/>
            </w:r>
            <w:r>
              <w:rPr>
                <w:noProof/>
                <w:webHidden/>
              </w:rPr>
              <w:fldChar w:fldCharType="begin"/>
            </w:r>
            <w:r>
              <w:rPr>
                <w:noProof/>
                <w:webHidden/>
              </w:rPr>
              <w:instrText xml:space="preserve"> PAGEREF _Toc479772070 \h </w:instrText>
            </w:r>
            <w:r>
              <w:rPr>
                <w:noProof/>
                <w:webHidden/>
              </w:rPr>
            </w:r>
            <w:r>
              <w:rPr>
                <w:noProof/>
                <w:webHidden/>
              </w:rPr>
              <w:fldChar w:fldCharType="separate"/>
            </w:r>
            <w:r>
              <w:rPr>
                <w:noProof/>
                <w:webHidden/>
              </w:rPr>
              <w:t>57</w:t>
            </w:r>
            <w:r>
              <w:rPr>
                <w:noProof/>
                <w:webHidden/>
              </w:rPr>
              <w:fldChar w:fldCharType="end"/>
            </w:r>
          </w:hyperlink>
        </w:p>
        <w:p w:rsidR="00985004" w:rsidRDefault="00985004">
          <w:pPr>
            <w:pStyle w:val="TOC2"/>
            <w:rPr>
              <w:rFonts w:asciiTheme="minorHAnsi" w:eastAsiaTheme="minorEastAsia" w:hAnsiTheme="minorHAnsi" w:cstheme="minorBidi"/>
              <w:b w:val="0"/>
              <w:noProof/>
              <w:sz w:val="22"/>
              <w:lang w:eastAsia="en-AU"/>
            </w:rPr>
          </w:pPr>
          <w:hyperlink w:anchor="_Toc479772071" w:history="1">
            <w:r w:rsidRPr="0074026A">
              <w:rPr>
                <w:rStyle w:val="Hyperlink"/>
                <w:noProof/>
              </w:rPr>
              <w:t>Attachment 1. Product Information</w:t>
            </w:r>
            <w:r>
              <w:rPr>
                <w:noProof/>
                <w:webHidden/>
              </w:rPr>
              <w:tab/>
            </w:r>
            <w:r>
              <w:rPr>
                <w:noProof/>
                <w:webHidden/>
              </w:rPr>
              <w:fldChar w:fldCharType="begin"/>
            </w:r>
            <w:r>
              <w:rPr>
                <w:noProof/>
                <w:webHidden/>
              </w:rPr>
              <w:instrText xml:space="preserve"> PAGEREF _Toc479772071 \h </w:instrText>
            </w:r>
            <w:r>
              <w:rPr>
                <w:noProof/>
                <w:webHidden/>
              </w:rPr>
            </w:r>
            <w:r>
              <w:rPr>
                <w:noProof/>
                <w:webHidden/>
              </w:rPr>
              <w:fldChar w:fldCharType="separate"/>
            </w:r>
            <w:r>
              <w:rPr>
                <w:noProof/>
                <w:webHidden/>
              </w:rPr>
              <w:t>58</w:t>
            </w:r>
            <w:r>
              <w:rPr>
                <w:noProof/>
                <w:webHidden/>
              </w:rPr>
              <w:fldChar w:fldCharType="end"/>
            </w:r>
          </w:hyperlink>
        </w:p>
        <w:p w:rsidR="00985004" w:rsidRDefault="00985004">
          <w:pPr>
            <w:pStyle w:val="TOC2"/>
            <w:rPr>
              <w:rFonts w:asciiTheme="minorHAnsi" w:eastAsiaTheme="minorEastAsia" w:hAnsiTheme="minorHAnsi" w:cstheme="minorBidi"/>
              <w:b w:val="0"/>
              <w:noProof/>
              <w:sz w:val="22"/>
              <w:lang w:eastAsia="en-AU"/>
            </w:rPr>
          </w:pPr>
          <w:hyperlink w:anchor="_Toc479772072" w:history="1">
            <w:r w:rsidRPr="0074026A">
              <w:rPr>
                <w:rStyle w:val="Hyperlink"/>
                <w:noProof/>
                <w:lang w:eastAsia="en-AU"/>
              </w:rPr>
              <w:t>Attachment 2. Extract from the Clinical Evaluation Report</w:t>
            </w:r>
            <w:r>
              <w:rPr>
                <w:noProof/>
                <w:webHidden/>
              </w:rPr>
              <w:tab/>
            </w:r>
            <w:r>
              <w:rPr>
                <w:noProof/>
                <w:webHidden/>
              </w:rPr>
              <w:fldChar w:fldCharType="begin"/>
            </w:r>
            <w:r>
              <w:rPr>
                <w:noProof/>
                <w:webHidden/>
              </w:rPr>
              <w:instrText xml:space="preserve"> PAGEREF _Toc479772072 \h </w:instrText>
            </w:r>
            <w:r>
              <w:rPr>
                <w:noProof/>
                <w:webHidden/>
              </w:rPr>
            </w:r>
            <w:r>
              <w:rPr>
                <w:noProof/>
                <w:webHidden/>
              </w:rPr>
              <w:fldChar w:fldCharType="separate"/>
            </w:r>
            <w:r>
              <w:rPr>
                <w:noProof/>
                <w:webHidden/>
              </w:rPr>
              <w:t>58</w:t>
            </w:r>
            <w:r>
              <w:rPr>
                <w:noProof/>
                <w:webHidden/>
              </w:rPr>
              <w:fldChar w:fldCharType="end"/>
            </w:r>
          </w:hyperlink>
        </w:p>
        <w:p w:rsidR="003A7F6C" w:rsidRPr="00B811C6" w:rsidRDefault="00DB6124" w:rsidP="00B811C6">
          <w:pPr>
            <w:pStyle w:val="TOC2"/>
          </w:pPr>
          <w:r>
            <w:fldChar w:fldCharType="end"/>
          </w:r>
        </w:p>
      </w:sdtContent>
    </w:sdt>
    <w:bookmarkStart w:id="3" w:name="_Toc314842482" w:displacedByCustomXml="prev"/>
    <w:p w:rsidR="00FD119B" w:rsidRDefault="00FD119B">
      <w:pPr>
        <w:spacing w:before="0" w:after="200" w:line="0" w:lineRule="auto"/>
      </w:pPr>
      <w:r>
        <w:br w:type="page"/>
      </w:r>
    </w:p>
    <w:p w:rsidR="00FD119B" w:rsidRDefault="00441C3F" w:rsidP="004F0C4A">
      <w:pPr>
        <w:pStyle w:val="Heading2"/>
      </w:pPr>
      <w:bookmarkStart w:id="4" w:name="_Toc351716269"/>
      <w:bookmarkStart w:id="5" w:name="_Toc351718881"/>
      <w:bookmarkStart w:id="6" w:name="_Toc355338616"/>
      <w:bookmarkStart w:id="7" w:name="_Toc356306144"/>
      <w:bookmarkStart w:id="8" w:name="_Toc479772043"/>
      <w:r>
        <w:lastRenderedPageBreak/>
        <w:t>Common</w:t>
      </w:r>
      <w:r w:rsidR="00FD119B" w:rsidRPr="00FD119B">
        <w:t xml:space="preserve"> abbreviations</w:t>
      </w:r>
      <w:bookmarkEnd w:id="4"/>
      <w:bookmarkEnd w:id="5"/>
      <w:bookmarkEnd w:id="6"/>
      <w:bookmarkEnd w:id="7"/>
      <w:bookmarkEnd w:id="8"/>
    </w:p>
    <w:tbl>
      <w:tblPr>
        <w:tblStyle w:val="TableTGAblue"/>
        <w:tblW w:w="0" w:type="auto"/>
        <w:tblLook w:val="04A0" w:firstRow="1" w:lastRow="0" w:firstColumn="1" w:lastColumn="0" w:noHBand="0" w:noVBand="1"/>
      </w:tblPr>
      <w:tblGrid>
        <w:gridCol w:w="2235"/>
        <w:gridCol w:w="6485"/>
      </w:tblGrid>
      <w:tr w:rsidR="00295ED7" w:rsidTr="00295ED7">
        <w:trPr>
          <w:cnfStyle w:val="100000000000" w:firstRow="1" w:lastRow="0" w:firstColumn="0" w:lastColumn="0" w:oddVBand="0" w:evenVBand="0" w:oddHBand="0" w:evenHBand="0" w:firstRowFirstColumn="0" w:firstRowLastColumn="0" w:lastRowFirstColumn="0" w:lastRowLastColumn="0"/>
        </w:trPr>
        <w:tc>
          <w:tcPr>
            <w:tcW w:w="2235" w:type="dxa"/>
          </w:tcPr>
          <w:p w:rsidR="00295ED7" w:rsidRPr="008414E2" w:rsidRDefault="00295ED7" w:rsidP="008414E2">
            <w:pPr>
              <w:rPr>
                <w:rFonts w:asciiTheme="minorHAnsi" w:hAnsiTheme="minorHAnsi"/>
                <w:sz w:val="20"/>
                <w:szCs w:val="20"/>
              </w:rPr>
            </w:pPr>
            <w:r w:rsidRPr="008414E2">
              <w:rPr>
                <w:rFonts w:asciiTheme="minorHAnsi" w:hAnsiTheme="minorHAnsi"/>
                <w:sz w:val="20"/>
                <w:szCs w:val="20"/>
              </w:rPr>
              <w:t>Abbreviation</w:t>
            </w:r>
          </w:p>
        </w:tc>
        <w:tc>
          <w:tcPr>
            <w:tcW w:w="6485" w:type="dxa"/>
          </w:tcPr>
          <w:p w:rsidR="00295ED7" w:rsidRPr="008414E2" w:rsidRDefault="00295ED7" w:rsidP="008414E2">
            <w:pPr>
              <w:rPr>
                <w:rFonts w:asciiTheme="minorHAnsi" w:hAnsiTheme="minorHAnsi"/>
                <w:sz w:val="20"/>
                <w:szCs w:val="20"/>
              </w:rPr>
            </w:pPr>
            <w:r w:rsidRPr="008414E2">
              <w:rPr>
                <w:rFonts w:asciiTheme="minorHAnsi" w:hAnsiTheme="minorHAnsi"/>
                <w:sz w:val="20"/>
                <w:szCs w:val="20"/>
              </w:rPr>
              <w:t>Meaning</w:t>
            </w:r>
          </w:p>
        </w:tc>
      </w:tr>
      <w:tr w:rsidR="00295ED7" w:rsidRPr="002F2961" w:rsidTr="00295ED7">
        <w:trPr>
          <w:trHeight w:val="267"/>
        </w:trPr>
        <w:tc>
          <w:tcPr>
            <w:tcW w:w="2235" w:type="dxa"/>
            <w:noWrap/>
          </w:tcPr>
          <w:p w:rsidR="00295ED7" w:rsidRPr="008414E2" w:rsidRDefault="00295ED7" w:rsidP="008414E2">
            <w:pPr>
              <w:rPr>
                <w:rFonts w:asciiTheme="minorHAnsi" w:hAnsiTheme="minorHAnsi"/>
                <w:sz w:val="20"/>
                <w:szCs w:val="20"/>
              </w:rPr>
            </w:pPr>
            <w:r w:rsidRPr="008414E2">
              <w:rPr>
                <w:rFonts w:asciiTheme="minorHAnsi" w:hAnsiTheme="minorHAnsi"/>
                <w:sz w:val="20"/>
                <w:szCs w:val="20"/>
              </w:rPr>
              <w:t>AAA</w:t>
            </w:r>
          </w:p>
        </w:tc>
        <w:tc>
          <w:tcPr>
            <w:tcW w:w="6485" w:type="dxa"/>
            <w:noWrap/>
          </w:tcPr>
          <w:p w:rsidR="00295ED7" w:rsidRPr="008414E2" w:rsidRDefault="00295ED7" w:rsidP="008414E2">
            <w:pPr>
              <w:rPr>
                <w:rFonts w:asciiTheme="minorHAnsi" w:hAnsiTheme="minorHAnsi"/>
                <w:sz w:val="20"/>
                <w:szCs w:val="20"/>
              </w:rPr>
            </w:pPr>
            <w:r w:rsidRPr="008414E2">
              <w:rPr>
                <w:rFonts w:asciiTheme="minorHAnsi" w:hAnsiTheme="minorHAnsi"/>
                <w:sz w:val="20"/>
                <w:szCs w:val="20"/>
              </w:rPr>
              <w:t>Anti-Adalimumab Antibody</w:t>
            </w:r>
          </w:p>
        </w:tc>
      </w:tr>
      <w:tr w:rsidR="00295ED7" w:rsidRPr="002F2961" w:rsidTr="00295ED7">
        <w:trPr>
          <w:trHeight w:val="267"/>
        </w:trPr>
        <w:tc>
          <w:tcPr>
            <w:tcW w:w="2235" w:type="dxa"/>
            <w:noWrap/>
          </w:tcPr>
          <w:p w:rsidR="00295ED7" w:rsidRPr="008414E2" w:rsidRDefault="00295ED7" w:rsidP="008414E2">
            <w:pPr>
              <w:rPr>
                <w:rFonts w:asciiTheme="minorHAnsi" w:hAnsiTheme="minorHAnsi"/>
                <w:sz w:val="20"/>
                <w:szCs w:val="20"/>
              </w:rPr>
            </w:pPr>
            <w:r w:rsidRPr="008414E2">
              <w:rPr>
                <w:rFonts w:asciiTheme="minorHAnsi" w:hAnsiTheme="minorHAnsi"/>
                <w:sz w:val="20"/>
                <w:szCs w:val="20"/>
              </w:rPr>
              <w:t>ACR</w:t>
            </w:r>
          </w:p>
        </w:tc>
        <w:tc>
          <w:tcPr>
            <w:tcW w:w="6485" w:type="dxa"/>
            <w:noWrap/>
          </w:tcPr>
          <w:p w:rsidR="00295ED7" w:rsidRPr="008414E2" w:rsidRDefault="00295ED7" w:rsidP="008414E2">
            <w:pPr>
              <w:rPr>
                <w:rFonts w:asciiTheme="minorHAnsi" w:hAnsiTheme="minorHAnsi"/>
                <w:sz w:val="20"/>
                <w:szCs w:val="20"/>
              </w:rPr>
            </w:pPr>
            <w:r w:rsidRPr="008414E2">
              <w:rPr>
                <w:rFonts w:asciiTheme="minorHAnsi" w:hAnsiTheme="minorHAnsi"/>
                <w:sz w:val="20"/>
                <w:szCs w:val="20"/>
              </w:rPr>
              <w:t>American College of Rheumatology</w:t>
            </w:r>
          </w:p>
        </w:tc>
      </w:tr>
      <w:tr w:rsidR="00295ED7" w:rsidRPr="002F2961" w:rsidTr="00295ED7">
        <w:trPr>
          <w:trHeight w:val="267"/>
        </w:trPr>
        <w:tc>
          <w:tcPr>
            <w:tcW w:w="2235" w:type="dxa"/>
            <w:noWrap/>
          </w:tcPr>
          <w:p w:rsidR="00295ED7" w:rsidRPr="008414E2" w:rsidRDefault="00295ED7" w:rsidP="008414E2">
            <w:pPr>
              <w:rPr>
                <w:rFonts w:asciiTheme="minorHAnsi" w:hAnsiTheme="minorHAnsi"/>
                <w:sz w:val="20"/>
                <w:szCs w:val="20"/>
              </w:rPr>
            </w:pPr>
            <w:r w:rsidRPr="008414E2">
              <w:rPr>
                <w:rFonts w:asciiTheme="minorHAnsi" w:hAnsiTheme="minorHAnsi"/>
                <w:sz w:val="20"/>
                <w:szCs w:val="20"/>
              </w:rPr>
              <w:t>ADA</w:t>
            </w:r>
          </w:p>
        </w:tc>
        <w:tc>
          <w:tcPr>
            <w:tcW w:w="6485" w:type="dxa"/>
            <w:noWrap/>
          </w:tcPr>
          <w:p w:rsidR="00295ED7" w:rsidRPr="008414E2" w:rsidRDefault="00295ED7" w:rsidP="008414E2">
            <w:pPr>
              <w:rPr>
                <w:rFonts w:asciiTheme="minorHAnsi" w:hAnsiTheme="minorHAnsi"/>
                <w:sz w:val="20"/>
                <w:szCs w:val="20"/>
              </w:rPr>
            </w:pPr>
            <w:r w:rsidRPr="008414E2">
              <w:rPr>
                <w:rFonts w:asciiTheme="minorHAnsi" w:hAnsiTheme="minorHAnsi"/>
                <w:sz w:val="20"/>
                <w:szCs w:val="20"/>
              </w:rPr>
              <w:t>Adalimumab</w:t>
            </w:r>
          </w:p>
        </w:tc>
      </w:tr>
      <w:tr w:rsidR="00295ED7" w:rsidRPr="002F2961" w:rsidTr="00295ED7">
        <w:trPr>
          <w:trHeight w:val="267"/>
        </w:trPr>
        <w:tc>
          <w:tcPr>
            <w:tcW w:w="2235" w:type="dxa"/>
            <w:noWrap/>
          </w:tcPr>
          <w:p w:rsidR="00295ED7" w:rsidRPr="008414E2" w:rsidRDefault="00295ED7" w:rsidP="008414E2">
            <w:pPr>
              <w:rPr>
                <w:rFonts w:asciiTheme="minorHAnsi" w:hAnsiTheme="minorHAnsi"/>
                <w:sz w:val="20"/>
                <w:szCs w:val="20"/>
              </w:rPr>
            </w:pPr>
            <w:r w:rsidRPr="008414E2">
              <w:rPr>
                <w:rFonts w:asciiTheme="minorHAnsi" w:hAnsiTheme="minorHAnsi"/>
                <w:sz w:val="20"/>
                <w:szCs w:val="20"/>
              </w:rPr>
              <w:t>AE</w:t>
            </w:r>
          </w:p>
        </w:tc>
        <w:tc>
          <w:tcPr>
            <w:tcW w:w="6485" w:type="dxa"/>
            <w:noWrap/>
          </w:tcPr>
          <w:p w:rsidR="00295ED7" w:rsidRPr="008414E2" w:rsidRDefault="00295ED7" w:rsidP="008414E2">
            <w:pPr>
              <w:rPr>
                <w:rFonts w:asciiTheme="minorHAnsi" w:hAnsiTheme="minorHAnsi"/>
                <w:sz w:val="20"/>
                <w:szCs w:val="20"/>
              </w:rPr>
            </w:pPr>
            <w:r w:rsidRPr="008414E2">
              <w:rPr>
                <w:rFonts w:asciiTheme="minorHAnsi" w:hAnsiTheme="minorHAnsi"/>
                <w:sz w:val="20"/>
                <w:szCs w:val="20"/>
              </w:rPr>
              <w:t>Adverse Event</w:t>
            </w:r>
          </w:p>
        </w:tc>
      </w:tr>
      <w:tr w:rsidR="00295ED7" w:rsidRPr="002F2961" w:rsidTr="00295ED7">
        <w:trPr>
          <w:trHeight w:val="267"/>
        </w:trPr>
        <w:tc>
          <w:tcPr>
            <w:tcW w:w="2235" w:type="dxa"/>
            <w:noWrap/>
          </w:tcPr>
          <w:p w:rsidR="00295ED7" w:rsidRPr="008414E2" w:rsidRDefault="00295ED7" w:rsidP="008414E2">
            <w:pPr>
              <w:rPr>
                <w:rFonts w:asciiTheme="minorHAnsi" w:hAnsiTheme="minorHAnsi"/>
                <w:sz w:val="20"/>
                <w:szCs w:val="20"/>
              </w:rPr>
            </w:pPr>
            <w:r w:rsidRPr="008414E2">
              <w:rPr>
                <w:rFonts w:asciiTheme="minorHAnsi" w:hAnsiTheme="minorHAnsi"/>
                <w:sz w:val="20"/>
                <w:szCs w:val="20"/>
              </w:rPr>
              <w:t>AJC</w:t>
            </w:r>
          </w:p>
        </w:tc>
        <w:tc>
          <w:tcPr>
            <w:tcW w:w="6485" w:type="dxa"/>
            <w:noWrap/>
          </w:tcPr>
          <w:p w:rsidR="00295ED7" w:rsidRPr="008414E2" w:rsidRDefault="00295ED7" w:rsidP="008414E2">
            <w:pPr>
              <w:rPr>
                <w:rFonts w:asciiTheme="minorHAnsi" w:hAnsiTheme="minorHAnsi"/>
                <w:sz w:val="20"/>
                <w:szCs w:val="20"/>
              </w:rPr>
            </w:pPr>
            <w:r w:rsidRPr="008414E2">
              <w:rPr>
                <w:rFonts w:asciiTheme="minorHAnsi" w:hAnsiTheme="minorHAnsi"/>
                <w:sz w:val="20"/>
                <w:szCs w:val="20"/>
              </w:rPr>
              <w:t>Active Joint Count</w:t>
            </w:r>
          </w:p>
        </w:tc>
      </w:tr>
      <w:tr w:rsidR="00295ED7" w:rsidRPr="002F2961" w:rsidTr="00295ED7">
        <w:trPr>
          <w:trHeight w:val="267"/>
        </w:trPr>
        <w:tc>
          <w:tcPr>
            <w:tcW w:w="2235" w:type="dxa"/>
            <w:noWrap/>
          </w:tcPr>
          <w:p w:rsidR="00295ED7" w:rsidRPr="008414E2" w:rsidRDefault="00295ED7" w:rsidP="008414E2">
            <w:pPr>
              <w:rPr>
                <w:rFonts w:asciiTheme="minorHAnsi" w:hAnsiTheme="minorHAnsi"/>
                <w:sz w:val="20"/>
                <w:szCs w:val="20"/>
              </w:rPr>
            </w:pPr>
            <w:r w:rsidRPr="008414E2">
              <w:rPr>
                <w:rFonts w:asciiTheme="minorHAnsi" w:hAnsiTheme="minorHAnsi"/>
                <w:sz w:val="20"/>
                <w:szCs w:val="20"/>
              </w:rPr>
              <w:t>AS</w:t>
            </w:r>
          </w:p>
        </w:tc>
        <w:tc>
          <w:tcPr>
            <w:tcW w:w="6485" w:type="dxa"/>
            <w:noWrap/>
          </w:tcPr>
          <w:p w:rsidR="00295ED7" w:rsidRPr="008414E2" w:rsidRDefault="00295ED7" w:rsidP="008414E2">
            <w:pPr>
              <w:rPr>
                <w:rFonts w:asciiTheme="minorHAnsi" w:hAnsiTheme="minorHAnsi"/>
                <w:sz w:val="20"/>
                <w:szCs w:val="20"/>
              </w:rPr>
            </w:pPr>
            <w:r w:rsidRPr="008414E2">
              <w:rPr>
                <w:rFonts w:asciiTheme="minorHAnsi" w:hAnsiTheme="minorHAnsi"/>
                <w:sz w:val="20"/>
                <w:szCs w:val="20"/>
              </w:rPr>
              <w:t>Ankylosing Spondylitis</w:t>
            </w:r>
          </w:p>
        </w:tc>
      </w:tr>
      <w:tr w:rsidR="00295ED7" w:rsidRPr="002F2961" w:rsidTr="00295ED7">
        <w:trPr>
          <w:trHeight w:val="267"/>
        </w:trPr>
        <w:tc>
          <w:tcPr>
            <w:tcW w:w="2235" w:type="dxa"/>
            <w:noWrap/>
          </w:tcPr>
          <w:p w:rsidR="00295ED7" w:rsidRPr="008414E2" w:rsidRDefault="00295ED7" w:rsidP="008414E2">
            <w:pPr>
              <w:rPr>
                <w:rFonts w:asciiTheme="minorHAnsi" w:hAnsiTheme="minorHAnsi"/>
                <w:sz w:val="20"/>
                <w:szCs w:val="20"/>
              </w:rPr>
            </w:pPr>
            <w:r w:rsidRPr="008414E2">
              <w:rPr>
                <w:rFonts w:asciiTheme="minorHAnsi" w:hAnsiTheme="minorHAnsi"/>
                <w:sz w:val="20"/>
                <w:szCs w:val="20"/>
              </w:rPr>
              <w:t>ANA</w:t>
            </w:r>
          </w:p>
        </w:tc>
        <w:tc>
          <w:tcPr>
            <w:tcW w:w="6485" w:type="dxa"/>
            <w:noWrap/>
          </w:tcPr>
          <w:p w:rsidR="00295ED7" w:rsidRPr="008414E2" w:rsidRDefault="00295ED7" w:rsidP="008414E2">
            <w:pPr>
              <w:rPr>
                <w:rFonts w:asciiTheme="minorHAnsi" w:hAnsiTheme="minorHAnsi"/>
                <w:sz w:val="20"/>
                <w:szCs w:val="20"/>
              </w:rPr>
            </w:pPr>
            <w:r w:rsidRPr="008414E2">
              <w:rPr>
                <w:rFonts w:asciiTheme="minorHAnsi" w:hAnsiTheme="minorHAnsi"/>
                <w:sz w:val="20"/>
                <w:szCs w:val="20"/>
              </w:rPr>
              <w:t>Antinuclear Antibody</w:t>
            </w:r>
          </w:p>
        </w:tc>
      </w:tr>
      <w:tr w:rsidR="00295ED7" w:rsidTr="00295ED7">
        <w:trPr>
          <w:trHeight w:val="267"/>
        </w:trPr>
        <w:tc>
          <w:tcPr>
            <w:tcW w:w="2235" w:type="dxa"/>
            <w:noWrap/>
          </w:tcPr>
          <w:p w:rsidR="00295ED7" w:rsidRPr="008414E2" w:rsidRDefault="00295ED7" w:rsidP="008414E2">
            <w:pPr>
              <w:rPr>
                <w:rFonts w:asciiTheme="minorHAnsi" w:hAnsiTheme="minorHAnsi"/>
                <w:sz w:val="20"/>
                <w:szCs w:val="20"/>
              </w:rPr>
            </w:pPr>
            <w:r w:rsidRPr="008414E2">
              <w:rPr>
                <w:rFonts w:asciiTheme="minorHAnsi" w:hAnsiTheme="minorHAnsi"/>
                <w:sz w:val="20"/>
                <w:szCs w:val="20"/>
              </w:rPr>
              <w:t>BASDAI</w:t>
            </w:r>
          </w:p>
        </w:tc>
        <w:tc>
          <w:tcPr>
            <w:tcW w:w="6485" w:type="dxa"/>
            <w:noWrap/>
          </w:tcPr>
          <w:p w:rsidR="00295ED7" w:rsidRPr="008414E2" w:rsidRDefault="00295ED7" w:rsidP="008414E2">
            <w:pPr>
              <w:rPr>
                <w:rFonts w:asciiTheme="minorHAnsi" w:hAnsiTheme="minorHAnsi"/>
                <w:sz w:val="20"/>
                <w:szCs w:val="20"/>
              </w:rPr>
            </w:pPr>
            <w:r w:rsidRPr="008414E2">
              <w:rPr>
                <w:rFonts w:asciiTheme="minorHAnsi" w:hAnsiTheme="minorHAnsi"/>
                <w:sz w:val="20"/>
                <w:szCs w:val="20"/>
              </w:rPr>
              <w:t>Bath Ankylosing Spondylitis Disease Activity Index</w:t>
            </w:r>
          </w:p>
        </w:tc>
      </w:tr>
      <w:tr w:rsidR="00295ED7" w:rsidRPr="002F2961" w:rsidTr="00295ED7">
        <w:trPr>
          <w:trHeight w:val="267"/>
        </w:trPr>
        <w:tc>
          <w:tcPr>
            <w:tcW w:w="2235" w:type="dxa"/>
            <w:noWrap/>
          </w:tcPr>
          <w:p w:rsidR="00295ED7" w:rsidRPr="008414E2" w:rsidRDefault="00295ED7" w:rsidP="008414E2">
            <w:pPr>
              <w:rPr>
                <w:rFonts w:asciiTheme="minorHAnsi" w:hAnsiTheme="minorHAnsi"/>
                <w:sz w:val="20"/>
                <w:szCs w:val="20"/>
              </w:rPr>
            </w:pPr>
            <w:r w:rsidRPr="008414E2">
              <w:rPr>
                <w:rFonts w:asciiTheme="minorHAnsi" w:hAnsiTheme="minorHAnsi"/>
                <w:sz w:val="20"/>
                <w:szCs w:val="20"/>
              </w:rPr>
              <w:t>BSA</w:t>
            </w:r>
          </w:p>
        </w:tc>
        <w:tc>
          <w:tcPr>
            <w:tcW w:w="6485" w:type="dxa"/>
            <w:noWrap/>
          </w:tcPr>
          <w:p w:rsidR="00295ED7" w:rsidRPr="008414E2" w:rsidRDefault="00295ED7" w:rsidP="008414E2">
            <w:pPr>
              <w:rPr>
                <w:rFonts w:asciiTheme="minorHAnsi" w:hAnsiTheme="minorHAnsi"/>
                <w:sz w:val="20"/>
                <w:szCs w:val="20"/>
              </w:rPr>
            </w:pPr>
            <w:r w:rsidRPr="008414E2">
              <w:rPr>
                <w:rFonts w:asciiTheme="minorHAnsi" w:hAnsiTheme="minorHAnsi"/>
                <w:sz w:val="20"/>
                <w:szCs w:val="20"/>
              </w:rPr>
              <w:t>Body Surface Area</w:t>
            </w:r>
          </w:p>
        </w:tc>
      </w:tr>
      <w:tr w:rsidR="00295ED7" w:rsidRPr="00A92E88" w:rsidTr="00295ED7">
        <w:trPr>
          <w:trHeight w:val="267"/>
        </w:trPr>
        <w:tc>
          <w:tcPr>
            <w:tcW w:w="2235" w:type="dxa"/>
            <w:noWrap/>
          </w:tcPr>
          <w:p w:rsidR="00295ED7" w:rsidRPr="008414E2" w:rsidRDefault="00295ED7" w:rsidP="008414E2">
            <w:pPr>
              <w:rPr>
                <w:rFonts w:asciiTheme="minorHAnsi" w:hAnsiTheme="minorHAnsi"/>
                <w:sz w:val="20"/>
                <w:szCs w:val="20"/>
              </w:rPr>
            </w:pPr>
            <w:r w:rsidRPr="008414E2">
              <w:rPr>
                <w:rFonts w:asciiTheme="minorHAnsi" w:hAnsiTheme="minorHAnsi"/>
                <w:sz w:val="20"/>
                <w:szCs w:val="20"/>
              </w:rPr>
              <w:t>CD</w:t>
            </w:r>
          </w:p>
        </w:tc>
        <w:tc>
          <w:tcPr>
            <w:tcW w:w="6485" w:type="dxa"/>
            <w:noWrap/>
          </w:tcPr>
          <w:p w:rsidR="00295ED7" w:rsidRPr="008414E2" w:rsidRDefault="00295ED7" w:rsidP="008414E2">
            <w:pPr>
              <w:rPr>
                <w:rFonts w:asciiTheme="minorHAnsi" w:hAnsiTheme="minorHAnsi"/>
                <w:sz w:val="20"/>
                <w:szCs w:val="20"/>
              </w:rPr>
            </w:pPr>
            <w:r w:rsidRPr="008414E2">
              <w:rPr>
                <w:rFonts w:asciiTheme="minorHAnsi" w:hAnsiTheme="minorHAnsi"/>
                <w:sz w:val="20"/>
                <w:szCs w:val="20"/>
              </w:rPr>
              <w:t>Crohn’s disease</w:t>
            </w:r>
          </w:p>
        </w:tc>
      </w:tr>
      <w:tr w:rsidR="00295ED7" w:rsidRPr="00A92E88" w:rsidTr="00295ED7">
        <w:trPr>
          <w:trHeight w:val="267"/>
        </w:trPr>
        <w:tc>
          <w:tcPr>
            <w:tcW w:w="2235" w:type="dxa"/>
            <w:noWrap/>
          </w:tcPr>
          <w:p w:rsidR="00295ED7" w:rsidRPr="008414E2" w:rsidRDefault="00295ED7" w:rsidP="008414E2">
            <w:pPr>
              <w:rPr>
                <w:rFonts w:asciiTheme="minorHAnsi" w:hAnsiTheme="minorHAnsi"/>
                <w:sz w:val="20"/>
                <w:szCs w:val="20"/>
              </w:rPr>
            </w:pPr>
            <w:r w:rsidRPr="008414E2">
              <w:rPr>
                <w:rFonts w:asciiTheme="minorHAnsi" w:hAnsiTheme="minorHAnsi"/>
                <w:sz w:val="20"/>
                <w:szCs w:val="20"/>
              </w:rPr>
              <w:t>CDLQI</w:t>
            </w:r>
          </w:p>
        </w:tc>
        <w:tc>
          <w:tcPr>
            <w:tcW w:w="6485" w:type="dxa"/>
            <w:noWrap/>
          </w:tcPr>
          <w:p w:rsidR="00295ED7" w:rsidRPr="008414E2" w:rsidRDefault="00295ED7" w:rsidP="008414E2">
            <w:pPr>
              <w:rPr>
                <w:rFonts w:asciiTheme="minorHAnsi" w:hAnsiTheme="minorHAnsi"/>
                <w:sz w:val="20"/>
                <w:szCs w:val="20"/>
              </w:rPr>
            </w:pPr>
            <w:r w:rsidRPr="008414E2">
              <w:rPr>
                <w:rFonts w:asciiTheme="minorHAnsi" w:hAnsiTheme="minorHAnsi"/>
                <w:sz w:val="20"/>
                <w:szCs w:val="20"/>
              </w:rPr>
              <w:t>Children's Dermatology Life Quality Index</w:t>
            </w:r>
          </w:p>
        </w:tc>
      </w:tr>
      <w:tr w:rsidR="00295ED7" w:rsidTr="00295ED7">
        <w:trPr>
          <w:trHeight w:val="267"/>
        </w:trPr>
        <w:tc>
          <w:tcPr>
            <w:tcW w:w="2235" w:type="dxa"/>
            <w:noWrap/>
          </w:tcPr>
          <w:p w:rsidR="00295ED7" w:rsidRPr="008414E2" w:rsidRDefault="00295ED7" w:rsidP="008414E2">
            <w:pPr>
              <w:rPr>
                <w:rFonts w:asciiTheme="minorHAnsi" w:hAnsiTheme="minorHAnsi"/>
                <w:sz w:val="20"/>
                <w:szCs w:val="20"/>
              </w:rPr>
            </w:pPr>
            <w:r w:rsidRPr="008414E2">
              <w:rPr>
                <w:rFonts w:asciiTheme="minorHAnsi" w:hAnsiTheme="minorHAnsi"/>
                <w:sz w:val="20"/>
                <w:szCs w:val="20"/>
              </w:rPr>
              <w:t xml:space="preserve">CHAQ </w:t>
            </w:r>
          </w:p>
        </w:tc>
        <w:tc>
          <w:tcPr>
            <w:tcW w:w="6485" w:type="dxa"/>
            <w:noWrap/>
          </w:tcPr>
          <w:p w:rsidR="00295ED7" w:rsidRPr="008414E2" w:rsidRDefault="00295ED7" w:rsidP="008414E2">
            <w:pPr>
              <w:rPr>
                <w:rFonts w:asciiTheme="minorHAnsi" w:hAnsiTheme="minorHAnsi"/>
                <w:sz w:val="20"/>
                <w:szCs w:val="20"/>
              </w:rPr>
            </w:pPr>
            <w:r w:rsidRPr="008414E2">
              <w:rPr>
                <w:rFonts w:asciiTheme="minorHAnsi" w:hAnsiTheme="minorHAnsi"/>
                <w:sz w:val="20"/>
                <w:szCs w:val="20"/>
              </w:rPr>
              <w:t xml:space="preserve">Childhood Health Assessment Questionnaire </w:t>
            </w:r>
          </w:p>
        </w:tc>
      </w:tr>
      <w:tr w:rsidR="00295ED7" w:rsidRPr="002F2961" w:rsidTr="00295ED7">
        <w:trPr>
          <w:trHeight w:val="267"/>
        </w:trPr>
        <w:tc>
          <w:tcPr>
            <w:tcW w:w="2235" w:type="dxa"/>
            <w:noWrap/>
          </w:tcPr>
          <w:p w:rsidR="00295ED7" w:rsidRPr="008414E2" w:rsidRDefault="00295ED7" w:rsidP="008414E2">
            <w:pPr>
              <w:rPr>
                <w:rFonts w:asciiTheme="minorHAnsi" w:hAnsiTheme="minorHAnsi"/>
                <w:sz w:val="20"/>
                <w:szCs w:val="20"/>
              </w:rPr>
            </w:pPr>
            <w:r w:rsidRPr="008414E2">
              <w:rPr>
                <w:rFonts w:asciiTheme="minorHAnsi" w:hAnsiTheme="minorHAnsi"/>
                <w:sz w:val="20"/>
                <w:szCs w:val="20"/>
              </w:rPr>
              <w:t xml:space="preserve">CI </w:t>
            </w:r>
          </w:p>
        </w:tc>
        <w:tc>
          <w:tcPr>
            <w:tcW w:w="6485" w:type="dxa"/>
            <w:noWrap/>
          </w:tcPr>
          <w:p w:rsidR="00295ED7" w:rsidRPr="008414E2" w:rsidRDefault="00295ED7" w:rsidP="008414E2">
            <w:pPr>
              <w:rPr>
                <w:rFonts w:asciiTheme="minorHAnsi" w:hAnsiTheme="minorHAnsi"/>
                <w:sz w:val="20"/>
                <w:szCs w:val="20"/>
              </w:rPr>
            </w:pPr>
            <w:r w:rsidRPr="008414E2">
              <w:rPr>
                <w:rFonts w:asciiTheme="minorHAnsi" w:hAnsiTheme="minorHAnsi"/>
                <w:sz w:val="20"/>
                <w:szCs w:val="20"/>
              </w:rPr>
              <w:t>Confidence interval</w:t>
            </w:r>
          </w:p>
        </w:tc>
      </w:tr>
      <w:tr w:rsidR="00295ED7" w:rsidRPr="002F2961" w:rsidTr="00295ED7">
        <w:trPr>
          <w:trHeight w:val="267"/>
        </w:trPr>
        <w:tc>
          <w:tcPr>
            <w:tcW w:w="2235" w:type="dxa"/>
            <w:noWrap/>
          </w:tcPr>
          <w:p w:rsidR="00295ED7" w:rsidRPr="008414E2" w:rsidRDefault="00295ED7" w:rsidP="008414E2">
            <w:pPr>
              <w:rPr>
                <w:rFonts w:asciiTheme="minorHAnsi" w:hAnsiTheme="minorHAnsi"/>
                <w:sz w:val="20"/>
                <w:szCs w:val="20"/>
              </w:rPr>
            </w:pPr>
            <w:r w:rsidRPr="008414E2">
              <w:rPr>
                <w:rFonts w:asciiTheme="minorHAnsi" w:hAnsiTheme="minorHAnsi"/>
                <w:sz w:val="20"/>
                <w:szCs w:val="20"/>
              </w:rPr>
              <w:t>CL/F</w:t>
            </w:r>
          </w:p>
        </w:tc>
        <w:tc>
          <w:tcPr>
            <w:tcW w:w="6485" w:type="dxa"/>
            <w:noWrap/>
          </w:tcPr>
          <w:p w:rsidR="00295ED7" w:rsidRPr="008414E2" w:rsidRDefault="00295ED7" w:rsidP="008414E2">
            <w:pPr>
              <w:rPr>
                <w:rFonts w:asciiTheme="minorHAnsi" w:hAnsiTheme="minorHAnsi"/>
                <w:sz w:val="20"/>
                <w:szCs w:val="20"/>
              </w:rPr>
            </w:pPr>
            <w:r w:rsidRPr="008414E2">
              <w:rPr>
                <w:rFonts w:asciiTheme="minorHAnsi" w:hAnsiTheme="minorHAnsi"/>
                <w:sz w:val="20"/>
                <w:szCs w:val="20"/>
              </w:rPr>
              <w:t>Apparent clearance</w:t>
            </w:r>
          </w:p>
        </w:tc>
      </w:tr>
      <w:tr w:rsidR="00295ED7" w:rsidRPr="002F2961" w:rsidTr="00295ED7">
        <w:trPr>
          <w:trHeight w:val="267"/>
        </w:trPr>
        <w:tc>
          <w:tcPr>
            <w:tcW w:w="2235" w:type="dxa"/>
            <w:noWrap/>
          </w:tcPr>
          <w:p w:rsidR="00295ED7" w:rsidRPr="008414E2" w:rsidRDefault="00295ED7" w:rsidP="008414E2">
            <w:pPr>
              <w:rPr>
                <w:rFonts w:asciiTheme="minorHAnsi" w:hAnsiTheme="minorHAnsi"/>
                <w:sz w:val="20"/>
                <w:szCs w:val="20"/>
              </w:rPr>
            </w:pPr>
            <w:r w:rsidRPr="008414E2">
              <w:rPr>
                <w:rFonts w:asciiTheme="minorHAnsi" w:hAnsiTheme="minorHAnsi"/>
                <w:sz w:val="20"/>
                <w:szCs w:val="20"/>
              </w:rPr>
              <w:t>CRP</w:t>
            </w:r>
          </w:p>
        </w:tc>
        <w:tc>
          <w:tcPr>
            <w:tcW w:w="6485" w:type="dxa"/>
            <w:noWrap/>
          </w:tcPr>
          <w:p w:rsidR="00295ED7" w:rsidRPr="008414E2" w:rsidRDefault="00295ED7" w:rsidP="008414E2">
            <w:pPr>
              <w:rPr>
                <w:rFonts w:asciiTheme="minorHAnsi" w:hAnsiTheme="minorHAnsi"/>
                <w:sz w:val="20"/>
                <w:szCs w:val="20"/>
              </w:rPr>
            </w:pPr>
            <w:r w:rsidRPr="008414E2">
              <w:rPr>
                <w:rFonts w:asciiTheme="minorHAnsi" w:hAnsiTheme="minorHAnsi"/>
                <w:sz w:val="20"/>
                <w:szCs w:val="20"/>
              </w:rPr>
              <w:t>C-Reactive Protein</w:t>
            </w:r>
          </w:p>
        </w:tc>
      </w:tr>
      <w:tr w:rsidR="00295ED7" w:rsidRPr="002F2961" w:rsidTr="00295ED7">
        <w:trPr>
          <w:trHeight w:val="267"/>
        </w:trPr>
        <w:tc>
          <w:tcPr>
            <w:tcW w:w="2235" w:type="dxa"/>
            <w:noWrap/>
          </w:tcPr>
          <w:p w:rsidR="00295ED7" w:rsidRPr="008414E2" w:rsidRDefault="00295ED7" w:rsidP="008414E2">
            <w:pPr>
              <w:rPr>
                <w:rFonts w:asciiTheme="minorHAnsi" w:hAnsiTheme="minorHAnsi"/>
                <w:sz w:val="20"/>
                <w:szCs w:val="20"/>
              </w:rPr>
            </w:pPr>
            <w:r w:rsidRPr="008414E2">
              <w:rPr>
                <w:rFonts w:asciiTheme="minorHAnsi" w:hAnsiTheme="minorHAnsi"/>
                <w:sz w:val="20"/>
                <w:szCs w:val="20"/>
              </w:rPr>
              <w:t>CS</w:t>
            </w:r>
          </w:p>
        </w:tc>
        <w:tc>
          <w:tcPr>
            <w:tcW w:w="6485" w:type="dxa"/>
            <w:noWrap/>
          </w:tcPr>
          <w:p w:rsidR="00295ED7" w:rsidRPr="008414E2" w:rsidRDefault="00295ED7" w:rsidP="008414E2">
            <w:pPr>
              <w:rPr>
                <w:rFonts w:asciiTheme="minorHAnsi" w:hAnsiTheme="minorHAnsi"/>
                <w:sz w:val="20"/>
                <w:szCs w:val="20"/>
              </w:rPr>
            </w:pPr>
            <w:r w:rsidRPr="008414E2">
              <w:rPr>
                <w:rFonts w:asciiTheme="minorHAnsi" w:hAnsiTheme="minorHAnsi"/>
                <w:sz w:val="20"/>
                <w:szCs w:val="20"/>
              </w:rPr>
              <w:t>Corticosteroid</w:t>
            </w:r>
          </w:p>
        </w:tc>
      </w:tr>
      <w:tr w:rsidR="00295ED7" w:rsidTr="00295ED7">
        <w:trPr>
          <w:trHeight w:val="267"/>
        </w:trPr>
        <w:tc>
          <w:tcPr>
            <w:tcW w:w="2235" w:type="dxa"/>
            <w:noWrap/>
          </w:tcPr>
          <w:p w:rsidR="00295ED7" w:rsidRPr="008414E2" w:rsidRDefault="00295ED7" w:rsidP="008414E2">
            <w:pPr>
              <w:rPr>
                <w:rFonts w:asciiTheme="minorHAnsi" w:hAnsiTheme="minorHAnsi"/>
                <w:sz w:val="20"/>
                <w:szCs w:val="20"/>
              </w:rPr>
            </w:pPr>
            <w:r w:rsidRPr="008414E2">
              <w:rPr>
                <w:rFonts w:asciiTheme="minorHAnsi" w:hAnsiTheme="minorHAnsi"/>
                <w:sz w:val="20"/>
                <w:szCs w:val="20"/>
              </w:rPr>
              <w:t>DMARD</w:t>
            </w:r>
          </w:p>
        </w:tc>
        <w:tc>
          <w:tcPr>
            <w:tcW w:w="6485" w:type="dxa"/>
            <w:noWrap/>
          </w:tcPr>
          <w:p w:rsidR="00295ED7" w:rsidRPr="008414E2" w:rsidRDefault="00295ED7" w:rsidP="008414E2">
            <w:pPr>
              <w:rPr>
                <w:rFonts w:asciiTheme="minorHAnsi" w:hAnsiTheme="minorHAnsi"/>
                <w:sz w:val="20"/>
                <w:szCs w:val="20"/>
              </w:rPr>
            </w:pPr>
            <w:r w:rsidRPr="008414E2">
              <w:rPr>
                <w:rFonts w:asciiTheme="minorHAnsi" w:hAnsiTheme="minorHAnsi"/>
                <w:sz w:val="20"/>
                <w:szCs w:val="20"/>
              </w:rPr>
              <w:t>Disease Modifying Anti-Rheumatic Drug</w:t>
            </w:r>
          </w:p>
        </w:tc>
      </w:tr>
      <w:tr w:rsidR="00295ED7" w:rsidTr="00295ED7">
        <w:trPr>
          <w:trHeight w:val="267"/>
        </w:trPr>
        <w:tc>
          <w:tcPr>
            <w:tcW w:w="2235" w:type="dxa"/>
            <w:noWrap/>
          </w:tcPr>
          <w:p w:rsidR="00295ED7" w:rsidRPr="008414E2" w:rsidRDefault="00295ED7" w:rsidP="008414E2">
            <w:pPr>
              <w:rPr>
                <w:rFonts w:asciiTheme="minorHAnsi" w:hAnsiTheme="minorHAnsi"/>
                <w:sz w:val="20"/>
                <w:szCs w:val="20"/>
              </w:rPr>
            </w:pPr>
            <w:r w:rsidRPr="008414E2">
              <w:rPr>
                <w:rFonts w:asciiTheme="minorHAnsi" w:hAnsiTheme="minorHAnsi"/>
                <w:sz w:val="20"/>
                <w:szCs w:val="20"/>
              </w:rPr>
              <w:t>EE</w:t>
            </w:r>
          </w:p>
        </w:tc>
        <w:tc>
          <w:tcPr>
            <w:tcW w:w="6485" w:type="dxa"/>
            <w:noWrap/>
          </w:tcPr>
          <w:p w:rsidR="00295ED7" w:rsidRPr="008414E2" w:rsidRDefault="00295ED7" w:rsidP="008414E2">
            <w:pPr>
              <w:rPr>
                <w:rFonts w:asciiTheme="minorHAnsi" w:hAnsiTheme="minorHAnsi"/>
                <w:sz w:val="20"/>
                <w:szCs w:val="20"/>
              </w:rPr>
            </w:pPr>
            <w:r w:rsidRPr="008414E2">
              <w:rPr>
                <w:rFonts w:asciiTheme="minorHAnsi" w:hAnsiTheme="minorHAnsi"/>
                <w:sz w:val="20"/>
                <w:szCs w:val="20"/>
              </w:rPr>
              <w:t>Early Escape</w:t>
            </w:r>
          </w:p>
        </w:tc>
      </w:tr>
      <w:tr w:rsidR="00295ED7" w:rsidTr="00295ED7">
        <w:trPr>
          <w:trHeight w:val="267"/>
        </w:trPr>
        <w:tc>
          <w:tcPr>
            <w:tcW w:w="2235" w:type="dxa"/>
            <w:noWrap/>
          </w:tcPr>
          <w:p w:rsidR="00295ED7" w:rsidRPr="008414E2" w:rsidRDefault="00295ED7" w:rsidP="008414E2">
            <w:pPr>
              <w:rPr>
                <w:rFonts w:asciiTheme="minorHAnsi" w:hAnsiTheme="minorHAnsi"/>
                <w:sz w:val="20"/>
                <w:szCs w:val="20"/>
              </w:rPr>
            </w:pPr>
            <w:r w:rsidRPr="008414E2">
              <w:rPr>
                <w:rFonts w:asciiTheme="minorHAnsi" w:hAnsiTheme="minorHAnsi"/>
                <w:sz w:val="20"/>
                <w:szCs w:val="20"/>
              </w:rPr>
              <w:t>eow</w:t>
            </w:r>
          </w:p>
        </w:tc>
        <w:tc>
          <w:tcPr>
            <w:tcW w:w="6485" w:type="dxa"/>
            <w:noWrap/>
          </w:tcPr>
          <w:p w:rsidR="00295ED7" w:rsidRPr="008414E2" w:rsidRDefault="00295ED7" w:rsidP="008414E2">
            <w:pPr>
              <w:rPr>
                <w:rFonts w:asciiTheme="minorHAnsi" w:hAnsiTheme="minorHAnsi"/>
                <w:sz w:val="20"/>
                <w:szCs w:val="20"/>
              </w:rPr>
            </w:pPr>
            <w:r w:rsidRPr="008414E2">
              <w:rPr>
                <w:rFonts w:asciiTheme="minorHAnsi" w:hAnsiTheme="minorHAnsi"/>
                <w:sz w:val="20"/>
                <w:szCs w:val="20"/>
              </w:rPr>
              <w:t>Every other week</w:t>
            </w:r>
          </w:p>
        </w:tc>
      </w:tr>
      <w:tr w:rsidR="00295ED7" w:rsidTr="00295ED7">
        <w:trPr>
          <w:trHeight w:val="267"/>
        </w:trPr>
        <w:tc>
          <w:tcPr>
            <w:tcW w:w="2235" w:type="dxa"/>
            <w:noWrap/>
          </w:tcPr>
          <w:p w:rsidR="00295ED7" w:rsidRPr="008414E2" w:rsidRDefault="00295ED7" w:rsidP="008414E2">
            <w:pPr>
              <w:rPr>
                <w:rFonts w:asciiTheme="minorHAnsi" w:hAnsiTheme="minorHAnsi"/>
                <w:sz w:val="20"/>
                <w:szCs w:val="20"/>
              </w:rPr>
            </w:pPr>
            <w:r w:rsidRPr="008414E2">
              <w:rPr>
                <w:rFonts w:asciiTheme="minorHAnsi" w:hAnsiTheme="minorHAnsi"/>
                <w:sz w:val="20"/>
                <w:szCs w:val="20"/>
              </w:rPr>
              <w:t>ERA</w:t>
            </w:r>
          </w:p>
        </w:tc>
        <w:tc>
          <w:tcPr>
            <w:tcW w:w="6485" w:type="dxa"/>
            <w:noWrap/>
          </w:tcPr>
          <w:p w:rsidR="00295ED7" w:rsidRPr="008414E2" w:rsidRDefault="00295ED7" w:rsidP="008414E2">
            <w:pPr>
              <w:rPr>
                <w:rFonts w:asciiTheme="minorHAnsi" w:hAnsiTheme="minorHAnsi"/>
                <w:sz w:val="20"/>
                <w:szCs w:val="20"/>
              </w:rPr>
            </w:pPr>
            <w:r w:rsidRPr="008414E2">
              <w:rPr>
                <w:rFonts w:asciiTheme="minorHAnsi" w:hAnsiTheme="minorHAnsi"/>
                <w:sz w:val="20"/>
                <w:szCs w:val="20"/>
              </w:rPr>
              <w:t>Enthesitis Related Arthritis</w:t>
            </w:r>
          </w:p>
        </w:tc>
      </w:tr>
      <w:tr w:rsidR="00A00816" w:rsidRPr="002F2961" w:rsidTr="00295ED7">
        <w:trPr>
          <w:trHeight w:val="267"/>
        </w:trPr>
        <w:tc>
          <w:tcPr>
            <w:tcW w:w="2235" w:type="dxa"/>
            <w:noWrap/>
          </w:tcPr>
          <w:p w:rsidR="00A00816" w:rsidRPr="008414E2" w:rsidRDefault="00A00816" w:rsidP="008414E2">
            <w:pPr>
              <w:rPr>
                <w:rFonts w:asciiTheme="minorHAnsi" w:hAnsiTheme="minorHAnsi"/>
                <w:sz w:val="20"/>
                <w:szCs w:val="20"/>
              </w:rPr>
            </w:pPr>
            <w:r w:rsidRPr="008414E2">
              <w:rPr>
                <w:rFonts w:asciiTheme="minorHAnsi" w:hAnsiTheme="minorHAnsi"/>
                <w:sz w:val="20"/>
                <w:szCs w:val="20"/>
              </w:rPr>
              <w:t>GCP</w:t>
            </w:r>
          </w:p>
        </w:tc>
        <w:tc>
          <w:tcPr>
            <w:tcW w:w="6485" w:type="dxa"/>
            <w:noWrap/>
          </w:tcPr>
          <w:p w:rsidR="00A00816" w:rsidRPr="008414E2" w:rsidRDefault="00A00816" w:rsidP="008414E2">
            <w:pPr>
              <w:rPr>
                <w:rFonts w:asciiTheme="minorHAnsi" w:hAnsiTheme="minorHAnsi"/>
                <w:sz w:val="20"/>
                <w:szCs w:val="20"/>
              </w:rPr>
            </w:pPr>
            <w:r w:rsidRPr="008414E2">
              <w:rPr>
                <w:rFonts w:asciiTheme="minorHAnsi" w:hAnsiTheme="minorHAnsi"/>
                <w:sz w:val="20"/>
                <w:szCs w:val="20"/>
              </w:rPr>
              <w:t>Good Clinical Practice</w:t>
            </w:r>
          </w:p>
        </w:tc>
      </w:tr>
      <w:tr w:rsidR="00A00816" w:rsidRPr="002F2961" w:rsidTr="00295ED7">
        <w:trPr>
          <w:trHeight w:val="267"/>
        </w:trPr>
        <w:tc>
          <w:tcPr>
            <w:tcW w:w="2235" w:type="dxa"/>
            <w:noWrap/>
          </w:tcPr>
          <w:p w:rsidR="00A00816" w:rsidRPr="008414E2" w:rsidRDefault="00A00816" w:rsidP="008414E2">
            <w:pPr>
              <w:rPr>
                <w:rFonts w:asciiTheme="minorHAnsi" w:hAnsiTheme="minorHAnsi"/>
                <w:sz w:val="20"/>
                <w:szCs w:val="20"/>
              </w:rPr>
            </w:pPr>
            <w:r w:rsidRPr="008414E2">
              <w:rPr>
                <w:rFonts w:asciiTheme="minorHAnsi" w:hAnsiTheme="minorHAnsi"/>
                <w:sz w:val="20"/>
                <w:szCs w:val="20"/>
              </w:rPr>
              <w:t>IIV</w:t>
            </w:r>
          </w:p>
        </w:tc>
        <w:tc>
          <w:tcPr>
            <w:tcW w:w="6485" w:type="dxa"/>
            <w:noWrap/>
          </w:tcPr>
          <w:p w:rsidR="00A00816" w:rsidRPr="008414E2" w:rsidRDefault="00A00816" w:rsidP="008414E2">
            <w:pPr>
              <w:rPr>
                <w:rFonts w:asciiTheme="minorHAnsi" w:hAnsiTheme="minorHAnsi"/>
                <w:sz w:val="20"/>
                <w:szCs w:val="20"/>
              </w:rPr>
            </w:pPr>
            <w:r w:rsidRPr="008414E2">
              <w:rPr>
                <w:rFonts w:asciiTheme="minorHAnsi" w:hAnsiTheme="minorHAnsi"/>
                <w:sz w:val="20"/>
                <w:szCs w:val="20"/>
              </w:rPr>
              <w:t>Interindividual variability</w:t>
            </w:r>
          </w:p>
        </w:tc>
      </w:tr>
      <w:tr w:rsidR="00A00816" w:rsidRPr="002F2961" w:rsidTr="00295ED7">
        <w:trPr>
          <w:trHeight w:val="267"/>
        </w:trPr>
        <w:tc>
          <w:tcPr>
            <w:tcW w:w="2235" w:type="dxa"/>
            <w:noWrap/>
          </w:tcPr>
          <w:p w:rsidR="00A00816" w:rsidRPr="008414E2" w:rsidRDefault="00A00816" w:rsidP="008414E2">
            <w:pPr>
              <w:rPr>
                <w:rFonts w:asciiTheme="minorHAnsi" w:hAnsiTheme="minorHAnsi"/>
                <w:sz w:val="20"/>
                <w:szCs w:val="20"/>
              </w:rPr>
            </w:pPr>
            <w:r w:rsidRPr="008414E2">
              <w:rPr>
                <w:rFonts w:asciiTheme="minorHAnsi" w:hAnsiTheme="minorHAnsi"/>
                <w:sz w:val="20"/>
                <w:szCs w:val="20"/>
              </w:rPr>
              <w:t>ILAR</w:t>
            </w:r>
          </w:p>
        </w:tc>
        <w:tc>
          <w:tcPr>
            <w:tcW w:w="6485" w:type="dxa"/>
            <w:noWrap/>
          </w:tcPr>
          <w:p w:rsidR="00A00816" w:rsidRPr="008414E2" w:rsidRDefault="00A00816" w:rsidP="008414E2">
            <w:pPr>
              <w:rPr>
                <w:rFonts w:asciiTheme="minorHAnsi" w:hAnsiTheme="minorHAnsi"/>
                <w:sz w:val="20"/>
                <w:szCs w:val="20"/>
              </w:rPr>
            </w:pPr>
            <w:r w:rsidRPr="008414E2">
              <w:rPr>
                <w:rFonts w:asciiTheme="minorHAnsi" w:hAnsiTheme="minorHAnsi"/>
                <w:sz w:val="20"/>
                <w:szCs w:val="20"/>
              </w:rPr>
              <w:t>International League of Associations for Rheumatology</w:t>
            </w:r>
          </w:p>
        </w:tc>
      </w:tr>
      <w:tr w:rsidR="00A00816" w:rsidRPr="002F2961" w:rsidTr="00295ED7">
        <w:trPr>
          <w:trHeight w:val="267"/>
        </w:trPr>
        <w:tc>
          <w:tcPr>
            <w:tcW w:w="2235" w:type="dxa"/>
            <w:noWrap/>
          </w:tcPr>
          <w:p w:rsidR="00A00816" w:rsidRPr="008414E2" w:rsidRDefault="00A00816" w:rsidP="008414E2">
            <w:pPr>
              <w:rPr>
                <w:rFonts w:asciiTheme="minorHAnsi" w:hAnsiTheme="minorHAnsi"/>
                <w:sz w:val="20"/>
                <w:szCs w:val="20"/>
              </w:rPr>
            </w:pPr>
            <w:r w:rsidRPr="008414E2">
              <w:rPr>
                <w:rFonts w:asciiTheme="minorHAnsi" w:hAnsiTheme="minorHAnsi"/>
                <w:sz w:val="20"/>
                <w:szCs w:val="20"/>
              </w:rPr>
              <w:t>ITT</w:t>
            </w:r>
          </w:p>
        </w:tc>
        <w:tc>
          <w:tcPr>
            <w:tcW w:w="6485" w:type="dxa"/>
            <w:noWrap/>
          </w:tcPr>
          <w:p w:rsidR="00A00816" w:rsidRPr="008414E2" w:rsidRDefault="00A00816" w:rsidP="008414E2">
            <w:pPr>
              <w:rPr>
                <w:rFonts w:asciiTheme="minorHAnsi" w:hAnsiTheme="minorHAnsi"/>
                <w:sz w:val="20"/>
                <w:szCs w:val="20"/>
              </w:rPr>
            </w:pPr>
            <w:r w:rsidRPr="008414E2">
              <w:rPr>
                <w:rFonts w:asciiTheme="minorHAnsi" w:hAnsiTheme="minorHAnsi"/>
                <w:sz w:val="20"/>
                <w:szCs w:val="20"/>
              </w:rPr>
              <w:t>Intention-to-Treat</w:t>
            </w:r>
          </w:p>
        </w:tc>
      </w:tr>
      <w:tr w:rsidR="00A00816" w:rsidRPr="002F2961" w:rsidTr="00295ED7">
        <w:trPr>
          <w:trHeight w:val="267"/>
        </w:trPr>
        <w:tc>
          <w:tcPr>
            <w:tcW w:w="2235" w:type="dxa"/>
            <w:noWrap/>
          </w:tcPr>
          <w:p w:rsidR="00A00816" w:rsidRPr="008414E2" w:rsidRDefault="00A00816" w:rsidP="008414E2">
            <w:pPr>
              <w:rPr>
                <w:rFonts w:asciiTheme="minorHAnsi" w:hAnsiTheme="minorHAnsi"/>
                <w:sz w:val="20"/>
                <w:szCs w:val="20"/>
              </w:rPr>
            </w:pPr>
            <w:r w:rsidRPr="008414E2">
              <w:rPr>
                <w:rFonts w:asciiTheme="minorHAnsi" w:hAnsiTheme="minorHAnsi"/>
                <w:sz w:val="20"/>
                <w:szCs w:val="20"/>
              </w:rPr>
              <w:t>JIA</w:t>
            </w:r>
          </w:p>
        </w:tc>
        <w:tc>
          <w:tcPr>
            <w:tcW w:w="6485" w:type="dxa"/>
            <w:noWrap/>
          </w:tcPr>
          <w:p w:rsidR="00A00816" w:rsidRPr="008414E2" w:rsidRDefault="00A00816" w:rsidP="008414E2">
            <w:pPr>
              <w:rPr>
                <w:rFonts w:asciiTheme="minorHAnsi" w:hAnsiTheme="minorHAnsi"/>
                <w:sz w:val="20"/>
                <w:szCs w:val="20"/>
              </w:rPr>
            </w:pPr>
            <w:r w:rsidRPr="008414E2">
              <w:rPr>
                <w:rFonts w:asciiTheme="minorHAnsi" w:hAnsiTheme="minorHAnsi"/>
                <w:sz w:val="20"/>
                <w:szCs w:val="20"/>
              </w:rPr>
              <w:t xml:space="preserve">Juvenile Idiopathic Arthritis </w:t>
            </w:r>
          </w:p>
        </w:tc>
      </w:tr>
      <w:tr w:rsidR="00A00816" w:rsidRPr="002F2961" w:rsidTr="00295ED7">
        <w:trPr>
          <w:trHeight w:val="267"/>
        </w:trPr>
        <w:tc>
          <w:tcPr>
            <w:tcW w:w="2235" w:type="dxa"/>
            <w:noWrap/>
          </w:tcPr>
          <w:p w:rsidR="00A00816" w:rsidRPr="008414E2" w:rsidRDefault="00A00816" w:rsidP="008414E2">
            <w:pPr>
              <w:rPr>
                <w:rFonts w:asciiTheme="minorHAnsi" w:hAnsiTheme="minorHAnsi"/>
                <w:sz w:val="20"/>
                <w:szCs w:val="20"/>
              </w:rPr>
            </w:pPr>
            <w:r w:rsidRPr="008414E2">
              <w:rPr>
                <w:rFonts w:asciiTheme="minorHAnsi" w:hAnsiTheme="minorHAnsi"/>
                <w:sz w:val="20"/>
                <w:szCs w:val="20"/>
              </w:rPr>
              <w:t>LOCF</w:t>
            </w:r>
          </w:p>
        </w:tc>
        <w:tc>
          <w:tcPr>
            <w:tcW w:w="6485" w:type="dxa"/>
            <w:noWrap/>
          </w:tcPr>
          <w:p w:rsidR="00A00816" w:rsidRPr="008414E2" w:rsidRDefault="00A00816" w:rsidP="008414E2">
            <w:pPr>
              <w:rPr>
                <w:rFonts w:asciiTheme="minorHAnsi" w:hAnsiTheme="minorHAnsi"/>
                <w:sz w:val="20"/>
                <w:szCs w:val="20"/>
              </w:rPr>
            </w:pPr>
            <w:r w:rsidRPr="008414E2">
              <w:rPr>
                <w:rFonts w:asciiTheme="minorHAnsi" w:hAnsiTheme="minorHAnsi"/>
                <w:sz w:val="20"/>
                <w:szCs w:val="20"/>
              </w:rPr>
              <w:t>Last Observation Carried Forward</w:t>
            </w:r>
          </w:p>
        </w:tc>
      </w:tr>
      <w:tr w:rsidR="00A00816" w:rsidRPr="002F2961" w:rsidTr="00295ED7">
        <w:trPr>
          <w:trHeight w:val="267"/>
        </w:trPr>
        <w:tc>
          <w:tcPr>
            <w:tcW w:w="2235" w:type="dxa"/>
            <w:noWrap/>
          </w:tcPr>
          <w:p w:rsidR="00A00816" w:rsidRPr="008414E2" w:rsidRDefault="00A00816" w:rsidP="008414E2">
            <w:pPr>
              <w:rPr>
                <w:rFonts w:asciiTheme="minorHAnsi" w:hAnsiTheme="minorHAnsi"/>
                <w:sz w:val="20"/>
                <w:szCs w:val="20"/>
              </w:rPr>
            </w:pPr>
            <w:r w:rsidRPr="008414E2">
              <w:rPr>
                <w:rFonts w:asciiTheme="minorHAnsi" w:hAnsiTheme="minorHAnsi"/>
                <w:sz w:val="20"/>
                <w:szCs w:val="20"/>
              </w:rPr>
              <w:lastRenderedPageBreak/>
              <w:t>LOM</w:t>
            </w:r>
          </w:p>
        </w:tc>
        <w:tc>
          <w:tcPr>
            <w:tcW w:w="6485" w:type="dxa"/>
            <w:noWrap/>
          </w:tcPr>
          <w:p w:rsidR="00A00816" w:rsidRPr="008414E2" w:rsidRDefault="00A00816" w:rsidP="008414E2">
            <w:pPr>
              <w:rPr>
                <w:rFonts w:asciiTheme="minorHAnsi" w:hAnsiTheme="minorHAnsi"/>
                <w:sz w:val="20"/>
                <w:szCs w:val="20"/>
              </w:rPr>
            </w:pPr>
            <w:r w:rsidRPr="008414E2">
              <w:rPr>
                <w:rFonts w:asciiTheme="minorHAnsi" w:hAnsiTheme="minorHAnsi"/>
                <w:sz w:val="20"/>
                <w:szCs w:val="20"/>
              </w:rPr>
              <w:t>Limitation of Movement</w:t>
            </w:r>
          </w:p>
        </w:tc>
      </w:tr>
      <w:tr w:rsidR="00A00816" w:rsidTr="00295ED7">
        <w:trPr>
          <w:trHeight w:val="267"/>
        </w:trPr>
        <w:tc>
          <w:tcPr>
            <w:tcW w:w="2235" w:type="dxa"/>
            <w:noWrap/>
          </w:tcPr>
          <w:p w:rsidR="00A00816" w:rsidRPr="008414E2" w:rsidRDefault="00A00816" w:rsidP="008414E2">
            <w:pPr>
              <w:rPr>
                <w:rFonts w:asciiTheme="minorHAnsi" w:hAnsiTheme="minorHAnsi"/>
                <w:sz w:val="20"/>
                <w:szCs w:val="20"/>
              </w:rPr>
            </w:pPr>
            <w:r w:rsidRPr="008414E2">
              <w:rPr>
                <w:rFonts w:asciiTheme="minorHAnsi" w:hAnsiTheme="minorHAnsi"/>
                <w:sz w:val="20"/>
                <w:szCs w:val="20"/>
              </w:rPr>
              <w:t>MASES</w:t>
            </w:r>
          </w:p>
        </w:tc>
        <w:tc>
          <w:tcPr>
            <w:tcW w:w="6485" w:type="dxa"/>
            <w:noWrap/>
          </w:tcPr>
          <w:p w:rsidR="00A00816" w:rsidRPr="008414E2" w:rsidRDefault="00A00816" w:rsidP="008414E2">
            <w:pPr>
              <w:rPr>
                <w:rFonts w:asciiTheme="minorHAnsi" w:hAnsiTheme="minorHAnsi"/>
                <w:sz w:val="20"/>
                <w:szCs w:val="20"/>
              </w:rPr>
            </w:pPr>
            <w:r w:rsidRPr="008414E2">
              <w:rPr>
                <w:rFonts w:asciiTheme="minorHAnsi" w:hAnsiTheme="minorHAnsi"/>
                <w:sz w:val="20"/>
                <w:szCs w:val="20"/>
              </w:rPr>
              <w:t xml:space="preserve">Maastricht Ankylosing Spondylitis Enthesitis Score </w:t>
            </w:r>
          </w:p>
        </w:tc>
      </w:tr>
      <w:tr w:rsidR="00A00816" w:rsidRPr="00C87C61" w:rsidTr="00295ED7">
        <w:trPr>
          <w:trHeight w:val="267"/>
        </w:trPr>
        <w:tc>
          <w:tcPr>
            <w:tcW w:w="2235" w:type="dxa"/>
            <w:noWrap/>
          </w:tcPr>
          <w:p w:rsidR="00A00816" w:rsidRPr="008414E2" w:rsidRDefault="00A00816" w:rsidP="008414E2">
            <w:pPr>
              <w:rPr>
                <w:rFonts w:asciiTheme="minorHAnsi" w:hAnsiTheme="minorHAnsi"/>
                <w:sz w:val="20"/>
                <w:szCs w:val="20"/>
              </w:rPr>
            </w:pPr>
            <w:r w:rsidRPr="008414E2">
              <w:rPr>
                <w:rFonts w:asciiTheme="minorHAnsi" w:hAnsiTheme="minorHAnsi"/>
                <w:sz w:val="20"/>
                <w:szCs w:val="20"/>
              </w:rPr>
              <w:t>MCID</w:t>
            </w:r>
          </w:p>
        </w:tc>
        <w:tc>
          <w:tcPr>
            <w:tcW w:w="6485" w:type="dxa"/>
            <w:noWrap/>
          </w:tcPr>
          <w:p w:rsidR="00A00816" w:rsidRPr="008414E2" w:rsidRDefault="00A00816" w:rsidP="008414E2">
            <w:pPr>
              <w:rPr>
                <w:rFonts w:asciiTheme="minorHAnsi" w:hAnsiTheme="minorHAnsi"/>
                <w:sz w:val="20"/>
                <w:szCs w:val="20"/>
              </w:rPr>
            </w:pPr>
            <w:r w:rsidRPr="008414E2">
              <w:rPr>
                <w:rFonts w:asciiTheme="minorHAnsi" w:hAnsiTheme="minorHAnsi"/>
                <w:sz w:val="20"/>
                <w:szCs w:val="20"/>
              </w:rPr>
              <w:t>Minimal Clinically Important Difference</w:t>
            </w:r>
          </w:p>
        </w:tc>
      </w:tr>
      <w:tr w:rsidR="00A00816" w:rsidRPr="002F2961" w:rsidTr="00295ED7">
        <w:trPr>
          <w:trHeight w:val="267"/>
        </w:trPr>
        <w:tc>
          <w:tcPr>
            <w:tcW w:w="2235" w:type="dxa"/>
            <w:noWrap/>
          </w:tcPr>
          <w:p w:rsidR="00A00816" w:rsidRPr="008414E2" w:rsidRDefault="00A00816" w:rsidP="008414E2">
            <w:pPr>
              <w:rPr>
                <w:rFonts w:asciiTheme="minorHAnsi" w:hAnsiTheme="minorHAnsi"/>
                <w:sz w:val="20"/>
                <w:szCs w:val="20"/>
              </w:rPr>
            </w:pPr>
            <w:r w:rsidRPr="008414E2">
              <w:rPr>
                <w:rFonts w:asciiTheme="minorHAnsi" w:hAnsiTheme="minorHAnsi"/>
                <w:sz w:val="20"/>
                <w:szCs w:val="20"/>
              </w:rPr>
              <w:t>MTX</w:t>
            </w:r>
          </w:p>
        </w:tc>
        <w:tc>
          <w:tcPr>
            <w:tcW w:w="6485" w:type="dxa"/>
            <w:noWrap/>
          </w:tcPr>
          <w:p w:rsidR="00A00816" w:rsidRPr="008414E2" w:rsidRDefault="00A00816" w:rsidP="008414E2">
            <w:pPr>
              <w:rPr>
                <w:rFonts w:asciiTheme="minorHAnsi" w:hAnsiTheme="minorHAnsi"/>
                <w:sz w:val="20"/>
                <w:szCs w:val="20"/>
              </w:rPr>
            </w:pPr>
            <w:r w:rsidRPr="008414E2">
              <w:rPr>
                <w:rFonts w:asciiTheme="minorHAnsi" w:hAnsiTheme="minorHAnsi"/>
                <w:sz w:val="20"/>
                <w:szCs w:val="20"/>
              </w:rPr>
              <w:t>Methotrexate</w:t>
            </w:r>
          </w:p>
        </w:tc>
      </w:tr>
      <w:tr w:rsidR="00A00816" w:rsidRPr="002F2961" w:rsidTr="00295ED7">
        <w:trPr>
          <w:trHeight w:val="267"/>
        </w:trPr>
        <w:tc>
          <w:tcPr>
            <w:tcW w:w="2235" w:type="dxa"/>
            <w:noWrap/>
          </w:tcPr>
          <w:p w:rsidR="00A00816" w:rsidRPr="008414E2" w:rsidRDefault="00A00816" w:rsidP="008414E2">
            <w:pPr>
              <w:rPr>
                <w:rFonts w:asciiTheme="minorHAnsi" w:hAnsiTheme="minorHAnsi"/>
                <w:sz w:val="20"/>
                <w:szCs w:val="20"/>
              </w:rPr>
            </w:pPr>
            <w:r w:rsidRPr="008414E2">
              <w:rPr>
                <w:rFonts w:asciiTheme="minorHAnsi" w:hAnsiTheme="minorHAnsi"/>
                <w:sz w:val="20"/>
                <w:szCs w:val="20"/>
              </w:rPr>
              <w:t>N</w:t>
            </w:r>
          </w:p>
        </w:tc>
        <w:tc>
          <w:tcPr>
            <w:tcW w:w="6485" w:type="dxa"/>
            <w:noWrap/>
          </w:tcPr>
          <w:p w:rsidR="00A00816" w:rsidRPr="008414E2" w:rsidRDefault="00A00816" w:rsidP="008414E2">
            <w:pPr>
              <w:rPr>
                <w:rFonts w:asciiTheme="minorHAnsi" w:hAnsiTheme="minorHAnsi"/>
                <w:sz w:val="20"/>
                <w:szCs w:val="20"/>
              </w:rPr>
            </w:pPr>
            <w:r w:rsidRPr="008414E2">
              <w:rPr>
                <w:rFonts w:asciiTheme="minorHAnsi" w:hAnsiTheme="minorHAnsi"/>
                <w:sz w:val="20"/>
                <w:szCs w:val="20"/>
              </w:rPr>
              <w:t>Number of subjects</w:t>
            </w:r>
          </w:p>
        </w:tc>
      </w:tr>
      <w:tr w:rsidR="00A00816" w:rsidRPr="002F2961" w:rsidTr="00295ED7">
        <w:trPr>
          <w:trHeight w:val="267"/>
        </w:trPr>
        <w:tc>
          <w:tcPr>
            <w:tcW w:w="2235" w:type="dxa"/>
            <w:noWrap/>
          </w:tcPr>
          <w:p w:rsidR="00A00816" w:rsidRPr="008414E2" w:rsidRDefault="00A00816" w:rsidP="008414E2">
            <w:pPr>
              <w:rPr>
                <w:rFonts w:asciiTheme="minorHAnsi" w:hAnsiTheme="minorHAnsi"/>
                <w:sz w:val="20"/>
                <w:szCs w:val="20"/>
              </w:rPr>
            </w:pPr>
            <w:r w:rsidRPr="008414E2">
              <w:rPr>
                <w:rFonts w:asciiTheme="minorHAnsi" w:hAnsiTheme="minorHAnsi"/>
                <w:sz w:val="20"/>
                <w:szCs w:val="20"/>
              </w:rPr>
              <w:t>NONMEM</w:t>
            </w:r>
          </w:p>
        </w:tc>
        <w:tc>
          <w:tcPr>
            <w:tcW w:w="6485" w:type="dxa"/>
            <w:noWrap/>
          </w:tcPr>
          <w:p w:rsidR="00A00816" w:rsidRPr="008414E2" w:rsidRDefault="00A00816" w:rsidP="008414E2">
            <w:pPr>
              <w:rPr>
                <w:rFonts w:asciiTheme="minorHAnsi" w:hAnsiTheme="minorHAnsi"/>
                <w:sz w:val="20"/>
                <w:szCs w:val="20"/>
              </w:rPr>
            </w:pPr>
            <w:r w:rsidRPr="008414E2">
              <w:rPr>
                <w:rFonts w:asciiTheme="minorHAnsi" w:hAnsiTheme="minorHAnsi"/>
                <w:sz w:val="20"/>
                <w:szCs w:val="20"/>
              </w:rPr>
              <w:t>Nonlinear Mixed-Effect Modelling software</w:t>
            </w:r>
          </w:p>
        </w:tc>
      </w:tr>
      <w:tr w:rsidR="00A00816" w:rsidRPr="002F2961" w:rsidTr="00295ED7">
        <w:trPr>
          <w:trHeight w:val="267"/>
        </w:trPr>
        <w:tc>
          <w:tcPr>
            <w:tcW w:w="2235" w:type="dxa"/>
            <w:noWrap/>
          </w:tcPr>
          <w:p w:rsidR="00A00816" w:rsidRPr="008414E2" w:rsidRDefault="00A00816" w:rsidP="008414E2">
            <w:pPr>
              <w:rPr>
                <w:rFonts w:asciiTheme="minorHAnsi" w:hAnsiTheme="minorHAnsi"/>
                <w:sz w:val="20"/>
                <w:szCs w:val="20"/>
              </w:rPr>
            </w:pPr>
            <w:r w:rsidRPr="008414E2">
              <w:rPr>
                <w:rFonts w:asciiTheme="minorHAnsi" w:hAnsiTheme="minorHAnsi"/>
                <w:sz w:val="20"/>
                <w:szCs w:val="20"/>
              </w:rPr>
              <w:t>NRI</w:t>
            </w:r>
          </w:p>
        </w:tc>
        <w:tc>
          <w:tcPr>
            <w:tcW w:w="6485" w:type="dxa"/>
            <w:noWrap/>
          </w:tcPr>
          <w:p w:rsidR="00A00816" w:rsidRPr="008414E2" w:rsidRDefault="00A00816" w:rsidP="008414E2">
            <w:pPr>
              <w:rPr>
                <w:rFonts w:asciiTheme="minorHAnsi" w:hAnsiTheme="minorHAnsi"/>
                <w:sz w:val="20"/>
                <w:szCs w:val="20"/>
              </w:rPr>
            </w:pPr>
            <w:r w:rsidRPr="008414E2">
              <w:rPr>
                <w:rFonts w:asciiTheme="minorHAnsi" w:hAnsiTheme="minorHAnsi"/>
                <w:sz w:val="20"/>
                <w:szCs w:val="20"/>
              </w:rPr>
              <w:t>Non-Responder Imputation</w:t>
            </w:r>
          </w:p>
        </w:tc>
      </w:tr>
      <w:tr w:rsidR="00A00816" w:rsidRPr="00C81A6C" w:rsidTr="00295ED7">
        <w:trPr>
          <w:trHeight w:val="267"/>
        </w:trPr>
        <w:tc>
          <w:tcPr>
            <w:tcW w:w="2235" w:type="dxa"/>
            <w:noWrap/>
          </w:tcPr>
          <w:p w:rsidR="00A00816" w:rsidRPr="008414E2" w:rsidRDefault="00A00816" w:rsidP="008414E2">
            <w:pPr>
              <w:rPr>
                <w:rFonts w:asciiTheme="minorHAnsi" w:hAnsiTheme="minorHAnsi"/>
                <w:sz w:val="20"/>
                <w:szCs w:val="20"/>
              </w:rPr>
            </w:pPr>
            <w:r w:rsidRPr="008414E2">
              <w:rPr>
                <w:rFonts w:asciiTheme="minorHAnsi" w:hAnsiTheme="minorHAnsi"/>
                <w:sz w:val="20"/>
                <w:szCs w:val="20"/>
              </w:rPr>
              <w:t>NSAID</w:t>
            </w:r>
          </w:p>
        </w:tc>
        <w:tc>
          <w:tcPr>
            <w:tcW w:w="6485" w:type="dxa"/>
            <w:noWrap/>
          </w:tcPr>
          <w:p w:rsidR="00A00816" w:rsidRPr="008414E2" w:rsidRDefault="00A00816" w:rsidP="008414E2">
            <w:pPr>
              <w:rPr>
                <w:rFonts w:asciiTheme="minorHAnsi" w:hAnsiTheme="minorHAnsi"/>
                <w:sz w:val="20"/>
                <w:szCs w:val="20"/>
              </w:rPr>
            </w:pPr>
            <w:r w:rsidRPr="008414E2">
              <w:rPr>
                <w:rFonts w:asciiTheme="minorHAnsi" w:hAnsiTheme="minorHAnsi"/>
                <w:sz w:val="20"/>
                <w:szCs w:val="20"/>
              </w:rPr>
              <w:t>Non-Steroidal Anti-inflammatory Drug</w:t>
            </w:r>
          </w:p>
        </w:tc>
      </w:tr>
      <w:tr w:rsidR="00A00816" w:rsidRPr="002F2961" w:rsidTr="00295ED7">
        <w:trPr>
          <w:trHeight w:val="267"/>
        </w:trPr>
        <w:tc>
          <w:tcPr>
            <w:tcW w:w="2235" w:type="dxa"/>
            <w:noWrap/>
          </w:tcPr>
          <w:p w:rsidR="00A00816" w:rsidRPr="008414E2" w:rsidRDefault="00A00816" w:rsidP="008414E2">
            <w:pPr>
              <w:rPr>
                <w:rFonts w:asciiTheme="minorHAnsi" w:hAnsiTheme="minorHAnsi"/>
                <w:sz w:val="20"/>
                <w:szCs w:val="20"/>
              </w:rPr>
            </w:pPr>
            <w:r w:rsidRPr="008414E2">
              <w:rPr>
                <w:rFonts w:asciiTheme="minorHAnsi" w:hAnsiTheme="minorHAnsi"/>
                <w:sz w:val="20"/>
                <w:szCs w:val="20"/>
              </w:rPr>
              <w:t>OL</w:t>
            </w:r>
          </w:p>
        </w:tc>
        <w:tc>
          <w:tcPr>
            <w:tcW w:w="6485" w:type="dxa"/>
            <w:noWrap/>
          </w:tcPr>
          <w:p w:rsidR="00A00816" w:rsidRPr="008414E2" w:rsidRDefault="00A00816" w:rsidP="008414E2">
            <w:pPr>
              <w:rPr>
                <w:rFonts w:asciiTheme="minorHAnsi" w:hAnsiTheme="minorHAnsi"/>
                <w:sz w:val="20"/>
                <w:szCs w:val="20"/>
              </w:rPr>
            </w:pPr>
            <w:r w:rsidRPr="008414E2">
              <w:rPr>
                <w:rFonts w:asciiTheme="minorHAnsi" w:hAnsiTheme="minorHAnsi"/>
                <w:sz w:val="20"/>
                <w:szCs w:val="20"/>
              </w:rPr>
              <w:t>Open Label</w:t>
            </w:r>
          </w:p>
        </w:tc>
      </w:tr>
      <w:tr w:rsidR="00A00816" w:rsidRPr="002F2961" w:rsidTr="00295ED7">
        <w:trPr>
          <w:trHeight w:val="267"/>
        </w:trPr>
        <w:tc>
          <w:tcPr>
            <w:tcW w:w="2235" w:type="dxa"/>
            <w:noWrap/>
          </w:tcPr>
          <w:p w:rsidR="00A00816" w:rsidRPr="008414E2" w:rsidRDefault="00A00816" w:rsidP="008414E2">
            <w:pPr>
              <w:rPr>
                <w:rFonts w:asciiTheme="minorHAnsi" w:hAnsiTheme="minorHAnsi"/>
                <w:sz w:val="20"/>
                <w:szCs w:val="20"/>
              </w:rPr>
            </w:pPr>
            <w:r w:rsidRPr="008414E2">
              <w:rPr>
                <w:rFonts w:asciiTheme="minorHAnsi" w:hAnsiTheme="minorHAnsi"/>
                <w:sz w:val="20"/>
                <w:szCs w:val="20"/>
              </w:rPr>
              <w:t>PBO</w:t>
            </w:r>
          </w:p>
        </w:tc>
        <w:tc>
          <w:tcPr>
            <w:tcW w:w="6485" w:type="dxa"/>
            <w:noWrap/>
          </w:tcPr>
          <w:p w:rsidR="00A00816" w:rsidRPr="008414E2" w:rsidRDefault="00A00816" w:rsidP="008414E2">
            <w:pPr>
              <w:rPr>
                <w:rFonts w:asciiTheme="minorHAnsi" w:hAnsiTheme="minorHAnsi"/>
                <w:sz w:val="20"/>
                <w:szCs w:val="20"/>
              </w:rPr>
            </w:pPr>
            <w:r w:rsidRPr="008414E2">
              <w:rPr>
                <w:rFonts w:asciiTheme="minorHAnsi" w:hAnsiTheme="minorHAnsi"/>
                <w:sz w:val="20"/>
                <w:szCs w:val="20"/>
              </w:rPr>
              <w:t>Placebo</w:t>
            </w:r>
          </w:p>
        </w:tc>
      </w:tr>
      <w:tr w:rsidR="00A00816" w:rsidRPr="002F2961" w:rsidTr="00295ED7">
        <w:trPr>
          <w:trHeight w:val="267"/>
        </w:trPr>
        <w:tc>
          <w:tcPr>
            <w:tcW w:w="2235" w:type="dxa"/>
            <w:noWrap/>
          </w:tcPr>
          <w:p w:rsidR="00A00816" w:rsidRPr="008414E2" w:rsidRDefault="00A00816" w:rsidP="008414E2">
            <w:pPr>
              <w:rPr>
                <w:rFonts w:asciiTheme="minorHAnsi" w:hAnsiTheme="minorHAnsi"/>
                <w:sz w:val="20"/>
                <w:szCs w:val="20"/>
              </w:rPr>
            </w:pPr>
            <w:r w:rsidRPr="008414E2">
              <w:rPr>
                <w:rFonts w:asciiTheme="minorHAnsi" w:hAnsiTheme="minorHAnsi"/>
                <w:sz w:val="20"/>
                <w:szCs w:val="20"/>
              </w:rPr>
              <w:t xml:space="preserve">PD </w:t>
            </w:r>
          </w:p>
        </w:tc>
        <w:tc>
          <w:tcPr>
            <w:tcW w:w="6485" w:type="dxa"/>
            <w:noWrap/>
          </w:tcPr>
          <w:p w:rsidR="00A00816" w:rsidRPr="008414E2" w:rsidRDefault="00A00816" w:rsidP="008414E2">
            <w:pPr>
              <w:rPr>
                <w:rFonts w:asciiTheme="minorHAnsi" w:hAnsiTheme="minorHAnsi"/>
                <w:sz w:val="20"/>
                <w:szCs w:val="20"/>
              </w:rPr>
            </w:pPr>
            <w:r w:rsidRPr="008414E2">
              <w:rPr>
                <w:rFonts w:asciiTheme="minorHAnsi" w:hAnsiTheme="minorHAnsi"/>
                <w:sz w:val="20"/>
                <w:szCs w:val="20"/>
              </w:rPr>
              <w:t>Pharmacodynamic</w:t>
            </w:r>
          </w:p>
        </w:tc>
      </w:tr>
      <w:tr w:rsidR="00A00816" w:rsidRPr="002F2961" w:rsidTr="00295ED7">
        <w:trPr>
          <w:trHeight w:val="267"/>
        </w:trPr>
        <w:tc>
          <w:tcPr>
            <w:tcW w:w="2235" w:type="dxa"/>
            <w:noWrap/>
          </w:tcPr>
          <w:p w:rsidR="00A00816" w:rsidRPr="008414E2" w:rsidRDefault="00A00816" w:rsidP="008414E2">
            <w:pPr>
              <w:rPr>
                <w:rFonts w:asciiTheme="minorHAnsi" w:hAnsiTheme="minorHAnsi"/>
                <w:sz w:val="20"/>
                <w:szCs w:val="20"/>
              </w:rPr>
            </w:pPr>
            <w:r w:rsidRPr="008414E2">
              <w:rPr>
                <w:rFonts w:asciiTheme="minorHAnsi" w:hAnsiTheme="minorHAnsi"/>
                <w:sz w:val="20"/>
                <w:szCs w:val="20"/>
              </w:rPr>
              <w:t>PedsQL</w:t>
            </w:r>
          </w:p>
        </w:tc>
        <w:tc>
          <w:tcPr>
            <w:tcW w:w="6485" w:type="dxa"/>
            <w:noWrap/>
          </w:tcPr>
          <w:p w:rsidR="00A00816" w:rsidRPr="008414E2" w:rsidRDefault="00A00816" w:rsidP="008414E2">
            <w:pPr>
              <w:rPr>
                <w:rFonts w:asciiTheme="minorHAnsi" w:hAnsiTheme="minorHAnsi"/>
                <w:sz w:val="20"/>
                <w:szCs w:val="20"/>
              </w:rPr>
            </w:pPr>
            <w:r w:rsidRPr="008414E2">
              <w:rPr>
                <w:rFonts w:asciiTheme="minorHAnsi" w:hAnsiTheme="minorHAnsi"/>
                <w:sz w:val="20"/>
                <w:szCs w:val="20"/>
              </w:rPr>
              <w:t>Paediatric Quality of Life Inventory</w:t>
            </w:r>
          </w:p>
        </w:tc>
      </w:tr>
      <w:tr w:rsidR="00A00816" w:rsidRPr="002F2961" w:rsidTr="00295ED7">
        <w:trPr>
          <w:trHeight w:val="267"/>
        </w:trPr>
        <w:tc>
          <w:tcPr>
            <w:tcW w:w="2235" w:type="dxa"/>
            <w:noWrap/>
          </w:tcPr>
          <w:p w:rsidR="00A00816" w:rsidRPr="008414E2" w:rsidRDefault="00A00816" w:rsidP="008414E2">
            <w:pPr>
              <w:rPr>
                <w:rFonts w:asciiTheme="minorHAnsi" w:hAnsiTheme="minorHAnsi"/>
                <w:sz w:val="20"/>
                <w:szCs w:val="20"/>
              </w:rPr>
            </w:pPr>
            <w:r w:rsidRPr="008414E2">
              <w:rPr>
                <w:rFonts w:asciiTheme="minorHAnsi" w:hAnsiTheme="minorHAnsi"/>
                <w:sz w:val="20"/>
                <w:szCs w:val="20"/>
              </w:rPr>
              <w:t>PGA</w:t>
            </w:r>
          </w:p>
        </w:tc>
        <w:tc>
          <w:tcPr>
            <w:tcW w:w="6485" w:type="dxa"/>
            <w:noWrap/>
          </w:tcPr>
          <w:p w:rsidR="00A00816" w:rsidRPr="008414E2" w:rsidRDefault="00A00816" w:rsidP="008414E2">
            <w:pPr>
              <w:rPr>
                <w:rFonts w:asciiTheme="minorHAnsi" w:hAnsiTheme="minorHAnsi"/>
                <w:sz w:val="20"/>
                <w:szCs w:val="20"/>
              </w:rPr>
            </w:pPr>
            <w:r w:rsidRPr="008414E2">
              <w:rPr>
                <w:rFonts w:asciiTheme="minorHAnsi" w:hAnsiTheme="minorHAnsi"/>
                <w:sz w:val="20"/>
                <w:szCs w:val="20"/>
              </w:rPr>
              <w:t>Physician Global Assessment</w:t>
            </w:r>
          </w:p>
        </w:tc>
      </w:tr>
      <w:tr w:rsidR="00A00816" w:rsidRPr="002F2961" w:rsidTr="00295ED7">
        <w:trPr>
          <w:trHeight w:val="267"/>
        </w:trPr>
        <w:tc>
          <w:tcPr>
            <w:tcW w:w="2235" w:type="dxa"/>
            <w:noWrap/>
          </w:tcPr>
          <w:p w:rsidR="00A00816" w:rsidRPr="008414E2" w:rsidRDefault="00A00816" w:rsidP="008414E2">
            <w:pPr>
              <w:rPr>
                <w:rFonts w:asciiTheme="minorHAnsi" w:hAnsiTheme="minorHAnsi"/>
                <w:sz w:val="20"/>
                <w:szCs w:val="20"/>
              </w:rPr>
            </w:pPr>
            <w:r w:rsidRPr="008414E2">
              <w:rPr>
                <w:rFonts w:asciiTheme="minorHAnsi" w:hAnsiTheme="minorHAnsi"/>
                <w:sz w:val="20"/>
                <w:szCs w:val="20"/>
              </w:rPr>
              <w:t>PK</w:t>
            </w:r>
          </w:p>
        </w:tc>
        <w:tc>
          <w:tcPr>
            <w:tcW w:w="6485" w:type="dxa"/>
            <w:noWrap/>
          </w:tcPr>
          <w:p w:rsidR="00A00816" w:rsidRPr="008414E2" w:rsidRDefault="00A00816" w:rsidP="008414E2">
            <w:pPr>
              <w:rPr>
                <w:rFonts w:asciiTheme="minorHAnsi" w:hAnsiTheme="minorHAnsi"/>
                <w:sz w:val="20"/>
                <w:szCs w:val="20"/>
              </w:rPr>
            </w:pPr>
            <w:r w:rsidRPr="008414E2">
              <w:rPr>
                <w:rFonts w:asciiTheme="minorHAnsi" w:hAnsiTheme="minorHAnsi"/>
                <w:sz w:val="20"/>
                <w:szCs w:val="20"/>
              </w:rPr>
              <w:t>Pharmacokinetic</w:t>
            </w:r>
          </w:p>
        </w:tc>
      </w:tr>
      <w:tr w:rsidR="00A00816" w:rsidTr="00295ED7">
        <w:trPr>
          <w:trHeight w:val="267"/>
        </w:trPr>
        <w:tc>
          <w:tcPr>
            <w:tcW w:w="2235" w:type="dxa"/>
            <w:noWrap/>
          </w:tcPr>
          <w:p w:rsidR="00A00816" w:rsidRPr="008414E2" w:rsidRDefault="00A00816" w:rsidP="008414E2">
            <w:pPr>
              <w:rPr>
                <w:rFonts w:asciiTheme="minorHAnsi" w:hAnsiTheme="minorHAnsi"/>
                <w:sz w:val="20"/>
                <w:szCs w:val="20"/>
              </w:rPr>
            </w:pPr>
            <w:r w:rsidRPr="008414E2">
              <w:rPr>
                <w:rFonts w:asciiTheme="minorHAnsi" w:hAnsiTheme="minorHAnsi"/>
                <w:sz w:val="20"/>
                <w:szCs w:val="20"/>
              </w:rPr>
              <w:t>PP</w:t>
            </w:r>
          </w:p>
        </w:tc>
        <w:tc>
          <w:tcPr>
            <w:tcW w:w="6485" w:type="dxa"/>
            <w:noWrap/>
          </w:tcPr>
          <w:p w:rsidR="00A00816" w:rsidRPr="008414E2" w:rsidRDefault="00A00816" w:rsidP="008414E2">
            <w:pPr>
              <w:rPr>
                <w:rFonts w:asciiTheme="minorHAnsi" w:hAnsiTheme="minorHAnsi"/>
                <w:sz w:val="20"/>
                <w:szCs w:val="20"/>
              </w:rPr>
            </w:pPr>
            <w:r w:rsidRPr="008414E2">
              <w:rPr>
                <w:rFonts w:asciiTheme="minorHAnsi" w:hAnsiTheme="minorHAnsi"/>
                <w:sz w:val="20"/>
                <w:szCs w:val="20"/>
              </w:rPr>
              <w:t>Per Protocol</w:t>
            </w:r>
          </w:p>
        </w:tc>
      </w:tr>
      <w:tr w:rsidR="00A00816" w:rsidTr="00295ED7">
        <w:trPr>
          <w:trHeight w:val="267"/>
        </w:trPr>
        <w:tc>
          <w:tcPr>
            <w:tcW w:w="2235" w:type="dxa"/>
            <w:noWrap/>
          </w:tcPr>
          <w:p w:rsidR="00A00816" w:rsidRPr="008414E2" w:rsidRDefault="00A00816" w:rsidP="008414E2">
            <w:pPr>
              <w:rPr>
                <w:rFonts w:asciiTheme="minorHAnsi" w:hAnsiTheme="minorHAnsi"/>
                <w:sz w:val="20"/>
                <w:szCs w:val="20"/>
              </w:rPr>
            </w:pPr>
            <w:r w:rsidRPr="008414E2">
              <w:rPr>
                <w:rFonts w:asciiTheme="minorHAnsi" w:hAnsiTheme="minorHAnsi"/>
                <w:sz w:val="20"/>
                <w:szCs w:val="20"/>
              </w:rPr>
              <w:t>PsA</w:t>
            </w:r>
          </w:p>
        </w:tc>
        <w:tc>
          <w:tcPr>
            <w:tcW w:w="6485" w:type="dxa"/>
            <w:noWrap/>
          </w:tcPr>
          <w:p w:rsidR="00A00816" w:rsidRPr="008414E2" w:rsidRDefault="00A00816" w:rsidP="008414E2">
            <w:pPr>
              <w:rPr>
                <w:rFonts w:asciiTheme="minorHAnsi" w:hAnsiTheme="minorHAnsi"/>
                <w:sz w:val="20"/>
                <w:szCs w:val="20"/>
              </w:rPr>
            </w:pPr>
            <w:r w:rsidRPr="008414E2">
              <w:rPr>
                <w:rFonts w:asciiTheme="minorHAnsi" w:hAnsiTheme="minorHAnsi"/>
                <w:sz w:val="20"/>
                <w:szCs w:val="20"/>
              </w:rPr>
              <w:t>Psoriatic Arthritis</w:t>
            </w:r>
          </w:p>
        </w:tc>
      </w:tr>
      <w:tr w:rsidR="00A00816" w:rsidTr="00295ED7">
        <w:trPr>
          <w:trHeight w:val="267"/>
        </w:trPr>
        <w:tc>
          <w:tcPr>
            <w:tcW w:w="2235" w:type="dxa"/>
            <w:noWrap/>
          </w:tcPr>
          <w:p w:rsidR="00A00816" w:rsidRPr="008414E2" w:rsidRDefault="00A00816" w:rsidP="008414E2">
            <w:pPr>
              <w:rPr>
                <w:rFonts w:asciiTheme="minorHAnsi" w:hAnsiTheme="minorHAnsi"/>
                <w:sz w:val="20"/>
                <w:szCs w:val="20"/>
              </w:rPr>
            </w:pPr>
            <w:r w:rsidRPr="008414E2">
              <w:rPr>
                <w:rFonts w:asciiTheme="minorHAnsi" w:hAnsiTheme="minorHAnsi"/>
                <w:sz w:val="20"/>
                <w:szCs w:val="20"/>
              </w:rPr>
              <w:t>PT</w:t>
            </w:r>
          </w:p>
        </w:tc>
        <w:tc>
          <w:tcPr>
            <w:tcW w:w="6485" w:type="dxa"/>
            <w:noWrap/>
          </w:tcPr>
          <w:p w:rsidR="00A00816" w:rsidRPr="008414E2" w:rsidRDefault="00A00816" w:rsidP="008414E2">
            <w:pPr>
              <w:rPr>
                <w:rFonts w:asciiTheme="minorHAnsi" w:hAnsiTheme="minorHAnsi"/>
                <w:sz w:val="20"/>
                <w:szCs w:val="20"/>
              </w:rPr>
            </w:pPr>
            <w:r w:rsidRPr="008414E2">
              <w:rPr>
                <w:rFonts w:asciiTheme="minorHAnsi" w:hAnsiTheme="minorHAnsi"/>
                <w:sz w:val="20"/>
                <w:szCs w:val="20"/>
              </w:rPr>
              <w:t>Preferred Term</w:t>
            </w:r>
          </w:p>
        </w:tc>
      </w:tr>
      <w:tr w:rsidR="00A00816" w:rsidRPr="002F2961" w:rsidTr="00295ED7">
        <w:trPr>
          <w:trHeight w:val="267"/>
        </w:trPr>
        <w:tc>
          <w:tcPr>
            <w:tcW w:w="2235" w:type="dxa"/>
            <w:noWrap/>
          </w:tcPr>
          <w:p w:rsidR="00A00816" w:rsidRPr="008414E2" w:rsidRDefault="00A00816" w:rsidP="008414E2">
            <w:pPr>
              <w:rPr>
                <w:rFonts w:asciiTheme="minorHAnsi" w:hAnsiTheme="minorHAnsi"/>
                <w:sz w:val="20"/>
                <w:szCs w:val="20"/>
              </w:rPr>
            </w:pPr>
            <w:r w:rsidRPr="008414E2">
              <w:rPr>
                <w:rFonts w:asciiTheme="minorHAnsi" w:hAnsiTheme="minorHAnsi"/>
                <w:sz w:val="20"/>
                <w:szCs w:val="20"/>
              </w:rPr>
              <w:t>PY</w:t>
            </w:r>
          </w:p>
        </w:tc>
        <w:tc>
          <w:tcPr>
            <w:tcW w:w="6485" w:type="dxa"/>
            <w:noWrap/>
          </w:tcPr>
          <w:p w:rsidR="00A00816" w:rsidRPr="008414E2" w:rsidRDefault="00A00816" w:rsidP="008414E2">
            <w:pPr>
              <w:rPr>
                <w:rFonts w:asciiTheme="minorHAnsi" w:hAnsiTheme="minorHAnsi"/>
                <w:sz w:val="20"/>
                <w:szCs w:val="20"/>
              </w:rPr>
            </w:pPr>
            <w:r w:rsidRPr="008414E2">
              <w:rPr>
                <w:rFonts w:asciiTheme="minorHAnsi" w:hAnsiTheme="minorHAnsi"/>
                <w:sz w:val="20"/>
                <w:szCs w:val="20"/>
              </w:rPr>
              <w:t>Patient Year</w:t>
            </w:r>
          </w:p>
        </w:tc>
      </w:tr>
      <w:tr w:rsidR="00A00816" w:rsidRPr="002F2961" w:rsidTr="00295ED7">
        <w:trPr>
          <w:trHeight w:val="267"/>
        </w:trPr>
        <w:tc>
          <w:tcPr>
            <w:tcW w:w="2235" w:type="dxa"/>
            <w:noWrap/>
          </w:tcPr>
          <w:p w:rsidR="00A00816" w:rsidRPr="008414E2" w:rsidRDefault="00A00816" w:rsidP="008414E2">
            <w:pPr>
              <w:rPr>
                <w:rFonts w:asciiTheme="minorHAnsi" w:hAnsiTheme="minorHAnsi"/>
                <w:sz w:val="20"/>
                <w:szCs w:val="20"/>
              </w:rPr>
            </w:pPr>
            <w:r w:rsidRPr="008414E2">
              <w:rPr>
                <w:rFonts w:asciiTheme="minorHAnsi" w:hAnsiTheme="minorHAnsi"/>
                <w:sz w:val="20"/>
                <w:szCs w:val="20"/>
              </w:rPr>
              <w:t>PSOR</w:t>
            </w:r>
          </w:p>
        </w:tc>
        <w:tc>
          <w:tcPr>
            <w:tcW w:w="6485" w:type="dxa"/>
            <w:noWrap/>
          </w:tcPr>
          <w:p w:rsidR="00A00816" w:rsidRPr="008414E2" w:rsidRDefault="00A00816" w:rsidP="008414E2">
            <w:pPr>
              <w:rPr>
                <w:rFonts w:asciiTheme="minorHAnsi" w:hAnsiTheme="minorHAnsi"/>
                <w:sz w:val="20"/>
                <w:szCs w:val="20"/>
              </w:rPr>
            </w:pPr>
            <w:r w:rsidRPr="008414E2">
              <w:rPr>
                <w:rFonts w:asciiTheme="minorHAnsi" w:hAnsiTheme="minorHAnsi"/>
                <w:sz w:val="20"/>
                <w:szCs w:val="20"/>
              </w:rPr>
              <w:t>Psoriasis</w:t>
            </w:r>
          </w:p>
        </w:tc>
      </w:tr>
      <w:tr w:rsidR="00A00816" w:rsidRPr="002F2961" w:rsidTr="00295ED7">
        <w:trPr>
          <w:trHeight w:val="267"/>
        </w:trPr>
        <w:tc>
          <w:tcPr>
            <w:tcW w:w="2235" w:type="dxa"/>
            <w:noWrap/>
          </w:tcPr>
          <w:p w:rsidR="00A00816" w:rsidRPr="008414E2" w:rsidRDefault="00A00816" w:rsidP="008414E2">
            <w:pPr>
              <w:rPr>
                <w:rFonts w:asciiTheme="minorHAnsi" w:hAnsiTheme="minorHAnsi"/>
                <w:sz w:val="20"/>
                <w:szCs w:val="20"/>
              </w:rPr>
            </w:pPr>
            <w:r w:rsidRPr="008414E2">
              <w:rPr>
                <w:rFonts w:asciiTheme="minorHAnsi" w:hAnsiTheme="minorHAnsi"/>
                <w:sz w:val="20"/>
                <w:szCs w:val="20"/>
              </w:rPr>
              <w:t>RA</w:t>
            </w:r>
          </w:p>
        </w:tc>
        <w:tc>
          <w:tcPr>
            <w:tcW w:w="6485" w:type="dxa"/>
            <w:noWrap/>
          </w:tcPr>
          <w:p w:rsidR="00A00816" w:rsidRPr="008414E2" w:rsidRDefault="00A00816" w:rsidP="008414E2">
            <w:pPr>
              <w:rPr>
                <w:rFonts w:asciiTheme="minorHAnsi" w:hAnsiTheme="minorHAnsi"/>
                <w:sz w:val="20"/>
                <w:szCs w:val="20"/>
              </w:rPr>
            </w:pPr>
            <w:r w:rsidRPr="008414E2">
              <w:rPr>
                <w:rFonts w:asciiTheme="minorHAnsi" w:hAnsiTheme="minorHAnsi"/>
                <w:sz w:val="20"/>
                <w:szCs w:val="20"/>
              </w:rPr>
              <w:t>Rheumatoid Arthritis</w:t>
            </w:r>
          </w:p>
        </w:tc>
      </w:tr>
      <w:tr w:rsidR="00A00816" w:rsidRPr="002F2961" w:rsidTr="00295ED7">
        <w:trPr>
          <w:trHeight w:val="267"/>
        </w:trPr>
        <w:tc>
          <w:tcPr>
            <w:tcW w:w="2235" w:type="dxa"/>
            <w:noWrap/>
          </w:tcPr>
          <w:p w:rsidR="00A00816" w:rsidRPr="008414E2" w:rsidRDefault="00A00816" w:rsidP="008414E2">
            <w:pPr>
              <w:rPr>
                <w:rFonts w:asciiTheme="minorHAnsi" w:hAnsiTheme="minorHAnsi"/>
                <w:sz w:val="20"/>
                <w:szCs w:val="20"/>
              </w:rPr>
            </w:pPr>
            <w:r w:rsidRPr="008414E2">
              <w:rPr>
                <w:rFonts w:asciiTheme="minorHAnsi" w:hAnsiTheme="minorHAnsi"/>
                <w:sz w:val="20"/>
                <w:szCs w:val="20"/>
              </w:rPr>
              <w:t>RF</w:t>
            </w:r>
          </w:p>
        </w:tc>
        <w:tc>
          <w:tcPr>
            <w:tcW w:w="6485" w:type="dxa"/>
            <w:noWrap/>
          </w:tcPr>
          <w:p w:rsidR="00A00816" w:rsidRPr="008414E2" w:rsidRDefault="00A00816" w:rsidP="008414E2">
            <w:pPr>
              <w:rPr>
                <w:rFonts w:asciiTheme="minorHAnsi" w:hAnsiTheme="minorHAnsi"/>
                <w:sz w:val="20"/>
                <w:szCs w:val="20"/>
              </w:rPr>
            </w:pPr>
            <w:r w:rsidRPr="008414E2">
              <w:rPr>
                <w:rFonts w:asciiTheme="minorHAnsi" w:hAnsiTheme="minorHAnsi"/>
                <w:sz w:val="20"/>
                <w:szCs w:val="20"/>
              </w:rPr>
              <w:t>Rheumatoid Factor</w:t>
            </w:r>
          </w:p>
        </w:tc>
      </w:tr>
      <w:tr w:rsidR="00A00816" w:rsidRPr="002F2961" w:rsidTr="00295ED7">
        <w:trPr>
          <w:trHeight w:val="267"/>
        </w:trPr>
        <w:tc>
          <w:tcPr>
            <w:tcW w:w="2235" w:type="dxa"/>
            <w:noWrap/>
          </w:tcPr>
          <w:p w:rsidR="00A00816" w:rsidRPr="008414E2" w:rsidRDefault="00A00816" w:rsidP="008414E2">
            <w:pPr>
              <w:rPr>
                <w:rFonts w:asciiTheme="minorHAnsi" w:hAnsiTheme="minorHAnsi"/>
                <w:sz w:val="20"/>
                <w:szCs w:val="20"/>
              </w:rPr>
            </w:pPr>
            <w:r w:rsidRPr="008414E2">
              <w:rPr>
                <w:rFonts w:asciiTheme="minorHAnsi" w:hAnsiTheme="minorHAnsi"/>
                <w:sz w:val="20"/>
                <w:szCs w:val="20"/>
              </w:rPr>
              <w:t>SAE</w:t>
            </w:r>
          </w:p>
        </w:tc>
        <w:tc>
          <w:tcPr>
            <w:tcW w:w="6485" w:type="dxa"/>
            <w:noWrap/>
          </w:tcPr>
          <w:p w:rsidR="00A00816" w:rsidRPr="008414E2" w:rsidRDefault="00A00816" w:rsidP="008414E2">
            <w:pPr>
              <w:rPr>
                <w:rFonts w:asciiTheme="minorHAnsi" w:hAnsiTheme="minorHAnsi"/>
                <w:sz w:val="20"/>
                <w:szCs w:val="20"/>
              </w:rPr>
            </w:pPr>
            <w:r w:rsidRPr="008414E2">
              <w:rPr>
                <w:rFonts w:asciiTheme="minorHAnsi" w:hAnsiTheme="minorHAnsi"/>
                <w:sz w:val="20"/>
                <w:szCs w:val="20"/>
              </w:rPr>
              <w:t>Serious adverse event</w:t>
            </w:r>
          </w:p>
        </w:tc>
      </w:tr>
      <w:tr w:rsidR="00A00816" w:rsidRPr="002F2961" w:rsidTr="00295ED7">
        <w:trPr>
          <w:trHeight w:val="267"/>
        </w:trPr>
        <w:tc>
          <w:tcPr>
            <w:tcW w:w="2235" w:type="dxa"/>
            <w:noWrap/>
          </w:tcPr>
          <w:p w:rsidR="00A00816" w:rsidRPr="008414E2" w:rsidRDefault="00A00816" w:rsidP="008414E2">
            <w:pPr>
              <w:rPr>
                <w:rFonts w:asciiTheme="minorHAnsi" w:hAnsiTheme="minorHAnsi"/>
                <w:sz w:val="20"/>
                <w:szCs w:val="20"/>
              </w:rPr>
            </w:pPr>
            <w:r w:rsidRPr="008414E2">
              <w:rPr>
                <w:rFonts w:asciiTheme="minorHAnsi" w:hAnsiTheme="minorHAnsi"/>
                <w:sz w:val="20"/>
                <w:szCs w:val="20"/>
              </w:rPr>
              <w:t>SC</w:t>
            </w:r>
          </w:p>
        </w:tc>
        <w:tc>
          <w:tcPr>
            <w:tcW w:w="6485" w:type="dxa"/>
            <w:noWrap/>
          </w:tcPr>
          <w:p w:rsidR="00A00816" w:rsidRPr="008414E2" w:rsidRDefault="00A00816" w:rsidP="008414E2">
            <w:pPr>
              <w:rPr>
                <w:rFonts w:asciiTheme="minorHAnsi" w:hAnsiTheme="minorHAnsi"/>
                <w:sz w:val="20"/>
                <w:szCs w:val="20"/>
              </w:rPr>
            </w:pPr>
            <w:r w:rsidRPr="008414E2">
              <w:rPr>
                <w:rFonts w:asciiTheme="minorHAnsi" w:hAnsiTheme="minorHAnsi"/>
                <w:sz w:val="20"/>
                <w:szCs w:val="20"/>
              </w:rPr>
              <w:t>Subcutaneous</w:t>
            </w:r>
          </w:p>
        </w:tc>
      </w:tr>
      <w:tr w:rsidR="00A00816" w:rsidRPr="002F2961" w:rsidTr="00295ED7">
        <w:trPr>
          <w:trHeight w:val="267"/>
        </w:trPr>
        <w:tc>
          <w:tcPr>
            <w:tcW w:w="2235" w:type="dxa"/>
            <w:noWrap/>
          </w:tcPr>
          <w:p w:rsidR="00A00816" w:rsidRPr="008414E2" w:rsidRDefault="00A00816" w:rsidP="008414E2">
            <w:pPr>
              <w:rPr>
                <w:rFonts w:asciiTheme="minorHAnsi" w:hAnsiTheme="minorHAnsi"/>
                <w:sz w:val="20"/>
                <w:szCs w:val="20"/>
              </w:rPr>
            </w:pPr>
            <w:r w:rsidRPr="008414E2">
              <w:rPr>
                <w:rFonts w:asciiTheme="minorHAnsi" w:hAnsiTheme="minorHAnsi"/>
                <w:sz w:val="20"/>
                <w:szCs w:val="20"/>
              </w:rPr>
              <w:t>SD</w:t>
            </w:r>
          </w:p>
        </w:tc>
        <w:tc>
          <w:tcPr>
            <w:tcW w:w="6485" w:type="dxa"/>
            <w:noWrap/>
          </w:tcPr>
          <w:p w:rsidR="00A00816" w:rsidRPr="008414E2" w:rsidRDefault="00A00816" w:rsidP="008414E2">
            <w:pPr>
              <w:rPr>
                <w:rFonts w:asciiTheme="minorHAnsi" w:hAnsiTheme="minorHAnsi"/>
                <w:sz w:val="20"/>
                <w:szCs w:val="20"/>
              </w:rPr>
            </w:pPr>
            <w:r w:rsidRPr="008414E2">
              <w:rPr>
                <w:rFonts w:asciiTheme="minorHAnsi" w:hAnsiTheme="minorHAnsi"/>
                <w:sz w:val="20"/>
                <w:szCs w:val="20"/>
              </w:rPr>
              <w:t>Standard Deviation</w:t>
            </w:r>
          </w:p>
        </w:tc>
      </w:tr>
      <w:tr w:rsidR="00A00816" w:rsidTr="00295ED7">
        <w:trPr>
          <w:trHeight w:val="267"/>
        </w:trPr>
        <w:tc>
          <w:tcPr>
            <w:tcW w:w="2235" w:type="dxa"/>
            <w:noWrap/>
          </w:tcPr>
          <w:p w:rsidR="00A00816" w:rsidRPr="008414E2" w:rsidRDefault="00A00816" w:rsidP="008414E2">
            <w:pPr>
              <w:rPr>
                <w:rFonts w:asciiTheme="minorHAnsi" w:hAnsiTheme="minorHAnsi"/>
                <w:sz w:val="20"/>
                <w:szCs w:val="20"/>
              </w:rPr>
            </w:pPr>
            <w:r w:rsidRPr="008414E2">
              <w:rPr>
                <w:rFonts w:asciiTheme="minorHAnsi" w:hAnsiTheme="minorHAnsi"/>
                <w:sz w:val="20"/>
                <w:szCs w:val="20"/>
              </w:rPr>
              <w:t>SJC</w:t>
            </w:r>
          </w:p>
        </w:tc>
        <w:tc>
          <w:tcPr>
            <w:tcW w:w="6485" w:type="dxa"/>
            <w:noWrap/>
          </w:tcPr>
          <w:p w:rsidR="00A00816" w:rsidRPr="008414E2" w:rsidRDefault="00A00816" w:rsidP="008414E2">
            <w:pPr>
              <w:rPr>
                <w:rFonts w:asciiTheme="minorHAnsi" w:hAnsiTheme="minorHAnsi"/>
                <w:sz w:val="20"/>
                <w:szCs w:val="20"/>
              </w:rPr>
            </w:pPr>
            <w:r w:rsidRPr="008414E2">
              <w:rPr>
                <w:rFonts w:asciiTheme="minorHAnsi" w:hAnsiTheme="minorHAnsi"/>
                <w:sz w:val="20"/>
                <w:szCs w:val="20"/>
              </w:rPr>
              <w:t>Swollen Joint Count</w:t>
            </w:r>
          </w:p>
        </w:tc>
      </w:tr>
      <w:tr w:rsidR="00A00816" w:rsidRPr="002F2961" w:rsidTr="00295ED7">
        <w:trPr>
          <w:trHeight w:val="267"/>
        </w:trPr>
        <w:tc>
          <w:tcPr>
            <w:tcW w:w="2235" w:type="dxa"/>
            <w:noWrap/>
          </w:tcPr>
          <w:p w:rsidR="00A00816" w:rsidRPr="008414E2" w:rsidRDefault="00A00816" w:rsidP="008414E2">
            <w:pPr>
              <w:rPr>
                <w:rFonts w:asciiTheme="minorHAnsi" w:hAnsiTheme="minorHAnsi"/>
                <w:sz w:val="20"/>
                <w:szCs w:val="20"/>
              </w:rPr>
            </w:pPr>
            <w:r w:rsidRPr="008414E2">
              <w:rPr>
                <w:rFonts w:asciiTheme="minorHAnsi" w:hAnsiTheme="minorHAnsi"/>
                <w:sz w:val="20"/>
                <w:szCs w:val="20"/>
              </w:rPr>
              <w:t>SOC</w:t>
            </w:r>
          </w:p>
        </w:tc>
        <w:tc>
          <w:tcPr>
            <w:tcW w:w="6485" w:type="dxa"/>
            <w:noWrap/>
          </w:tcPr>
          <w:p w:rsidR="00A00816" w:rsidRPr="008414E2" w:rsidRDefault="00A00816" w:rsidP="008414E2">
            <w:pPr>
              <w:rPr>
                <w:rFonts w:asciiTheme="minorHAnsi" w:hAnsiTheme="minorHAnsi"/>
                <w:sz w:val="20"/>
                <w:szCs w:val="20"/>
              </w:rPr>
            </w:pPr>
            <w:r w:rsidRPr="008414E2">
              <w:rPr>
                <w:rFonts w:asciiTheme="minorHAnsi" w:hAnsiTheme="minorHAnsi"/>
                <w:sz w:val="20"/>
                <w:szCs w:val="20"/>
              </w:rPr>
              <w:t>System Organ Class</w:t>
            </w:r>
          </w:p>
        </w:tc>
      </w:tr>
      <w:tr w:rsidR="00A00816" w:rsidRPr="002F2961" w:rsidTr="00295ED7">
        <w:trPr>
          <w:trHeight w:val="267"/>
        </w:trPr>
        <w:tc>
          <w:tcPr>
            <w:tcW w:w="2235" w:type="dxa"/>
            <w:noWrap/>
          </w:tcPr>
          <w:p w:rsidR="00A00816" w:rsidRPr="008414E2" w:rsidRDefault="00A00816" w:rsidP="008414E2">
            <w:pPr>
              <w:rPr>
                <w:rFonts w:asciiTheme="minorHAnsi" w:hAnsiTheme="minorHAnsi"/>
                <w:sz w:val="20"/>
                <w:szCs w:val="20"/>
              </w:rPr>
            </w:pPr>
            <w:r w:rsidRPr="008414E2">
              <w:rPr>
                <w:rFonts w:asciiTheme="minorHAnsi" w:hAnsiTheme="minorHAnsi"/>
                <w:sz w:val="20"/>
                <w:szCs w:val="20"/>
              </w:rPr>
              <w:t>SPARCC</w:t>
            </w:r>
          </w:p>
        </w:tc>
        <w:tc>
          <w:tcPr>
            <w:tcW w:w="6485" w:type="dxa"/>
            <w:noWrap/>
          </w:tcPr>
          <w:p w:rsidR="00A00816" w:rsidRPr="008414E2" w:rsidRDefault="00A00816" w:rsidP="008414E2">
            <w:pPr>
              <w:rPr>
                <w:rFonts w:asciiTheme="minorHAnsi" w:hAnsiTheme="minorHAnsi"/>
                <w:sz w:val="20"/>
                <w:szCs w:val="20"/>
              </w:rPr>
            </w:pPr>
            <w:r w:rsidRPr="008414E2">
              <w:rPr>
                <w:rFonts w:asciiTheme="minorHAnsi" w:hAnsiTheme="minorHAnsi"/>
                <w:sz w:val="20"/>
                <w:szCs w:val="20"/>
              </w:rPr>
              <w:t>Spondyloarthritis Canadian Research Consortium</w:t>
            </w:r>
          </w:p>
        </w:tc>
      </w:tr>
      <w:tr w:rsidR="00A00816" w:rsidRPr="002F2961" w:rsidTr="00295ED7">
        <w:trPr>
          <w:trHeight w:val="267"/>
        </w:trPr>
        <w:tc>
          <w:tcPr>
            <w:tcW w:w="2235" w:type="dxa"/>
            <w:noWrap/>
          </w:tcPr>
          <w:p w:rsidR="00A00816" w:rsidRPr="008414E2" w:rsidRDefault="00A00816" w:rsidP="008414E2">
            <w:pPr>
              <w:rPr>
                <w:rFonts w:asciiTheme="minorHAnsi" w:hAnsiTheme="minorHAnsi"/>
                <w:sz w:val="20"/>
                <w:szCs w:val="20"/>
              </w:rPr>
            </w:pPr>
            <w:r w:rsidRPr="008414E2">
              <w:rPr>
                <w:rFonts w:asciiTheme="minorHAnsi" w:hAnsiTheme="minorHAnsi"/>
                <w:sz w:val="20"/>
                <w:szCs w:val="20"/>
              </w:rPr>
              <w:lastRenderedPageBreak/>
              <w:t>SSZ</w:t>
            </w:r>
          </w:p>
        </w:tc>
        <w:tc>
          <w:tcPr>
            <w:tcW w:w="6485" w:type="dxa"/>
            <w:noWrap/>
          </w:tcPr>
          <w:p w:rsidR="00A00816" w:rsidRPr="008414E2" w:rsidRDefault="00A00816" w:rsidP="008414E2">
            <w:pPr>
              <w:rPr>
                <w:rFonts w:asciiTheme="minorHAnsi" w:hAnsiTheme="minorHAnsi"/>
                <w:sz w:val="20"/>
                <w:szCs w:val="20"/>
              </w:rPr>
            </w:pPr>
            <w:r w:rsidRPr="008414E2">
              <w:rPr>
                <w:rFonts w:asciiTheme="minorHAnsi" w:hAnsiTheme="minorHAnsi"/>
                <w:sz w:val="20"/>
                <w:szCs w:val="20"/>
              </w:rPr>
              <w:t>Sulfasalazine</w:t>
            </w:r>
          </w:p>
        </w:tc>
      </w:tr>
      <w:tr w:rsidR="00A00816" w:rsidRPr="002F2961" w:rsidTr="00295ED7">
        <w:trPr>
          <w:trHeight w:val="267"/>
        </w:trPr>
        <w:tc>
          <w:tcPr>
            <w:tcW w:w="2235" w:type="dxa"/>
            <w:noWrap/>
          </w:tcPr>
          <w:p w:rsidR="00A00816" w:rsidRPr="008414E2" w:rsidRDefault="00A00816" w:rsidP="008414E2">
            <w:pPr>
              <w:rPr>
                <w:rFonts w:asciiTheme="minorHAnsi" w:hAnsiTheme="minorHAnsi"/>
                <w:sz w:val="20"/>
                <w:szCs w:val="20"/>
              </w:rPr>
            </w:pPr>
            <w:r w:rsidRPr="008414E2">
              <w:rPr>
                <w:rFonts w:asciiTheme="minorHAnsi" w:hAnsiTheme="minorHAnsi"/>
                <w:sz w:val="20"/>
                <w:szCs w:val="20"/>
              </w:rPr>
              <w:t>TJC</w:t>
            </w:r>
          </w:p>
        </w:tc>
        <w:tc>
          <w:tcPr>
            <w:tcW w:w="6485" w:type="dxa"/>
            <w:noWrap/>
          </w:tcPr>
          <w:p w:rsidR="00A00816" w:rsidRPr="008414E2" w:rsidRDefault="00A00816" w:rsidP="008414E2">
            <w:pPr>
              <w:rPr>
                <w:rFonts w:asciiTheme="minorHAnsi" w:hAnsiTheme="minorHAnsi"/>
                <w:sz w:val="20"/>
                <w:szCs w:val="20"/>
              </w:rPr>
            </w:pPr>
            <w:r w:rsidRPr="008414E2">
              <w:rPr>
                <w:rFonts w:asciiTheme="minorHAnsi" w:hAnsiTheme="minorHAnsi"/>
                <w:sz w:val="20"/>
                <w:szCs w:val="20"/>
              </w:rPr>
              <w:t>Tender Joint Count</w:t>
            </w:r>
          </w:p>
        </w:tc>
      </w:tr>
      <w:tr w:rsidR="00A00816" w:rsidRPr="002F2961" w:rsidTr="00295ED7">
        <w:trPr>
          <w:trHeight w:val="267"/>
        </w:trPr>
        <w:tc>
          <w:tcPr>
            <w:tcW w:w="2235" w:type="dxa"/>
            <w:noWrap/>
          </w:tcPr>
          <w:p w:rsidR="00A00816" w:rsidRPr="008414E2" w:rsidRDefault="00A00816" w:rsidP="008414E2">
            <w:pPr>
              <w:rPr>
                <w:rFonts w:asciiTheme="minorHAnsi" w:hAnsiTheme="minorHAnsi"/>
                <w:sz w:val="20"/>
                <w:szCs w:val="20"/>
              </w:rPr>
            </w:pPr>
            <w:r w:rsidRPr="008414E2">
              <w:rPr>
                <w:rFonts w:asciiTheme="minorHAnsi" w:hAnsiTheme="minorHAnsi"/>
                <w:sz w:val="20"/>
                <w:szCs w:val="20"/>
              </w:rPr>
              <w:t>TNF</w:t>
            </w:r>
          </w:p>
        </w:tc>
        <w:tc>
          <w:tcPr>
            <w:tcW w:w="6485" w:type="dxa"/>
            <w:noWrap/>
          </w:tcPr>
          <w:p w:rsidR="00A00816" w:rsidRPr="008414E2" w:rsidRDefault="00A00816" w:rsidP="008414E2">
            <w:pPr>
              <w:rPr>
                <w:rFonts w:asciiTheme="minorHAnsi" w:hAnsiTheme="minorHAnsi"/>
                <w:sz w:val="20"/>
                <w:szCs w:val="20"/>
              </w:rPr>
            </w:pPr>
            <w:r w:rsidRPr="008414E2">
              <w:rPr>
                <w:rFonts w:asciiTheme="minorHAnsi" w:hAnsiTheme="minorHAnsi"/>
                <w:sz w:val="20"/>
                <w:szCs w:val="20"/>
              </w:rPr>
              <w:t>Tissue Necrosis Factor</w:t>
            </w:r>
          </w:p>
        </w:tc>
      </w:tr>
      <w:tr w:rsidR="00A00816" w:rsidRPr="002F2961" w:rsidTr="00295ED7">
        <w:trPr>
          <w:trHeight w:val="267"/>
        </w:trPr>
        <w:tc>
          <w:tcPr>
            <w:tcW w:w="2235" w:type="dxa"/>
            <w:noWrap/>
          </w:tcPr>
          <w:p w:rsidR="00A00816" w:rsidRPr="008414E2" w:rsidRDefault="00A00816" w:rsidP="008414E2">
            <w:pPr>
              <w:rPr>
                <w:rFonts w:asciiTheme="minorHAnsi" w:hAnsiTheme="minorHAnsi"/>
                <w:sz w:val="20"/>
                <w:szCs w:val="20"/>
              </w:rPr>
            </w:pPr>
            <w:r w:rsidRPr="008414E2">
              <w:rPr>
                <w:rFonts w:asciiTheme="minorHAnsi" w:hAnsiTheme="minorHAnsi"/>
                <w:sz w:val="20"/>
                <w:szCs w:val="20"/>
              </w:rPr>
              <w:t>ULN</w:t>
            </w:r>
          </w:p>
        </w:tc>
        <w:tc>
          <w:tcPr>
            <w:tcW w:w="6485" w:type="dxa"/>
            <w:noWrap/>
          </w:tcPr>
          <w:p w:rsidR="00A00816" w:rsidRPr="008414E2" w:rsidRDefault="00A00816" w:rsidP="008414E2">
            <w:pPr>
              <w:rPr>
                <w:rFonts w:asciiTheme="minorHAnsi" w:hAnsiTheme="minorHAnsi"/>
                <w:sz w:val="20"/>
                <w:szCs w:val="20"/>
              </w:rPr>
            </w:pPr>
            <w:r w:rsidRPr="008414E2">
              <w:rPr>
                <w:rFonts w:asciiTheme="minorHAnsi" w:hAnsiTheme="minorHAnsi"/>
                <w:sz w:val="20"/>
                <w:szCs w:val="20"/>
              </w:rPr>
              <w:t>Upper Limit of Normal</w:t>
            </w:r>
          </w:p>
        </w:tc>
      </w:tr>
      <w:tr w:rsidR="00A00816" w:rsidRPr="002F2961" w:rsidTr="00295ED7">
        <w:trPr>
          <w:trHeight w:val="267"/>
        </w:trPr>
        <w:tc>
          <w:tcPr>
            <w:tcW w:w="2235" w:type="dxa"/>
            <w:noWrap/>
          </w:tcPr>
          <w:p w:rsidR="00A00816" w:rsidRPr="008414E2" w:rsidRDefault="00A00816" w:rsidP="008414E2">
            <w:pPr>
              <w:rPr>
                <w:rFonts w:asciiTheme="minorHAnsi" w:hAnsiTheme="minorHAnsi"/>
                <w:sz w:val="20"/>
                <w:szCs w:val="20"/>
              </w:rPr>
            </w:pPr>
            <w:r w:rsidRPr="008414E2">
              <w:rPr>
                <w:rFonts w:asciiTheme="minorHAnsi" w:hAnsiTheme="minorHAnsi"/>
                <w:sz w:val="20"/>
                <w:szCs w:val="20"/>
              </w:rPr>
              <w:t xml:space="preserve">URTI </w:t>
            </w:r>
          </w:p>
        </w:tc>
        <w:tc>
          <w:tcPr>
            <w:tcW w:w="6485" w:type="dxa"/>
            <w:noWrap/>
          </w:tcPr>
          <w:p w:rsidR="00A00816" w:rsidRPr="008414E2" w:rsidRDefault="00A00816" w:rsidP="008414E2">
            <w:pPr>
              <w:rPr>
                <w:rFonts w:asciiTheme="minorHAnsi" w:hAnsiTheme="minorHAnsi"/>
                <w:sz w:val="20"/>
                <w:szCs w:val="20"/>
              </w:rPr>
            </w:pPr>
            <w:r w:rsidRPr="008414E2">
              <w:rPr>
                <w:rFonts w:asciiTheme="minorHAnsi" w:hAnsiTheme="minorHAnsi"/>
                <w:sz w:val="20"/>
                <w:szCs w:val="20"/>
              </w:rPr>
              <w:t>Upper Respiratory Tract Infection</w:t>
            </w:r>
          </w:p>
        </w:tc>
      </w:tr>
      <w:tr w:rsidR="00A00816" w:rsidRPr="002F2961" w:rsidTr="00295ED7">
        <w:trPr>
          <w:trHeight w:val="267"/>
        </w:trPr>
        <w:tc>
          <w:tcPr>
            <w:tcW w:w="2235" w:type="dxa"/>
            <w:noWrap/>
          </w:tcPr>
          <w:p w:rsidR="00A00816" w:rsidRPr="008414E2" w:rsidRDefault="00A00816" w:rsidP="008414E2">
            <w:pPr>
              <w:rPr>
                <w:rFonts w:asciiTheme="minorHAnsi" w:hAnsiTheme="minorHAnsi"/>
                <w:sz w:val="20"/>
                <w:szCs w:val="20"/>
              </w:rPr>
            </w:pPr>
            <w:r w:rsidRPr="008414E2">
              <w:rPr>
                <w:rFonts w:asciiTheme="minorHAnsi" w:hAnsiTheme="minorHAnsi"/>
                <w:sz w:val="20"/>
                <w:szCs w:val="20"/>
              </w:rPr>
              <w:t xml:space="preserve">VAS </w:t>
            </w:r>
          </w:p>
        </w:tc>
        <w:tc>
          <w:tcPr>
            <w:tcW w:w="6485" w:type="dxa"/>
            <w:noWrap/>
          </w:tcPr>
          <w:p w:rsidR="00A00816" w:rsidRPr="008414E2" w:rsidRDefault="00A00816" w:rsidP="008414E2">
            <w:pPr>
              <w:rPr>
                <w:rFonts w:asciiTheme="minorHAnsi" w:hAnsiTheme="minorHAnsi"/>
                <w:sz w:val="20"/>
                <w:szCs w:val="20"/>
              </w:rPr>
            </w:pPr>
            <w:r w:rsidRPr="008414E2">
              <w:rPr>
                <w:rFonts w:asciiTheme="minorHAnsi" w:hAnsiTheme="minorHAnsi"/>
                <w:sz w:val="20"/>
                <w:szCs w:val="20"/>
              </w:rPr>
              <w:t xml:space="preserve">Visual Analogue Scale </w:t>
            </w:r>
          </w:p>
        </w:tc>
      </w:tr>
      <w:tr w:rsidR="00A00816" w:rsidRPr="002F2961" w:rsidTr="00295ED7">
        <w:trPr>
          <w:trHeight w:val="267"/>
        </w:trPr>
        <w:tc>
          <w:tcPr>
            <w:tcW w:w="2235" w:type="dxa"/>
            <w:noWrap/>
          </w:tcPr>
          <w:p w:rsidR="00A00816" w:rsidRPr="008414E2" w:rsidRDefault="00A00816" w:rsidP="008414E2">
            <w:pPr>
              <w:rPr>
                <w:rFonts w:asciiTheme="minorHAnsi" w:hAnsiTheme="minorHAnsi"/>
                <w:sz w:val="20"/>
                <w:szCs w:val="20"/>
              </w:rPr>
            </w:pPr>
            <w:r w:rsidRPr="008414E2">
              <w:rPr>
                <w:rFonts w:asciiTheme="minorHAnsi" w:hAnsiTheme="minorHAnsi"/>
                <w:sz w:val="20"/>
                <w:szCs w:val="20"/>
              </w:rPr>
              <w:t>VPC</w:t>
            </w:r>
          </w:p>
        </w:tc>
        <w:tc>
          <w:tcPr>
            <w:tcW w:w="6485" w:type="dxa"/>
            <w:noWrap/>
          </w:tcPr>
          <w:p w:rsidR="00A00816" w:rsidRPr="008414E2" w:rsidRDefault="00A00816" w:rsidP="008414E2">
            <w:pPr>
              <w:rPr>
                <w:rFonts w:asciiTheme="minorHAnsi" w:hAnsiTheme="minorHAnsi"/>
                <w:sz w:val="20"/>
                <w:szCs w:val="20"/>
              </w:rPr>
            </w:pPr>
            <w:r w:rsidRPr="008414E2">
              <w:rPr>
                <w:rFonts w:asciiTheme="minorHAnsi" w:hAnsiTheme="minorHAnsi"/>
                <w:sz w:val="20"/>
                <w:szCs w:val="20"/>
              </w:rPr>
              <w:t>Visual predictive check</w:t>
            </w:r>
          </w:p>
        </w:tc>
      </w:tr>
    </w:tbl>
    <w:p w:rsidR="00FD119B" w:rsidRDefault="00FD119B" w:rsidP="00FD119B">
      <w:pPr>
        <w:spacing w:before="0" w:after="200" w:line="0" w:lineRule="auto"/>
        <w:rPr>
          <w:b/>
          <w:i/>
          <w:sz w:val="24"/>
          <w:szCs w:val="24"/>
        </w:rPr>
      </w:pPr>
      <w:r w:rsidRPr="00FD119B">
        <w:rPr>
          <w:b/>
          <w:i/>
          <w:sz w:val="24"/>
          <w:szCs w:val="24"/>
        </w:rPr>
        <w:br w:type="page"/>
      </w:r>
    </w:p>
    <w:p w:rsidR="00BF682A" w:rsidRPr="00FD119B" w:rsidRDefault="00BF682A" w:rsidP="00FD119B">
      <w:pPr>
        <w:spacing w:before="0" w:after="200" w:line="0" w:lineRule="auto"/>
        <w:rPr>
          <w:b/>
          <w:i/>
          <w:sz w:val="24"/>
          <w:szCs w:val="24"/>
        </w:rPr>
      </w:pPr>
    </w:p>
    <w:p w:rsidR="008E7846" w:rsidRDefault="00F53C07" w:rsidP="008E7846">
      <w:pPr>
        <w:pStyle w:val="Heading2"/>
      </w:pPr>
      <w:bookmarkStart w:id="9" w:name="_Toc479772044"/>
      <w:r>
        <w:t>I.</w:t>
      </w:r>
      <w:r w:rsidR="008E7846">
        <w:t xml:space="preserve"> Introduction to product submission</w:t>
      </w:r>
      <w:bookmarkEnd w:id="3"/>
      <w:bookmarkEnd w:id="0"/>
      <w:bookmarkEnd w:id="9"/>
    </w:p>
    <w:p w:rsidR="008E7846" w:rsidRDefault="008E7846" w:rsidP="008E7846">
      <w:pPr>
        <w:pStyle w:val="Heading3"/>
        <w:rPr>
          <w:lang w:eastAsia="en-AU"/>
        </w:rPr>
      </w:pPr>
      <w:bookmarkStart w:id="10" w:name="_Toc247691502"/>
      <w:bookmarkStart w:id="11" w:name="_Toc314842483"/>
      <w:bookmarkStart w:id="12" w:name="_Toc479772045"/>
      <w:r>
        <w:rPr>
          <w:lang w:eastAsia="en-AU"/>
        </w:rPr>
        <w:t>Submission details</w:t>
      </w:r>
      <w:bookmarkEnd w:id="10"/>
      <w:bookmarkEnd w:id="11"/>
      <w:bookmarkEnd w:id="12"/>
    </w:p>
    <w:tbl>
      <w:tblPr>
        <w:tblW w:w="9214" w:type="dxa"/>
        <w:tblInd w:w="108" w:type="dxa"/>
        <w:tblLook w:val="01E0" w:firstRow="1" w:lastRow="1" w:firstColumn="1" w:lastColumn="1" w:noHBand="0" w:noVBand="0"/>
      </w:tblPr>
      <w:tblGrid>
        <w:gridCol w:w="2548"/>
        <w:gridCol w:w="87"/>
        <w:gridCol w:w="5973"/>
        <w:gridCol w:w="606"/>
      </w:tblGrid>
      <w:tr w:rsidR="008E7846" w:rsidRPr="003D1E62" w:rsidTr="00C2251D">
        <w:trPr>
          <w:gridAfter w:val="1"/>
          <w:wAfter w:w="606" w:type="dxa"/>
          <w:trHeight w:hRule="exact" w:val="441"/>
        </w:trPr>
        <w:tc>
          <w:tcPr>
            <w:tcW w:w="2635" w:type="dxa"/>
            <w:gridSpan w:val="2"/>
          </w:tcPr>
          <w:p w:rsidR="008E7846" w:rsidRPr="003D1E62" w:rsidRDefault="001B5C90" w:rsidP="001B5C90">
            <w:pPr>
              <w:rPr>
                <w:i/>
              </w:rPr>
            </w:pPr>
            <w:r>
              <w:rPr>
                <w:i/>
              </w:rPr>
              <w:t>Type of s</w:t>
            </w:r>
            <w:r w:rsidR="008E7846" w:rsidRPr="003D1E62">
              <w:rPr>
                <w:i/>
              </w:rPr>
              <w:t>ubmission</w:t>
            </w:r>
            <w:r>
              <w:rPr>
                <w:i/>
              </w:rPr>
              <w:t>:</w:t>
            </w:r>
          </w:p>
        </w:tc>
        <w:tc>
          <w:tcPr>
            <w:tcW w:w="5973" w:type="dxa"/>
          </w:tcPr>
          <w:p w:rsidR="008E7846" w:rsidRPr="003D1E62" w:rsidRDefault="00D51439" w:rsidP="00D51439">
            <w:r>
              <w:t>Extension of Indications</w:t>
            </w:r>
          </w:p>
        </w:tc>
      </w:tr>
      <w:tr w:rsidR="008E7846" w:rsidRPr="003D1E62" w:rsidTr="00C2251D">
        <w:trPr>
          <w:gridAfter w:val="1"/>
          <w:wAfter w:w="606" w:type="dxa"/>
          <w:trHeight w:hRule="exact" w:val="441"/>
        </w:trPr>
        <w:tc>
          <w:tcPr>
            <w:tcW w:w="2635" w:type="dxa"/>
            <w:gridSpan w:val="2"/>
          </w:tcPr>
          <w:p w:rsidR="008E7846" w:rsidRPr="003D1E62" w:rsidRDefault="008E7846" w:rsidP="003D1E62">
            <w:r w:rsidRPr="003D1E62">
              <w:rPr>
                <w:i/>
              </w:rPr>
              <w:t>Decision</w:t>
            </w:r>
            <w:r w:rsidRPr="003D1E62">
              <w:t>:</w:t>
            </w:r>
          </w:p>
        </w:tc>
        <w:tc>
          <w:tcPr>
            <w:tcW w:w="5973" w:type="dxa"/>
          </w:tcPr>
          <w:p w:rsidR="008E7846" w:rsidRPr="003D1E62" w:rsidRDefault="008E7846" w:rsidP="00D51439">
            <w:r w:rsidRPr="003D1E62">
              <w:t xml:space="preserve">Approved </w:t>
            </w:r>
          </w:p>
        </w:tc>
      </w:tr>
      <w:tr w:rsidR="008E7846" w:rsidRPr="003D1E62" w:rsidTr="00C2251D">
        <w:trPr>
          <w:gridAfter w:val="1"/>
          <w:wAfter w:w="606" w:type="dxa"/>
          <w:trHeight w:hRule="exact" w:val="441"/>
        </w:trPr>
        <w:tc>
          <w:tcPr>
            <w:tcW w:w="2635" w:type="dxa"/>
            <w:gridSpan w:val="2"/>
          </w:tcPr>
          <w:p w:rsidR="008E7846" w:rsidRPr="003D1E62" w:rsidRDefault="008E7846" w:rsidP="001B5C90">
            <w:pPr>
              <w:rPr>
                <w:i/>
              </w:rPr>
            </w:pPr>
            <w:r w:rsidRPr="003D1E62">
              <w:rPr>
                <w:i/>
              </w:rPr>
              <w:t xml:space="preserve">Date of </w:t>
            </w:r>
            <w:r w:rsidR="001B5C90">
              <w:rPr>
                <w:i/>
              </w:rPr>
              <w:t>d</w:t>
            </w:r>
            <w:r w:rsidRPr="003D1E62">
              <w:rPr>
                <w:i/>
              </w:rPr>
              <w:t>ecision:</w:t>
            </w:r>
          </w:p>
        </w:tc>
        <w:tc>
          <w:tcPr>
            <w:tcW w:w="5973" w:type="dxa"/>
          </w:tcPr>
          <w:p w:rsidR="008E7846" w:rsidRPr="003D1E62" w:rsidRDefault="00C448E4" w:rsidP="001B5C90">
            <w:r>
              <w:t>7 July 2016</w:t>
            </w:r>
          </w:p>
        </w:tc>
      </w:tr>
      <w:tr w:rsidR="00ED2922" w:rsidRPr="003D1E62" w:rsidTr="00C2251D">
        <w:trPr>
          <w:gridAfter w:val="1"/>
          <w:wAfter w:w="606" w:type="dxa"/>
          <w:trHeight w:hRule="exact" w:val="441"/>
        </w:trPr>
        <w:tc>
          <w:tcPr>
            <w:tcW w:w="2635" w:type="dxa"/>
            <w:gridSpan w:val="2"/>
          </w:tcPr>
          <w:p w:rsidR="00ED2922" w:rsidRPr="00441C3F" w:rsidRDefault="00ED2922" w:rsidP="001B5C90">
            <w:pPr>
              <w:rPr>
                <w:i/>
              </w:rPr>
            </w:pPr>
            <w:r w:rsidRPr="00441C3F">
              <w:rPr>
                <w:i/>
              </w:rPr>
              <w:t>Date of entry onto ARTG</w:t>
            </w:r>
          </w:p>
        </w:tc>
        <w:tc>
          <w:tcPr>
            <w:tcW w:w="5973" w:type="dxa"/>
          </w:tcPr>
          <w:p w:rsidR="00ED2922" w:rsidRPr="00441C3F" w:rsidRDefault="00C448E4" w:rsidP="00EC463D">
            <w:pPr>
              <w:rPr>
                <w:i/>
              </w:rPr>
            </w:pPr>
            <w:r>
              <w:t>18 July 2016</w:t>
            </w:r>
          </w:p>
        </w:tc>
      </w:tr>
      <w:tr w:rsidR="008E7846" w:rsidRPr="00487162" w:rsidTr="00C2251D">
        <w:tc>
          <w:tcPr>
            <w:tcW w:w="2548" w:type="dxa"/>
          </w:tcPr>
          <w:p w:rsidR="008E7846" w:rsidRPr="00487162" w:rsidRDefault="001B5C90" w:rsidP="00E45619">
            <w:pPr>
              <w:rPr>
                <w:i/>
              </w:rPr>
            </w:pPr>
            <w:r>
              <w:rPr>
                <w:i/>
              </w:rPr>
              <w:t>Active ingredient(s):</w:t>
            </w:r>
          </w:p>
        </w:tc>
        <w:tc>
          <w:tcPr>
            <w:tcW w:w="6666" w:type="dxa"/>
            <w:gridSpan w:val="3"/>
          </w:tcPr>
          <w:p w:rsidR="008E7846" w:rsidRPr="00487162" w:rsidRDefault="00D51439" w:rsidP="00894045">
            <w:pPr>
              <w:ind w:firstLine="38"/>
            </w:pPr>
            <w:proofErr w:type="spellStart"/>
            <w:r w:rsidRPr="00D51439">
              <w:t>Adalimumab</w:t>
            </w:r>
            <w:proofErr w:type="spellEnd"/>
          </w:p>
        </w:tc>
      </w:tr>
      <w:tr w:rsidR="008E7846" w:rsidRPr="00487162" w:rsidTr="00C2251D">
        <w:tc>
          <w:tcPr>
            <w:tcW w:w="2548" w:type="dxa"/>
          </w:tcPr>
          <w:p w:rsidR="008E7846" w:rsidRPr="00487162" w:rsidRDefault="008E7846" w:rsidP="001B5C90">
            <w:pPr>
              <w:rPr>
                <w:i/>
              </w:rPr>
            </w:pPr>
            <w:r w:rsidRPr="00487162">
              <w:rPr>
                <w:i/>
              </w:rPr>
              <w:t>Product</w:t>
            </w:r>
            <w:r w:rsidR="001B5C90">
              <w:rPr>
                <w:i/>
              </w:rPr>
              <w:t xml:space="preserve"> name(s):</w:t>
            </w:r>
          </w:p>
        </w:tc>
        <w:tc>
          <w:tcPr>
            <w:tcW w:w="6666" w:type="dxa"/>
            <w:gridSpan w:val="3"/>
          </w:tcPr>
          <w:p w:rsidR="008E7846" w:rsidRPr="00487162" w:rsidRDefault="00D51439" w:rsidP="00894045">
            <w:pPr>
              <w:ind w:firstLine="38"/>
            </w:pPr>
            <w:r>
              <w:t>Humira</w:t>
            </w:r>
          </w:p>
        </w:tc>
      </w:tr>
      <w:tr w:rsidR="008E7846" w:rsidRPr="00487162" w:rsidTr="00C2251D">
        <w:tc>
          <w:tcPr>
            <w:tcW w:w="2548" w:type="dxa"/>
          </w:tcPr>
          <w:p w:rsidR="008E7846" w:rsidRPr="00487162" w:rsidRDefault="008E7846" w:rsidP="001B5C90">
            <w:pPr>
              <w:rPr>
                <w:i/>
              </w:rPr>
            </w:pPr>
            <w:r w:rsidRPr="00487162">
              <w:rPr>
                <w:i/>
              </w:rPr>
              <w:t xml:space="preserve">Sponsor’s </w:t>
            </w:r>
            <w:r w:rsidR="001B5C90">
              <w:rPr>
                <w:i/>
              </w:rPr>
              <w:t>n</w:t>
            </w:r>
            <w:r w:rsidRPr="00487162">
              <w:rPr>
                <w:i/>
              </w:rPr>
              <w:t xml:space="preserve">ame and </w:t>
            </w:r>
            <w:r w:rsidR="001B5C90">
              <w:rPr>
                <w:i/>
              </w:rPr>
              <w:t>a</w:t>
            </w:r>
            <w:r w:rsidRPr="00487162">
              <w:rPr>
                <w:i/>
              </w:rPr>
              <w:t>ddress:</w:t>
            </w:r>
          </w:p>
        </w:tc>
        <w:tc>
          <w:tcPr>
            <w:tcW w:w="6666" w:type="dxa"/>
            <w:gridSpan w:val="3"/>
          </w:tcPr>
          <w:p w:rsidR="008E7846" w:rsidRDefault="00D51439" w:rsidP="00894045">
            <w:pPr>
              <w:ind w:firstLine="38"/>
            </w:pPr>
            <w:r w:rsidRPr="00D51439">
              <w:t>Abbvie Pty Ltd</w:t>
            </w:r>
          </w:p>
          <w:p w:rsidR="00E07240" w:rsidRPr="00487162" w:rsidRDefault="00E07240" w:rsidP="00894045">
            <w:pPr>
              <w:ind w:firstLine="38"/>
            </w:pPr>
            <w:r>
              <w:t>241 O’Riordan Street</w:t>
            </w:r>
            <w:r w:rsidR="00A00816">
              <w:t xml:space="preserve">, </w:t>
            </w:r>
            <w:r>
              <w:t>Mascot NSW 2020</w:t>
            </w:r>
          </w:p>
        </w:tc>
      </w:tr>
      <w:tr w:rsidR="008E7846" w:rsidRPr="00487162" w:rsidTr="00C2251D">
        <w:tc>
          <w:tcPr>
            <w:tcW w:w="2548" w:type="dxa"/>
          </w:tcPr>
          <w:p w:rsidR="008E7846" w:rsidRPr="00487162" w:rsidRDefault="001B5C90" w:rsidP="00E45619">
            <w:pPr>
              <w:rPr>
                <w:i/>
              </w:rPr>
            </w:pPr>
            <w:r>
              <w:rPr>
                <w:i/>
              </w:rPr>
              <w:t>Dose form(s):</w:t>
            </w:r>
          </w:p>
        </w:tc>
        <w:tc>
          <w:tcPr>
            <w:tcW w:w="6666" w:type="dxa"/>
            <w:gridSpan w:val="3"/>
          </w:tcPr>
          <w:p w:rsidR="008E7846" w:rsidRPr="00487162" w:rsidRDefault="009E5527" w:rsidP="00894045">
            <w:pPr>
              <w:ind w:firstLine="38"/>
            </w:pPr>
            <w:r>
              <w:t>S</w:t>
            </w:r>
            <w:r w:rsidR="00A00816">
              <w:t>olution for Injection</w:t>
            </w:r>
          </w:p>
        </w:tc>
      </w:tr>
      <w:tr w:rsidR="008E7846" w:rsidRPr="00487162" w:rsidTr="00C2251D">
        <w:tc>
          <w:tcPr>
            <w:tcW w:w="2548" w:type="dxa"/>
          </w:tcPr>
          <w:p w:rsidR="008E7846" w:rsidRPr="00487162" w:rsidRDefault="008E7846" w:rsidP="00E45619">
            <w:pPr>
              <w:rPr>
                <w:i/>
              </w:rPr>
            </w:pPr>
            <w:r w:rsidRPr="00487162">
              <w:rPr>
                <w:i/>
              </w:rPr>
              <w:t xml:space="preserve">Strength(s): </w:t>
            </w:r>
          </w:p>
        </w:tc>
        <w:tc>
          <w:tcPr>
            <w:tcW w:w="6666" w:type="dxa"/>
            <w:gridSpan w:val="3"/>
          </w:tcPr>
          <w:p w:rsidR="008E7846" w:rsidRPr="00487162" w:rsidRDefault="009E5527" w:rsidP="00894045">
            <w:pPr>
              <w:ind w:firstLine="38"/>
            </w:pPr>
            <w:r w:rsidRPr="009E5527">
              <w:t>10</w:t>
            </w:r>
            <w:r>
              <w:t xml:space="preserve"> </w:t>
            </w:r>
            <w:r w:rsidRPr="009E5527">
              <w:t>mg, 20</w:t>
            </w:r>
            <w:r>
              <w:t xml:space="preserve"> </w:t>
            </w:r>
            <w:r w:rsidRPr="009E5527">
              <w:t>mg and 40</w:t>
            </w:r>
            <w:r>
              <w:t xml:space="preserve"> </w:t>
            </w:r>
            <w:r w:rsidRPr="009E5527">
              <w:t xml:space="preserve">mg </w:t>
            </w:r>
          </w:p>
        </w:tc>
      </w:tr>
      <w:tr w:rsidR="008E7846" w:rsidRPr="00487162" w:rsidTr="00C2251D">
        <w:tc>
          <w:tcPr>
            <w:tcW w:w="2548" w:type="dxa"/>
          </w:tcPr>
          <w:p w:rsidR="008E7846" w:rsidRPr="00487162" w:rsidRDefault="008E7846" w:rsidP="00E45619">
            <w:pPr>
              <w:rPr>
                <w:i/>
              </w:rPr>
            </w:pPr>
            <w:r w:rsidRPr="00487162">
              <w:rPr>
                <w:i/>
              </w:rPr>
              <w:t>Container(s):</w:t>
            </w:r>
          </w:p>
        </w:tc>
        <w:tc>
          <w:tcPr>
            <w:tcW w:w="6666" w:type="dxa"/>
            <w:gridSpan w:val="3"/>
          </w:tcPr>
          <w:p w:rsidR="008E7846" w:rsidRPr="00487162" w:rsidRDefault="009E5527" w:rsidP="00894045">
            <w:pPr>
              <w:ind w:firstLine="38"/>
            </w:pPr>
            <w:r>
              <w:t>P</w:t>
            </w:r>
            <w:r w:rsidRPr="009E5527">
              <w:t>re-filled syringe or auto</w:t>
            </w:r>
            <w:r w:rsidR="00054259">
              <w:t>-</w:t>
            </w:r>
            <w:r w:rsidRPr="009E5527">
              <w:t>injector pen</w:t>
            </w:r>
          </w:p>
        </w:tc>
      </w:tr>
      <w:tr w:rsidR="008E7846" w:rsidRPr="00487162" w:rsidTr="00C2251D">
        <w:tc>
          <w:tcPr>
            <w:tcW w:w="2548" w:type="dxa"/>
          </w:tcPr>
          <w:p w:rsidR="008E7846" w:rsidRPr="00487162" w:rsidRDefault="008E7846" w:rsidP="00E45619">
            <w:pPr>
              <w:rPr>
                <w:i/>
              </w:rPr>
            </w:pPr>
            <w:r w:rsidRPr="00487162">
              <w:rPr>
                <w:i/>
              </w:rPr>
              <w:t>Pack size(s):</w:t>
            </w:r>
          </w:p>
        </w:tc>
        <w:tc>
          <w:tcPr>
            <w:tcW w:w="6666" w:type="dxa"/>
            <w:gridSpan w:val="3"/>
          </w:tcPr>
          <w:p w:rsidR="00D24962" w:rsidRDefault="00B94E13" w:rsidP="00894045">
            <w:pPr>
              <w:ind w:firstLine="38"/>
              <w:rPr>
                <w:i/>
              </w:rPr>
            </w:pPr>
            <w:r w:rsidRPr="00C2251D">
              <w:rPr>
                <w:i/>
              </w:rPr>
              <w:t>10 and 20 mg:</w:t>
            </w:r>
          </w:p>
          <w:p w:rsidR="008E7846" w:rsidRPr="00C2251D" w:rsidRDefault="00E07240" w:rsidP="00894045">
            <w:pPr>
              <w:ind w:firstLine="38"/>
              <w:rPr>
                <w:rFonts w:eastAsia="MS Mincho"/>
                <w:sz w:val="20"/>
                <w:szCs w:val="20"/>
                <w:lang w:eastAsia="ja-JP"/>
              </w:rPr>
            </w:pPr>
            <w:r w:rsidRPr="00C2251D">
              <w:rPr>
                <w:sz w:val="20"/>
                <w:szCs w:val="20"/>
              </w:rPr>
              <w:t>Carton containing 2 blisters, each containing 1 pre-filled syringe</w:t>
            </w:r>
            <w:r w:rsidR="00C2251D" w:rsidRPr="00C2251D">
              <w:rPr>
                <w:sz w:val="20"/>
                <w:szCs w:val="20"/>
              </w:rPr>
              <w:t>.</w:t>
            </w:r>
          </w:p>
          <w:p w:rsidR="00E07240" w:rsidRPr="00B94E13" w:rsidRDefault="00E07240" w:rsidP="00894045">
            <w:pPr>
              <w:ind w:firstLine="38"/>
            </w:pPr>
            <w:r w:rsidRPr="00C2251D">
              <w:rPr>
                <w:i/>
              </w:rPr>
              <w:t>40 mg pre-filled syringe</w:t>
            </w:r>
            <w:r w:rsidRPr="00B94E13">
              <w:t>:</w:t>
            </w:r>
          </w:p>
          <w:p w:rsidR="00E07240" w:rsidRPr="00C2251D" w:rsidRDefault="00E07240" w:rsidP="00894045">
            <w:pPr>
              <w:ind w:firstLine="38"/>
              <w:rPr>
                <w:sz w:val="20"/>
                <w:szCs w:val="20"/>
              </w:rPr>
            </w:pPr>
            <w:r w:rsidRPr="00C2251D">
              <w:rPr>
                <w:sz w:val="20"/>
                <w:szCs w:val="20"/>
              </w:rPr>
              <w:t>Carton containing 1 alcohol pad and 1 blister with 1 pre-filled syringe</w:t>
            </w:r>
            <w:r w:rsidR="00B94E13" w:rsidRPr="00C2251D">
              <w:rPr>
                <w:sz w:val="20"/>
                <w:szCs w:val="20"/>
              </w:rPr>
              <w:t xml:space="preserve">; </w:t>
            </w:r>
            <w:r w:rsidRPr="00C2251D">
              <w:rPr>
                <w:sz w:val="20"/>
                <w:szCs w:val="20"/>
              </w:rPr>
              <w:t>Carton containing 2 alcohol pads and 2 blisters, each containing 1 pre-filled syringe</w:t>
            </w:r>
            <w:r w:rsidR="00B94E13" w:rsidRPr="00C2251D">
              <w:rPr>
                <w:sz w:val="20"/>
                <w:szCs w:val="20"/>
              </w:rPr>
              <w:t xml:space="preserve">; </w:t>
            </w:r>
            <w:r w:rsidRPr="00C2251D">
              <w:rPr>
                <w:sz w:val="20"/>
                <w:szCs w:val="20"/>
              </w:rPr>
              <w:t>Carton containing 3 alcohol pads and 3 blisters, each containing 1 pre-filled syringe</w:t>
            </w:r>
            <w:r w:rsidR="00B94E13" w:rsidRPr="00C2251D">
              <w:rPr>
                <w:sz w:val="20"/>
                <w:szCs w:val="20"/>
              </w:rPr>
              <w:t xml:space="preserve">; </w:t>
            </w:r>
            <w:r w:rsidRPr="00C2251D">
              <w:rPr>
                <w:sz w:val="20"/>
                <w:szCs w:val="20"/>
              </w:rPr>
              <w:t>Carton containing 4 alcohol pads and 4 blisters, each containing 1 pre-filled syringe</w:t>
            </w:r>
            <w:r w:rsidR="00B94E13" w:rsidRPr="00C2251D">
              <w:rPr>
                <w:sz w:val="20"/>
                <w:szCs w:val="20"/>
              </w:rPr>
              <w:t xml:space="preserve">; </w:t>
            </w:r>
            <w:r w:rsidRPr="00C2251D">
              <w:rPr>
                <w:sz w:val="20"/>
                <w:szCs w:val="20"/>
              </w:rPr>
              <w:t>Carton containing 6 alcohol pads and 6 blisters, each containing 1 pre-filled syringe.</w:t>
            </w:r>
          </w:p>
          <w:p w:rsidR="00E07240" w:rsidRPr="00B94E13" w:rsidRDefault="00E07240" w:rsidP="00894045">
            <w:pPr>
              <w:ind w:firstLine="38"/>
            </w:pPr>
            <w:r w:rsidRPr="00C2251D">
              <w:rPr>
                <w:i/>
              </w:rPr>
              <w:t>40 mg pre-filled pen</w:t>
            </w:r>
            <w:r w:rsidRPr="00B94E13">
              <w:t>:</w:t>
            </w:r>
          </w:p>
          <w:p w:rsidR="00E07240" w:rsidRPr="00C2251D" w:rsidRDefault="00E07240" w:rsidP="00894045">
            <w:pPr>
              <w:ind w:firstLine="38"/>
              <w:rPr>
                <w:sz w:val="20"/>
                <w:szCs w:val="20"/>
              </w:rPr>
            </w:pPr>
            <w:r w:rsidRPr="00C2251D">
              <w:rPr>
                <w:sz w:val="20"/>
                <w:szCs w:val="20"/>
              </w:rPr>
              <w:t xml:space="preserve">Carton containing 2 alcohol pads and </w:t>
            </w:r>
            <w:r w:rsidR="00B94E13" w:rsidRPr="00C2251D">
              <w:rPr>
                <w:sz w:val="20"/>
                <w:szCs w:val="20"/>
              </w:rPr>
              <w:t xml:space="preserve">1 blister with 1 pre-filled pen; </w:t>
            </w:r>
            <w:r w:rsidRPr="00C2251D">
              <w:rPr>
                <w:sz w:val="20"/>
                <w:szCs w:val="20"/>
              </w:rPr>
              <w:t>Carton containing 2 alcohol pads and 2 blisters, each containing 1 pre-filled pen</w:t>
            </w:r>
            <w:r w:rsidR="00B94E13" w:rsidRPr="00C2251D">
              <w:rPr>
                <w:sz w:val="20"/>
                <w:szCs w:val="20"/>
              </w:rPr>
              <w:t xml:space="preserve">; </w:t>
            </w:r>
            <w:r w:rsidRPr="00C2251D">
              <w:rPr>
                <w:sz w:val="20"/>
                <w:szCs w:val="20"/>
              </w:rPr>
              <w:t>Carton containing 4 alcohol pads and 3 blisters, each containing 1 pre-filled pen</w:t>
            </w:r>
            <w:r w:rsidR="00B94E13" w:rsidRPr="00C2251D">
              <w:rPr>
                <w:sz w:val="20"/>
                <w:szCs w:val="20"/>
              </w:rPr>
              <w:t xml:space="preserve">; </w:t>
            </w:r>
            <w:r w:rsidRPr="00C2251D">
              <w:rPr>
                <w:sz w:val="20"/>
                <w:szCs w:val="20"/>
              </w:rPr>
              <w:t>Carton containing 4 alcohol pads and 4 blisters, each containing 1 pre-filled pen</w:t>
            </w:r>
            <w:r w:rsidR="00B94E13" w:rsidRPr="00C2251D">
              <w:rPr>
                <w:sz w:val="20"/>
                <w:szCs w:val="20"/>
              </w:rPr>
              <w:t xml:space="preserve">; </w:t>
            </w:r>
            <w:r w:rsidRPr="00C2251D">
              <w:rPr>
                <w:sz w:val="20"/>
                <w:szCs w:val="20"/>
              </w:rPr>
              <w:t>Carton containing 6 alcohol pads and 6 blisters, each containing 1 pre-filled pen.</w:t>
            </w:r>
          </w:p>
          <w:p w:rsidR="00E07240" w:rsidRPr="00C2251D" w:rsidRDefault="00E07240" w:rsidP="00894045">
            <w:pPr>
              <w:ind w:firstLine="38"/>
              <w:rPr>
                <w:i/>
              </w:rPr>
            </w:pPr>
            <w:r w:rsidRPr="00C2251D">
              <w:rPr>
                <w:i/>
              </w:rPr>
              <w:t>40 mg single-use vial</w:t>
            </w:r>
            <w:r w:rsidR="00B94E13" w:rsidRPr="00C2251D">
              <w:rPr>
                <w:i/>
              </w:rPr>
              <w:t>:</w:t>
            </w:r>
          </w:p>
          <w:p w:rsidR="00E07240" w:rsidRPr="00C2251D" w:rsidRDefault="00E07240" w:rsidP="00894045">
            <w:pPr>
              <w:ind w:firstLine="38"/>
              <w:rPr>
                <w:sz w:val="20"/>
                <w:szCs w:val="20"/>
              </w:rPr>
            </w:pPr>
            <w:r w:rsidRPr="00C2251D">
              <w:rPr>
                <w:sz w:val="20"/>
                <w:szCs w:val="20"/>
              </w:rPr>
              <w:t>Carton containing 1 blister with 1 vial, 1 empty sterile injection syringe in pouch and 2 alcohol pads.</w:t>
            </w:r>
          </w:p>
        </w:tc>
      </w:tr>
      <w:tr w:rsidR="008E7846" w:rsidRPr="00487162" w:rsidTr="00C2251D">
        <w:tc>
          <w:tcPr>
            <w:tcW w:w="2548" w:type="dxa"/>
          </w:tcPr>
          <w:p w:rsidR="008E7846" w:rsidRPr="00487162" w:rsidRDefault="008E7846" w:rsidP="001B5C90">
            <w:pPr>
              <w:rPr>
                <w:i/>
              </w:rPr>
            </w:pPr>
            <w:r w:rsidRPr="00487162">
              <w:rPr>
                <w:i/>
              </w:rPr>
              <w:t xml:space="preserve">Approved </w:t>
            </w:r>
            <w:r w:rsidR="001B5C90">
              <w:rPr>
                <w:i/>
              </w:rPr>
              <w:t>t</w:t>
            </w:r>
            <w:r w:rsidRPr="00487162">
              <w:rPr>
                <w:i/>
              </w:rPr>
              <w:t>herapeutic use:</w:t>
            </w:r>
          </w:p>
        </w:tc>
        <w:tc>
          <w:tcPr>
            <w:tcW w:w="6666" w:type="dxa"/>
            <w:gridSpan w:val="3"/>
          </w:tcPr>
          <w:p w:rsidR="00C448E4" w:rsidRPr="00B94E13" w:rsidRDefault="00C448E4" w:rsidP="00894045">
            <w:pPr>
              <w:ind w:firstLine="38"/>
              <w:rPr>
                <w:b/>
                <w:i/>
              </w:rPr>
            </w:pPr>
            <w:r w:rsidRPr="00B94E13">
              <w:rPr>
                <w:b/>
                <w:i/>
              </w:rPr>
              <w:t>Enthesitis-Related Arthritis</w:t>
            </w:r>
          </w:p>
          <w:p w:rsidR="00C448E4" w:rsidRPr="00B94E13" w:rsidRDefault="00C448E4" w:rsidP="00894045">
            <w:pPr>
              <w:ind w:firstLine="38"/>
              <w:rPr>
                <w:i/>
              </w:rPr>
            </w:pPr>
            <w:r w:rsidRPr="00B94E13">
              <w:rPr>
                <w:i/>
              </w:rPr>
              <w:t>Humira is indicated for the treatment of enthesitis-related arthritis in children, who have had</w:t>
            </w:r>
            <w:r w:rsidR="00A00816" w:rsidRPr="00B94E13">
              <w:rPr>
                <w:i/>
              </w:rPr>
              <w:t xml:space="preserve"> </w:t>
            </w:r>
            <w:r w:rsidRPr="00B94E13">
              <w:rPr>
                <w:i/>
              </w:rPr>
              <w:t>an inadequate response to, or who are intolerant to, conventional therapy.</w:t>
            </w:r>
          </w:p>
          <w:p w:rsidR="00C448E4" w:rsidRPr="00B94E13" w:rsidRDefault="00C448E4" w:rsidP="00894045">
            <w:pPr>
              <w:ind w:firstLine="38"/>
              <w:rPr>
                <w:b/>
                <w:i/>
              </w:rPr>
            </w:pPr>
            <w:r w:rsidRPr="00B94E13">
              <w:rPr>
                <w:b/>
                <w:i/>
              </w:rPr>
              <w:lastRenderedPageBreak/>
              <w:t>Psoriasis in Adults and Children</w:t>
            </w:r>
          </w:p>
          <w:p w:rsidR="00C448E4" w:rsidRPr="00B94E13" w:rsidRDefault="00C448E4" w:rsidP="00894045">
            <w:pPr>
              <w:ind w:firstLine="38"/>
              <w:rPr>
                <w:i/>
              </w:rPr>
            </w:pPr>
            <w:r w:rsidRPr="00B94E13">
              <w:rPr>
                <w:i/>
              </w:rPr>
              <w:t>Humira is indicated for the treatment of moderate to severe chronic plaque psoriasis in adult</w:t>
            </w:r>
            <w:r w:rsidR="00A00816" w:rsidRPr="00B94E13">
              <w:rPr>
                <w:i/>
              </w:rPr>
              <w:t xml:space="preserve"> </w:t>
            </w:r>
            <w:r w:rsidRPr="00B94E13">
              <w:rPr>
                <w:i/>
              </w:rPr>
              <w:t>patients who are candidates for systemic therapy or phototherapy.</w:t>
            </w:r>
          </w:p>
          <w:p w:rsidR="00E07240" w:rsidRPr="00B94E13" w:rsidRDefault="00C448E4" w:rsidP="00894045">
            <w:pPr>
              <w:ind w:firstLine="38"/>
              <w:rPr>
                <w:rFonts w:eastAsia="MS Mincho"/>
                <w:lang w:eastAsia="ja-JP"/>
              </w:rPr>
            </w:pPr>
            <w:r w:rsidRPr="00B94E13">
              <w:rPr>
                <w:i/>
              </w:rPr>
              <w:t>Humira is indicated for the treatment of severe chronic plaque psoriasis in children and</w:t>
            </w:r>
            <w:r w:rsidR="00A00816" w:rsidRPr="00B94E13">
              <w:rPr>
                <w:i/>
              </w:rPr>
              <w:t xml:space="preserve"> </w:t>
            </w:r>
            <w:r w:rsidRPr="00B94E13">
              <w:rPr>
                <w:i/>
              </w:rPr>
              <w:t>adolescent patients from 4 years of age who have had an inadequate response to or are</w:t>
            </w:r>
            <w:r w:rsidR="00A00816" w:rsidRPr="00B94E13">
              <w:rPr>
                <w:i/>
              </w:rPr>
              <w:t xml:space="preserve"> </w:t>
            </w:r>
            <w:r w:rsidRPr="00B94E13">
              <w:rPr>
                <w:i/>
              </w:rPr>
              <w:t>inappropriate candidates for topical therapy and phototherapy</w:t>
            </w:r>
            <w:r w:rsidR="00A00816" w:rsidRPr="00B94E13">
              <w:rPr>
                <w:i/>
              </w:rPr>
              <w:t>.</w:t>
            </w:r>
          </w:p>
        </w:tc>
      </w:tr>
      <w:tr w:rsidR="008E7846" w:rsidRPr="00487162" w:rsidTr="00C2251D">
        <w:tc>
          <w:tcPr>
            <w:tcW w:w="2548" w:type="dxa"/>
          </w:tcPr>
          <w:p w:rsidR="008E7846" w:rsidRPr="00487162" w:rsidRDefault="008E7846" w:rsidP="00E45619">
            <w:pPr>
              <w:rPr>
                <w:i/>
              </w:rPr>
            </w:pPr>
            <w:r w:rsidRPr="00487162">
              <w:rPr>
                <w:i/>
              </w:rPr>
              <w:lastRenderedPageBreak/>
              <w:t>Route(s) of administration:</w:t>
            </w:r>
          </w:p>
        </w:tc>
        <w:tc>
          <w:tcPr>
            <w:tcW w:w="6666" w:type="dxa"/>
            <w:gridSpan w:val="3"/>
          </w:tcPr>
          <w:p w:rsidR="008E7846" w:rsidRPr="00B94E13" w:rsidRDefault="00E07240" w:rsidP="00894045">
            <w:pPr>
              <w:ind w:firstLine="38"/>
            </w:pPr>
            <w:r w:rsidRPr="00B94E13">
              <w:t>Subcutaneous (SC) injection</w:t>
            </w:r>
          </w:p>
        </w:tc>
      </w:tr>
      <w:tr w:rsidR="008E7846" w:rsidRPr="00487162" w:rsidTr="00C2251D">
        <w:tc>
          <w:tcPr>
            <w:tcW w:w="2548" w:type="dxa"/>
          </w:tcPr>
          <w:p w:rsidR="008E7846" w:rsidRPr="00487162" w:rsidRDefault="008E7846" w:rsidP="00E45619">
            <w:pPr>
              <w:rPr>
                <w:i/>
              </w:rPr>
            </w:pPr>
            <w:r w:rsidRPr="00487162">
              <w:rPr>
                <w:i/>
              </w:rPr>
              <w:t>Dosage:</w:t>
            </w:r>
          </w:p>
        </w:tc>
        <w:tc>
          <w:tcPr>
            <w:tcW w:w="6666" w:type="dxa"/>
            <w:gridSpan w:val="3"/>
          </w:tcPr>
          <w:p w:rsidR="008E7846" w:rsidRDefault="00E07240" w:rsidP="00894045">
            <w:pPr>
              <w:ind w:firstLine="38"/>
              <w:rPr>
                <w:i/>
              </w:rPr>
            </w:pPr>
            <w:r w:rsidRPr="00E07240">
              <w:rPr>
                <w:i/>
              </w:rPr>
              <w:t>JIA</w:t>
            </w:r>
          </w:p>
          <w:p w:rsidR="00E07240" w:rsidRPr="00E07240" w:rsidRDefault="00E07240" w:rsidP="00894045">
            <w:pPr>
              <w:ind w:firstLine="38"/>
              <w:rPr>
                <w:i/>
              </w:rPr>
            </w:pPr>
            <w:r w:rsidRPr="00E07240">
              <w:rPr>
                <w:i/>
              </w:rPr>
              <w:t>The recommended dose of Humira for patients 2 years of age and older with polyarticular juvenile</w:t>
            </w:r>
            <w:r>
              <w:rPr>
                <w:i/>
              </w:rPr>
              <w:t xml:space="preserve"> </w:t>
            </w:r>
            <w:r w:rsidRPr="00E07240">
              <w:rPr>
                <w:i/>
              </w:rPr>
              <w:t>idiopathic arthritis and enthesitis-related arthritis is based on weight as shown in the table below.</w:t>
            </w:r>
            <w:r w:rsidR="00A00816">
              <w:rPr>
                <w:i/>
              </w:rPr>
              <w:t xml:space="preserve"> </w:t>
            </w:r>
            <w:r w:rsidRPr="00E07240">
              <w:rPr>
                <w:i/>
              </w:rPr>
              <w:t>Methotrexate, glucocorticoids, NSAIDs and/or analgesics may be continued during treatment with</w:t>
            </w:r>
            <w:r>
              <w:rPr>
                <w:i/>
              </w:rPr>
              <w:t xml:space="preserve"> </w:t>
            </w:r>
            <w:r w:rsidRPr="00E07240">
              <w:rPr>
                <w:i/>
              </w:rPr>
              <w:t>Humira.</w:t>
            </w:r>
          </w:p>
          <w:p w:rsidR="00E07240" w:rsidRDefault="00E07240" w:rsidP="00894045">
            <w:pPr>
              <w:ind w:firstLine="38"/>
            </w:pPr>
            <w:r>
              <w:rPr>
                <w:noProof/>
                <w:lang w:eastAsia="en-AU"/>
              </w:rPr>
              <w:drawing>
                <wp:inline distT="0" distB="0" distL="0" distR="0" wp14:anchorId="10461CA9" wp14:editId="6CC62AA0">
                  <wp:extent cx="4095741" cy="1328053"/>
                  <wp:effectExtent l="0" t="0" r="635" b="5715"/>
                  <wp:docPr id="13" name="Picture 13" descr="The recommended dose of Humira for patients 2 years of age and older with polyarticular juvenile idiopathic arthritis and enthesitis-related arthritis is based on weight as shown in the table below. Methotrexate, glucocorticoids, NSAIDs and/or analgesics may be continued during treatment with Humi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101555" cy="1329938"/>
                          </a:xfrm>
                          <a:prstGeom prst="rect">
                            <a:avLst/>
                          </a:prstGeom>
                        </pic:spPr>
                      </pic:pic>
                    </a:graphicData>
                  </a:graphic>
                </wp:inline>
              </w:drawing>
            </w:r>
          </w:p>
          <w:p w:rsidR="00E07240" w:rsidRPr="00A00816" w:rsidRDefault="00E07240" w:rsidP="00894045">
            <w:pPr>
              <w:ind w:firstLine="38"/>
              <w:rPr>
                <w:i/>
              </w:rPr>
            </w:pPr>
            <w:r w:rsidRPr="00A00816">
              <w:rPr>
                <w:i/>
              </w:rPr>
              <w:t>Paediatric Plaque Psoriasis (4 to 17 years)</w:t>
            </w:r>
          </w:p>
          <w:p w:rsidR="00E07240" w:rsidRPr="00A00816" w:rsidRDefault="00E07240" w:rsidP="00894045">
            <w:pPr>
              <w:ind w:firstLine="38"/>
              <w:rPr>
                <w:i/>
              </w:rPr>
            </w:pPr>
            <w:r w:rsidRPr="00A00816">
              <w:rPr>
                <w:i/>
              </w:rPr>
              <w:t>The recommended dose of Humira is based on body weight as shown in the table below. Doses are</w:t>
            </w:r>
            <w:r w:rsidR="00A00816">
              <w:rPr>
                <w:i/>
              </w:rPr>
              <w:t xml:space="preserve"> </w:t>
            </w:r>
            <w:r w:rsidRPr="00A00816">
              <w:rPr>
                <w:i/>
              </w:rPr>
              <w:t>administered subcutaneously weekly for the first two doses and fortnightly thereafter. Continued therapy</w:t>
            </w:r>
            <w:r w:rsidR="00A00816">
              <w:rPr>
                <w:i/>
              </w:rPr>
              <w:t xml:space="preserve"> </w:t>
            </w:r>
            <w:r w:rsidRPr="00A00816">
              <w:rPr>
                <w:i/>
              </w:rPr>
              <w:t>beyond 16 weeks should be carefully considered in a patient not responding within this time period.</w:t>
            </w:r>
          </w:p>
          <w:p w:rsidR="00E07240" w:rsidRPr="00487162" w:rsidRDefault="00E07240" w:rsidP="00894045">
            <w:pPr>
              <w:ind w:firstLine="38"/>
            </w:pPr>
            <w:r>
              <w:rPr>
                <w:noProof/>
                <w:lang w:eastAsia="en-AU"/>
              </w:rPr>
              <w:drawing>
                <wp:inline distT="0" distB="0" distL="0" distR="0" wp14:anchorId="095E34EA" wp14:editId="7E20A0FD">
                  <wp:extent cx="3965944" cy="1006316"/>
                  <wp:effectExtent l="0" t="0" r="0" b="3810"/>
                  <wp:docPr id="15" name="Picture 15" descr="Paediatric Plaque Psoriasis (4 to 17 years)&#10;The recommended dose of Humira is based on body weight as shown in the table below. Doses are administered subcutaneously weekly for the first two doses and fortnightly thereafter. Continued therapy beyond 16 weeks should be carefully considered in a patient not responding within this time perio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965944" cy="1006316"/>
                          </a:xfrm>
                          <a:prstGeom prst="rect">
                            <a:avLst/>
                          </a:prstGeom>
                        </pic:spPr>
                      </pic:pic>
                    </a:graphicData>
                  </a:graphic>
                </wp:inline>
              </w:drawing>
            </w:r>
          </w:p>
        </w:tc>
      </w:tr>
      <w:tr w:rsidR="008E7846" w:rsidRPr="00487162" w:rsidTr="00C2251D">
        <w:tc>
          <w:tcPr>
            <w:tcW w:w="2548" w:type="dxa"/>
          </w:tcPr>
          <w:p w:rsidR="008E7846" w:rsidRPr="00487162" w:rsidRDefault="008E7846" w:rsidP="001B5C90">
            <w:pPr>
              <w:rPr>
                <w:i/>
              </w:rPr>
            </w:pPr>
            <w:r w:rsidRPr="00487162">
              <w:rPr>
                <w:i/>
              </w:rPr>
              <w:t xml:space="preserve">ARTG </w:t>
            </w:r>
            <w:r w:rsidR="001B5C90">
              <w:rPr>
                <w:i/>
              </w:rPr>
              <w:t>n</w:t>
            </w:r>
            <w:r w:rsidRPr="00487162">
              <w:rPr>
                <w:i/>
              </w:rPr>
              <w:t>umber (s)</w:t>
            </w:r>
            <w:r w:rsidR="001B5C90">
              <w:rPr>
                <w:i/>
              </w:rPr>
              <w:t>:</w:t>
            </w:r>
          </w:p>
        </w:tc>
        <w:tc>
          <w:tcPr>
            <w:tcW w:w="6666" w:type="dxa"/>
            <w:gridSpan w:val="3"/>
          </w:tcPr>
          <w:p w:rsidR="008E7846" w:rsidRPr="00487162" w:rsidRDefault="00C448E4" w:rsidP="00894045">
            <w:pPr>
              <w:ind w:firstLine="38"/>
            </w:pPr>
            <w:r w:rsidRPr="00C448E4">
              <w:t>199410</w:t>
            </w:r>
            <w:r>
              <w:t>, 1</w:t>
            </w:r>
            <w:r w:rsidRPr="00C448E4">
              <w:t>99411</w:t>
            </w:r>
            <w:r>
              <w:t xml:space="preserve">, </w:t>
            </w:r>
            <w:r w:rsidRPr="00C448E4">
              <w:t>199412</w:t>
            </w:r>
            <w:r>
              <w:t xml:space="preserve">, </w:t>
            </w:r>
            <w:r w:rsidRPr="00C448E4">
              <w:t>216038</w:t>
            </w:r>
            <w:r>
              <w:t xml:space="preserve">, </w:t>
            </w:r>
            <w:r w:rsidRPr="00C448E4">
              <w:t>238700</w:t>
            </w:r>
            <w:r>
              <w:t xml:space="preserve"> and </w:t>
            </w:r>
            <w:r w:rsidRPr="00C448E4">
              <w:t>95779</w:t>
            </w:r>
          </w:p>
        </w:tc>
      </w:tr>
    </w:tbl>
    <w:p w:rsidR="008E7846" w:rsidRDefault="008E7846" w:rsidP="008E7846">
      <w:pPr>
        <w:pStyle w:val="Heading3"/>
      </w:pPr>
      <w:bookmarkStart w:id="13" w:name="_Toc247691503"/>
      <w:bookmarkStart w:id="14" w:name="_Toc314842484"/>
      <w:bookmarkStart w:id="15" w:name="_Toc479772046"/>
      <w:r>
        <w:t>Product background</w:t>
      </w:r>
      <w:bookmarkEnd w:id="13"/>
      <w:bookmarkEnd w:id="14"/>
      <w:bookmarkEnd w:id="15"/>
    </w:p>
    <w:p w:rsidR="009E5527" w:rsidRDefault="00940A89" w:rsidP="00D55960">
      <w:r w:rsidRPr="00940A89">
        <w:t xml:space="preserve">This AusPAR describes the application by the sponsor to </w:t>
      </w:r>
      <w:r w:rsidR="00BB1E5B">
        <w:t xml:space="preserve">change the indications for </w:t>
      </w:r>
      <w:r w:rsidR="00A00816">
        <w:t>Humira containing adalimumab</w:t>
      </w:r>
      <w:r w:rsidR="00BB1E5B">
        <w:t xml:space="preserve"> as follows:</w:t>
      </w:r>
    </w:p>
    <w:p w:rsidR="00BB1E5B" w:rsidRDefault="009E5527" w:rsidP="004F2054">
      <w:pPr>
        <w:pStyle w:val="Numberbullet0"/>
      </w:pPr>
      <w:r>
        <w:t xml:space="preserve">To include an additional subtype of </w:t>
      </w:r>
      <w:r w:rsidR="004F2054" w:rsidRPr="004F2054">
        <w:t xml:space="preserve">juvenile idiopathic arthritis </w:t>
      </w:r>
      <w:r w:rsidR="004F2054">
        <w:t>(</w:t>
      </w:r>
      <w:r>
        <w:t>JIA</w:t>
      </w:r>
      <w:r w:rsidR="004F2054">
        <w:t>)</w:t>
      </w:r>
      <w:r>
        <w:t xml:space="preserve"> called enthesitis related arthritis</w:t>
      </w:r>
      <w:r w:rsidR="00BB1E5B" w:rsidRPr="00BB1E5B">
        <w:t xml:space="preserve"> </w:t>
      </w:r>
      <w:r w:rsidR="004F2054">
        <w:t xml:space="preserve">(ERA) </w:t>
      </w:r>
      <w:r w:rsidR="00BB1E5B">
        <w:t>as follows:</w:t>
      </w:r>
    </w:p>
    <w:p w:rsidR="00BB1E5B" w:rsidRPr="00BB1E5B" w:rsidRDefault="00BB1E5B" w:rsidP="00BB1E5B">
      <w:pPr>
        <w:ind w:left="425"/>
        <w:rPr>
          <w:i/>
        </w:rPr>
      </w:pPr>
      <w:r w:rsidRPr="00BB1E5B">
        <w:rPr>
          <w:i/>
        </w:rPr>
        <w:lastRenderedPageBreak/>
        <w:t>Humira is indicated for the treatment of enthesitis-related arthritis in patients, 6 years of age or older, who have had an inadequate response to, or who are intolerant to, conventional therapy.</w:t>
      </w:r>
    </w:p>
    <w:p w:rsidR="008E7846" w:rsidRDefault="009E5527" w:rsidP="004F2054">
      <w:pPr>
        <w:pStyle w:val="Numberbullet0"/>
      </w:pPr>
      <w:r>
        <w:t>To lower the age of treatment indication moderate to severe chronic plaque psoriasis to include the treatment of children and adolescents 4 years or age and older</w:t>
      </w:r>
      <w:r w:rsidRPr="00940A89">
        <w:t xml:space="preserve"> </w:t>
      </w:r>
      <w:r w:rsidR="00940A89" w:rsidRPr="00940A89">
        <w:t>…..’</w:t>
      </w:r>
      <w:r w:rsidR="00BB1E5B">
        <w:t xml:space="preserve"> as follows:</w:t>
      </w:r>
    </w:p>
    <w:p w:rsidR="00BB1E5B" w:rsidRPr="00BB1E5B" w:rsidRDefault="00BB1E5B" w:rsidP="00BB1E5B">
      <w:pPr>
        <w:ind w:left="720"/>
        <w:rPr>
          <w:i/>
        </w:rPr>
      </w:pPr>
      <w:r w:rsidRPr="00BB1E5B">
        <w:rPr>
          <w:i/>
        </w:rPr>
        <w:t>Humira is indicated for the treatment of severe chronic plaque psoriasis in children and adolescent patients from 4 years of age who have had an inadequate response to or are inappropriate candidates for topical therapy and phototherapy.</w:t>
      </w:r>
    </w:p>
    <w:p w:rsidR="00D24962" w:rsidRDefault="0002219E" w:rsidP="0002219E">
      <w:r>
        <w:t>The third element of this submission relates to changes to the Clinical Trials, Indications, Precautions, Adverse Effects, and Dosage and Administration sections of the PI, using the data obtained from the 2 newly submitted studies</w:t>
      </w:r>
      <w:r w:rsidR="00D24962">
        <w:t>.</w:t>
      </w:r>
    </w:p>
    <w:p w:rsidR="009E5527" w:rsidRPr="00E957C7" w:rsidRDefault="009E5527" w:rsidP="00BB1E5B">
      <w:r w:rsidRPr="00E957C7">
        <w:t>Curren</w:t>
      </w:r>
      <w:r w:rsidR="00BB1E5B">
        <w:t xml:space="preserve">tly </w:t>
      </w:r>
      <w:proofErr w:type="spellStart"/>
      <w:r w:rsidR="00BB1E5B">
        <w:t>Humira</w:t>
      </w:r>
      <w:proofErr w:type="spellEnd"/>
      <w:r w:rsidR="00BB1E5B">
        <w:t xml:space="preserve"> is registered for the following indications:</w:t>
      </w:r>
    </w:p>
    <w:p w:rsidR="009E5527" w:rsidRPr="00BB1E5B" w:rsidRDefault="009E5527" w:rsidP="00BB1E5B">
      <w:pPr>
        <w:ind w:left="360"/>
        <w:rPr>
          <w:rFonts w:asciiTheme="minorHAnsi" w:hAnsiTheme="minorHAnsi"/>
          <w:i/>
        </w:rPr>
      </w:pPr>
      <w:r w:rsidRPr="00BB1E5B">
        <w:rPr>
          <w:rFonts w:asciiTheme="minorHAnsi" w:hAnsiTheme="minorHAnsi"/>
          <w:i/>
        </w:rPr>
        <w:t>Adults:</w:t>
      </w:r>
    </w:p>
    <w:p w:rsidR="009E5527" w:rsidRPr="00BB1E5B" w:rsidRDefault="009E5527" w:rsidP="00BB1E5B">
      <w:pPr>
        <w:pStyle w:val="ListBullet"/>
        <w:ind w:left="720"/>
        <w:rPr>
          <w:i/>
        </w:rPr>
      </w:pPr>
      <w:r w:rsidRPr="00BB1E5B">
        <w:rPr>
          <w:i/>
        </w:rPr>
        <w:t>RA, psoriatic arthritis and ankylosing spondylitis</w:t>
      </w:r>
    </w:p>
    <w:p w:rsidR="009E5527" w:rsidRPr="00BB1E5B" w:rsidRDefault="009E5527" w:rsidP="00BB1E5B">
      <w:pPr>
        <w:pStyle w:val="ListBullet"/>
        <w:ind w:left="720"/>
        <w:rPr>
          <w:i/>
        </w:rPr>
      </w:pPr>
      <w:r w:rsidRPr="00BB1E5B">
        <w:rPr>
          <w:i/>
        </w:rPr>
        <w:t>Crohn’s disease and ulcerative colitis</w:t>
      </w:r>
    </w:p>
    <w:p w:rsidR="009E5527" w:rsidRPr="00BB1E5B" w:rsidRDefault="009E5527" w:rsidP="00BB1E5B">
      <w:pPr>
        <w:pStyle w:val="ListBullet"/>
        <w:ind w:left="720"/>
        <w:rPr>
          <w:i/>
        </w:rPr>
      </w:pPr>
      <w:r w:rsidRPr="00BB1E5B">
        <w:rPr>
          <w:i/>
        </w:rPr>
        <w:t>Psoriasis</w:t>
      </w:r>
    </w:p>
    <w:p w:rsidR="009E5527" w:rsidRPr="00BB1E5B" w:rsidRDefault="009E5527" w:rsidP="00BB1E5B">
      <w:pPr>
        <w:ind w:left="360"/>
        <w:rPr>
          <w:rFonts w:asciiTheme="minorHAnsi" w:hAnsiTheme="minorHAnsi"/>
          <w:i/>
        </w:rPr>
      </w:pPr>
      <w:r w:rsidRPr="00BB1E5B">
        <w:rPr>
          <w:rFonts w:asciiTheme="minorHAnsi" w:hAnsiTheme="minorHAnsi"/>
          <w:i/>
        </w:rPr>
        <w:t>Children:</w:t>
      </w:r>
    </w:p>
    <w:p w:rsidR="009E5527" w:rsidRPr="00BB1E5B" w:rsidRDefault="009E5527" w:rsidP="00BB1E5B">
      <w:pPr>
        <w:pStyle w:val="ListBullet"/>
        <w:ind w:left="720"/>
        <w:rPr>
          <w:i/>
        </w:rPr>
      </w:pPr>
      <w:r w:rsidRPr="00BB1E5B">
        <w:rPr>
          <w:i/>
        </w:rPr>
        <w:t>polyarticular JIA over 2 years</w:t>
      </w:r>
    </w:p>
    <w:p w:rsidR="009E5527" w:rsidRPr="00BB1E5B" w:rsidRDefault="009E5527" w:rsidP="00BB1E5B">
      <w:pPr>
        <w:pStyle w:val="ListBullet"/>
        <w:ind w:left="720"/>
        <w:rPr>
          <w:i/>
        </w:rPr>
      </w:pPr>
      <w:r w:rsidRPr="00BB1E5B">
        <w:rPr>
          <w:i/>
        </w:rPr>
        <w:t>Crohn’s disease over 6 years</w:t>
      </w:r>
    </w:p>
    <w:p w:rsidR="009E5527" w:rsidRDefault="00BB1E5B" w:rsidP="009E5527">
      <w:pPr>
        <w:rPr>
          <w:rFonts w:asciiTheme="minorHAnsi" w:hAnsiTheme="minorHAnsi"/>
        </w:rPr>
      </w:pPr>
      <w:r>
        <w:rPr>
          <w:rFonts w:asciiTheme="minorHAnsi" w:hAnsiTheme="minorHAnsi"/>
        </w:rPr>
        <w:t>The proposed dosages f</w:t>
      </w:r>
      <w:r w:rsidR="009E5527">
        <w:rPr>
          <w:rFonts w:asciiTheme="minorHAnsi" w:hAnsiTheme="minorHAnsi"/>
        </w:rPr>
        <w:t>or JIA and ERA aged 2 years and older</w:t>
      </w:r>
      <w:r>
        <w:rPr>
          <w:rFonts w:asciiTheme="minorHAnsi" w:hAnsiTheme="minorHAnsi"/>
        </w:rPr>
        <w:t xml:space="preserve"> are:</w:t>
      </w:r>
    </w:p>
    <w:p w:rsidR="009E5527" w:rsidRPr="00C00F97" w:rsidRDefault="009E5527" w:rsidP="00BB1E5B">
      <w:pPr>
        <w:pStyle w:val="ListBullet"/>
        <w:rPr>
          <w:i/>
        </w:rPr>
      </w:pPr>
      <w:r w:rsidRPr="00C00F97">
        <w:rPr>
          <w:i/>
        </w:rPr>
        <w:t>10-15</w:t>
      </w:r>
      <w:r w:rsidR="00D21E9C">
        <w:rPr>
          <w:i/>
        </w:rPr>
        <w:t xml:space="preserve"> </w:t>
      </w:r>
      <w:r w:rsidRPr="00C00F97">
        <w:rPr>
          <w:i/>
        </w:rPr>
        <w:t>kg: 10</w:t>
      </w:r>
      <w:r w:rsidR="00D21E9C">
        <w:rPr>
          <w:i/>
        </w:rPr>
        <w:t xml:space="preserve"> </w:t>
      </w:r>
      <w:r w:rsidRPr="00C00F97">
        <w:rPr>
          <w:i/>
        </w:rPr>
        <w:t>mg fortnightly</w:t>
      </w:r>
    </w:p>
    <w:p w:rsidR="009E5527" w:rsidRPr="00C00F97" w:rsidRDefault="009E5527" w:rsidP="00BB1E5B">
      <w:pPr>
        <w:pStyle w:val="ListBullet"/>
        <w:rPr>
          <w:i/>
        </w:rPr>
      </w:pPr>
      <w:r w:rsidRPr="00C00F97">
        <w:rPr>
          <w:i/>
        </w:rPr>
        <w:t>15-30</w:t>
      </w:r>
      <w:r w:rsidR="00D21E9C">
        <w:rPr>
          <w:i/>
        </w:rPr>
        <w:t xml:space="preserve"> </w:t>
      </w:r>
      <w:r w:rsidRPr="00C00F97">
        <w:rPr>
          <w:i/>
        </w:rPr>
        <w:t>kg: 20</w:t>
      </w:r>
      <w:r w:rsidR="00D21E9C">
        <w:rPr>
          <w:i/>
        </w:rPr>
        <w:t xml:space="preserve"> </w:t>
      </w:r>
      <w:r w:rsidRPr="00C00F97">
        <w:rPr>
          <w:i/>
        </w:rPr>
        <w:t>mg fortnightly</w:t>
      </w:r>
    </w:p>
    <w:p w:rsidR="009E5527" w:rsidRPr="00C00F97" w:rsidRDefault="009E5527" w:rsidP="00BB1E5B">
      <w:pPr>
        <w:pStyle w:val="ListBullet"/>
        <w:rPr>
          <w:i/>
        </w:rPr>
      </w:pPr>
      <w:r w:rsidRPr="00C00F97">
        <w:rPr>
          <w:i/>
        </w:rPr>
        <w:t>≥30 kg: 40</w:t>
      </w:r>
      <w:r w:rsidR="00D21E9C">
        <w:rPr>
          <w:i/>
        </w:rPr>
        <w:t xml:space="preserve"> </w:t>
      </w:r>
      <w:r w:rsidRPr="00C00F97">
        <w:rPr>
          <w:i/>
        </w:rPr>
        <w:t>mg fortnightly</w:t>
      </w:r>
    </w:p>
    <w:p w:rsidR="00C00F97" w:rsidRDefault="00C00F97" w:rsidP="00C00F97">
      <w:pPr>
        <w:pStyle w:val="ListBullet"/>
        <w:numPr>
          <w:ilvl w:val="0"/>
          <w:numId w:val="0"/>
        </w:numPr>
      </w:pPr>
      <w:r>
        <w:t>The proposed dosages for chronic plaque psoriasis in children and adolescents 4 years or age and older are:</w:t>
      </w:r>
    </w:p>
    <w:p w:rsidR="00D24962" w:rsidRDefault="00C00F97" w:rsidP="00C00F97">
      <w:pPr>
        <w:pStyle w:val="ListBullet"/>
        <w:rPr>
          <w:i/>
        </w:rPr>
      </w:pPr>
      <w:r w:rsidRPr="00C00F97">
        <w:rPr>
          <w:i/>
        </w:rPr>
        <w:t>0.8 mg/kg (up to a maximum of 40 mg per dose) administered subcutaneously weekly for the first two doses and fortnightly thereafter</w:t>
      </w:r>
      <w:r w:rsidR="00D24962">
        <w:rPr>
          <w:i/>
        </w:rPr>
        <w:t>.</w:t>
      </w:r>
    </w:p>
    <w:p w:rsidR="00C00F97" w:rsidRPr="00C00F97" w:rsidRDefault="00C00F97" w:rsidP="00D55960">
      <w:pPr>
        <w:pStyle w:val="ListBullet"/>
      </w:pPr>
      <w:r w:rsidRPr="00C00F97">
        <w:t>Continued therapy beyond 16 weeks should be carefully considered in a patient not responding within this time period.</w:t>
      </w:r>
    </w:p>
    <w:p w:rsidR="00C00F97" w:rsidRPr="00C00F97" w:rsidRDefault="00C00F97" w:rsidP="00C00F97">
      <w:pPr>
        <w:pStyle w:val="ListBullet"/>
        <w:numPr>
          <w:ilvl w:val="0"/>
          <w:numId w:val="0"/>
        </w:numPr>
        <w:ind w:left="360"/>
        <w:rPr>
          <w:i/>
        </w:rPr>
      </w:pPr>
      <w:r w:rsidRPr="00C00F97">
        <w:rPr>
          <w:i/>
        </w:rPr>
        <w:t>The volume for injection is selected based on the patients' weight as per a table in the draft PI.</w:t>
      </w:r>
    </w:p>
    <w:p w:rsidR="00C00F97" w:rsidRDefault="00C00F97" w:rsidP="00C00F97">
      <w:r w:rsidRPr="00965837">
        <w:t>The sponsor does not propose a different registered drug name for th</w:t>
      </w:r>
      <w:r>
        <w:t>e</w:t>
      </w:r>
      <w:r w:rsidRPr="00965837">
        <w:t xml:space="preserve"> </w:t>
      </w:r>
      <w:r>
        <w:t xml:space="preserve">extension of treatment </w:t>
      </w:r>
      <w:r w:rsidRPr="00965837">
        <w:t>indication</w:t>
      </w:r>
      <w:r>
        <w:t>s</w:t>
      </w:r>
      <w:r w:rsidRPr="00965837">
        <w:t>.</w:t>
      </w:r>
      <w:r>
        <w:t xml:space="preserve"> Moreover, no change in the drug formulation or presentation is proposed.</w:t>
      </w:r>
    </w:p>
    <w:p w:rsidR="00184B82" w:rsidRDefault="00184B82" w:rsidP="00184B82">
      <w:pPr>
        <w:pStyle w:val="ListBullet"/>
        <w:numPr>
          <w:ilvl w:val="0"/>
          <w:numId w:val="0"/>
        </w:numPr>
      </w:pPr>
      <w:r w:rsidRPr="00E00620">
        <w:t xml:space="preserve">Adalimumab </w:t>
      </w:r>
      <w:r>
        <w:t xml:space="preserve">(ADA) </w:t>
      </w:r>
      <w:r w:rsidRPr="00E00620">
        <w:t xml:space="preserve">is a </w:t>
      </w:r>
      <w:r w:rsidR="0002219E" w:rsidRPr="0002219E">
        <w:t xml:space="preserve">member of the Tumour Necrosis Factor alpha (TNFα) inhibitor drug class. It is a recombinant humanised antibody, which binds </w:t>
      </w:r>
      <w:r w:rsidRPr="00CF79FB">
        <w:t xml:space="preserve">to TNF and neutralises the biological function of TNF by blocking its interaction with the p55 and p75 cell surface TNF receptors. </w:t>
      </w:r>
      <w:r>
        <w:t xml:space="preserve">It was approved for the treatment of plaque psoriasis in adults in 2008. The only </w:t>
      </w:r>
      <w:r w:rsidRPr="00AC691C">
        <w:t>TNF</w:t>
      </w:r>
      <w:r>
        <w:t xml:space="preserve"> blocker currently approved in Australia for the treatment of plaque psoriasis in children is etanercept (Embrel). That indication was approved in 2011 and allows for continuous treatment of up to 24 weeks in </w:t>
      </w:r>
      <w:r w:rsidRPr="005B1339">
        <w:t>children and adolescents from 4 to 17 years</w:t>
      </w:r>
      <w:r>
        <w:t xml:space="preserve"> with c</w:t>
      </w:r>
      <w:r w:rsidRPr="005B1339">
        <w:t>hronic, severe plaque psoriasis</w:t>
      </w:r>
      <w:r>
        <w:t xml:space="preserve">. An initial response to a trial of 12 weeks with </w:t>
      </w:r>
      <w:r>
        <w:lastRenderedPageBreak/>
        <w:t>etanercept is required prior to continued treatment for up to 24 weeks. Repeat administration of etanercept may be given.</w:t>
      </w:r>
    </w:p>
    <w:p w:rsidR="00184B82" w:rsidRDefault="00184B82" w:rsidP="00184B82">
      <w:pPr>
        <w:spacing w:before="0" w:after="0" w:line="240" w:lineRule="auto"/>
        <w:rPr>
          <w:rFonts w:asciiTheme="minorHAnsi" w:hAnsiTheme="minorHAnsi"/>
        </w:rPr>
      </w:pPr>
      <w:r>
        <w:rPr>
          <w:rFonts w:asciiTheme="minorHAnsi" w:hAnsiTheme="minorHAnsi"/>
        </w:rPr>
        <w:t>JIA refers to arthritis of at least 6 weeks duration of unknown aetiology that begins in children less than 16 years old. The annual incidence is around 0.008 to 0.226 per 1000 children and prevalence 0.07 to 4.01 per 1000 children.</w:t>
      </w:r>
    </w:p>
    <w:p w:rsidR="00184B82" w:rsidRPr="00885E04" w:rsidRDefault="00184B82" w:rsidP="00184B82">
      <w:pPr>
        <w:autoSpaceDE w:val="0"/>
        <w:autoSpaceDN w:val="0"/>
        <w:spacing w:before="0" w:after="0" w:line="240" w:lineRule="auto"/>
        <w:rPr>
          <w:rFonts w:asciiTheme="minorHAnsi" w:eastAsiaTheme="minorHAnsi" w:hAnsiTheme="minorHAnsi" w:cs="TimesNewRoman"/>
        </w:rPr>
      </w:pPr>
      <w:r w:rsidRPr="00885E04">
        <w:rPr>
          <w:rFonts w:asciiTheme="minorHAnsi" w:eastAsiaTheme="minorHAnsi" w:hAnsiTheme="minorHAnsi" w:cs="TimesNewRoman"/>
        </w:rPr>
        <w:t xml:space="preserve">The prognosis in general depends on the clinical category of JIA, </w:t>
      </w:r>
      <w:r>
        <w:rPr>
          <w:rFonts w:asciiTheme="minorHAnsi" w:eastAsiaTheme="minorHAnsi" w:hAnsiTheme="minorHAnsi" w:cs="TimesNewRoman"/>
        </w:rPr>
        <w:t xml:space="preserve">its severity, the time point of </w:t>
      </w:r>
      <w:r w:rsidRPr="00885E04">
        <w:rPr>
          <w:rFonts w:asciiTheme="minorHAnsi" w:eastAsiaTheme="minorHAnsi" w:hAnsiTheme="minorHAnsi" w:cs="TimesNewRoman"/>
        </w:rPr>
        <w:t>initiation of therapy and adequacy of treatment. The ultimate goal of treatment of JIA in all categories is the induction of remission. However there are no validated criteria for defining quiescent disease. The aim of modern treatment of JIA is rapid suppression of inflammation in order to prevent organ damage, maximise physical function and promote normal growth and development.</w:t>
      </w:r>
      <w:r>
        <w:rPr>
          <w:rFonts w:asciiTheme="minorHAnsi" w:eastAsiaTheme="minorHAnsi" w:hAnsiTheme="minorHAnsi" w:cs="TimesNewRoman"/>
        </w:rPr>
        <w:t xml:space="preserve"> </w:t>
      </w:r>
      <w:r w:rsidRPr="00885E04">
        <w:rPr>
          <w:rFonts w:asciiTheme="minorHAnsi" w:eastAsiaTheme="minorHAnsi" w:hAnsiTheme="minorHAnsi" w:cs="TimesNewRoman"/>
        </w:rPr>
        <w:t>The course of JIA often includes periods of remission and exacerbation, which require very different treatments. Overall, 5</w:t>
      </w:r>
      <w:r>
        <w:rPr>
          <w:rFonts w:asciiTheme="minorHAnsi" w:eastAsiaTheme="minorHAnsi" w:hAnsiTheme="minorHAnsi" w:cs="TimesNewRoman"/>
        </w:rPr>
        <w:t xml:space="preserve"> to </w:t>
      </w:r>
      <w:r w:rsidRPr="00885E04">
        <w:rPr>
          <w:rFonts w:asciiTheme="minorHAnsi" w:eastAsiaTheme="minorHAnsi" w:hAnsiTheme="minorHAnsi" w:cs="TimesNewRoman"/>
        </w:rPr>
        <w:t>10 % of patients</w:t>
      </w:r>
      <w:r>
        <w:rPr>
          <w:rFonts w:asciiTheme="minorHAnsi" w:eastAsiaTheme="minorHAnsi" w:hAnsiTheme="minorHAnsi" w:cs="TimesNewRoman"/>
        </w:rPr>
        <w:t xml:space="preserve">, </w:t>
      </w:r>
      <w:r w:rsidRPr="00885E04">
        <w:rPr>
          <w:rFonts w:asciiTheme="minorHAnsi" w:eastAsiaTheme="minorHAnsi" w:hAnsiTheme="minorHAnsi" w:cs="TimesNewRoman"/>
        </w:rPr>
        <w:t>especially those with the systemic and polyarticular onset forms</w:t>
      </w:r>
      <w:r>
        <w:rPr>
          <w:rFonts w:asciiTheme="minorHAnsi" w:eastAsiaTheme="minorHAnsi" w:hAnsiTheme="minorHAnsi" w:cs="TimesNewRoman"/>
        </w:rPr>
        <w:t xml:space="preserve">, </w:t>
      </w:r>
      <w:r w:rsidRPr="00885E04">
        <w:rPr>
          <w:rFonts w:asciiTheme="minorHAnsi" w:eastAsiaTheme="minorHAnsi" w:hAnsiTheme="minorHAnsi" w:cs="TimesNewRoman"/>
        </w:rPr>
        <w:t>are refractory to conventional therapies with medicines.</w:t>
      </w:r>
    </w:p>
    <w:p w:rsidR="00184B82" w:rsidRPr="00B23628" w:rsidRDefault="00184B82" w:rsidP="00184B82">
      <w:pPr>
        <w:autoSpaceDE w:val="0"/>
        <w:autoSpaceDN w:val="0"/>
        <w:spacing w:before="0" w:after="0" w:line="240" w:lineRule="auto"/>
        <w:rPr>
          <w:rFonts w:asciiTheme="minorHAnsi" w:eastAsiaTheme="minorHAnsi" w:hAnsiTheme="minorHAnsi" w:cs="TimesNewRoman"/>
        </w:rPr>
      </w:pPr>
      <w:r w:rsidRPr="00B23628">
        <w:rPr>
          <w:rFonts w:asciiTheme="minorHAnsi" w:eastAsiaTheme="minorHAnsi" w:hAnsiTheme="minorHAnsi" w:cs="TimesNewRoman"/>
        </w:rPr>
        <w:t>The International League of Associations for Rheumatology</w:t>
      </w:r>
      <w:r>
        <w:rPr>
          <w:rFonts w:asciiTheme="minorHAnsi" w:eastAsiaTheme="minorHAnsi" w:hAnsiTheme="minorHAnsi" w:cs="TimesNewRoman"/>
        </w:rPr>
        <w:t xml:space="preserve"> (ILAR) </w:t>
      </w:r>
      <w:r w:rsidRPr="00B23628">
        <w:rPr>
          <w:rFonts w:asciiTheme="minorHAnsi" w:eastAsiaTheme="minorHAnsi" w:hAnsiTheme="minorHAnsi" w:cs="TimesNewRoman"/>
        </w:rPr>
        <w:t xml:space="preserve">has classification of </w:t>
      </w:r>
      <w:r>
        <w:rPr>
          <w:rFonts w:asciiTheme="minorHAnsi" w:eastAsiaTheme="minorHAnsi" w:hAnsiTheme="minorHAnsi" w:cs="TimesNewRoman"/>
        </w:rPr>
        <w:t>JIA</w:t>
      </w:r>
      <w:r w:rsidRPr="00B23628">
        <w:rPr>
          <w:rFonts w:asciiTheme="minorHAnsi" w:eastAsiaTheme="minorHAnsi" w:hAnsiTheme="minorHAnsi" w:cs="TimesNewRoman"/>
        </w:rPr>
        <w:t xml:space="preserve"> into 7 categories. The primary aim of these categories is to delineate, for research purposes, relatively homogeneous mutually exclusive groups. These categories are systemic arthritis, oligoarthritis, polyarthritis (RF negative), polyarthritis (RF positive), psoriatic arthritis, enthesitis related arthritis and undifferentiated arthritis. These classifications have not be</w:t>
      </w:r>
      <w:r>
        <w:rPr>
          <w:rFonts w:asciiTheme="minorHAnsi" w:eastAsiaTheme="minorHAnsi" w:hAnsiTheme="minorHAnsi" w:cs="TimesNewRoman"/>
        </w:rPr>
        <w:t>en</w:t>
      </w:r>
      <w:r w:rsidRPr="00B23628">
        <w:rPr>
          <w:rFonts w:asciiTheme="minorHAnsi" w:eastAsiaTheme="minorHAnsi" w:hAnsiTheme="minorHAnsi" w:cs="TimesNewRoman"/>
        </w:rPr>
        <w:t xml:space="preserve"> validated for clinical use.</w:t>
      </w:r>
    </w:p>
    <w:p w:rsidR="00184B82" w:rsidRDefault="00184B82" w:rsidP="00184B82">
      <w:r>
        <w:t>ILAR definition of ERA is as follows:</w:t>
      </w:r>
    </w:p>
    <w:p w:rsidR="00184B82" w:rsidRDefault="00184B82" w:rsidP="00184B82">
      <w:r>
        <w:t>Arthritis and enthesitis, or arthritis or enthesitis with at least 2 of the following:</w:t>
      </w:r>
    </w:p>
    <w:p w:rsidR="00184B82" w:rsidRPr="0040772A" w:rsidRDefault="00184B82" w:rsidP="00184B82">
      <w:pPr>
        <w:pStyle w:val="Numberbullet0"/>
        <w:numPr>
          <w:ilvl w:val="0"/>
          <w:numId w:val="31"/>
        </w:numPr>
        <w:rPr>
          <w:i/>
        </w:rPr>
      </w:pPr>
      <w:r w:rsidRPr="0040772A">
        <w:rPr>
          <w:i/>
        </w:rPr>
        <w:t>The presence of or a history of sacroiliac joint tenderness and/or inflammatory lumbosacral pain</w:t>
      </w:r>
    </w:p>
    <w:p w:rsidR="00184B82" w:rsidRPr="0040772A" w:rsidRDefault="00184B82" w:rsidP="00184B82">
      <w:pPr>
        <w:pStyle w:val="Numberbullet0"/>
        <w:numPr>
          <w:ilvl w:val="0"/>
          <w:numId w:val="31"/>
        </w:numPr>
        <w:rPr>
          <w:i/>
        </w:rPr>
      </w:pPr>
      <w:r w:rsidRPr="0040772A">
        <w:rPr>
          <w:i/>
        </w:rPr>
        <w:t>The presence of HLA-B27 antigen</w:t>
      </w:r>
    </w:p>
    <w:p w:rsidR="00184B82" w:rsidRPr="0040772A" w:rsidRDefault="00184B82" w:rsidP="00184B82">
      <w:pPr>
        <w:pStyle w:val="Numberbullet0"/>
        <w:numPr>
          <w:ilvl w:val="0"/>
          <w:numId w:val="31"/>
        </w:numPr>
        <w:rPr>
          <w:i/>
        </w:rPr>
      </w:pPr>
      <w:r w:rsidRPr="0040772A">
        <w:rPr>
          <w:i/>
        </w:rPr>
        <w:t>Onset of arthritis in a male over 6 years of age</w:t>
      </w:r>
    </w:p>
    <w:p w:rsidR="00184B82" w:rsidRPr="0040772A" w:rsidRDefault="00184B82" w:rsidP="00184B82">
      <w:pPr>
        <w:pStyle w:val="Numberbullet0"/>
        <w:numPr>
          <w:ilvl w:val="0"/>
          <w:numId w:val="31"/>
        </w:numPr>
        <w:rPr>
          <w:i/>
        </w:rPr>
      </w:pPr>
      <w:r w:rsidRPr="0040772A">
        <w:rPr>
          <w:i/>
        </w:rPr>
        <w:t>Acute (symptomatic) anterior uveitis</w:t>
      </w:r>
    </w:p>
    <w:p w:rsidR="00D24962" w:rsidRDefault="00184B82" w:rsidP="00184B82">
      <w:pPr>
        <w:pStyle w:val="Numberbullet0"/>
        <w:numPr>
          <w:ilvl w:val="0"/>
          <w:numId w:val="31"/>
        </w:numPr>
        <w:rPr>
          <w:i/>
        </w:rPr>
      </w:pPr>
      <w:r w:rsidRPr="0040772A">
        <w:rPr>
          <w:i/>
        </w:rPr>
        <w:t>History of ankylosing spondylitis, enthesitis related arthritis, sacroilitis with inflammatory bowel disease, Reiters syndrome or acute anterior uveitis in a first degree relative</w:t>
      </w:r>
    </w:p>
    <w:p w:rsidR="00184B82" w:rsidRDefault="00184B82" w:rsidP="00D55960">
      <w:r>
        <w:t>And excluding patients where there is a) psoriasis or a history of psoriasis in the patient of first degree relative d) the presence of IgM rheumatoid factor on at least 2 occasions at least 3 months apart e) the presence of systemic JIA in the patient.</w:t>
      </w:r>
    </w:p>
    <w:p w:rsidR="009E5527" w:rsidRDefault="00BB1E5B" w:rsidP="00BB1E5B">
      <w:pPr>
        <w:pStyle w:val="Heading4"/>
      </w:pPr>
      <w:r>
        <w:t>Guidelines</w:t>
      </w:r>
    </w:p>
    <w:p w:rsidR="009E5527" w:rsidRDefault="0040772A" w:rsidP="009E5527">
      <w:pPr>
        <w:spacing w:before="0" w:after="0" w:line="240" w:lineRule="auto"/>
        <w:rPr>
          <w:rFonts w:asciiTheme="minorHAnsi" w:hAnsiTheme="minorHAnsi"/>
        </w:rPr>
      </w:pPr>
      <w:r>
        <w:rPr>
          <w:rFonts w:asciiTheme="minorHAnsi" w:hAnsiTheme="minorHAnsi"/>
        </w:rPr>
        <w:t xml:space="preserve">See </w:t>
      </w:r>
      <w:r>
        <w:rPr>
          <w:rFonts w:asciiTheme="minorHAnsi" w:hAnsiTheme="minorHAnsi"/>
          <w:i/>
        </w:rPr>
        <w:t>Clinical f</w:t>
      </w:r>
      <w:r w:rsidRPr="0040772A">
        <w:rPr>
          <w:rFonts w:asciiTheme="minorHAnsi" w:hAnsiTheme="minorHAnsi"/>
          <w:i/>
        </w:rPr>
        <w:t>indings</w:t>
      </w:r>
      <w:r>
        <w:rPr>
          <w:rFonts w:asciiTheme="minorHAnsi" w:hAnsiTheme="minorHAnsi"/>
        </w:rPr>
        <w:t xml:space="preserve"> below.</w:t>
      </w:r>
    </w:p>
    <w:p w:rsidR="008E7846" w:rsidRPr="003F31A2" w:rsidRDefault="00386150" w:rsidP="008E7846">
      <w:pPr>
        <w:pStyle w:val="Heading3"/>
      </w:pPr>
      <w:bookmarkStart w:id="16" w:name="_Toc314842485"/>
      <w:bookmarkStart w:id="17" w:name="_Toc247691504"/>
      <w:bookmarkStart w:id="18" w:name="_Toc479772047"/>
      <w:r>
        <w:t>Regulatory s</w:t>
      </w:r>
      <w:r w:rsidR="008E7846">
        <w:t>tatus</w:t>
      </w:r>
      <w:bookmarkEnd w:id="16"/>
      <w:bookmarkEnd w:id="17"/>
      <w:bookmarkEnd w:id="18"/>
    </w:p>
    <w:p w:rsidR="00940A89" w:rsidRPr="00940A89" w:rsidRDefault="00940A89" w:rsidP="00E07240">
      <w:bookmarkStart w:id="19" w:name="_Toc247691505"/>
      <w:bookmarkStart w:id="20" w:name="_Toc314842486"/>
      <w:r w:rsidRPr="00C2251D">
        <w:t>The product received initial registration on the Australian Register of Therapeutic Goods (ARTG) on</w:t>
      </w:r>
      <w:r w:rsidR="00E07240" w:rsidRPr="00C2251D">
        <w:t xml:space="preserve"> </w:t>
      </w:r>
      <w:r w:rsidR="00C2251D" w:rsidRPr="00C2251D">
        <w:t>10</w:t>
      </w:r>
      <w:r w:rsidR="00E07240" w:rsidRPr="00C2251D">
        <w:t xml:space="preserve"> December 2003</w:t>
      </w:r>
      <w:r w:rsidR="004C541B" w:rsidRPr="00C2251D">
        <w:t>.</w:t>
      </w:r>
    </w:p>
    <w:p w:rsidR="00940A89" w:rsidRDefault="00940A89" w:rsidP="00940A89">
      <w:r w:rsidRPr="00940A89">
        <w:t xml:space="preserve">At the time the TGA considered this application, a similar application had been approved </w:t>
      </w:r>
      <w:r w:rsidR="00560B79">
        <w:t xml:space="preserve">in the EU </w:t>
      </w:r>
      <w:r w:rsidRPr="00940A89">
        <w:t>(</w:t>
      </w:r>
      <w:r w:rsidR="00560B79">
        <w:t>Table 1</w:t>
      </w:r>
      <w:r w:rsidRPr="00940A89">
        <w:t>) was under co</w:t>
      </w:r>
      <w:r>
        <w:t xml:space="preserve">nsideration in </w:t>
      </w:r>
      <w:r w:rsidR="00560B79">
        <w:t>Canada, New Zealand and Switzerland</w:t>
      </w:r>
      <w:r>
        <w:t>.</w:t>
      </w:r>
    </w:p>
    <w:tbl>
      <w:tblPr>
        <w:tblStyle w:val="TableTGAblue"/>
        <w:tblW w:w="0" w:type="auto"/>
        <w:tblLook w:val="04A0" w:firstRow="1" w:lastRow="0" w:firstColumn="1" w:lastColumn="0" w:noHBand="0" w:noVBand="1"/>
      </w:tblPr>
      <w:tblGrid>
        <w:gridCol w:w="2038"/>
        <w:gridCol w:w="2107"/>
        <w:gridCol w:w="4575"/>
      </w:tblGrid>
      <w:tr w:rsidR="00560B79" w:rsidRPr="00D55960" w:rsidTr="004C541B">
        <w:trPr>
          <w:cnfStyle w:val="100000000000" w:firstRow="1" w:lastRow="0" w:firstColumn="0" w:lastColumn="0" w:oddVBand="0" w:evenVBand="0" w:oddHBand="0" w:evenHBand="0" w:firstRowFirstColumn="0" w:firstRowLastColumn="0" w:lastRowFirstColumn="0" w:lastRowLastColumn="0"/>
        </w:trPr>
        <w:tc>
          <w:tcPr>
            <w:tcW w:w="1809" w:type="dxa"/>
          </w:tcPr>
          <w:p w:rsidR="00560B79" w:rsidRPr="00D55960" w:rsidRDefault="00560B79" w:rsidP="00D55960">
            <w:pPr>
              <w:rPr>
                <w:sz w:val="20"/>
                <w:szCs w:val="20"/>
              </w:rPr>
            </w:pPr>
            <w:r w:rsidRPr="00D55960">
              <w:rPr>
                <w:sz w:val="20"/>
                <w:szCs w:val="20"/>
              </w:rPr>
              <w:t>Country/Region</w:t>
            </w:r>
          </w:p>
        </w:tc>
        <w:tc>
          <w:tcPr>
            <w:tcW w:w="2127" w:type="dxa"/>
          </w:tcPr>
          <w:p w:rsidR="00560B79" w:rsidRPr="00D55960" w:rsidRDefault="00560B79" w:rsidP="00D55960">
            <w:pPr>
              <w:rPr>
                <w:sz w:val="20"/>
                <w:szCs w:val="20"/>
              </w:rPr>
            </w:pPr>
            <w:r w:rsidRPr="00D55960">
              <w:rPr>
                <w:sz w:val="20"/>
                <w:szCs w:val="20"/>
              </w:rPr>
              <w:t>Approval date</w:t>
            </w:r>
          </w:p>
        </w:tc>
        <w:tc>
          <w:tcPr>
            <w:tcW w:w="4677" w:type="dxa"/>
          </w:tcPr>
          <w:p w:rsidR="00560B79" w:rsidRPr="00D55960" w:rsidRDefault="00560B79" w:rsidP="00D55960">
            <w:pPr>
              <w:rPr>
                <w:sz w:val="20"/>
                <w:szCs w:val="20"/>
              </w:rPr>
            </w:pPr>
            <w:r w:rsidRPr="00D55960">
              <w:rPr>
                <w:sz w:val="20"/>
                <w:szCs w:val="20"/>
              </w:rPr>
              <w:t>Approved indications</w:t>
            </w:r>
          </w:p>
        </w:tc>
      </w:tr>
      <w:tr w:rsidR="00560B79" w:rsidRPr="00D55960" w:rsidTr="004C541B">
        <w:tc>
          <w:tcPr>
            <w:tcW w:w="1809" w:type="dxa"/>
          </w:tcPr>
          <w:p w:rsidR="00560B79" w:rsidRPr="00D55960" w:rsidRDefault="00560B79" w:rsidP="00D55960">
            <w:pPr>
              <w:rPr>
                <w:sz w:val="20"/>
                <w:szCs w:val="20"/>
              </w:rPr>
            </w:pPr>
            <w:r w:rsidRPr="00D55960">
              <w:rPr>
                <w:sz w:val="20"/>
                <w:szCs w:val="20"/>
              </w:rPr>
              <w:t>EU</w:t>
            </w:r>
          </w:p>
          <w:p w:rsidR="00560B79" w:rsidRPr="00D55960" w:rsidRDefault="00560B79" w:rsidP="00D55960">
            <w:pPr>
              <w:rPr>
                <w:sz w:val="20"/>
                <w:szCs w:val="20"/>
              </w:rPr>
            </w:pPr>
            <w:r w:rsidRPr="00D55960">
              <w:rPr>
                <w:sz w:val="20"/>
                <w:szCs w:val="20"/>
              </w:rPr>
              <w:t>(Centralised</w:t>
            </w:r>
          </w:p>
          <w:p w:rsidR="00560B79" w:rsidRPr="00D55960" w:rsidRDefault="00560B79" w:rsidP="00D55960">
            <w:pPr>
              <w:rPr>
                <w:sz w:val="20"/>
                <w:szCs w:val="20"/>
              </w:rPr>
            </w:pPr>
            <w:r w:rsidRPr="00D55960">
              <w:rPr>
                <w:sz w:val="20"/>
                <w:szCs w:val="20"/>
              </w:rPr>
              <w:lastRenderedPageBreak/>
              <w:t>Procedure)</w:t>
            </w:r>
          </w:p>
        </w:tc>
        <w:tc>
          <w:tcPr>
            <w:tcW w:w="2127" w:type="dxa"/>
          </w:tcPr>
          <w:p w:rsidR="00560B79" w:rsidRPr="00D55960" w:rsidRDefault="00560B79" w:rsidP="00D55960">
            <w:pPr>
              <w:rPr>
                <w:sz w:val="20"/>
                <w:szCs w:val="20"/>
              </w:rPr>
            </w:pPr>
            <w:r w:rsidRPr="00D55960">
              <w:rPr>
                <w:sz w:val="20"/>
                <w:szCs w:val="20"/>
              </w:rPr>
              <w:lastRenderedPageBreak/>
              <w:t>Paed</w:t>
            </w:r>
            <w:r w:rsidR="00054259" w:rsidRPr="00D55960">
              <w:rPr>
                <w:sz w:val="20"/>
                <w:szCs w:val="20"/>
              </w:rPr>
              <w:t>iatric</w:t>
            </w:r>
            <w:r w:rsidRPr="00D55960">
              <w:rPr>
                <w:sz w:val="20"/>
                <w:szCs w:val="20"/>
              </w:rPr>
              <w:t xml:space="preserve"> ERA:</w:t>
            </w:r>
          </w:p>
          <w:p w:rsidR="00560B79" w:rsidRPr="00D55960" w:rsidRDefault="00560B79" w:rsidP="00D55960">
            <w:pPr>
              <w:rPr>
                <w:sz w:val="20"/>
                <w:szCs w:val="20"/>
              </w:rPr>
            </w:pPr>
            <w:r w:rsidRPr="00D55960">
              <w:rPr>
                <w:sz w:val="20"/>
                <w:szCs w:val="20"/>
              </w:rPr>
              <w:t>EU Commission</w:t>
            </w:r>
          </w:p>
          <w:p w:rsidR="00560B79" w:rsidRPr="00D55960" w:rsidRDefault="00560B79" w:rsidP="00D55960">
            <w:pPr>
              <w:rPr>
                <w:sz w:val="20"/>
                <w:szCs w:val="20"/>
              </w:rPr>
            </w:pPr>
            <w:r w:rsidRPr="00D55960">
              <w:rPr>
                <w:sz w:val="20"/>
                <w:szCs w:val="20"/>
              </w:rPr>
              <w:lastRenderedPageBreak/>
              <w:t>Decision on 2</w:t>
            </w:r>
            <w:r w:rsidR="004C541B" w:rsidRPr="00D55960">
              <w:rPr>
                <w:sz w:val="20"/>
                <w:szCs w:val="20"/>
              </w:rPr>
              <w:t xml:space="preserve"> </w:t>
            </w:r>
            <w:r w:rsidRPr="00D55960">
              <w:rPr>
                <w:sz w:val="20"/>
                <w:szCs w:val="20"/>
              </w:rPr>
              <w:t>Sep</w:t>
            </w:r>
            <w:r w:rsidR="004C541B" w:rsidRPr="00D55960">
              <w:rPr>
                <w:sz w:val="20"/>
                <w:szCs w:val="20"/>
              </w:rPr>
              <w:t>tember 20</w:t>
            </w:r>
            <w:r w:rsidRPr="00D55960">
              <w:rPr>
                <w:sz w:val="20"/>
                <w:szCs w:val="20"/>
              </w:rPr>
              <w:t>14</w:t>
            </w:r>
          </w:p>
          <w:p w:rsidR="00560B79" w:rsidRPr="00D55960" w:rsidRDefault="00560B79" w:rsidP="00D55960">
            <w:pPr>
              <w:rPr>
                <w:sz w:val="20"/>
                <w:szCs w:val="20"/>
              </w:rPr>
            </w:pPr>
            <w:r w:rsidRPr="00D55960">
              <w:rPr>
                <w:sz w:val="20"/>
                <w:szCs w:val="20"/>
              </w:rPr>
              <w:t>Paed</w:t>
            </w:r>
            <w:r w:rsidR="00054259" w:rsidRPr="00D55960">
              <w:rPr>
                <w:sz w:val="20"/>
                <w:szCs w:val="20"/>
              </w:rPr>
              <w:t>iatric</w:t>
            </w:r>
            <w:r w:rsidRPr="00D55960">
              <w:rPr>
                <w:sz w:val="20"/>
                <w:szCs w:val="20"/>
              </w:rPr>
              <w:t xml:space="preserve"> Ps:</w:t>
            </w:r>
          </w:p>
          <w:p w:rsidR="00560B79" w:rsidRPr="00D55960" w:rsidRDefault="00560B79" w:rsidP="00D55960">
            <w:pPr>
              <w:rPr>
                <w:sz w:val="20"/>
                <w:szCs w:val="20"/>
              </w:rPr>
            </w:pPr>
            <w:r w:rsidRPr="00D55960">
              <w:rPr>
                <w:sz w:val="20"/>
                <w:szCs w:val="20"/>
              </w:rPr>
              <w:t>EU Commission</w:t>
            </w:r>
          </w:p>
          <w:p w:rsidR="00560B79" w:rsidRPr="00D55960" w:rsidRDefault="004C541B" w:rsidP="00D55960">
            <w:pPr>
              <w:rPr>
                <w:sz w:val="20"/>
                <w:szCs w:val="20"/>
              </w:rPr>
            </w:pPr>
            <w:r w:rsidRPr="00D55960">
              <w:rPr>
                <w:sz w:val="20"/>
                <w:szCs w:val="20"/>
              </w:rPr>
              <w:t xml:space="preserve">Decision on 26 </w:t>
            </w:r>
            <w:r w:rsidR="00560B79" w:rsidRPr="00D55960">
              <w:rPr>
                <w:sz w:val="20"/>
                <w:szCs w:val="20"/>
              </w:rPr>
              <w:t>Mar</w:t>
            </w:r>
            <w:r w:rsidRPr="00D55960">
              <w:rPr>
                <w:sz w:val="20"/>
                <w:szCs w:val="20"/>
              </w:rPr>
              <w:t>ch 20</w:t>
            </w:r>
            <w:r w:rsidR="00560B79" w:rsidRPr="00D55960">
              <w:rPr>
                <w:sz w:val="20"/>
                <w:szCs w:val="20"/>
              </w:rPr>
              <w:t>15</w:t>
            </w:r>
          </w:p>
        </w:tc>
        <w:tc>
          <w:tcPr>
            <w:tcW w:w="4677" w:type="dxa"/>
          </w:tcPr>
          <w:p w:rsidR="00560B79" w:rsidRPr="00D55960" w:rsidRDefault="00560B79" w:rsidP="00D55960">
            <w:pPr>
              <w:rPr>
                <w:sz w:val="20"/>
                <w:szCs w:val="20"/>
              </w:rPr>
            </w:pPr>
            <w:r w:rsidRPr="00D55960">
              <w:rPr>
                <w:sz w:val="20"/>
                <w:szCs w:val="20"/>
              </w:rPr>
              <w:lastRenderedPageBreak/>
              <w:t>Paed</w:t>
            </w:r>
            <w:r w:rsidR="00054259" w:rsidRPr="00D55960">
              <w:rPr>
                <w:sz w:val="20"/>
                <w:szCs w:val="20"/>
              </w:rPr>
              <w:t>iatric</w:t>
            </w:r>
            <w:r w:rsidRPr="00D55960">
              <w:rPr>
                <w:sz w:val="20"/>
                <w:szCs w:val="20"/>
              </w:rPr>
              <w:t xml:space="preserve"> ERA:</w:t>
            </w:r>
          </w:p>
          <w:p w:rsidR="00560B79" w:rsidRPr="00D55960" w:rsidRDefault="00560B79" w:rsidP="00D55960">
            <w:pPr>
              <w:rPr>
                <w:sz w:val="20"/>
                <w:szCs w:val="20"/>
              </w:rPr>
            </w:pPr>
            <w:r w:rsidRPr="00D55960">
              <w:rPr>
                <w:sz w:val="20"/>
                <w:szCs w:val="20"/>
              </w:rPr>
              <w:t>Humira is indicated for the</w:t>
            </w:r>
            <w:r w:rsidR="004F2054" w:rsidRPr="00D55960">
              <w:rPr>
                <w:sz w:val="20"/>
                <w:szCs w:val="20"/>
              </w:rPr>
              <w:t xml:space="preserve"> </w:t>
            </w:r>
            <w:r w:rsidRPr="00D55960">
              <w:rPr>
                <w:sz w:val="20"/>
                <w:szCs w:val="20"/>
              </w:rPr>
              <w:t xml:space="preserve">treatment of active </w:t>
            </w:r>
            <w:r w:rsidRPr="00D55960">
              <w:rPr>
                <w:sz w:val="20"/>
                <w:szCs w:val="20"/>
              </w:rPr>
              <w:lastRenderedPageBreak/>
              <w:t>enthesitis</w:t>
            </w:r>
            <w:r w:rsidR="00054259" w:rsidRPr="00D55960">
              <w:rPr>
                <w:sz w:val="20"/>
                <w:szCs w:val="20"/>
              </w:rPr>
              <w:t xml:space="preserve"> </w:t>
            </w:r>
            <w:r w:rsidRPr="00D55960">
              <w:rPr>
                <w:sz w:val="20"/>
                <w:szCs w:val="20"/>
              </w:rPr>
              <w:t>related</w:t>
            </w:r>
            <w:r w:rsidR="004F2054" w:rsidRPr="00D55960">
              <w:rPr>
                <w:sz w:val="20"/>
                <w:szCs w:val="20"/>
              </w:rPr>
              <w:t xml:space="preserve"> </w:t>
            </w:r>
            <w:r w:rsidRPr="00D55960">
              <w:rPr>
                <w:sz w:val="20"/>
                <w:szCs w:val="20"/>
              </w:rPr>
              <w:t>arthritis in patients, 6 years</w:t>
            </w:r>
            <w:r w:rsidR="004F2054" w:rsidRPr="00D55960">
              <w:rPr>
                <w:sz w:val="20"/>
                <w:szCs w:val="20"/>
              </w:rPr>
              <w:t xml:space="preserve"> </w:t>
            </w:r>
            <w:r w:rsidRPr="00D55960">
              <w:rPr>
                <w:sz w:val="20"/>
                <w:szCs w:val="20"/>
              </w:rPr>
              <w:t>of age and older, who have had an</w:t>
            </w:r>
            <w:r w:rsidR="004F2054" w:rsidRPr="00D55960">
              <w:rPr>
                <w:sz w:val="20"/>
                <w:szCs w:val="20"/>
              </w:rPr>
              <w:t xml:space="preserve"> </w:t>
            </w:r>
            <w:r w:rsidRPr="00D55960">
              <w:rPr>
                <w:sz w:val="20"/>
                <w:szCs w:val="20"/>
              </w:rPr>
              <w:t>inadequate response to, or who are</w:t>
            </w:r>
            <w:r w:rsidR="004F2054" w:rsidRPr="00D55960">
              <w:rPr>
                <w:sz w:val="20"/>
                <w:szCs w:val="20"/>
              </w:rPr>
              <w:t xml:space="preserve"> </w:t>
            </w:r>
            <w:r w:rsidRPr="00D55960">
              <w:rPr>
                <w:sz w:val="20"/>
                <w:szCs w:val="20"/>
              </w:rPr>
              <w:t>intolerant of, conventional therapy.</w:t>
            </w:r>
          </w:p>
          <w:p w:rsidR="00560B79" w:rsidRPr="00D55960" w:rsidRDefault="00560B79" w:rsidP="00D55960">
            <w:pPr>
              <w:rPr>
                <w:sz w:val="20"/>
                <w:szCs w:val="20"/>
              </w:rPr>
            </w:pPr>
            <w:r w:rsidRPr="00D55960">
              <w:rPr>
                <w:sz w:val="20"/>
                <w:szCs w:val="20"/>
              </w:rPr>
              <w:t>Paed</w:t>
            </w:r>
            <w:r w:rsidR="00054259" w:rsidRPr="00D55960">
              <w:rPr>
                <w:sz w:val="20"/>
                <w:szCs w:val="20"/>
              </w:rPr>
              <w:t>iatric</w:t>
            </w:r>
            <w:r w:rsidRPr="00D55960">
              <w:rPr>
                <w:sz w:val="20"/>
                <w:szCs w:val="20"/>
              </w:rPr>
              <w:t xml:space="preserve"> Ps:</w:t>
            </w:r>
          </w:p>
          <w:p w:rsidR="00560B79" w:rsidRPr="00D55960" w:rsidRDefault="00560B79" w:rsidP="00D55960">
            <w:pPr>
              <w:rPr>
                <w:sz w:val="20"/>
                <w:szCs w:val="20"/>
              </w:rPr>
            </w:pPr>
            <w:r w:rsidRPr="00D55960">
              <w:rPr>
                <w:sz w:val="20"/>
                <w:szCs w:val="20"/>
              </w:rPr>
              <w:t>Humira is indicated for the</w:t>
            </w:r>
            <w:r w:rsidR="004F2054" w:rsidRPr="00D55960">
              <w:rPr>
                <w:sz w:val="20"/>
                <w:szCs w:val="20"/>
              </w:rPr>
              <w:t xml:space="preserve"> </w:t>
            </w:r>
            <w:r w:rsidRPr="00D55960">
              <w:rPr>
                <w:sz w:val="20"/>
                <w:szCs w:val="20"/>
              </w:rPr>
              <w:t>treatment of severe chronic plaque</w:t>
            </w:r>
            <w:r w:rsidR="004F2054" w:rsidRPr="00D55960">
              <w:rPr>
                <w:sz w:val="20"/>
                <w:szCs w:val="20"/>
              </w:rPr>
              <w:t xml:space="preserve"> </w:t>
            </w:r>
            <w:r w:rsidRPr="00D55960">
              <w:rPr>
                <w:sz w:val="20"/>
                <w:szCs w:val="20"/>
              </w:rPr>
              <w:t>psoriasis in children and</w:t>
            </w:r>
            <w:r w:rsidR="004F2054" w:rsidRPr="00D55960">
              <w:rPr>
                <w:sz w:val="20"/>
                <w:szCs w:val="20"/>
              </w:rPr>
              <w:t xml:space="preserve"> </w:t>
            </w:r>
            <w:r w:rsidRPr="00D55960">
              <w:rPr>
                <w:sz w:val="20"/>
                <w:szCs w:val="20"/>
              </w:rPr>
              <w:t>adolescents from 4 years of age</w:t>
            </w:r>
            <w:r w:rsidR="004F2054" w:rsidRPr="00D55960">
              <w:rPr>
                <w:sz w:val="20"/>
                <w:szCs w:val="20"/>
              </w:rPr>
              <w:t xml:space="preserve"> </w:t>
            </w:r>
            <w:r w:rsidRPr="00D55960">
              <w:rPr>
                <w:sz w:val="20"/>
                <w:szCs w:val="20"/>
              </w:rPr>
              <w:t>who have had an inadequate</w:t>
            </w:r>
            <w:r w:rsidR="004F2054" w:rsidRPr="00D55960">
              <w:rPr>
                <w:sz w:val="20"/>
                <w:szCs w:val="20"/>
              </w:rPr>
              <w:t xml:space="preserve"> </w:t>
            </w:r>
            <w:r w:rsidRPr="00D55960">
              <w:rPr>
                <w:sz w:val="20"/>
                <w:szCs w:val="20"/>
              </w:rPr>
              <w:t>response to or are inappropriate</w:t>
            </w:r>
            <w:r w:rsidR="004F2054" w:rsidRPr="00D55960">
              <w:rPr>
                <w:sz w:val="20"/>
                <w:szCs w:val="20"/>
              </w:rPr>
              <w:t xml:space="preserve"> </w:t>
            </w:r>
            <w:r w:rsidRPr="00D55960">
              <w:rPr>
                <w:sz w:val="20"/>
                <w:szCs w:val="20"/>
              </w:rPr>
              <w:t>candidates for topical therapy and</w:t>
            </w:r>
            <w:r w:rsidR="004F2054" w:rsidRPr="00D55960">
              <w:rPr>
                <w:sz w:val="20"/>
                <w:szCs w:val="20"/>
              </w:rPr>
              <w:t xml:space="preserve"> </w:t>
            </w:r>
            <w:r w:rsidRPr="00D55960">
              <w:rPr>
                <w:sz w:val="20"/>
                <w:szCs w:val="20"/>
              </w:rPr>
              <w:t>phototherapies.</w:t>
            </w:r>
            <w:r w:rsidR="004F2054" w:rsidRPr="00D55960">
              <w:rPr>
                <w:rStyle w:val="FootnoteReference"/>
                <w:sz w:val="20"/>
                <w:szCs w:val="20"/>
              </w:rPr>
              <w:footnoteReference w:id="1"/>
            </w:r>
          </w:p>
        </w:tc>
      </w:tr>
    </w:tbl>
    <w:p w:rsidR="00C00F97" w:rsidRDefault="00C00F97" w:rsidP="00C00F97">
      <w:pPr>
        <w:rPr>
          <w:rFonts w:asciiTheme="minorHAnsi" w:hAnsiTheme="minorHAnsi"/>
        </w:rPr>
      </w:pPr>
      <w:r>
        <w:rPr>
          <w:rFonts w:asciiTheme="minorHAnsi" w:hAnsiTheme="minorHAnsi"/>
        </w:rPr>
        <w:lastRenderedPageBreak/>
        <w:t>The EU sponsor has subsequently proposed a simplified dose regimen, similar to that currently approved for Crohn’s disease in paediatric patients.</w:t>
      </w:r>
    </w:p>
    <w:p w:rsidR="004C541B" w:rsidRDefault="004C541B" w:rsidP="004C541B">
      <w:r>
        <w:t>Other similar products on the ARTG for related indications are shown in Table 2.</w:t>
      </w:r>
    </w:p>
    <w:p w:rsidR="004C541B" w:rsidRDefault="004C541B" w:rsidP="004C541B">
      <w:pPr>
        <w:pStyle w:val="TableTitle"/>
      </w:pPr>
      <w:r>
        <w:t>Table 2: Drugs registered on the ARTG for related indications.</w:t>
      </w:r>
    </w:p>
    <w:tbl>
      <w:tblPr>
        <w:tblStyle w:val="TableTGAblue"/>
        <w:tblW w:w="0" w:type="auto"/>
        <w:tblLayout w:type="fixed"/>
        <w:tblLook w:val="04A0" w:firstRow="1" w:lastRow="0" w:firstColumn="1" w:lastColumn="0" w:noHBand="0" w:noVBand="1"/>
      </w:tblPr>
      <w:tblGrid>
        <w:gridCol w:w="1354"/>
        <w:gridCol w:w="1394"/>
        <w:gridCol w:w="2180"/>
        <w:gridCol w:w="1701"/>
        <w:gridCol w:w="2091"/>
      </w:tblGrid>
      <w:tr w:rsidR="004C541B" w:rsidTr="004C541B">
        <w:trPr>
          <w:cnfStyle w:val="100000000000" w:firstRow="1" w:lastRow="0" w:firstColumn="0" w:lastColumn="0" w:oddVBand="0" w:evenVBand="0" w:oddHBand="0" w:evenHBand="0" w:firstRowFirstColumn="0" w:firstRowLastColumn="0" w:lastRowFirstColumn="0" w:lastRowLastColumn="0"/>
        </w:trPr>
        <w:tc>
          <w:tcPr>
            <w:tcW w:w="2748" w:type="dxa"/>
            <w:gridSpan w:val="2"/>
          </w:tcPr>
          <w:p w:rsidR="004C541B" w:rsidRPr="004C541B" w:rsidRDefault="004C541B" w:rsidP="00D50FB6">
            <w:pPr>
              <w:spacing w:before="0" w:after="0" w:line="240" w:lineRule="auto"/>
              <w:rPr>
                <w:rFonts w:asciiTheme="minorHAnsi" w:hAnsiTheme="minorHAnsi"/>
                <w:sz w:val="20"/>
                <w:szCs w:val="20"/>
              </w:rPr>
            </w:pPr>
          </w:p>
        </w:tc>
        <w:tc>
          <w:tcPr>
            <w:tcW w:w="2180" w:type="dxa"/>
          </w:tcPr>
          <w:p w:rsidR="004C541B" w:rsidRPr="004C541B" w:rsidRDefault="004C541B" w:rsidP="00D50FB6">
            <w:pPr>
              <w:spacing w:before="0" w:after="0" w:line="240" w:lineRule="auto"/>
              <w:rPr>
                <w:rFonts w:asciiTheme="minorHAnsi" w:hAnsiTheme="minorHAnsi"/>
                <w:sz w:val="20"/>
                <w:szCs w:val="20"/>
              </w:rPr>
            </w:pPr>
            <w:r w:rsidRPr="004C541B">
              <w:rPr>
                <w:rFonts w:asciiTheme="minorHAnsi" w:hAnsiTheme="minorHAnsi"/>
                <w:sz w:val="20"/>
                <w:szCs w:val="20"/>
              </w:rPr>
              <w:t>Adalimumab- S/C</w:t>
            </w:r>
          </w:p>
        </w:tc>
        <w:tc>
          <w:tcPr>
            <w:tcW w:w="1701" w:type="dxa"/>
          </w:tcPr>
          <w:p w:rsidR="004C541B" w:rsidRPr="004C541B" w:rsidRDefault="004C541B" w:rsidP="00D50FB6">
            <w:pPr>
              <w:spacing w:before="0" w:after="0" w:line="240" w:lineRule="auto"/>
              <w:rPr>
                <w:rFonts w:asciiTheme="minorHAnsi" w:hAnsiTheme="minorHAnsi"/>
                <w:sz w:val="20"/>
                <w:szCs w:val="20"/>
              </w:rPr>
            </w:pPr>
            <w:r w:rsidRPr="004C541B">
              <w:rPr>
                <w:rFonts w:asciiTheme="minorHAnsi" w:hAnsiTheme="minorHAnsi"/>
                <w:sz w:val="20"/>
                <w:szCs w:val="20"/>
              </w:rPr>
              <w:t>Infliximab- IV</w:t>
            </w:r>
          </w:p>
        </w:tc>
        <w:tc>
          <w:tcPr>
            <w:tcW w:w="2091" w:type="dxa"/>
          </w:tcPr>
          <w:p w:rsidR="004C541B" w:rsidRPr="004C541B" w:rsidRDefault="004C541B" w:rsidP="00D50FB6">
            <w:pPr>
              <w:spacing w:before="0" w:after="0" w:line="240" w:lineRule="auto"/>
              <w:rPr>
                <w:rFonts w:asciiTheme="minorHAnsi" w:hAnsiTheme="minorHAnsi"/>
                <w:sz w:val="20"/>
                <w:szCs w:val="20"/>
              </w:rPr>
            </w:pPr>
            <w:r w:rsidRPr="004C541B">
              <w:rPr>
                <w:rFonts w:asciiTheme="minorHAnsi" w:hAnsiTheme="minorHAnsi"/>
                <w:sz w:val="20"/>
                <w:szCs w:val="20"/>
              </w:rPr>
              <w:t>Etanercept-S/C</w:t>
            </w:r>
          </w:p>
        </w:tc>
      </w:tr>
      <w:tr w:rsidR="004C541B" w:rsidTr="004C541B">
        <w:tc>
          <w:tcPr>
            <w:tcW w:w="1354" w:type="dxa"/>
            <w:vMerge w:val="restart"/>
          </w:tcPr>
          <w:p w:rsidR="004C541B" w:rsidRPr="004C541B" w:rsidRDefault="004C541B" w:rsidP="00D50FB6">
            <w:pPr>
              <w:spacing w:before="0" w:after="0" w:line="240" w:lineRule="auto"/>
              <w:rPr>
                <w:rFonts w:asciiTheme="minorHAnsi" w:hAnsiTheme="minorHAnsi"/>
                <w:b/>
                <w:sz w:val="20"/>
                <w:szCs w:val="20"/>
              </w:rPr>
            </w:pPr>
            <w:r w:rsidRPr="004C541B">
              <w:rPr>
                <w:rFonts w:asciiTheme="minorHAnsi" w:hAnsiTheme="minorHAnsi"/>
                <w:b/>
                <w:sz w:val="20"/>
                <w:szCs w:val="20"/>
              </w:rPr>
              <w:t>Adults</w:t>
            </w:r>
          </w:p>
        </w:tc>
        <w:tc>
          <w:tcPr>
            <w:tcW w:w="1394" w:type="dxa"/>
          </w:tcPr>
          <w:p w:rsidR="004C541B" w:rsidRPr="004C541B" w:rsidRDefault="004C541B" w:rsidP="00D50FB6">
            <w:pPr>
              <w:spacing w:before="0" w:after="0" w:line="240" w:lineRule="auto"/>
              <w:rPr>
                <w:rFonts w:asciiTheme="minorHAnsi" w:hAnsiTheme="minorHAnsi"/>
                <w:b/>
                <w:sz w:val="20"/>
                <w:szCs w:val="20"/>
              </w:rPr>
            </w:pPr>
            <w:r w:rsidRPr="004C541B">
              <w:rPr>
                <w:rFonts w:asciiTheme="minorHAnsi" w:hAnsiTheme="minorHAnsi"/>
                <w:b/>
                <w:sz w:val="20"/>
                <w:szCs w:val="20"/>
              </w:rPr>
              <w:t>Arthritis</w:t>
            </w:r>
          </w:p>
        </w:tc>
        <w:tc>
          <w:tcPr>
            <w:tcW w:w="2180" w:type="dxa"/>
          </w:tcPr>
          <w:p w:rsidR="004C541B" w:rsidRPr="004C541B" w:rsidRDefault="004C541B" w:rsidP="00D50FB6">
            <w:pPr>
              <w:spacing w:before="0" w:after="0" w:line="240" w:lineRule="auto"/>
              <w:rPr>
                <w:rFonts w:asciiTheme="minorHAnsi" w:hAnsiTheme="minorHAnsi"/>
                <w:sz w:val="20"/>
                <w:szCs w:val="20"/>
              </w:rPr>
            </w:pPr>
            <w:r w:rsidRPr="004C541B">
              <w:rPr>
                <w:rFonts w:asciiTheme="minorHAnsi" w:hAnsiTheme="minorHAnsi"/>
                <w:sz w:val="20"/>
                <w:szCs w:val="20"/>
              </w:rPr>
              <w:t>-RA</w:t>
            </w:r>
          </w:p>
          <w:p w:rsidR="004C541B" w:rsidRDefault="004C541B" w:rsidP="004C541B">
            <w:pPr>
              <w:spacing w:before="0" w:after="0" w:line="240" w:lineRule="auto"/>
              <w:rPr>
                <w:rFonts w:asciiTheme="minorHAnsi" w:hAnsiTheme="minorHAnsi"/>
                <w:sz w:val="20"/>
                <w:szCs w:val="20"/>
              </w:rPr>
            </w:pPr>
            <w:r>
              <w:rPr>
                <w:rFonts w:asciiTheme="minorHAnsi" w:hAnsiTheme="minorHAnsi"/>
                <w:sz w:val="20"/>
                <w:szCs w:val="20"/>
              </w:rPr>
              <w:t>-</w:t>
            </w:r>
            <w:r w:rsidRPr="004C541B">
              <w:rPr>
                <w:rFonts w:asciiTheme="minorHAnsi" w:hAnsiTheme="minorHAnsi"/>
                <w:sz w:val="20"/>
                <w:szCs w:val="20"/>
              </w:rPr>
              <w:t>Spondyoarthritis</w:t>
            </w:r>
          </w:p>
          <w:p w:rsidR="004C541B" w:rsidRPr="004C541B" w:rsidRDefault="004C541B" w:rsidP="004C541B">
            <w:pPr>
              <w:spacing w:before="0" w:after="0" w:line="240" w:lineRule="auto"/>
              <w:rPr>
                <w:rFonts w:asciiTheme="minorHAnsi" w:hAnsiTheme="minorHAnsi"/>
                <w:sz w:val="20"/>
                <w:szCs w:val="20"/>
              </w:rPr>
            </w:pPr>
            <w:r>
              <w:rPr>
                <w:rFonts w:asciiTheme="minorHAnsi" w:hAnsiTheme="minorHAnsi"/>
                <w:sz w:val="20"/>
                <w:szCs w:val="20"/>
              </w:rPr>
              <w:t>-</w:t>
            </w:r>
            <w:r w:rsidRPr="004C541B">
              <w:rPr>
                <w:rFonts w:asciiTheme="minorHAnsi" w:hAnsiTheme="minorHAnsi"/>
                <w:sz w:val="20"/>
                <w:szCs w:val="20"/>
              </w:rPr>
              <w:t>Psoriatic arthritis</w:t>
            </w:r>
          </w:p>
        </w:tc>
        <w:tc>
          <w:tcPr>
            <w:tcW w:w="1701" w:type="dxa"/>
          </w:tcPr>
          <w:p w:rsidR="004C541B" w:rsidRPr="004C541B" w:rsidRDefault="004C541B" w:rsidP="00D50FB6">
            <w:pPr>
              <w:spacing w:before="0" w:after="0" w:line="240" w:lineRule="auto"/>
              <w:rPr>
                <w:rFonts w:asciiTheme="minorHAnsi" w:hAnsiTheme="minorHAnsi"/>
                <w:sz w:val="20"/>
                <w:szCs w:val="20"/>
              </w:rPr>
            </w:pPr>
            <w:r w:rsidRPr="004C541B">
              <w:rPr>
                <w:rFonts w:asciiTheme="minorHAnsi" w:hAnsiTheme="minorHAnsi"/>
                <w:sz w:val="20"/>
                <w:szCs w:val="20"/>
              </w:rPr>
              <w:t>-RA</w:t>
            </w:r>
          </w:p>
          <w:p w:rsidR="004C541B" w:rsidRPr="004C541B" w:rsidRDefault="004C541B" w:rsidP="00D50FB6">
            <w:pPr>
              <w:spacing w:before="0" w:after="0" w:line="240" w:lineRule="auto"/>
              <w:rPr>
                <w:rFonts w:asciiTheme="minorHAnsi" w:hAnsiTheme="minorHAnsi"/>
                <w:sz w:val="20"/>
                <w:szCs w:val="20"/>
              </w:rPr>
            </w:pPr>
            <w:r w:rsidRPr="004C541B">
              <w:rPr>
                <w:rFonts w:asciiTheme="minorHAnsi" w:hAnsiTheme="minorHAnsi"/>
                <w:sz w:val="20"/>
                <w:szCs w:val="20"/>
              </w:rPr>
              <w:t>-ankylosing spondylitis</w:t>
            </w:r>
          </w:p>
          <w:p w:rsidR="004C541B" w:rsidRPr="004C541B" w:rsidRDefault="004C541B" w:rsidP="00D50FB6">
            <w:pPr>
              <w:spacing w:before="0" w:after="0" w:line="240" w:lineRule="auto"/>
              <w:rPr>
                <w:rFonts w:asciiTheme="minorHAnsi" w:hAnsiTheme="minorHAnsi"/>
                <w:sz w:val="20"/>
                <w:szCs w:val="20"/>
              </w:rPr>
            </w:pPr>
            <w:r w:rsidRPr="004C541B">
              <w:rPr>
                <w:rFonts w:asciiTheme="minorHAnsi" w:hAnsiTheme="minorHAnsi"/>
                <w:sz w:val="20"/>
                <w:szCs w:val="20"/>
              </w:rPr>
              <w:t>-psoriatic arthritis</w:t>
            </w:r>
          </w:p>
        </w:tc>
        <w:tc>
          <w:tcPr>
            <w:tcW w:w="2091" w:type="dxa"/>
          </w:tcPr>
          <w:p w:rsidR="004C541B" w:rsidRPr="004C541B" w:rsidRDefault="004C541B" w:rsidP="004C541B">
            <w:pPr>
              <w:spacing w:before="0" w:after="0" w:line="240" w:lineRule="auto"/>
              <w:ind w:left="11" w:firstLine="3"/>
              <w:rPr>
                <w:rFonts w:asciiTheme="minorHAnsi" w:hAnsiTheme="minorHAnsi"/>
                <w:sz w:val="20"/>
                <w:szCs w:val="20"/>
              </w:rPr>
            </w:pPr>
            <w:r w:rsidRPr="004C541B">
              <w:rPr>
                <w:rFonts w:asciiTheme="minorHAnsi" w:hAnsiTheme="minorHAnsi"/>
                <w:sz w:val="20"/>
                <w:szCs w:val="20"/>
              </w:rPr>
              <w:t>-RA</w:t>
            </w:r>
          </w:p>
          <w:p w:rsidR="004C541B" w:rsidRPr="004C541B" w:rsidRDefault="004C541B" w:rsidP="004C541B">
            <w:pPr>
              <w:spacing w:before="0" w:after="0" w:line="240" w:lineRule="auto"/>
              <w:ind w:left="11" w:firstLine="3"/>
              <w:rPr>
                <w:rFonts w:asciiTheme="minorHAnsi" w:hAnsiTheme="minorHAnsi"/>
                <w:sz w:val="20"/>
                <w:szCs w:val="20"/>
              </w:rPr>
            </w:pPr>
            <w:r w:rsidRPr="004C541B">
              <w:rPr>
                <w:rFonts w:asciiTheme="minorHAnsi" w:hAnsiTheme="minorHAnsi"/>
                <w:sz w:val="20"/>
                <w:szCs w:val="20"/>
              </w:rPr>
              <w:t>-psoriatic arthritis</w:t>
            </w:r>
          </w:p>
          <w:p w:rsidR="004C541B" w:rsidRPr="004C541B" w:rsidRDefault="004C541B" w:rsidP="004C541B">
            <w:pPr>
              <w:spacing w:before="0" w:after="0" w:line="240" w:lineRule="auto"/>
              <w:ind w:left="11" w:firstLine="3"/>
              <w:rPr>
                <w:rFonts w:asciiTheme="minorHAnsi" w:hAnsiTheme="minorHAnsi"/>
                <w:sz w:val="20"/>
                <w:szCs w:val="20"/>
              </w:rPr>
            </w:pPr>
            <w:r w:rsidRPr="004C541B">
              <w:rPr>
                <w:rFonts w:asciiTheme="minorHAnsi" w:hAnsiTheme="minorHAnsi"/>
                <w:sz w:val="20"/>
                <w:szCs w:val="20"/>
              </w:rPr>
              <w:t>-ankylosing spondylitis</w:t>
            </w:r>
          </w:p>
          <w:p w:rsidR="004C541B" w:rsidRPr="004C541B" w:rsidRDefault="004C541B" w:rsidP="004C541B">
            <w:pPr>
              <w:spacing w:before="0" w:after="0" w:line="240" w:lineRule="auto"/>
              <w:ind w:left="11" w:firstLine="3"/>
              <w:rPr>
                <w:rFonts w:asciiTheme="minorHAnsi" w:hAnsiTheme="minorHAnsi"/>
                <w:sz w:val="20"/>
                <w:szCs w:val="20"/>
              </w:rPr>
            </w:pPr>
            <w:r w:rsidRPr="004C541B">
              <w:rPr>
                <w:rFonts w:asciiTheme="minorHAnsi" w:hAnsiTheme="minorHAnsi"/>
                <w:sz w:val="20"/>
                <w:szCs w:val="20"/>
              </w:rPr>
              <w:t>-non radiographic axial spondyloarthritis</w:t>
            </w:r>
          </w:p>
        </w:tc>
      </w:tr>
      <w:tr w:rsidR="004C541B" w:rsidTr="004C541B">
        <w:tc>
          <w:tcPr>
            <w:tcW w:w="1354" w:type="dxa"/>
            <w:vMerge/>
          </w:tcPr>
          <w:p w:rsidR="004C541B" w:rsidRPr="004C541B" w:rsidRDefault="004C541B" w:rsidP="00D50FB6">
            <w:pPr>
              <w:spacing w:before="0" w:after="0" w:line="240" w:lineRule="auto"/>
              <w:rPr>
                <w:rFonts w:asciiTheme="minorHAnsi" w:hAnsiTheme="minorHAnsi"/>
                <w:b/>
                <w:sz w:val="20"/>
                <w:szCs w:val="20"/>
              </w:rPr>
            </w:pPr>
          </w:p>
        </w:tc>
        <w:tc>
          <w:tcPr>
            <w:tcW w:w="1394" w:type="dxa"/>
          </w:tcPr>
          <w:p w:rsidR="004C541B" w:rsidRPr="004C541B" w:rsidRDefault="004C541B" w:rsidP="00D50FB6">
            <w:pPr>
              <w:spacing w:before="0" w:after="0" w:line="240" w:lineRule="auto"/>
              <w:rPr>
                <w:rFonts w:asciiTheme="minorHAnsi" w:hAnsiTheme="minorHAnsi"/>
                <w:b/>
                <w:sz w:val="20"/>
                <w:szCs w:val="20"/>
              </w:rPr>
            </w:pPr>
            <w:r w:rsidRPr="004C541B">
              <w:rPr>
                <w:rFonts w:asciiTheme="minorHAnsi" w:hAnsiTheme="minorHAnsi"/>
                <w:b/>
                <w:sz w:val="20"/>
                <w:szCs w:val="20"/>
              </w:rPr>
              <w:t>Psoriasis</w:t>
            </w:r>
          </w:p>
        </w:tc>
        <w:tc>
          <w:tcPr>
            <w:tcW w:w="2180" w:type="dxa"/>
          </w:tcPr>
          <w:p w:rsidR="004C541B" w:rsidRPr="004C541B" w:rsidRDefault="004C541B" w:rsidP="00D50FB6">
            <w:pPr>
              <w:spacing w:before="0" w:after="0" w:line="240" w:lineRule="auto"/>
              <w:rPr>
                <w:rFonts w:asciiTheme="minorHAnsi" w:hAnsiTheme="minorHAnsi"/>
                <w:sz w:val="20"/>
                <w:szCs w:val="20"/>
              </w:rPr>
            </w:pPr>
            <w:r w:rsidRPr="004C541B">
              <w:rPr>
                <w:rFonts w:asciiTheme="minorHAnsi" w:hAnsiTheme="minorHAnsi"/>
                <w:sz w:val="20"/>
                <w:szCs w:val="20"/>
              </w:rPr>
              <w:t>Mod-severe plaque psoriasis</w:t>
            </w:r>
          </w:p>
        </w:tc>
        <w:tc>
          <w:tcPr>
            <w:tcW w:w="1701" w:type="dxa"/>
          </w:tcPr>
          <w:p w:rsidR="004C541B" w:rsidRPr="004C541B" w:rsidRDefault="004C541B" w:rsidP="00D50FB6">
            <w:pPr>
              <w:spacing w:before="0" w:after="0" w:line="240" w:lineRule="auto"/>
              <w:rPr>
                <w:rFonts w:asciiTheme="minorHAnsi" w:hAnsiTheme="minorHAnsi"/>
                <w:sz w:val="20"/>
                <w:szCs w:val="20"/>
              </w:rPr>
            </w:pPr>
            <w:r w:rsidRPr="004C541B">
              <w:rPr>
                <w:rFonts w:asciiTheme="minorHAnsi" w:hAnsiTheme="minorHAnsi"/>
                <w:sz w:val="20"/>
                <w:szCs w:val="20"/>
              </w:rPr>
              <w:t>Mod-severe psoriasis</w:t>
            </w:r>
          </w:p>
        </w:tc>
        <w:tc>
          <w:tcPr>
            <w:tcW w:w="2091" w:type="dxa"/>
          </w:tcPr>
          <w:p w:rsidR="004C541B" w:rsidRPr="004C541B" w:rsidRDefault="004C541B" w:rsidP="004C541B">
            <w:pPr>
              <w:spacing w:before="0" w:after="0" w:line="240" w:lineRule="auto"/>
              <w:ind w:left="0"/>
              <w:rPr>
                <w:rFonts w:asciiTheme="minorHAnsi" w:hAnsiTheme="minorHAnsi"/>
                <w:sz w:val="20"/>
                <w:szCs w:val="20"/>
              </w:rPr>
            </w:pPr>
            <w:r w:rsidRPr="004C541B">
              <w:rPr>
                <w:rFonts w:asciiTheme="minorHAnsi" w:hAnsiTheme="minorHAnsi"/>
                <w:sz w:val="20"/>
                <w:szCs w:val="20"/>
              </w:rPr>
              <w:t>Mod-severe plaque psoriasis</w:t>
            </w:r>
          </w:p>
        </w:tc>
      </w:tr>
      <w:tr w:rsidR="004C541B" w:rsidTr="004C541B">
        <w:tc>
          <w:tcPr>
            <w:tcW w:w="1354" w:type="dxa"/>
            <w:vMerge w:val="restart"/>
          </w:tcPr>
          <w:p w:rsidR="004C541B" w:rsidRPr="004C541B" w:rsidRDefault="004C541B" w:rsidP="00D50FB6">
            <w:pPr>
              <w:spacing w:before="0" w:after="0" w:line="240" w:lineRule="auto"/>
              <w:rPr>
                <w:rFonts w:asciiTheme="minorHAnsi" w:hAnsiTheme="minorHAnsi"/>
                <w:b/>
                <w:sz w:val="20"/>
                <w:szCs w:val="20"/>
              </w:rPr>
            </w:pPr>
            <w:r w:rsidRPr="004C541B">
              <w:rPr>
                <w:rFonts w:asciiTheme="minorHAnsi" w:hAnsiTheme="minorHAnsi"/>
                <w:b/>
                <w:sz w:val="20"/>
                <w:szCs w:val="20"/>
              </w:rPr>
              <w:t>Children</w:t>
            </w:r>
          </w:p>
        </w:tc>
        <w:tc>
          <w:tcPr>
            <w:tcW w:w="1394" w:type="dxa"/>
          </w:tcPr>
          <w:p w:rsidR="004C541B" w:rsidRPr="004C541B" w:rsidRDefault="004C541B" w:rsidP="00D50FB6">
            <w:pPr>
              <w:spacing w:before="0" w:after="0" w:line="240" w:lineRule="auto"/>
              <w:rPr>
                <w:rFonts w:asciiTheme="minorHAnsi" w:hAnsiTheme="minorHAnsi"/>
                <w:b/>
                <w:sz w:val="20"/>
                <w:szCs w:val="20"/>
              </w:rPr>
            </w:pPr>
            <w:r w:rsidRPr="004C541B">
              <w:rPr>
                <w:rFonts w:asciiTheme="minorHAnsi" w:hAnsiTheme="minorHAnsi"/>
                <w:b/>
                <w:sz w:val="20"/>
                <w:szCs w:val="20"/>
              </w:rPr>
              <w:t>Arthritis</w:t>
            </w:r>
          </w:p>
        </w:tc>
        <w:tc>
          <w:tcPr>
            <w:tcW w:w="2180" w:type="dxa"/>
          </w:tcPr>
          <w:p w:rsidR="004C541B" w:rsidRPr="004C541B" w:rsidRDefault="004C541B" w:rsidP="00D50FB6">
            <w:pPr>
              <w:spacing w:before="0" w:after="0" w:line="240" w:lineRule="auto"/>
              <w:rPr>
                <w:rFonts w:asciiTheme="minorHAnsi" w:hAnsiTheme="minorHAnsi"/>
                <w:sz w:val="20"/>
                <w:szCs w:val="20"/>
              </w:rPr>
            </w:pPr>
            <w:r w:rsidRPr="004C541B">
              <w:rPr>
                <w:rFonts w:asciiTheme="minorHAnsi" w:hAnsiTheme="minorHAnsi"/>
                <w:sz w:val="20"/>
                <w:szCs w:val="20"/>
              </w:rPr>
              <w:t>Polyarticular JIA</w:t>
            </w:r>
          </w:p>
        </w:tc>
        <w:tc>
          <w:tcPr>
            <w:tcW w:w="1701" w:type="dxa"/>
          </w:tcPr>
          <w:p w:rsidR="004C541B" w:rsidRPr="004C541B" w:rsidRDefault="004C541B" w:rsidP="00D50FB6">
            <w:pPr>
              <w:spacing w:before="0" w:after="0" w:line="240" w:lineRule="auto"/>
              <w:rPr>
                <w:rFonts w:asciiTheme="minorHAnsi" w:hAnsiTheme="minorHAnsi"/>
                <w:sz w:val="20"/>
                <w:szCs w:val="20"/>
              </w:rPr>
            </w:pPr>
          </w:p>
        </w:tc>
        <w:tc>
          <w:tcPr>
            <w:tcW w:w="2091" w:type="dxa"/>
          </w:tcPr>
          <w:p w:rsidR="004C541B" w:rsidRPr="004C541B" w:rsidRDefault="004C541B" w:rsidP="00D50FB6">
            <w:pPr>
              <w:pStyle w:val="ListParagraph"/>
              <w:ind w:left="0"/>
              <w:rPr>
                <w:rFonts w:asciiTheme="minorHAnsi" w:hAnsiTheme="minorHAnsi"/>
                <w:sz w:val="20"/>
                <w:szCs w:val="20"/>
              </w:rPr>
            </w:pPr>
            <w:r w:rsidRPr="004C541B">
              <w:rPr>
                <w:rFonts w:asciiTheme="minorHAnsi" w:hAnsiTheme="minorHAnsi"/>
                <w:sz w:val="20"/>
                <w:szCs w:val="20"/>
              </w:rPr>
              <w:t>- polyarthritis (RF pos</w:t>
            </w:r>
            <w:r w:rsidR="00054259">
              <w:rPr>
                <w:rFonts w:asciiTheme="minorHAnsi" w:hAnsiTheme="minorHAnsi"/>
                <w:sz w:val="20"/>
                <w:szCs w:val="20"/>
              </w:rPr>
              <w:t>itive</w:t>
            </w:r>
            <w:r w:rsidRPr="004C541B">
              <w:rPr>
                <w:rFonts w:asciiTheme="minorHAnsi" w:hAnsiTheme="minorHAnsi"/>
                <w:sz w:val="20"/>
                <w:szCs w:val="20"/>
              </w:rPr>
              <w:t xml:space="preserve"> or neg</w:t>
            </w:r>
            <w:r w:rsidR="00054259">
              <w:rPr>
                <w:rFonts w:asciiTheme="minorHAnsi" w:hAnsiTheme="minorHAnsi"/>
                <w:sz w:val="20"/>
                <w:szCs w:val="20"/>
              </w:rPr>
              <w:t>ative</w:t>
            </w:r>
            <w:r w:rsidRPr="004C541B">
              <w:rPr>
                <w:rFonts w:asciiTheme="minorHAnsi" w:hAnsiTheme="minorHAnsi"/>
                <w:sz w:val="20"/>
                <w:szCs w:val="20"/>
              </w:rPr>
              <w:t>)</w:t>
            </w:r>
          </w:p>
          <w:p w:rsidR="004C541B" w:rsidRPr="004C541B" w:rsidRDefault="004C541B" w:rsidP="00D50FB6">
            <w:pPr>
              <w:pStyle w:val="ListParagraph"/>
              <w:ind w:left="0"/>
              <w:rPr>
                <w:rFonts w:asciiTheme="minorHAnsi" w:hAnsiTheme="minorHAnsi"/>
                <w:sz w:val="20"/>
                <w:szCs w:val="20"/>
              </w:rPr>
            </w:pPr>
            <w:r w:rsidRPr="004C541B">
              <w:rPr>
                <w:rFonts w:asciiTheme="minorHAnsi" w:hAnsiTheme="minorHAnsi"/>
                <w:sz w:val="20"/>
                <w:szCs w:val="20"/>
              </w:rPr>
              <w:t>- extended oligoarthritis</w:t>
            </w:r>
          </w:p>
          <w:p w:rsidR="004C541B" w:rsidRPr="004C541B" w:rsidRDefault="004C541B" w:rsidP="00D50FB6">
            <w:pPr>
              <w:pStyle w:val="ListParagraph"/>
              <w:ind w:left="0"/>
              <w:rPr>
                <w:rFonts w:asciiTheme="minorHAnsi" w:hAnsiTheme="minorHAnsi"/>
                <w:sz w:val="20"/>
                <w:szCs w:val="20"/>
              </w:rPr>
            </w:pPr>
            <w:r w:rsidRPr="004C541B">
              <w:rPr>
                <w:rFonts w:asciiTheme="minorHAnsi" w:hAnsiTheme="minorHAnsi"/>
                <w:sz w:val="20"/>
                <w:szCs w:val="20"/>
              </w:rPr>
              <w:t>-enthesitis related arthritis</w:t>
            </w:r>
          </w:p>
          <w:p w:rsidR="004C541B" w:rsidRPr="004C541B" w:rsidRDefault="004C541B" w:rsidP="00D50FB6">
            <w:pPr>
              <w:pStyle w:val="ListParagraph"/>
              <w:ind w:left="0"/>
              <w:rPr>
                <w:rFonts w:asciiTheme="minorHAnsi" w:hAnsiTheme="minorHAnsi"/>
                <w:sz w:val="20"/>
                <w:szCs w:val="20"/>
              </w:rPr>
            </w:pPr>
            <w:r w:rsidRPr="004C541B">
              <w:rPr>
                <w:rFonts w:asciiTheme="minorHAnsi" w:hAnsiTheme="minorHAnsi"/>
                <w:sz w:val="20"/>
                <w:szCs w:val="20"/>
              </w:rPr>
              <w:t>-psoriatic arthritis</w:t>
            </w:r>
          </w:p>
        </w:tc>
      </w:tr>
      <w:tr w:rsidR="004C541B" w:rsidTr="004C541B">
        <w:tc>
          <w:tcPr>
            <w:tcW w:w="1354" w:type="dxa"/>
            <w:vMerge/>
          </w:tcPr>
          <w:p w:rsidR="004C541B" w:rsidRPr="00896D34" w:rsidRDefault="004C541B" w:rsidP="00D50FB6">
            <w:pPr>
              <w:spacing w:before="0" w:after="0" w:line="240" w:lineRule="auto"/>
              <w:rPr>
                <w:rFonts w:asciiTheme="minorHAnsi" w:hAnsiTheme="minorHAnsi"/>
                <w:b/>
                <w:sz w:val="16"/>
                <w:szCs w:val="16"/>
              </w:rPr>
            </w:pPr>
          </w:p>
        </w:tc>
        <w:tc>
          <w:tcPr>
            <w:tcW w:w="1394" w:type="dxa"/>
          </w:tcPr>
          <w:p w:rsidR="004C541B" w:rsidRPr="004C541B" w:rsidRDefault="004C541B" w:rsidP="00D50FB6">
            <w:pPr>
              <w:spacing w:before="0" w:after="0" w:line="240" w:lineRule="auto"/>
              <w:rPr>
                <w:rFonts w:asciiTheme="minorHAnsi" w:hAnsiTheme="minorHAnsi"/>
                <w:b/>
                <w:sz w:val="20"/>
                <w:szCs w:val="20"/>
              </w:rPr>
            </w:pPr>
            <w:r w:rsidRPr="004C541B">
              <w:rPr>
                <w:rFonts w:asciiTheme="minorHAnsi" w:hAnsiTheme="minorHAnsi"/>
                <w:b/>
                <w:sz w:val="20"/>
                <w:szCs w:val="20"/>
              </w:rPr>
              <w:t>Psoriasis</w:t>
            </w:r>
          </w:p>
        </w:tc>
        <w:tc>
          <w:tcPr>
            <w:tcW w:w="2180" w:type="dxa"/>
          </w:tcPr>
          <w:p w:rsidR="004C541B" w:rsidRPr="004C541B" w:rsidRDefault="004C541B" w:rsidP="00D50FB6">
            <w:pPr>
              <w:spacing w:before="0" w:after="0" w:line="240" w:lineRule="auto"/>
              <w:rPr>
                <w:rFonts w:asciiTheme="minorHAnsi" w:hAnsiTheme="minorHAnsi"/>
                <w:sz w:val="20"/>
                <w:szCs w:val="20"/>
              </w:rPr>
            </w:pPr>
          </w:p>
        </w:tc>
        <w:tc>
          <w:tcPr>
            <w:tcW w:w="1701" w:type="dxa"/>
          </w:tcPr>
          <w:p w:rsidR="004C541B" w:rsidRPr="004C541B" w:rsidRDefault="004C541B" w:rsidP="00D50FB6">
            <w:pPr>
              <w:spacing w:before="0" w:after="0" w:line="240" w:lineRule="auto"/>
              <w:rPr>
                <w:rFonts w:asciiTheme="minorHAnsi" w:hAnsiTheme="minorHAnsi"/>
                <w:sz w:val="20"/>
                <w:szCs w:val="20"/>
              </w:rPr>
            </w:pPr>
          </w:p>
        </w:tc>
        <w:tc>
          <w:tcPr>
            <w:tcW w:w="2091" w:type="dxa"/>
          </w:tcPr>
          <w:p w:rsidR="004C541B" w:rsidRPr="004C541B" w:rsidRDefault="004C541B" w:rsidP="004C541B">
            <w:pPr>
              <w:spacing w:before="0" w:after="0" w:line="240" w:lineRule="auto"/>
              <w:ind w:left="0"/>
              <w:rPr>
                <w:rFonts w:asciiTheme="minorHAnsi" w:hAnsiTheme="minorHAnsi"/>
                <w:sz w:val="20"/>
                <w:szCs w:val="20"/>
              </w:rPr>
            </w:pPr>
            <w:r w:rsidRPr="004C541B">
              <w:rPr>
                <w:rFonts w:asciiTheme="minorHAnsi" w:hAnsiTheme="minorHAnsi"/>
                <w:sz w:val="20"/>
                <w:szCs w:val="20"/>
              </w:rPr>
              <w:t>Chronic severe plaque psoriasis</w:t>
            </w:r>
          </w:p>
        </w:tc>
      </w:tr>
    </w:tbl>
    <w:p w:rsidR="008E7846" w:rsidRDefault="008E7846" w:rsidP="00940A89">
      <w:pPr>
        <w:pStyle w:val="Heading3"/>
      </w:pPr>
      <w:bookmarkStart w:id="21" w:name="_Toc479772048"/>
      <w:r>
        <w:lastRenderedPageBreak/>
        <w:t>Product Information</w:t>
      </w:r>
      <w:bookmarkEnd w:id="19"/>
      <w:bookmarkEnd w:id="20"/>
      <w:bookmarkEnd w:id="21"/>
    </w:p>
    <w:p w:rsidR="00940A89" w:rsidRDefault="006136D7" w:rsidP="00940A89">
      <w:pPr>
        <w:rPr>
          <w:b/>
          <w:bCs/>
        </w:rPr>
      </w:pPr>
      <w:bookmarkStart w:id="22" w:name="_Toc247691506"/>
      <w:bookmarkStart w:id="23" w:name="_Toc314842487"/>
      <w:r w:rsidRPr="00940A89">
        <w:t xml:space="preserve">The Product Information (PI) </w:t>
      </w:r>
      <w:r>
        <w:t xml:space="preserve">approved with the submission which is described in </w:t>
      </w:r>
      <w:r w:rsidRPr="00940A89">
        <w:t xml:space="preserve">this AusPAR can be found as Attachment 1. For the most recent </w:t>
      </w:r>
      <w:r>
        <w:t>PI,</w:t>
      </w:r>
      <w:r w:rsidRPr="00940A89">
        <w:t xml:space="preserve"> ple</w:t>
      </w:r>
      <w:r>
        <w:t>ase refer to the TGA website</w:t>
      </w:r>
      <w:r w:rsidRPr="00441C3F">
        <w:t xml:space="preserve"> at </w:t>
      </w:r>
      <w:r w:rsidR="00441C3F" w:rsidRPr="00441C3F">
        <w:t>&lt;</w:t>
      </w:r>
      <w:hyperlink r:id="rId16" w:history="1">
        <w:r w:rsidR="00441C3F" w:rsidRPr="00441C3F">
          <w:rPr>
            <w:rStyle w:val="Hyperlink"/>
          </w:rPr>
          <w:t>https://www.tga.gov.au/product-information-pi</w:t>
        </w:r>
      </w:hyperlink>
      <w:r w:rsidR="00441C3F">
        <w:t>&gt;</w:t>
      </w:r>
      <w:r w:rsidR="00940A89" w:rsidRPr="00940A89">
        <w:t>.</w:t>
      </w:r>
    </w:p>
    <w:p w:rsidR="008E7846" w:rsidRPr="003602A9" w:rsidRDefault="008E7846" w:rsidP="008E7846">
      <w:pPr>
        <w:pStyle w:val="Heading2"/>
        <w:ind w:left="-11"/>
      </w:pPr>
      <w:bookmarkStart w:id="24" w:name="_Toc479772049"/>
      <w:r>
        <w:t>II. Quality</w:t>
      </w:r>
      <w:bookmarkEnd w:id="1"/>
      <w:r>
        <w:t xml:space="preserve"> findings</w:t>
      </w:r>
      <w:bookmarkEnd w:id="22"/>
      <w:bookmarkEnd w:id="23"/>
      <w:bookmarkEnd w:id="24"/>
    </w:p>
    <w:p w:rsidR="0002219E" w:rsidRDefault="0002219E" w:rsidP="0002219E">
      <w:bookmarkStart w:id="25" w:name="_Toc247691507"/>
      <w:bookmarkStart w:id="26" w:name="_Toc314842488"/>
      <w:r>
        <w:t xml:space="preserve">The registered formulation is presented in pre-filled syringes or auto-injector devices as a sterile, clear, colourless solution with a pH of 5.2 containing sodium chloride, sodium phosphate </w:t>
      </w:r>
      <w:proofErr w:type="gramStart"/>
      <w:r>
        <w:t>dehydrate,</w:t>
      </w:r>
      <w:proofErr w:type="gramEnd"/>
      <w:r>
        <w:t xml:space="preserve"> sodium citrate, citric acid monohydrate, mannitol, polysorbate and sterile water as excipients.</w:t>
      </w:r>
    </w:p>
    <w:p w:rsidR="00940A89" w:rsidRPr="00940A89" w:rsidRDefault="00940A89" w:rsidP="00940A89">
      <w:r w:rsidRPr="00940A89">
        <w:t>There was no requirement for a quality evaluation in a submission of this type.</w:t>
      </w:r>
    </w:p>
    <w:p w:rsidR="008E7846" w:rsidRDefault="008E7846" w:rsidP="008E7846">
      <w:pPr>
        <w:pStyle w:val="Heading2"/>
      </w:pPr>
      <w:bookmarkStart w:id="27" w:name="_Toc196046439"/>
      <w:bookmarkStart w:id="28" w:name="_Toc247691510"/>
      <w:bookmarkStart w:id="29" w:name="_Toc314842494"/>
      <w:bookmarkStart w:id="30" w:name="_Toc479772050"/>
      <w:bookmarkEnd w:id="25"/>
      <w:bookmarkEnd w:id="26"/>
      <w:r>
        <w:t>III. Nonclinical</w:t>
      </w:r>
      <w:bookmarkEnd w:id="27"/>
      <w:r>
        <w:t xml:space="preserve"> findings</w:t>
      </w:r>
      <w:bookmarkEnd w:id="28"/>
      <w:bookmarkEnd w:id="29"/>
      <w:bookmarkEnd w:id="30"/>
    </w:p>
    <w:p w:rsidR="00940A89" w:rsidRDefault="00940A89" w:rsidP="000E6196">
      <w:bookmarkStart w:id="31" w:name="_Toc247691511"/>
      <w:bookmarkStart w:id="32" w:name="_Toc314842495"/>
      <w:r>
        <w:t>There was no requirement for a nonclinical evaluation in a submission of this type.</w:t>
      </w:r>
    </w:p>
    <w:p w:rsidR="008E7846" w:rsidRPr="00254787" w:rsidRDefault="008E7846" w:rsidP="008E7846">
      <w:pPr>
        <w:pStyle w:val="Heading2"/>
      </w:pPr>
      <w:bookmarkStart w:id="33" w:name="_Toc196046462"/>
      <w:bookmarkStart w:id="34" w:name="_Toc247691516"/>
      <w:bookmarkStart w:id="35" w:name="_Toc314842500"/>
      <w:bookmarkStart w:id="36" w:name="_Toc163441353"/>
      <w:bookmarkStart w:id="37" w:name="_Toc163441348"/>
      <w:bookmarkStart w:id="38" w:name="_Toc479772051"/>
      <w:bookmarkEnd w:id="31"/>
      <w:bookmarkEnd w:id="32"/>
      <w:r>
        <w:t xml:space="preserve">IV. </w:t>
      </w:r>
      <w:r w:rsidRPr="00254787">
        <w:t>Clinical</w:t>
      </w:r>
      <w:bookmarkEnd w:id="33"/>
      <w:r>
        <w:t xml:space="preserve"> </w:t>
      </w:r>
      <w:r w:rsidR="003A7F6C">
        <w:t>f</w:t>
      </w:r>
      <w:r>
        <w:t>indings</w:t>
      </w:r>
      <w:bookmarkEnd w:id="34"/>
      <w:bookmarkEnd w:id="35"/>
      <w:bookmarkEnd w:id="38"/>
    </w:p>
    <w:p w:rsidR="00C80137" w:rsidRDefault="00C80137" w:rsidP="00D425BB">
      <w:bookmarkStart w:id="39" w:name="_Toc196046463"/>
      <w:r>
        <w:t xml:space="preserve">A summary of the </w:t>
      </w:r>
      <w:r w:rsidRPr="00FD70B8">
        <w:t xml:space="preserve">clinical findings is presented in this section. </w:t>
      </w:r>
      <w:r>
        <w:t xml:space="preserve">Further details of these </w:t>
      </w:r>
      <w:r w:rsidRPr="00FD70B8">
        <w:t>clinical findings can be found in Attachment 2.</w:t>
      </w:r>
    </w:p>
    <w:p w:rsidR="008E7846" w:rsidRDefault="008E7846" w:rsidP="008E7846">
      <w:pPr>
        <w:pStyle w:val="Heading3"/>
      </w:pPr>
      <w:bookmarkStart w:id="40" w:name="_Toc247691517"/>
      <w:bookmarkStart w:id="41" w:name="_Toc314842501"/>
      <w:bookmarkStart w:id="42" w:name="_Toc479772052"/>
      <w:r w:rsidRPr="00254787">
        <w:t>Introduction</w:t>
      </w:r>
      <w:bookmarkEnd w:id="39"/>
      <w:bookmarkEnd w:id="40"/>
      <w:bookmarkEnd w:id="41"/>
      <w:bookmarkEnd w:id="42"/>
    </w:p>
    <w:p w:rsidR="00605AD4" w:rsidRDefault="00605AD4" w:rsidP="002560A9">
      <w:pPr>
        <w:pStyle w:val="Heading4"/>
      </w:pPr>
      <w:bookmarkStart w:id="43" w:name="_Toc196046464"/>
      <w:bookmarkStart w:id="44" w:name="_Toc247691518"/>
      <w:bookmarkStart w:id="45" w:name="_Toc314842502"/>
      <w:r w:rsidRPr="00605AD4">
        <w:t xml:space="preserve">Clinical </w:t>
      </w:r>
      <w:r w:rsidR="00EF59DC" w:rsidRPr="002560A9">
        <w:t>r</w:t>
      </w:r>
      <w:r w:rsidRPr="002560A9">
        <w:t>ationale</w:t>
      </w:r>
    </w:p>
    <w:p w:rsidR="00D24962" w:rsidRDefault="00C114B9" w:rsidP="002560A9">
      <w:pPr>
        <w:pStyle w:val="Heading5"/>
      </w:pPr>
      <w:proofErr w:type="spellStart"/>
      <w:r w:rsidRPr="00665746">
        <w:t>Enthesitis</w:t>
      </w:r>
      <w:proofErr w:type="spellEnd"/>
      <w:r w:rsidRPr="00665746">
        <w:t xml:space="preserve"> </w:t>
      </w:r>
      <w:r w:rsidR="00D55960" w:rsidRPr="00665746">
        <w:t>related arthritis</w:t>
      </w:r>
    </w:p>
    <w:p w:rsidR="00C114B9" w:rsidRDefault="00C114B9" w:rsidP="00C114B9">
      <w:r>
        <w:t xml:space="preserve">JIA encompasses a diverse group of arthritic conditions of unknown </w:t>
      </w:r>
      <w:r w:rsidR="007615ED">
        <w:t>a</w:t>
      </w:r>
      <w:r>
        <w:t xml:space="preserve">etiology that begin before the sixteenth birthday, and persist for at least 6 weeks. It is one of the most physically disabling conditions of childhood with prevalence in Australia of 0.3% according to the Australian Institute of Health and Welfare 2012 report. JIA is a heterogeneous disorder, and the subtypes have varying clinical and laboratory features that reflect distinct immunopathogenic processes. The pathogenesis of each subtype is multifactorial and likely to be triggered by environmental stimuli in genetically susceptible individuals. JIA is a WHO endorsed, internationally accepted umbrella term that has replaced all previously used nomenclatures such as JRA and juvenile chronic arthritis (JCA). Historically, 3 different validated sets of criteria have been published to define the chronic forms of arthritis seen in children, </w:t>
      </w:r>
      <w:r w:rsidR="002560A9">
        <w:t>that is</w:t>
      </w:r>
      <w:r>
        <w:t xml:space="preserve"> the </w:t>
      </w:r>
      <w:r w:rsidR="002560A9" w:rsidRPr="002560A9">
        <w:t xml:space="preserve">European League </w:t>
      </w:r>
      <w:proofErr w:type="gramStart"/>
      <w:r w:rsidR="002560A9" w:rsidRPr="002560A9">
        <w:t>Against</w:t>
      </w:r>
      <w:proofErr w:type="gramEnd"/>
      <w:r w:rsidR="002560A9" w:rsidRPr="002560A9">
        <w:t xml:space="preserve"> Rheumatism </w:t>
      </w:r>
      <w:r w:rsidR="002560A9">
        <w:t>(</w:t>
      </w:r>
      <w:r>
        <w:t>EULAR</w:t>
      </w:r>
      <w:r w:rsidR="002560A9">
        <w:t>)</w:t>
      </w:r>
      <w:r>
        <w:t xml:space="preserve"> criteria, the </w:t>
      </w:r>
      <w:r w:rsidR="002560A9">
        <w:t>American College of Rheumatology (</w:t>
      </w:r>
      <w:r>
        <w:t>ACR</w:t>
      </w:r>
      <w:r w:rsidR="002560A9">
        <w:t>)</w:t>
      </w:r>
      <w:r>
        <w:t xml:space="preserve"> criteria, and the more recent ILAR definition of JIA. The ILAR classification criteria were first developed in 1997 and were revised in 2001. It includes 7 categories of the JIA (Table </w:t>
      </w:r>
      <w:r w:rsidR="002560A9">
        <w:t>3</w:t>
      </w:r>
      <w:r>
        <w:t xml:space="preserve"> below; taken </w:t>
      </w:r>
      <w:r w:rsidRPr="00C2251D">
        <w:t>from Petty et al, 2004</w:t>
      </w:r>
      <w:r w:rsidR="00C2251D" w:rsidRPr="00C2251D">
        <w:rPr>
          <w:rStyle w:val="FootnoteReference"/>
        </w:rPr>
        <w:footnoteReference w:id="2"/>
      </w:r>
      <w:r w:rsidRPr="00C2251D">
        <w:t>) and has become the</w:t>
      </w:r>
      <w:r>
        <w:t xml:space="preserve"> internationally accepted nomenclature.</w:t>
      </w:r>
    </w:p>
    <w:p w:rsidR="00C114B9" w:rsidRDefault="00C114B9" w:rsidP="002560A9">
      <w:pPr>
        <w:pStyle w:val="TableTitle"/>
      </w:pPr>
      <w:r>
        <w:lastRenderedPageBreak/>
        <w:t xml:space="preserve">Table </w:t>
      </w:r>
      <w:r w:rsidR="002560A9">
        <w:t xml:space="preserve">3: </w:t>
      </w:r>
      <w:r>
        <w:t>Frequency, Age at Onset and Gender Distribution of the ILAR Categories of JIA</w:t>
      </w:r>
    </w:p>
    <w:p w:rsidR="00C114B9" w:rsidRDefault="00C114B9" w:rsidP="00C114B9">
      <w:r>
        <w:rPr>
          <w:noProof/>
          <w:lang w:eastAsia="en-AU"/>
        </w:rPr>
        <w:drawing>
          <wp:inline distT="0" distB="0" distL="0" distR="0" wp14:anchorId="44CCFBA7" wp14:editId="06DF052C">
            <wp:extent cx="4774457" cy="2940710"/>
            <wp:effectExtent l="0" t="0" r="7620" b="0"/>
            <wp:docPr id="1" name="Picture 1" descr="Table 3: Frequency, Age at Onset and Gender Distribution of the ILAR Categories of J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76504" cy="2941971"/>
                    </a:xfrm>
                    <a:prstGeom prst="rect">
                      <a:avLst/>
                    </a:prstGeom>
                    <a:noFill/>
                    <a:ln>
                      <a:noFill/>
                    </a:ln>
                  </pic:spPr>
                </pic:pic>
              </a:graphicData>
            </a:graphic>
          </wp:inline>
        </w:drawing>
      </w:r>
    </w:p>
    <w:p w:rsidR="00C114B9" w:rsidRDefault="00C114B9" w:rsidP="00C114B9">
      <w:r>
        <w:t xml:space="preserve">In this submission, the ERA subtype of JIA was studied in the pivotal </w:t>
      </w:r>
      <w:r w:rsidR="002560A9">
        <w:t>S</w:t>
      </w:r>
      <w:r>
        <w:t xml:space="preserve">tudy M11-328. </w:t>
      </w:r>
      <w:r w:rsidRPr="00623F0E">
        <w:t>Approximately 3</w:t>
      </w:r>
      <w:r w:rsidR="002560A9">
        <w:t xml:space="preserve"> to </w:t>
      </w:r>
      <w:r w:rsidRPr="00623F0E">
        <w:t>11% of all JIA cases present as ERA, although the estimates are wide ranging (</w:t>
      </w:r>
      <w:r w:rsidRPr="002560A9">
        <w:t>1.2</w:t>
      </w:r>
      <w:r w:rsidR="002560A9" w:rsidRPr="002560A9">
        <w:t xml:space="preserve"> to </w:t>
      </w:r>
      <w:r w:rsidRPr="002560A9">
        <w:t>27.9%).</w:t>
      </w:r>
      <w:r w:rsidRPr="00623F0E">
        <w:t xml:space="preserve"> </w:t>
      </w:r>
      <w:r>
        <w:t>ERA typically begins after the age of 6, has a mean age at diagnosis of 11.7 years and more commonly affects boys. It is characterised initially by lower limb arthritis and enthesitis (inflammation of the point where a tendon, ligament or fascia inserts into the bone). The most common sites of enthesitis are the insertions of the plantar fascia, Achilles tendon, and around and below the patella. Symptoms of sacroiliitis and spinal arthritis are uncommon at presentation but may become involved later in the disease course (10</w:t>
      </w:r>
      <w:r w:rsidR="0031116A">
        <w:t xml:space="preserve"> to </w:t>
      </w:r>
      <w:r>
        <w:t xml:space="preserve">15 years after disease onset). Uveitis affects these patients as well, but it tends to be symptomatic (painful, red eye). There is often a family history of similar illness or </w:t>
      </w:r>
      <w:r w:rsidR="0031116A" w:rsidRPr="0031116A">
        <w:t xml:space="preserve">Ankylosing Spondylitis </w:t>
      </w:r>
      <w:r w:rsidR="0031116A">
        <w:t>(</w:t>
      </w:r>
      <w:r>
        <w:t>AS</w:t>
      </w:r>
      <w:r w:rsidR="0031116A">
        <w:t>)</w:t>
      </w:r>
      <w:r>
        <w:t>. The HLA-B27 antigen is found in 50% of patients, while ANA (antinuclear antibody) testing is usually negative.</w:t>
      </w:r>
    </w:p>
    <w:p w:rsidR="00D24962" w:rsidRDefault="00C114B9" w:rsidP="00C114B9">
      <w:r>
        <w:t>TNF is a pro-inflammatory cytokine, which is present in significantly elevated serum and synovial concentrations in patients with most JIA subtypes. It affects a variety of pathophysiological processes including activation of T-cells, induction of acute phase proteins and stimulation of haemopoietic precursor cell growth and differentiation. ADA is a re</w:t>
      </w:r>
      <w:r w:rsidR="0031116A">
        <w:t>combinant, humanis</w:t>
      </w:r>
      <w:r>
        <w:t>ed</w:t>
      </w:r>
      <w:r w:rsidRPr="00965837">
        <w:t xml:space="preserve"> </w:t>
      </w:r>
      <w:r>
        <w:t xml:space="preserve">monoclonal antibody, which has high affinity binding to TNF (both soluble and transmembrane forms) and blocks its interaction with cell surface TNF receptors. Current approved treatment options in Australia for moderately to severely active ERA include </w:t>
      </w:r>
      <w:r w:rsidR="0031116A">
        <w:t>non-steroidal anti-inflammatories (</w:t>
      </w:r>
      <w:r>
        <w:t>NSAIDs</w:t>
      </w:r>
      <w:r w:rsidR="0031116A">
        <w:t>)</w:t>
      </w:r>
      <w:r>
        <w:t xml:space="preserve">, corticosteroids (CS), non-biological </w:t>
      </w:r>
      <w:r w:rsidR="0031116A" w:rsidRPr="0031116A">
        <w:t>Disease-modifying anti</w:t>
      </w:r>
      <w:r w:rsidR="00054259">
        <w:t>-</w:t>
      </w:r>
      <w:r w:rsidR="0031116A" w:rsidRPr="0031116A">
        <w:t xml:space="preserve">rheumatic drugs </w:t>
      </w:r>
      <w:r w:rsidR="0031116A">
        <w:t>(</w:t>
      </w:r>
      <w:r>
        <w:t>DMARDs</w:t>
      </w:r>
      <w:r w:rsidR="0031116A">
        <w:t>)</w:t>
      </w:r>
      <w:r>
        <w:t xml:space="preserve"> (mainly, methotrexate and/or sulfasalazine) and etanercept. However, a proportion of patients fail to respond to these treatment options and as such there is an unmet need for additional therapies for active, treatment refractory ERA</w:t>
      </w:r>
      <w:r w:rsidR="00D24962">
        <w:t>.</w:t>
      </w:r>
    </w:p>
    <w:p w:rsidR="00C114B9" w:rsidRDefault="00C114B9" w:rsidP="0031116A">
      <w:pPr>
        <w:pStyle w:val="Heading5"/>
      </w:pPr>
      <w:r w:rsidRPr="00CF6CB6">
        <w:t xml:space="preserve">Paediatric </w:t>
      </w:r>
      <w:r w:rsidR="00D55960" w:rsidRPr="00CF6CB6">
        <w:t>plaque psoriasis</w:t>
      </w:r>
      <w:r w:rsidR="00D55960">
        <w:t xml:space="preserve"> </w:t>
      </w:r>
      <w:r w:rsidR="0031116A">
        <w:t>(PSOR)</w:t>
      </w:r>
    </w:p>
    <w:p w:rsidR="00C114B9" w:rsidRDefault="00C114B9" w:rsidP="00C114B9">
      <w:r>
        <w:t xml:space="preserve">Psoriasis (PSOR) is a chronic immune-mediated proliferative skin condition that occurs in up to 3% of the population. </w:t>
      </w:r>
      <w:r w:rsidRPr="007E70DE">
        <w:t>Approximately 15% of all cases of PSOR begin in children before the age of 15 years</w:t>
      </w:r>
      <w:r>
        <w:t>, and the condition may start as young as infancy. The typical appearance is of red, thickened, scaly patches (plaques) on the skin. These plaques can vary in size and distribution. In some people, PSOR may affect small areas of skin while in others large areas covering their body may be involved.</w:t>
      </w:r>
    </w:p>
    <w:p w:rsidR="00D24962" w:rsidRDefault="00C114B9" w:rsidP="00C114B9">
      <w:r>
        <w:lastRenderedPageBreak/>
        <w:t>PSOR is polygenetically inherited and requires environmental factors to become activated. Common trigger factors are infections (streptococcal and viral), trauma to the skin, psychological stress and drugs. Although PSOR may present at any age, when it commences in childhood and adolescence it tends to be more severe and has a strong familial history.</w:t>
      </w:r>
    </w:p>
    <w:p w:rsidR="00C114B9" w:rsidRDefault="00C114B9" w:rsidP="00C114B9">
      <w:r>
        <w:t xml:space="preserve">TNF is a pro-inflammatory cytokine, which is present in significantly elevated concentrations in the affected skin of patients with PSOR. Current approved treatment options in Australia for paediatric patients with moderate to severe chronic PSOR include topical therapy with salicylic acid, CS and coal tar, phototherapy and </w:t>
      </w:r>
      <w:r w:rsidR="00054259">
        <w:t>m</w:t>
      </w:r>
      <w:r w:rsidR="00054259" w:rsidRPr="0031116A">
        <w:t>ethotrexate</w:t>
      </w:r>
      <w:r w:rsidR="00054259">
        <w:t xml:space="preserve"> (</w:t>
      </w:r>
      <w:r>
        <w:t>MTX</w:t>
      </w:r>
      <w:r w:rsidR="0031116A">
        <w:t>)</w:t>
      </w:r>
      <w:r>
        <w:t>. However, a proportion of patients fail to respond to these treatment options and as such there is an unmet need for additional therapies for severe, treatment refractory PSOR in paediatric patients.</w:t>
      </w:r>
    </w:p>
    <w:p w:rsidR="00605AD4" w:rsidRDefault="00605AD4" w:rsidP="00605AD4">
      <w:pPr>
        <w:pStyle w:val="Heading4"/>
      </w:pPr>
      <w:r w:rsidRPr="00605AD4">
        <w:t>Guidance</w:t>
      </w:r>
    </w:p>
    <w:p w:rsidR="00C2251D" w:rsidRPr="00767DDC" w:rsidRDefault="00C2251D" w:rsidP="00C114B9">
      <w:r w:rsidRPr="00767DDC">
        <w:t>There are</w:t>
      </w:r>
      <w:r w:rsidR="00C114B9" w:rsidRPr="00767DDC">
        <w:t xml:space="preserve"> 5 specific regulatory guidelines pertaining to the requested extensions of treatment indication. Two of the guidelines relate to the application for ERA. In particular, the TGA has adopted the </w:t>
      </w:r>
      <w:r w:rsidR="00767DDC">
        <w:t xml:space="preserve">following </w:t>
      </w:r>
      <w:r w:rsidR="00C114B9" w:rsidRPr="00767DDC">
        <w:t>EU guidelines</w:t>
      </w:r>
      <w:r w:rsidR="00767DDC">
        <w:t>:</w:t>
      </w:r>
    </w:p>
    <w:p w:rsidR="00D24962" w:rsidRDefault="00C114B9" w:rsidP="00D55960">
      <w:pPr>
        <w:pStyle w:val="ListBullet"/>
      </w:pPr>
      <w:r w:rsidRPr="00767DDC">
        <w:t xml:space="preserve">CPMP/EWP/422/04 </w:t>
      </w:r>
      <w:r w:rsidR="0031116A" w:rsidRPr="00767DDC">
        <w:t>‘</w:t>
      </w:r>
      <w:r w:rsidRPr="00767DDC">
        <w:t>Guideline on Clinical Investigation of Medicinal Products for the Treatment of Juvenile Idiopathic Arthritis</w:t>
      </w:r>
      <w:r w:rsidR="0031116A" w:rsidRPr="00767DDC">
        <w:t>’</w:t>
      </w:r>
      <w:r w:rsidRPr="00767DDC">
        <w:t xml:space="preserve"> (effective 26 June 2009) and</w:t>
      </w:r>
    </w:p>
    <w:p w:rsidR="00C2251D" w:rsidRPr="00767DDC" w:rsidRDefault="0031116A" w:rsidP="00C2251D">
      <w:pPr>
        <w:pStyle w:val="ListBullet"/>
      </w:pPr>
      <w:r w:rsidRPr="00767DDC">
        <w:t>‘</w:t>
      </w:r>
      <w:r w:rsidR="00C114B9" w:rsidRPr="00767DDC">
        <w:t>Concept Paper on the need for revision of the Guideline on Clinical Investigation of Medicinal Products for the Treatment of Juvenile Idiopathic Arthritis</w:t>
      </w:r>
      <w:r w:rsidRPr="00767DDC">
        <w:t>’</w:t>
      </w:r>
      <w:r w:rsidR="00C114B9" w:rsidRPr="00767DDC">
        <w:t xml:space="preserve"> (effective 15 December 2012).</w:t>
      </w:r>
    </w:p>
    <w:p w:rsidR="0040772A" w:rsidRDefault="0040772A" w:rsidP="00C114B9">
      <w:r w:rsidRPr="0040772A">
        <w:t>The concept paper states that the ILAR should be used to classify JIA subtypes and that they are mutually exclusive (although references difficulty with sub classification). The majority of JIA subtypes have counterparts in adult disease such as rheumatoid arthritis (RA), spondyloarthritis and psoriatic arthritis.</w:t>
      </w:r>
    </w:p>
    <w:p w:rsidR="00C2251D" w:rsidRPr="00767DDC" w:rsidRDefault="00C114B9" w:rsidP="00C114B9">
      <w:r w:rsidRPr="00767DDC">
        <w:t xml:space="preserve">For the proposed indication of paediatric PSOR, </w:t>
      </w:r>
      <w:r w:rsidR="00C2251D" w:rsidRPr="00767DDC">
        <w:t>there is</w:t>
      </w:r>
      <w:r w:rsidRPr="00767DDC">
        <w:t xml:space="preserve"> 1 specific guideline </w:t>
      </w:r>
      <w:r w:rsidR="00C2251D" w:rsidRPr="00767DDC">
        <w:t>for</w:t>
      </w:r>
      <w:r w:rsidRPr="00767DDC">
        <w:t xml:space="preserve"> this submission:</w:t>
      </w:r>
    </w:p>
    <w:p w:rsidR="00C2251D" w:rsidRPr="00767DDC" w:rsidRDefault="00C114B9" w:rsidP="00C2251D">
      <w:pPr>
        <w:pStyle w:val="ListBullet"/>
      </w:pPr>
      <w:r w:rsidRPr="00767DDC">
        <w:t xml:space="preserve">CHMP/EWP/2454/2004 </w:t>
      </w:r>
      <w:r w:rsidR="0031116A" w:rsidRPr="00767DDC">
        <w:t>‘</w:t>
      </w:r>
      <w:r w:rsidRPr="00767DDC">
        <w:t>Guideline on Clinical Investigation of Medicinal Products for the Treatment of Psoriasis</w:t>
      </w:r>
      <w:r w:rsidR="0031116A" w:rsidRPr="00767DDC">
        <w:t>’</w:t>
      </w:r>
      <w:r w:rsidRPr="00767DDC">
        <w:t xml:space="preserve"> (effective June 2006).</w:t>
      </w:r>
    </w:p>
    <w:p w:rsidR="00C2251D" w:rsidRPr="00767DDC" w:rsidRDefault="00C114B9" w:rsidP="00C114B9">
      <w:r w:rsidRPr="00767DDC">
        <w:t>Other relevant EU guidelines, adopted by the TGA are:</w:t>
      </w:r>
    </w:p>
    <w:p w:rsidR="00D24962" w:rsidRDefault="00C114B9" w:rsidP="00C2251D">
      <w:pPr>
        <w:pStyle w:val="ListBullet"/>
      </w:pPr>
      <w:r w:rsidRPr="00767DDC">
        <w:t xml:space="preserve">CHMP/ICH/2711/99 </w:t>
      </w:r>
      <w:r w:rsidR="0031116A" w:rsidRPr="00767DDC">
        <w:t>‘</w:t>
      </w:r>
      <w:r w:rsidRPr="00767DDC">
        <w:t>Note for Guidance on Clinical Investigation of Medicinal Products in the Paediatric Population</w:t>
      </w:r>
      <w:r w:rsidR="0031116A" w:rsidRPr="00767DDC">
        <w:t>’</w:t>
      </w:r>
      <w:r w:rsidRPr="00767DDC">
        <w:t xml:space="preserve"> (effective 19 April 2001) and</w:t>
      </w:r>
    </w:p>
    <w:p w:rsidR="00C114B9" w:rsidRPr="00767DDC" w:rsidRDefault="00C114B9" w:rsidP="00C2251D">
      <w:pPr>
        <w:pStyle w:val="ListBullet"/>
      </w:pPr>
      <w:r w:rsidRPr="00767DDC">
        <w:t xml:space="preserve">EMEA/CHMP/EWP/147013/2004 </w:t>
      </w:r>
      <w:r w:rsidR="0031116A" w:rsidRPr="00767DDC">
        <w:t>‘</w:t>
      </w:r>
      <w:r w:rsidRPr="00767DDC">
        <w:t>Guideline on the role of Pharmacokinetics in the Development of Medicinal Products in the Paediatric Population</w:t>
      </w:r>
      <w:r w:rsidR="0031116A" w:rsidRPr="00767DDC">
        <w:t>’</w:t>
      </w:r>
      <w:r w:rsidRPr="00767DDC">
        <w:t xml:space="preserve"> (effective 24 August 2009).</w:t>
      </w:r>
    </w:p>
    <w:p w:rsidR="00605AD4" w:rsidRDefault="00605AD4" w:rsidP="00605AD4">
      <w:pPr>
        <w:pStyle w:val="Heading4"/>
      </w:pPr>
      <w:r w:rsidRPr="00605AD4">
        <w:t>Contents of the clinical dossier</w:t>
      </w:r>
    </w:p>
    <w:p w:rsidR="00C114B9" w:rsidRDefault="00C114B9" w:rsidP="00C114B9">
      <w:r>
        <w:t xml:space="preserve">The submission contained a single pivotal efficacy and safety study in each of the newly proposed treatment indications (paediatric ERA and PSOR), as well as population pharmacokinetic analyses in each of the new indications. The submission was well presented in the correct </w:t>
      </w:r>
      <w:r w:rsidR="000E6D21">
        <w:t>common technical document (</w:t>
      </w:r>
      <w:r>
        <w:t>CTD</w:t>
      </w:r>
      <w:r w:rsidR="000E6D21">
        <w:t>)</w:t>
      </w:r>
      <w:r>
        <w:t xml:space="preserve"> format.</w:t>
      </w:r>
    </w:p>
    <w:p w:rsidR="00C114B9" w:rsidRDefault="00C114B9" w:rsidP="00C114B9">
      <w:r>
        <w:t>The submission contained the following clinical information:</w:t>
      </w:r>
    </w:p>
    <w:p w:rsidR="00C114B9" w:rsidRDefault="000E6D21" w:rsidP="0031116A">
      <w:pPr>
        <w:pStyle w:val="ListBullet"/>
      </w:pPr>
      <w:r>
        <w:t>P</w:t>
      </w:r>
      <w:r w:rsidR="00C114B9">
        <w:t xml:space="preserve">harmacokinetic (PK) data was collected in the 2 pivotal, efficacy/safety Phase </w:t>
      </w:r>
      <w:r>
        <w:t>III</w:t>
      </w:r>
      <w:r w:rsidR="00C114B9">
        <w:t xml:space="preserve"> studies (M11-328 and M04-717).</w:t>
      </w:r>
    </w:p>
    <w:p w:rsidR="00C114B9" w:rsidRPr="006A08A1" w:rsidRDefault="00C114B9" w:rsidP="0031116A">
      <w:pPr>
        <w:pStyle w:val="ListBullet"/>
      </w:pPr>
      <w:r>
        <w:t>2 population pharmacokinetic analyses</w:t>
      </w:r>
      <w:r w:rsidR="000E6D21">
        <w:t>;</w:t>
      </w:r>
      <w:r>
        <w:t xml:space="preserve"> 1 in each of the new treatment indications.</w:t>
      </w:r>
    </w:p>
    <w:p w:rsidR="00C114B9" w:rsidRDefault="00C114B9" w:rsidP="0031116A">
      <w:pPr>
        <w:pStyle w:val="ListBullet"/>
      </w:pPr>
      <w:r>
        <w:lastRenderedPageBreak/>
        <w:t>1 p</w:t>
      </w:r>
      <w:r w:rsidRPr="006A08A1">
        <w:t>ivotal efficacy</w:t>
      </w:r>
      <w:r>
        <w:t xml:space="preserve"> and </w:t>
      </w:r>
      <w:r w:rsidRPr="006A08A1">
        <w:t xml:space="preserve">safety </w:t>
      </w:r>
      <w:r>
        <w:t>trial in paediatric ERA (S</w:t>
      </w:r>
      <w:r w:rsidRPr="006A08A1">
        <w:t>tud</w:t>
      </w:r>
      <w:r>
        <w:t>y M11-328)</w:t>
      </w:r>
      <w:r w:rsidRPr="006A08A1">
        <w:t>.</w:t>
      </w:r>
    </w:p>
    <w:p w:rsidR="00C114B9" w:rsidRDefault="00C114B9" w:rsidP="0031116A">
      <w:pPr>
        <w:pStyle w:val="ListBullet"/>
      </w:pPr>
      <w:r>
        <w:t>1 p</w:t>
      </w:r>
      <w:r w:rsidRPr="006A08A1">
        <w:t>ivotal efficacy</w:t>
      </w:r>
      <w:r>
        <w:t xml:space="preserve"> and </w:t>
      </w:r>
      <w:r w:rsidRPr="006A08A1">
        <w:t xml:space="preserve">safety </w:t>
      </w:r>
      <w:r>
        <w:t>trial in paediatric PSOR (S</w:t>
      </w:r>
      <w:r w:rsidRPr="006A08A1">
        <w:t>tud</w:t>
      </w:r>
      <w:r>
        <w:t>y M04-717).</w:t>
      </w:r>
    </w:p>
    <w:p w:rsidR="00C114B9" w:rsidRPr="006A08A1" w:rsidRDefault="00C114B9" w:rsidP="0031116A">
      <w:pPr>
        <w:pStyle w:val="ListBullet"/>
      </w:pPr>
      <w:r>
        <w:t>No d</w:t>
      </w:r>
      <w:r w:rsidRPr="006A08A1">
        <w:t>ose-finding studies.</w:t>
      </w:r>
    </w:p>
    <w:p w:rsidR="00C114B9" w:rsidRPr="00C114B9" w:rsidRDefault="00C114B9" w:rsidP="00C114B9">
      <w:r>
        <w:t xml:space="preserve">No supporting </w:t>
      </w:r>
      <w:r w:rsidRPr="006A08A1">
        <w:t>efficacy</w:t>
      </w:r>
      <w:r>
        <w:t xml:space="preserve"> and </w:t>
      </w:r>
      <w:r w:rsidRPr="006A08A1">
        <w:t>safety studies</w:t>
      </w:r>
      <w:r>
        <w:t xml:space="preserve"> in either proposed treatment indication</w:t>
      </w:r>
      <w:r w:rsidRPr="006A08A1">
        <w:t>.</w:t>
      </w:r>
    </w:p>
    <w:p w:rsidR="00605AD4" w:rsidRDefault="00605AD4" w:rsidP="00605AD4">
      <w:pPr>
        <w:pStyle w:val="Heading4"/>
      </w:pPr>
      <w:r w:rsidRPr="00605AD4">
        <w:t>Paediatric data</w:t>
      </w:r>
    </w:p>
    <w:p w:rsidR="00C114B9" w:rsidRDefault="00C114B9" w:rsidP="00C114B9">
      <w:r>
        <w:t>The submission included paediatric pharmacokinetic, efficacy and safety data as the requested extension of treatment indications are for patients aged 4-17 years (&gt; 6 years of age for the ERA indication).</w:t>
      </w:r>
    </w:p>
    <w:p w:rsidR="00605AD4" w:rsidRDefault="00605AD4" w:rsidP="00605AD4">
      <w:pPr>
        <w:pStyle w:val="Heading4"/>
      </w:pPr>
      <w:r w:rsidRPr="00605AD4">
        <w:t>Good clinical practice</w:t>
      </w:r>
    </w:p>
    <w:p w:rsidR="00C114B9" w:rsidRPr="00C114B9" w:rsidRDefault="00C114B9" w:rsidP="00C114B9">
      <w:r w:rsidRPr="00C114B9">
        <w:t>The 2 pivotal clinical trials (Study M11-328 in ERA and Study M04-717 in PSOR) evaluating the use of ADA in children and adolescents were conducted in accordance with the principles of Good Clinical Practice (GCP), and compliance with ethical requirements were met.</w:t>
      </w:r>
    </w:p>
    <w:p w:rsidR="008E7846" w:rsidRDefault="008E7846" w:rsidP="00605AD4">
      <w:pPr>
        <w:pStyle w:val="Heading3"/>
      </w:pPr>
      <w:bookmarkStart w:id="46" w:name="_Toc479772053"/>
      <w:r w:rsidRPr="00254787">
        <w:t>Pharmacokinetics</w:t>
      </w:r>
      <w:bookmarkEnd w:id="36"/>
      <w:bookmarkEnd w:id="43"/>
      <w:bookmarkEnd w:id="44"/>
      <w:bookmarkEnd w:id="45"/>
      <w:bookmarkEnd w:id="46"/>
    </w:p>
    <w:p w:rsidR="00605AD4" w:rsidRDefault="00605AD4" w:rsidP="00605AD4">
      <w:pPr>
        <w:pStyle w:val="Heading4"/>
      </w:pPr>
      <w:r>
        <w:t>Studies providing pharmacokinetic data</w:t>
      </w:r>
    </w:p>
    <w:p w:rsidR="00C114B9" w:rsidRDefault="00C114B9" w:rsidP="00C114B9">
      <w:r>
        <w:t xml:space="preserve">In both of the newly proposed treatment indications, pharmacokinetic (PK) data was collected in the corresponding pivotal Phase </w:t>
      </w:r>
      <w:r w:rsidR="001F53E8">
        <w:t>III</w:t>
      </w:r>
      <w:r>
        <w:t xml:space="preserve"> trial: Study M11-328 for the ERA treatment indication and Study M04-717 for the paediatric PSOR indication. Neither of the PK sub-studies had significant deficiencies that excluded their results from consideration. The PK data collected in each pivotal trial was then used to develop a population PK model for a paediatric treatment population. Each population PK study report </w:t>
      </w:r>
      <w:r w:rsidR="00D50FB6">
        <w:t>was</w:t>
      </w:r>
      <w:r>
        <w:t xml:space="preserve"> comprehensively reviewed by an expert in population PK</w:t>
      </w:r>
      <w:r w:rsidR="00D50FB6">
        <w:t xml:space="preserve"> (see below for a summary as well as Attachment 2 for more details)</w:t>
      </w:r>
      <w:r>
        <w:t xml:space="preserve">. However, their data will also be reviewed for their clinical relevance </w:t>
      </w:r>
      <w:r w:rsidR="00D50FB6">
        <w:t>here and in Attachment 2</w:t>
      </w:r>
      <w:r>
        <w:t>.</w:t>
      </w:r>
    </w:p>
    <w:p w:rsidR="00605AD4" w:rsidRDefault="00605AD4" w:rsidP="00605AD4">
      <w:pPr>
        <w:pStyle w:val="Heading4"/>
      </w:pPr>
      <w:r>
        <w:t>Evaluator’s conclusions on pharmacokinetics</w:t>
      </w:r>
    </w:p>
    <w:p w:rsidR="00D24962" w:rsidRDefault="00C114B9" w:rsidP="00C114B9">
      <w:r>
        <w:t>In the PK summary of this report, the 2 new treatment indications (ERA and paediatric PSOR) will be considered together because the interpretation of the results and conclusions are similar with respect to PK characteristics. Overall, the sponsor has provided a sufficient quantity of new PK data (including serum trough ADA concentrations collected at regular intervals over time in each of the pivotal studies for each treatment indication) in this submission for patients with the additional treatment indications of active ERA and paediatric PSOR. The sponsor is proposing minor changes to the PK section of the current PI to include the new PK data</w:t>
      </w:r>
      <w:r w:rsidR="00D24962">
        <w:t>.</w:t>
      </w:r>
    </w:p>
    <w:p w:rsidR="00C114B9" w:rsidRDefault="00C114B9" w:rsidP="00C114B9">
      <w:r>
        <w:t>The key PK findings for ADA use in paediatric patients with active ERA or PSOR are:</w:t>
      </w:r>
    </w:p>
    <w:p w:rsidR="00D24962" w:rsidRDefault="00C114B9" w:rsidP="00D50FB6">
      <w:pPr>
        <w:pStyle w:val="ListBullet"/>
      </w:pPr>
      <w:r>
        <w:t>Serum trough concentrations of ADA are seen to increase over the first 12 weeks of dosing and steady state is reached between 12 and 24 weeks of therapy, which is consistent with known half-life of ADA;</w:t>
      </w:r>
    </w:p>
    <w:p w:rsidR="00C114B9" w:rsidRDefault="00C114B9" w:rsidP="00D50FB6">
      <w:pPr>
        <w:pStyle w:val="ListBullet"/>
      </w:pPr>
      <w:r>
        <w:t>Mean serum trough steady state concentration of ADA in subjects with ERA receiving the proposed dose of 24 mg/m</w:t>
      </w:r>
      <w:r>
        <w:rPr>
          <w:vertAlign w:val="superscript"/>
        </w:rPr>
        <w:t>2</w:t>
      </w:r>
      <w:r>
        <w:t xml:space="preserve"> was approximately 10 μg/mL;</w:t>
      </w:r>
    </w:p>
    <w:p w:rsidR="00D24962" w:rsidRDefault="00C114B9" w:rsidP="00D50FB6">
      <w:pPr>
        <w:pStyle w:val="ListBullet"/>
      </w:pPr>
      <w:r>
        <w:t>In subjects with active ERA receiving concurrent MTX, the mean serum trough concentrations of ADA are approximately 30% higher;</w:t>
      </w:r>
    </w:p>
    <w:p w:rsidR="00D24962" w:rsidRDefault="00C114B9" w:rsidP="00D50FB6">
      <w:pPr>
        <w:pStyle w:val="ListBullet"/>
      </w:pPr>
      <w:r>
        <w:lastRenderedPageBreak/>
        <w:t>In paediatric subjects with severe PSOR the mean steady state trough concentration of ADA (measured at week 11) was approximately 7.4 μg/mL with inter-patient variability [CV] of 79%;</w:t>
      </w:r>
    </w:p>
    <w:p w:rsidR="00C114B9" w:rsidRPr="00A12B21" w:rsidRDefault="00C114B9" w:rsidP="00D50FB6">
      <w:pPr>
        <w:pStyle w:val="ListBullet"/>
      </w:pPr>
      <w:r>
        <w:t>The dev</w:t>
      </w:r>
      <w:r w:rsidRPr="00424B0D">
        <w:t>e</w:t>
      </w:r>
      <w:r>
        <w:t>lopment</w:t>
      </w:r>
      <w:r w:rsidRPr="00424B0D">
        <w:t xml:space="preserve"> of </w:t>
      </w:r>
      <w:r>
        <w:t>anti-</w:t>
      </w:r>
      <w:proofErr w:type="spellStart"/>
      <w:r>
        <w:t>adalimumab</w:t>
      </w:r>
      <w:proofErr w:type="spellEnd"/>
      <w:r>
        <w:t xml:space="preserve"> antibo</w:t>
      </w:r>
      <w:r w:rsidRPr="00424B0D">
        <w:t>d</w:t>
      </w:r>
      <w:r>
        <w:t>i</w:t>
      </w:r>
      <w:r w:rsidRPr="00424B0D">
        <w:t>e</w:t>
      </w:r>
      <w:r>
        <w:t>s is associated with low or unde</w:t>
      </w:r>
      <w:r w:rsidRPr="00424B0D">
        <w:t>t</w:t>
      </w:r>
      <w:r>
        <w:t>ectable serum trough conc</w:t>
      </w:r>
      <w:r w:rsidRPr="00424B0D">
        <w:t>e</w:t>
      </w:r>
      <w:r>
        <w:t>ntrations of ADA</w:t>
      </w:r>
      <w:r w:rsidRPr="00424B0D">
        <w:t xml:space="preserve"> </w:t>
      </w:r>
      <w:r>
        <w:t>but their relationship to efficacy outcomes is unclear;</w:t>
      </w:r>
    </w:p>
    <w:p w:rsidR="00C114B9" w:rsidRPr="006B143C" w:rsidRDefault="00C114B9" w:rsidP="00D50FB6">
      <w:pPr>
        <w:pStyle w:val="ListBullet"/>
      </w:pPr>
      <w:r>
        <w:t xml:space="preserve">In the paediatric population, the main covariate factor of potential clinical relevance for producing an alteration (increase) in apparent clearance and volume of distribution for ADA is when the subject body weight exceeds the median population weight by </w:t>
      </w:r>
      <w:r w:rsidR="00D50FB6" w:rsidRPr="00D50FB6">
        <w:t>≥</w:t>
      </w:r>
      <w:r>
        <w:t>10 kg; and</w:t>
      </w:r>
    </w:p>
    <w:p w:rsidR="00D24962" w:rsidRDefault="00C114B9" w:rsidP="00D50FB6">
      <w:pPr>
        <w:pStyle w:val="ListBullet"/>
      </w:pPr>
      <w:r>
        <w:t xml:space="preserve">Modelling of data in both ERA and Paediatric PSOR (combined with data from 3 other paediatric studies – 2 in JIA and 1 in Crohn’s disease) indicates that mean serum trough ADA concentrations </w:t>
      </w:r>
      <w:r w:rsidRPr="00D75C41">
        <w:t>u</w:t>
      </w:r>
      <w:r>
        <w:t>sing</w:t>
      </w:r>
      <w:r w:rsidRPr="00D75C41">
        <w:t xml:space="preserve"> weight-based dosing</w:t>
      </w:r>
      <w:r>
        <w:t xml:space="preserve"> </w:t>
      </w:r>
      <w:r w:rsidRPr="00D75C41">
        <w:t xml:space="preserve">regimens </w:t>
      </w:r>
      <w:r>
        <w:t xml:space="preserve">were comparable to </w:t>
      </w:r>
      <w:r w:rsidRPr="00D75C41">
        <w:t>t</w:t>
      </w:r>
      <w:r>
        <w:t>hat observed</w:t>
      </w:r>
      <w:r w:rsidRPr="00D75C41">
        <w:t xml:space="preserve"> with</w:t>
      </w:r>
      <w:r>
        <w:t xml:space="preserve"> </w:t>
      </w:r>
      <w:r w:rsidRPr="00D75C41">
        <w:t>simulated BSA-based dosing</w:t>
      </w:r>
      <w:r w:rsidRPr="005A743F">
        <w:t xml:space="preserve"> </w:t>
      </w:r>
      <w:r>
        <w:t>regimens</w:t>
      </w:r>
      <w:r w:rsidR="00D24962">
        <w:t>.</w:t>
      </w:r>
    </w:p>
    <w:p w:rsidR="00E229FD" w:rsidRDefault="00E229FD" w:rsidP="008E7846">
      <w:pPr>
        <w:pStyle w:val="Heading3"/>
      </w:pPr>
      <w:bookmarkStart w:id="47" w:name="_Toc196046481"/>
      <w:bookmarkStart w:id="48" w:name="_Toc247691520"/>
      <w:bookmarkStart w:id="49" w:name="_Toc314842503"/>
      <w:bookmarkStart w:id="50" w:name="_Toc479772054"/>
      <w:r>
        <w:t xml:space="preserve">Population </w:t>
      </w:r>
      <w:r w:rsidR="00D55960">
        <w:t>p</w:t>
      </w:r>
      <w:r w:rsidR="00BF682A">
        <w:t>h</w:t>
      </w:r>
      <w:r>
        <w:t>armacokinetics</w:t>
      </w:r>
      <w:bookmarkEnd w:id="50"/>
    </w:p>
    <w:p w:rsidR="00E229FD" w:rsidRDefault="00E229FD" w:rsidP="00E229FD">
      <w:r>
        <w:t>For more details on th</w:t>
      </w:r>
      <w:r w:rsidR="002174B2">
        <w:t>ese two</w:t>
      </w:r>
      <w:r>
        <w:t xml:space="preserve"> evaluation</w:t>
      </w:r>
      <w:r w:rsidR="002174B2">
        <w:t>s</w:t>
      </w:r>
      <w:r>
        <w:t xml:space="preserve"> please see Attachment 2.</w:t>
      </w:r>
    </w:p>
    <w:p w:rsidR="00BF682A" w:rsidRDefault="00BF682A" w:rsidP="007329AC">
      <w:pPr>
        <w:pStyle w:val="Heading4"/>
      </w:pPr>
      <w:bookmarkStart w:id="51" w:name="_Toc437395593"/>
      <w:r w:rsidRPr="00BF682A">
        <w:t xml:space="preserve">Pharmacokinetic and Immunogenicity Assessments from the Phase 3 Trial: A </w:t>
      </w:r>
      <w:r w:rsidR="003C3B4F">
        <w:t>Double blind</w:t>
      </w:r>
      <w:r w:rsidRPr="00BF682A">
        <w:t xml:space="preserve">, Placebo-controlled, Multicenter Study of the Efficacy and Safety of Adalimumab in Pediatric Subjects with Enthesitis Related Arthritis. </w:t>
      </w:r>
      <w:proofErr w:type="gramStart"/>
      <w:r w:rsidRPr="00BF682A">
        <w:t>Pharmacokinetic Report R&amp;D/13/011.</w:t>
      </w:r>
      <w:proofErr w:type="gramEnd"/>
      <w:r w:rsidRPr="00BF682A">
        <w:t xml:space="preserve"> Adalimumab (D2E7)/Protocol M11-328</w:t>
      </w:r>
    </w:p>
    <w:p w:rsidR="00E229FD" w:rsidRPr="00B46617" w:rsidRDefault="00E229FD" w:rsidP="00894045">
      <w:pPr>
        <w:pStyle w:val="Heading5"/>
      </w:pPr>
      <w:bookmarkStart w:id="52" w:name="_Toc437395594"/>
      <w:bookmarkEnd w:id="51"/>
      <w:r w:rsidRPr="00B46617">
        <w:t xml:space="preserve">Summary of </w:t>
      </w:r>
      <w:r w:rsidR="00894045">
        <w:t>f</w:t>
      </w:r>
      <w:r w:rsidRPr="00B46617">
        <w:t>indings</w:t>
      </w:r>
      <w:bookmarkEnd w:id="52"/>
    </w:p>
    <w:p w:rsidR="00D24962" w:rsidRDefault="00E229FD" w:rsidP="007329AC">
      <w:pPr>
        <w:rPr>
          <w:rFonts w:cs="Arial"/>
          <w:color w:val="000000"/>
        </w:rPr>
      </w:pPr>
      <w:r w:rsidRPr="00B46617">
        <w:rPr>
          <w:rFonts w:cs="Arial"/>
          <w:color w:val="000000"/>
        </w:rPr>
        <w:t xml:space="preserve">The objectives of the analysis were to </w:t>
      </w:r>
      <w:r w:rsidRPr="00B46617">
        <w:t>examine the PK and immunogenicity of adalimumab following SC administration in paediatric subjects with ERA. However, in order to support extending the indications for adalimumab to include ERA, t</w:t>
      </w:r>
      <w:r w:rsidRPr="00B46617">
        <w:rPr>
          <w:rFonts w:cs="Arial"/>
          <w:color w:val="000000"/>
        </w:rPr>
        <w:t>he main purpose of the analysis should have been to show that adalimumab exposures in paediatric subjects with ERA were similar to those observed in other paediatric subjects</w:t>
      </w:r>
      <w:r w:rsidR="00D24962">
        <w:rPr>
          <w:rFonts w:cs="Arial"/>
          <w:color w:val="000000"/>
        </w:rPr>
        <w:t>.</w:t>
      </w:r>
    </w:p>
    <w:p w:rsidR="00E229FD" w:rsidRPr="00B46617" w:rsidRDefault="00E229FD" w:rsidP="007329AC">
      <w:pPr>
        <w:rPr>
          <w:rFonts w:cs="Arial"/>
          <w:color w:val="000000"/>
        </w:rPr>
      </w:pPr>
      <w:r w:rsidRPr="00B46617">
        <w:rPr>
          <w:rFonts w:cs="Arial"/>
          <w:color w:val="000000"/>
        </w:rPr>
        <w:t xml:space="preserve">The most expedient approach to addressing the purpose of the analysis would have been to conduct a population PK analysis including data from </w:t>
      </w:r>
      <w:r w:rsidR="007329AC">
        <w:rPr>
          <w:rFonts w:cs="Arial"/>
          <w:color w:val="000000"/>
        </w:rPr>
        <w:t>Study M11</w:t>
      </w:r>
      <w:r w:rsidRPr="00B46617">
        <w:rPr>
          <w:rFonts w:cs="Arial"/>
          <w:color w:val="000000"/>
        </w:rPr>
        <w:t xml:space="preserve">-328 and one or more comparator studies. Instead, the sponsor used qualitative methods to compare steady-state </w:t>
      </w:r>
      <w:r>
        <w:rPr>
          <w:rFonts w:cs="Arial"/>
          <w:color w:val="000000"/>
        </w:rPr>
        <w:t>trough serum</w:t>
      </w:r>
      <w:r w:rsidRPr="00B46617">
        <w:rPr>
          <w:rFonts w:cs="Arial"/>
          <w:color w:val="000000"/>
        </w:rPr>
        <w:t xml:space="preserve"> adalimumab concentrations between </w:t>
      </w:r>
      <w:r w:rsidR="007329AC">
        <w:rPr>
          <w:rFonts w:cs="Arial"/>
          <w:color w:val="000000"/>
        </w:rPr>
        <w:t>Study M11</w:t>
      </w:r>
      <w:r w:rsidRPr="00B46617">
        <w:rPr>
          <w:rFonts w:cs="Arial"/>
          <w:color w:val="000000"/>
        </w:rPr>
        <w:t xml:space="preserve">-328 and a comparator study, DE038, a </w:t>
      </w:r>
      <w:r w:rsidR="007329AC">
        <w:rPr>
          <w:rFonts w:cs="Arial"/>
          <w:color w:val="000000"/>
        </w:rPr>
        <w:t>P</w:t>
      </w:r>
      <w:r w:rsidRPr="00B46617">
        <w:rPr>
          <w:rFonts w:cs="Arial"/>
          <w:color w:val="000000"/>
        </w:rPr>
        <w:t xml:space="preserve">hase </w:t>
      </w:r>
      <w:r w:rsidR="007329AC">
        <w:rPr>
          <w:rFonts w:cs="Arial"/>
          <w:color w:val="000000"/>
        </w:rPr>
        <w:t>III</w:t>
      </w:r>
      <w:r w:rsidRPr="00B46617">
        <w:rPr>
          <w:rFonts w:cs="Arial"/>
          <w:color w:val="000000"/>
        </w:rPr>
        <w:t xml:space="preserve"> study of paediatric patients with polyarticular JIA. Neither the source data nor the PK report for </w:t>
      </w:r>
      <w:r w:rsidR="007329AC">
        <w:rPr>
          <w:rFonts w:cs="Arial"/>
          <w:color w:val="000000"/>
        </w:rPr>
        <w:t>S</w:t>
      </w:r>
      <w:r w:rsidRPr="00B46617">
        <w:rPr>
          <w:rFonts w:cs="Arial"/>
          <w:color w:val="000000"/>
        </w:rPr>
        <w:t>tudy DE038 w</w:t>
      </w:r>
      <w:r w:rsidR="00054259">
        <w:rPr>
          <w:rFonts w:cs="Arial"/>
          <w:color w:val="000000"/>
        </w:rPr>
        <w:t>as</w:t>
      </w:r>
      <w:r w:rsidRPr="00B46617">
        <w:rPr>
          <w:rFonts w:cs="Arial"/>
          <w:color w:val="000000"/>
        </w:rPr>
        <w:t xml:space="preserve"> included as part of the review documents and therefore data presented from </w:t>
      </w:r>
      <w:r w:rsidR="007329AC">
        <w:rPr>
          <w:rFonts w:cs="Arial"/>
          <w:color w:val="000000"/>
        </w:rPr>
        <w:t>S</w:t>
      </w:r>
      <w:r w:rsidRPr="00B46617">
        <w:rPr>
          <w:rFonts w:cs="Arial"/>
          <w:color w:val="000000"/>
        </w:rPr>
        <w:t>tudy DE038 had to be accepted at face value.</w:t>
      </w:r>
    </w:p>
    <w:p w:rsidR="00E229FD" w:rsidRPr="00B46617" w:rsidRDefault="00E229FD" w:rsidP="007329AC">
      <w:pPr>
        <w:rPr>
          <w:rFonts w:cs="Arial"/>
          <w:color w:val="000000"/>
        </w:rPr>
      </w:pPr>
      <w:r w:rsidRPr="00B46617">
        <w:rPr>
          <w:rFonts w:cs="Arial"/>
          <w:color w:val="000000"/>
        </w:rPr>
        <w:t xml:space="preserve">The report also included the description of a population PK analysis using the data from </w:t>
      </w:r>
      <w:r w:rsidR="007329AC">
        <w:rPr>
          <w:rFonts w:cs="Arial"/>
          <w:color w:val="000000"/>
        </w:rPr>
        <w:t>Study M11</w:t>
      </w:r>
      <w:r w:rsidRPr="00B46617">
        <w:rPr>
          <w:rFonts w:cs="Arial"/>
          <w:color w:val="000000"/>
        </w:rPr>
        <w:t>-328. It was performed as a standalone analysis with no model application.</w:t>
      </w:r>
    </w:p>
    <w:p w:rsidR="00E229FD" w:rsidRPr="00B46617" w:rsidRDefault="00E229FD" w:rsidP="007329AC">
      <w:pPr>
        <w:rPr>
          <w:rFonts w:cs="Arial"/>
          <w:color w:val="000000"/>
        </w:rPr>
      </w:pPr>
      <w:r w:rsidRPr="00B46617">
        <w:rPr>
          <w:rFonts w:cs="Arial"/>
          <w:color w:val="000000"/>
        </w:rPr>
        <w:t>On the basis of this evaluation, it was concluded:</w:t>
      </w:r>
    </w:p>
    <w:p w:rsidR="00E229FD" w:rsidRPr="00B46617" w:rsidRDefault="00E229FD" w:rsidP="007329AC">
      <w:pPr>
        <w:pStyle w:val="ListBullet"/>
        <w:rPr>
          <w:rFonts w:cs="Arial"/>
          <w:color w:val="000000"/>
        </w:rPr>
      </w:pPr>
      <w:r w:rsidRPr="00B46617">
        <w:t>A population PK model was developed for adalimumab in paediatric ERA subjects.</w:t>
      </w:r>
      <w:r w:rsidR="00184B82">
        <w:t xml:space="preserve"> </w:t>
      </w:r>
      <w:r w:rsidRPr="00B46617">
        <w:t xml:space="preserve">Modelling assumptions and model building methods were generally sound and consistent with EMEA guidelines. </w:t>
      </w:r>
      <w:r w:rsidRPr="00B46617">
        <w:rPr>
          <w:rFonts w:cs="Arial"/>
          <w:color w:val="000000"/>
        </w:rPr>
        <w:t>The base and final PK models were successfully replicated, verifying the models and the reported PK parameters in the report.</w:t>
      </w:r>
    </w:p>
    <w:p w:rsidR="00E229FD" w:rsidRPr="00B46617" w:rsidRDefault="007329AC" w:rsidP="007329AC">
      <w:pPr>
        <w:pStyle w:val="ListBullet"/>
        <w:rPr>
          <w:rFonts w:cs="Arial"/>
          <w:color w:val="000000"/>
        </w:rPr>
      </w:pPr>
      <w:r>
        <w:t>Apparent clearance (</w:t>
      </w:r>
      <w:r w:rsidR="00E229FD" w:rsidRPr="00B46617">
        <w:t>CL/F</w:t>
      </w:r>
      <w:r>
        <w:t>)</w:t>
      </w:r>
      <w:r w:rsidR="00E229FD" w:rsidRPr="00B46617">
        <w:t xml:space="preserve"> and </w:t>
      </w:r>
      <w:r>
        <w:t>apparent volume of distribution (</w:t>
      </w:r>
      <w:r w:rsidR="00E229FD" w:rsidRPr="00B46617">
        <w:t>Vc/F</w:t>
      </w:r>
      <w:r>
        <w:t>)</w:t>
      </w:r>
      <w:r w:rsidR="00E229FD" w:rsidRPr="00B46617">
        <w:t xml:space="preserve"> increased with increasing body weight.</w:t>
      </w:r>
      <w:r w:rsidR="00184B82">
        <w:t xml:space="preserve"> </w:t>
      </w:r>
      <w:r w:rsidR="00E229FD" w:rsidRPr="00B46617">
        <w:t>The clinical relevance and implications for dosing in children were not explored in the PK report.</w:t>
      </w:r>
    </w:p>
    <w:p w:rsidR="00D24962" w:rsidRDefault="00E229FD" w:rsidP="007329AC">
      <w:pPr>
        <w:pStyle w:val="ListBullet"/>
      </w:pPr>
      <w:r w:rsidRPr="00B46617">
        <w:lastRenderedPageBreak/>
        <w:t>AAA+ subjects had substantially increased CL/F resulting in low (</w:t>
      </w:r>
      <w:r w:rsidR="007329AC">
        <w:t>below the limit of quantification (</w:t>
      </w:r>
      <w:r w:rsidRPr="00B46617">
        <w:t>BLQ</w:t>
      </w:r>
      <w:r w:rsidR="007329AC">
        <w:t>)</w:t>
      </w:r>
      <w:r w:rsidRPr="00B46617">
        <w:t xml:space="preserve">) </w:t>
      </w:r>
      <w:proofErr w:type="spellStart"/>
      <w:r w:rsidRPr="00B46617">
        <w:t>adalimumab</w:t>
      </w:r>
      <w:proofErr w:type="spellEnd"/>
      <w:r w:rsidRPr="00B46617">
        <w:t xml:space="preserve"> exposures</w:t>
      </w:r>
      <w:r w:rsidR="00D24962">
        <w:t>.</w:t>
      </w:r>
    </w:p>
    <w:p w:rsidR="00D24962" w:rsidRDefault="00E229FD" w:rsidP="007329AC">
      <w:pPr>
        <w:pStyle w:val="ListBullet"/>
      </w:pPr>
      <w:r w:rsidRPr="00B46617">
        <w:t>Trough serum concentrations of adalimumab in paediatric ERA subjects (M11-328) were qualitatively similar to those in paediatr</w:t>
      </w:r>
      <w:r w:rsidR="007329AC">
        <w:t>ic polyarticular JIA subjects (S</w:t>
      </w:r>
      <w:r w:rsidRPr="00B46617">
        <w:t xml:space="preserve">tudy DE038). </w:t>
      </w:r>
      <w:r>
        <w:t xml:space="preserve">While </w:t>
      </w:r>
      <w:r w:rsidRPr="00B46617">
        <w:t xml:space="preserve">no quantitative analysis was </w:t>
      </w:r>
      <w:r>
        <w:t xml:space="preserve">performed to verify this result in the PK report, it was confirmed in a separate population analysis of five paediatric studies in three indications, RA (including JIA and ERA), </w:t>
      </w:r>
      <w:r w:rsidR="007329AC">
        <w:t>Crohn’s disease (</w:t>
      </w:r>
      <w:r>
        <w:t>CD</w:t>
      </w:r>
      <w:r w:rsidR="007329AC">
        <w:t>)</w:t>
      </w:r>
      <w:r>
        <w:t xml:space="preserve"> and psoriasis, which showed no difference in PK across indications, and specifically no difference in PK between ERA subjects and other paediatric subjects</w:t>
      </w:r>
      <w:r w:rsidR="00D24962">
        <w:t>.</w:t>
      </w:r>
    </w:p>
    <w:p w:rsidR="00E229FD" w:rsidRPr="005E13A5" w:rsidRDefault="00E229FD" w:rsidP="007329AC">
      <w:pPr>
        <w:pStyle w:val="ListBullet"/>
      </w:pPr>
      <w:r>
        <w:t xml:space="preserve">Broader review of the PK and immunogenicity results in the context of other studies was not possible because the documentation </w:t>
      </w:r>
      <w:r w:rsidR="007329AC">
        <w:t xml:space="preserve">the sponsor </w:t>
      </w:r>
      <w:r>
        <w:t>provided was limited to paedia</w:t>
      </w:r>
      <w:r w:rsidR="007329AC">
        <w:t xml:space="preserve">tric ERA and </w:t>
      </w:r>
      <w:r w:rsidR="00FC6BF6">
        <w:t>PSOR</w:t>
      </w:r>
      <w:r w:rsidR="007329AC">
        <w:t xml:space="preserve"> indications in S</w:t>
      </w:r>
      <w:r>
        <w:t>tudies M11-328 and M04-717, respectively.</w:t>
      </w:r>
    </w:p>
    <w:p w:rsidR="00E229FD" w:rsidRPr="00243221" w:rsidRDefault="00E229FD" w:rsidP="00894045">
      <w:pPr>
        <w:pStyle w:val="Heading5"/>
      </w:pPr>
      <w:bookmarkStart w:id="53" w:name="_Toc437395595"/>
      <w:r w:rsidRPr="00243221">
        <w:t>Implications of findings</w:t>
      </w:r>
      <w:bookmarkEnd w:id="53"/>
    </w:p>
    <w:p w:rsidR="00D24962" w:rsidRDefault="00E229FD" w:rsidP="00E229FD">
      <w:r w:rsidRPr="00B46617">
        <w:t>No assessment of benefit-risk was possible in the absence of exposure – response (efficacy and safety) data</w:t>
      </w:r>
      <w:r>
        <w:t xml:space="preserve"> for </w:t>
      </w:r>
      <w:proofErr w:type="spellStart"/>
      <w:r>
        <w:t>adalimumab</w:t>
      </w:r>
      <w:proofErr w:type="spellEnd"/>
      <w:r w:rsidR="00D24962">
        <w:t>.</w:t>
      </w:r>
    </w:p>
    <w:p w:rsidR="00A13FFC" w:rsidRDefault="00E229FD" w:rsidP="00E229FD">
      <w:r>
        <w:t xml:space="preserve">Considerations with regard to the proposed </w:t>
      </w:r>
      <w:r w:rsidR="007329AC">
        <w:t xml:space="preserve">Australian </w:t>
      </w:r>
      <w:r>
        <w:t xml:space="preserve">PI are </w:t>
      </w:r>
      <w:r w:rsidR="00A13FFC">
        <w:t xml:space="preserve">can be found in Attachment 2 </w:t>
      </w:r>
      <w:r w:rsidR="00A13FFC" w:rsidRPr="00A13FFC">
        <w:rPr>
          <w:i/>
        </w:rPr>
        <w:t>Pharmacokinetics</w:t>
      </w:r>
      <w:r w:rsidR="00A13FFC">
        <w:rPr>
          <w:i/>
        </w:rPr>
        <w:t>,</w:t>
      </w:r>
      <w:r w:rsidR="00A13FFC" w:rsidRPr="00A13FFC">
        <w:rPr>
          <w:i/>
        </w:rPr>
        <w:t xml:space="preserve"> Implications of findings</w:t>
      </w:r>
      <w:r w:rsidR="00A13FFC">
        <w:t>.</w:t>
      </w:r>
    </w:p>
    <w:p w:rsidR="00BF682A" w:rsidRDefault="00BF682A" w:rsidP="00A13FFC">
      <w:pPr>
        <w:pStyle w:val="Heading4"/>
      </w:pPr>
      <w:r>
        <w:t>Interim Pharmacokinetic and Immunogenicity Assessments from the Phase 3 Trial: A Multicentre, Randomised, Double-Dummy,</w:t>
      </w:r>
      <w:r w:rsidR="00A13FFC">
        <w:t xml:space="preserve"> </w:t>
      </w:r>
      <w:r w:rsidR="003C3B4F">
        <w:t>Double blind</w:t>
      </w:r>
      <w:r>
        <w:t xml:space="preserve"> Study Evaluating Two Doses of</w:t>
      </w:r>
      <w:r w:rsidR="00A13FFC">
        <w:t xml:space="preserve"> </w:t>
      </w:r>
      <w:r>
        <w:t>Adalimumab Versus Methotrexate (MTX) in Pediatric</w:t>
      </w:r>
      <w:r w:rsidR="00A13FFC">
        <w:t xml:space="preserve"> </w:t>
      </w:r>
      <w:r>
        <w:t xml:space="preserve">Subjects with Chronic Plaque Psoriasis (Ps). </w:t>
      </w:r>
      <w:proofErr w:type="gramStart"/>
      <w:r>
        <w:t>Interim Pharmacokinetic Report R&amp;D/13/1067.</w:t>
      </w:r>
      <w:proofErr w:type="gramEnd"/>
      <w:r>
        <w:t xml:space="preserve"> Adalimumab (D2E7)/Protocol M04-717</w:t>
      </w:r>
    </w:p>
    <w:p w:rsidR="00BF682A" w:rsidRDefault="00BF682A" w:rsidP="00894045">
      <w:pPr>
        <w:pStyle w:val="Heading5"/>
      </w:pPr>
      <w:r>
        <w:t xml:space="preserve">Summary of </w:t>
      </w:r>
      <w:r w:rsidR="00894045">
        <w:t>f</w:t>
      </w:r>
      <w:r>
        <w:t>indings</w:t>
      </w:r>
    </w:p>
    <w:p w:rsidR="00BF682A" w:rsidRDefault="00BF682A" w:rsidP="00BF682A">
      <w:r>
        <w:t>The analyses conducted to evaluate the effect of immunogenicity on PK, safety and efficacy and to explore adalimumab exposures across indications in children using a population analysis approach were generally appropriate and adequate for their purpose and informative. However, the presentation of these analyses as a component of the M04-717 study report was unwieldy and resulted in missing elements, such as adequate description of the analysis data set and exploration of the raw data. Moreover, objectives specific to the analyses conducted and their applications would have permitted a more focused report with a clear theme for discussion and conclusions.</w:t>
      </w:r>
    </w:p>
    <w:p w:rsidR="00BF682A" w:rsidRDefault="00BF682A" w:rsidP="00BF682A">
      <w:r>
        <w:t>On the basis of this evaluation, it was concluded:</w:t>
      </w:r>
    </w:p>
    <w:p w:rsidR="00BF682A" w:rsidRPr="008414E2" w:rsidRDefault="00BF682A" w:rsidP="00A13FFC">
      <w:pPr>
        <w:pStyle w:val="ListBullet"/>
      </w:pPr>
      <w:r w:rsidRPr="008414E2">
        <w:t>A</w:t>
      </w:r>
      <w:r>
        <w:t xml:space="preserve"> population PK model was developed for adalimumab using data from 5 studies in </w:t>
      </w:r>
      <w:r w:rsidRPr="008414E2">
        <w:t>paediatric subjects with RA, CD and Ps.</w:t>
      </w:r>
      <w:r w:rsidR="00184B82" w:rsidRPr="008414E2">
        <w:t xml:space="preserve"> </w:t>
      </w:r>
      <w:r w:rsidRPr="008414E2">
        <w:t xml:space="preserve">Modelling assumptions and model building methods were generally sound and consistent with </w:t>
      </w:r>
      <w:r w:rsidR="00A13FFC" w:rsidRPr="008414E2">
        <w:t>European Medicines Agency (EMA)</w:t>
      </w:r>
      <w:r w:rsidRPr="008414E2">
        <w:t xml:space="preserve"> guidelines. The base and final PK models were verified using data set and </w:t>
      </w:r>
      <w:r w:rsidR="008414E2" w:rsidRPr="008414E2">
        <w:t>Nonlinear Mixed-Effect Modelling software (</w:t>
      </w:r>
      <w:r w:rsidRPr="008414E2">
        <w:t>NONMEM</w:t>
      </w:r>
      <w:r w:rsidR="008414E2" w:rsidRPr="008414E2">
        <w:t>)</w:t>
      </w:r>
      <w:r w:rsidRPr="008414E2">
        <w:t xml:space="preserve"> control files extracted from the report.</w:t>
      </w:r>
    </w:p>
    <w:p w:rsidR="00BF682A" w:rsidRDefault="00BF682A" w:rsidP="00A13FFC">
      <w:pPr>
        <w:pStyle w:val="ListBullet"/>
      </w:pPr>
      <w:r>
        <w:t>Based on the results of the population analysis there was no difference in exposures across indications in paediatric subjects.</w:t>
      </w:r>
    </w:p>
    <w:p w:rsidR="00BF682A" w:rsidRDefault="00BF682A" w:rsidP="00A13FFC">
      <w:pPr>
        <w:pStyle w:val="ListBullet"/>
      </w:pPr>
      <w:r>
        <w:t xml:space="preserve">CL/F and Vc/F increased with increasing </w:t>
      </w:r>
      <w:r w:rsidR="00A13FFC">
        <w:t>body surface area (</w:t>
      </w:r>
      <w:r>
        <w:t>BSA</w:t>
      </w:r>
      <w:r w:rsidR="00A13FFC">
        <w:t>)</w:t>
      </w:r>
      <w:r>
        <w:t xml:space="preserve">. However, simulations based on the final population PK model showed similar exposures between younger (4 </w:t>
      </w:r>
      <w:r w:rsidR="00A13FFC">
        <w:t>to</w:t>
      </w:r>
      <w:r>
        <w:t xml:space="preserve"> 6 y</w:t>
      </w:r>
      <w:r w:rsidR="00A13FFC">
        <w:t>ear olds</w:t>
      </w:r>
      <w:r>
        <w:t xml:space="preserve">) and older (6 </w:t>
      </w:r>
      <w:r w:rsidR="00A13FFC">
        <w:t>to</w:t>
      </w:r>
      <w:r>
        <w:t xml:space="preserve"> 18 y</w:t>
      </w:r>
      <w:r w:rsidR="00A13FFC">
        <w:t>ear olds</w:t>
      </w:r>
      <w:r>
        <w:t xml:space="preserve">) children following administration of 0.8 mg/kg adalimumab </w:t>
      </w:r>
      <w:r w:rsidR="00A13FFC">
        <w:t>every other week (</w:t>
      </w:r>
      <w:r>
        <w:t>eow</w:t>
      </w:r>
      <w:r w:rsidR="00A13FFC">
        <w:t>)</w:t>
      </w:r>
      <w:r>
        <w:t>.</w:t>
      </w:r>
    </w:p>
    <w:p w:rsidR="00BF682A" w:rsidRDefault="00BF682A" w:rsidP="008414E2">
      <w:pPr>
        <w:pStyle w:val="ListBullet"/>
      </w:pPr>
      <w:r>
        <w:t>AAA+ subjects had substantially increased CL/F resulting in low exposures to adalimumab.</w:t>
      </w:r>
      <w:r w:rsidR="00184B82">
        <w:t xml:space="preserve"> </w:t>
      </w:r>
      <w:r>
        <w:t xml:space="preserve">Although the number of AAA+ subjects was small and despite low adalimumab exposures, there did not appear to be an effect of AAA+ on safety </w:t>
      </w:r>
      <w:r>
        <w:lastRenderedPageBreak/>
        <w:t>(</w:t>
      </w:r>
      <w:r w:rsidR="008414E2">
        <w:t>adverse events (</w:t>
      </w:r>
      <w:r>
        <w:t>AEs</w:t>
      </w:r>
      <w:r w:rsidR="008414E2">
        <w:t>)</w:t>
      </w:r>
      <w:r>
        <w:t>) and efficacy (PASI 75</w:t>
      </w:r>
      <w:r w:rsidR="008414E2">
        <w:rPr>
          <w:rStyle w:val="FootnoteReference"/>
        </w:rPr>
        <w:footnoteReference w:id="3"/>
      </w:r>
      <w:r>
        <w:t xml:space="preserve"> and </w:t>
      </w:r>
      <w:r w:rsidR="008414E2" w:rsidRPr="008414E2">
        <w:t xml:space="preserve">patient global assessment </w:t>
      </w:r>
      <w:r w:rsidR="008414E2">
        <w:t>(</w:t>
      </w:r>
      <w:r>
        <w:t>PGA</w:t>
      </w:r>
      <w:r w:rsidR="008414E2">
        <w:t>)</w:t>
      </w:r>
      <w:r>
        <w:t xml:space="preserve"> 0/1) based on qualitative assessment of data.</w:t>
      </w:r>
    </w:p>
    <w:p w:rsidR="00BF682A" w:rsidRDefault="00BF682A" w:rsidP="00A13FFC">
      <w:pPr>
        <w:pStyle w:val="ListBullet"/>
      </w:pPr>
      <w:r>
        <w:t>Graphical evaluation of data was performed. The plots show mean (</w:t>
      </w:r>
      <w:r w:rsidR="008414E2">
        <w:t>standard deviation(</w:t>
      </w:r>
      <w:r>
        <w:t>SD</w:t>
      </w:r>
      <w:r w:rsidR="008414E2">
        <w:t>)</w:t>
      </w:r>
      <w:r>
        <w:t xml:space="preserve">) serum adalimumab concentrations in paediatric </w:t>
      </w:r>
      <w:r w:rsidR="00FC6BF6">
        <w:t>PSOR</w:t>
      </w:r>
      <w:r>
        <w:t xml:space="preserve"> subjects from </w:t>
      </w:r>
      <w:r w:rsidR="00FC6BF6">
        <w:t>S</w:t>
      </w:r>
      <w:r>
        <w:t xml:space="preserve">tudy M04-717 after 0.4 and 0.8 mg/kg eow and adult </w:t>
      </w:r>
      <w:r w:rsidR="00FC6BF6">
        <w:t>PSOR</w:t>
      </w:r>
      <w:r w:rsidR="00184B82">
        <w:t xml:space="preserve"> </w:t>
      </w:r>
      <w:r>
        <w:t xml:space="preserve">subjects in </w:t>
      </w:r>
      <w:r w:rsidR="008414E2">
        <w:t>S</w:t>
      </w:r>
      <w:r>
        <w:t xml:space="preserve">tudies M03-656 and M02-528 (left panel) and M03-658 (right panel) after 80 mg loading dose followed by 40 mg eow. Mean serum adalimumab concentrations were comparable between children receiving 0.8 mg/kg eow in </w:t>
      </w:r>
      <w:r w:rsidR="008414E2">
        <w:t>S</w:t>
      </w:r>
      <w:r>
        <w:t xml:space="preserve">tudy M04-717 and adults receiving 40 mg eow in </w:t>
      </w:r>
      <w:r w:rsidR="008414E2">
        <w:t>S</w:t>
      </w:r>
      <w:r>
        <w:t xml:space="preserve">tudies M03-656 and M03-658 over 12 weeks. In </w:t>
      </w:r>
      <w:r w:rsidR="008414E2">
        <w:t>S</w:t>
      </w:r>
      <w:r>
        <w:t>tudy M02-528 the mean ser</w:t>
      </w:r>
      <w:r w:rsidR="008414E2">
        <w:t>um adalimumab concentration at W</w:t>
      </w:r>
      <w:r>
        <w:t xml:space="preserve">eek 16 was substantially less than the mean concentration at </w:t>
      </w:r>
      <w:r w:rsidR="008414E2">
        <w:t>W</w:t>
      </w:r>
      <w:r>
        <w:t>eeks 11 and 12 in the other studies.</w:t>
      </w:r>
    </w:p>
    <w:p w:rsidR="00BF682A" w:rsidRDefault="00BF682A" w:rsidP="00A13FFC">
      <w:pPr>
        <w:pStyle w:val="ListBullet"/>
      </w:pPr>
      <w:r>
        <w:t>The increased rate of immunogenicity after withdrawal of adalimumab during period B followed by reduction to a rate similar to that prior to adalimumab withdrawa</w:t>
      </w:r>
      <w:r w:rsidR="008414E2">
        <w:t xml:space="preserve">l in paediatric </w:t>
      </w:r>
      <w:r w:rsidR="00FC6BF6">
        <w:t>PSOR</w:t>
      </w:r>
      <w:r w:rsidR="008414E2">
        <w:t xml:space="preserve"> subjects in S</w:t>
      </w:r>
      <w:r>
        <w:t>tudy M04-717 was similar to the trends ob</w:t>
      </w:r>
      <w:r w:rsidR="008414E2">
        <w:t>served in adult P</w:t>
      </w:r>
      <w:r w:rsidR="00FC6BF6">
        <w:t>SOR</w:t>
      </w:r>
      <w:r w:rsidR="008414E2">
        <w:t xml:space="preserve"> subjects in S</w:t>
      </w:r>
      <w:r>
        <w:t>tudy M03-658, although rates of immunogenicity appeared to be higher in children.</w:t>
      </w:r>
    </w:p>
    <w:p w:rsidR="00BF682A" w:rsidRDefault="00BF682A" w:rsidP="00A13FFC">
      <w:pPr>
        <w:pStyle w:val="ListBullet"/>
      </w:pPr>
      <w:r>
        <w:t>Broader review of the PK and immunogenicity results in the context of other studies was not possible because the documentation provided was limited to paedia</w:t>
      </w:r>
      <w:r w:rsidR="008414E2">
        <w:t>tric P</w:t>
      </w:r>
      <w:r w:rsidR="00FC6BF6">
        <w:t>SOR</w:t>
      </w:r>
      <w:r w:rsidR="008414E2">
        <w:t xml:space="preserve"> and ERA indications in S</w:t>
      </w:r>
      <w:r>
        <w:t>tudies M04-717 and M11-328, respectively.</w:t>
      </w:r>
    </w:p>
    <w:p w:rsidR="00BF682A" w:rsidRDefault="00BF682A" w:rsidP="00894045">
      <w:pPr>
        <w:pStyle w:val="Heading5"/>
      </w:pPr>
      <w:r>
        <w:t>Implications of findings</w:t>
      </w:r>
    </w:p>
    <w:p w:rsidR="00BF682A" w:rsidRDefault="00BF682A" w:rsidP="008414E2">
      <w:r>
        <w:t>No assessment of benefit-risk was possible in the absence of exposure – response data for adalimumab. Qualitative assessment of immunogenicity data suggested no effect of AAA+ on safety and efficacy despite low adalimumab exposures, although this finding requires verification with a larger (pooled) data set.</w:t>
      </w:r>
    </w:p>
    <w:p w:rsidR="008414E2" w:rsidRPr="00E229FD" w:rsidRDefault="00BF682A" w:rsidP="008414E2">
      <w:r>
        <w:t>Considerations with regard to the proposed Australian PI</w:t>
      </w:r>
      <w:r w:rsidR="008414E2">
        <w:t xml:space="preserve"> are detailed in Attachment 2 </w:t>
      </w:r>
      <w:r w:rsidR="008414E2" w:rsidRPr="008414E2">
        <w:rPr>
          <w:i/>
        </w:rPr>
        <w:t>Pharmacokinetics, Implications of findings</w:t>
      </w:r>
      <w:r w:rsidR="008414E2">
        <w:t>.</w:t>
      </w:r>
    </w:p>
    <w:p w:rsidR="008E7846" w:rsidRDefault="008E7846" w:rsidP="008E7846">
      <w:pPr>
        <w:pStyle w:val="Heading3"/>
      </w:pPr>
      <w:bookmarkStart w:id="54" w:name="_Toc479772055"/>
      <w:r w:rsidRPr="00254787">
        <w:t>Pharmacodynamics</w:t>
      </w:r>
      <w:bookmarkEnd w:id="37"/>
      <w:bookmarkEnd w:id="47"/>
      <w:bookmarkEnd w:id="48"/>
      <w:bookmarkEnd w:id="49"/>
      <w:bookmarkEnd w:id="54"/>
    </w:p>
    <w:p w:rsidR="00605AD4" w:rsidRDefault="00605AD4" w:rsidP="00605AD4">
      <w:pPr>
        <w:pStyle w:val="Heading4"/>
      </w:pPr>
      <w:r>
        <w:t>Studies providing pharmacodynamic data</w:t>
      </w:r>
    </w:p>
    <w:p w:rsidR="00C114B9" w:rsidRDefault="00C114B9" w:rsidP="00C114B9">
      <w:r>
        <w:t>No new pharmacodynamic (PD) data was provided in this submission.</w:t>
      </w:r>
    </w:p>
    <w:p w:rsidR="00605AD4" w:rsidRDefault="00605AD4" w:rsidP="00605AD4">
      <w:pPr>
        <w:pStyle w:val="Heading4"/>
      </w:pPr>
      <w:r>
        <w:t>Evaluator’s conclusions on pharmacodynamics</w:t>
      </w:r>
    </w:p>
    <w:p w:rsidR="00C114B9" w:rsidRPr="00C114B9" w:rsidRDefault="00C114B9" w:rsidP="00C114B9">
      <w:r w:rsidRPr="00C114B9">
        <w:t>The PD properties of ADA when used in patients aged 4</w:t>
      </w:r>
      <w:r w:rsidR="00DB323B">
        <w:t xml:space="preserve"> to </w:t>
      </w:r>
      <w:r w:rsidRPr="00C114B9">
        <w:t>17 years with active polyarticular JIA as well as adult subjects with severe chronic plaque PSOR have been previously assessed. No new PD data was presented in this submission and the sponsor is not proposing any changes to the PD section of the current PI.</w:t>
      </w:r>
    </w:p>
    <w:p w:rsidR="008E7846" w:rsidRDefault="00605AD4" w:rsidP="00605AD4">
      <w:pPr>
        <w:pStyle w:val="Heading3"/>
      </w:pPr>
      <w:bookmarkStart w:id="55" w:name="_Toc479772056"/>
      <w:r>
        <w:t>Dosage selection for the pivotal studies</w:t>
      </w:r>
      <w:bookmarkEnd w:id="55"/>
    </w:p>
    <w:p w:rsidR="00C114B9" w:rsidRPr="00916295" w:rsidRDefault="00C114B9" w:rsidP="00DB323B">
      <w:pPr>
        <w:pStyle w:val="Heading4"/>
      </w:pPr>
      <w:proofErr w:type="spellStart"/>
      <w:r w:rsidRPr="00916295">
        <w:t>Enthesitis</w:t>
      </w:r>
      <w:proofErr w:type="spellEnd"/>
      <w:r w:rsidRPr="00916295">
        <w:t xml:space="preserve"> </w:t>
      </w:r>
      <w:r w:rsidR="00D55960" w:rsidRPr="00916295">
        <w:t>related arthritis</w:t>
      </w:r>
    </w:p>
    <w:p w:rsidR="00D24962" w:rsidRDefault="00C114B9" w:rsidP="00C114B9">
      <w:pPr>
        <w:autoSpaceDE w:val="0"/>
        <w:autoSpaceDN w:val="0"/>
        <w:adjustRightInd w:val="0"/>
      </w:pPr>
      <w:r>
        <w:t>In the single pivotal trial in children and adolescents with active ERA (Study M11-328), t</w:t>
      </w:r>
      <w:r w:rsidRPr="0067213F">
        <w:t xml:space="preserve">he selection of </w:t>
      </w:r>
      <w:r>
        <w:t xml:space="preserve">a </w:t>
      </w:r>
      <w:r w:rsidRPr="0067213F">
        <w:t xml:space="preserve">BSA dosing </w:t>
      </w:r>
      <w:r>
        <w:t>strategy for</w:t>
      </w:r>
      <w:r w:rsidRPr="0067213F">
        <w:t xml:space="preserve"> </w:t>
      </w:r>
      <w:r>
        <w:t>ADA using a regimen of</w:t>
      </w:r>
      <w:r w:rsidRPr="0067213F">
        <w:t xml:space="preserve"> 24 mg/m</w:t>
      </w:r>
      <w:r>
        <w:rPr>
          <w:vertAlign w:val="superscript"/>
        </w:rPr>
        <w:t>2</w:t>
      </w:r>
      <w:r w:rsidRPr="0067213F">
        <w:t xml:space="preserve"> </w:t>
      </w:r>
      <w:r>
        <w:t>(</w:t>
      </w:r>
      <w:r w:rsidRPr="0067213F">
        <w:t xml:space="preserve">up to a maximum </w:t>
      </w:r>
      <w:r>
        <w:t xml:space="preserve">single </w:t>
      </w:r>
      <w:r w:rsidRPr="0067213F">
        <w:t>dose of</w:t>
      </w:r>
      <w:r>
        <w:t xml:space="preserve"> </w:t>
      </w:r>
      <w:r w:rsidRPr="0067213F">
        <w:t>40 mg</w:t>
      </w:r>
      <w:r>
        <w:t>)</w:t>
      </w:r>
      <w:r w:rsidRPr="0067213F">
        <w:t xml:space="preserve"> </w:t>
      </w:r>
      <w:r>
        <w:t xml:space="preserve">given at fortnightly intervals by SC injection </w:t>
      </w:r>
      <w:r w:rsidRPr="0067213F">
        <w:t xml:space="preserve">was selected because it </w:t>
      </w:r>
      <w:r w:rsidRPr="0067213F">
        <w:lastRenderedPageBreak/>
        <w:t>has been previously studied and has been shown to be safe</w:t>
      </w:r>
      <w:r>
        <w:t xml:space="preserve"> </w:t>
      </w:r>
      <w:r w:rsidRPr="0067213F">
        <w:t>and effective in children with</w:t>
      </w:r>
      <w:r>
        <w:t xml:space="preserve"> active</w:t>
      </w:r>
      <w:r w:rsidRPr="0067213F">
        <w:t xml:space="preserve"> </w:t>
      </w:r>
      <w:r>
        <w:t xml:space="preserve">polyarticular </w:t>
      </w:r>
      <w:r w:rsidRPr="0067213F">
        <w:t>JIA.</w:t>
      </w:r>
      <w:r>
        <w:t xml:space="preserve"> However, the doses of preceding and background concomitant treatment with MTX and corticosteroid used by patients in the single pivotal study (M11-328) are unclear and should be further elaborated by the sponsor to determine if they are consistent with contemporary clinical practice in Australia</w:t>
      </w:r>
      <w:r w:rsidR="00D24962">
        <w:t>.</w:t>
      </w:r>
    </w:p>
    <w:p w:rsidR="00C114B9" w:rsidRPr="00916295" w:rsidRDefault="00C114B9" w:rsidP="00DB323B">
      <w:pPr>
        <w:pStyle w:val="Heading4"/>
      </w:pPr>
      <w:r w:rsidRPr="00916295">
        <w:t xml:space="preserve">Paediatric </w:t>
      </w:r>
      <w:r w:rsidR="00D55960">
        <w:t>p</w:t>
      </w:r>
      <w:r w:rsidRPr="00916295">
        <w:t>soriasis</w:t>
      </w:r>
    </w:p>
    <w:p w:rsidR="00D24962" w:rsidRDefault="00C114B9" w:rsidP="00C114B9">
      <w:pPr>
        <w:autoSpaceDE w:val="0"/>
        <w:autoSpaceDN w:val="0"/>
        <w:adjustRightInd w:val="0"/>
      </w:pPr>
      <w:r>
        <w:t xml:space="preserve">Population PK modelling and simulations based on the data from a study in paediatric patients with active polyarticular JIA (Study DE038) was used to identify the doses of ADA to be evaluated in the single pivotal trial in paediatric PSOR (Study M04-717). The model identified a subject body weight adjusted dosing regimen with a lower weight limit of 13 kg, as this represents the </w:t>
      </w:r>
      <w:r w:rsidR="00DB323B">
        <w:t>fifth</w:t>
      </w:r>
      <w:r>
        <w:t xml:space="preserve"> percentile of body weight for boys and girls aged 4 years, which was the lower age limit for inclusion in Study M04-717. The model simulations also explored loading and maintenance doses based on subject body weight adjustment. Body weight adjusted doses ranging from 0.4 mg/kg to 1.2 mg/kg were compared in Study M02-528, which was a 12</w:t>
      </w:r>
      <w:r w:rsidR="00DB323B">
        <w:t xml:space="preserve"> </w:t>
      </w:r>
      <w:r>
        <w:t xml:space="preserve">week, Phase </w:t>
      </w:r>
      <w:r w:rsidR="00DB323B">
        <w:t>II</w:t>
      </w:r>
      <w:r>
        <w:t xml:space="preserve"> trial in adult subjects with moderate to severe PSOR. It was assumed that a maximum of 40 mg per dose would be recommended (as per the adult dosing strategy). The simulated results predicted that a maintenance ADA dose of 0.8 mg/kg would produce similar mean serum ADA concentrations in paediatric subjects as that observed in adult subjects with PSOR. The ADA 0.4 mg/kg regimen was also simulated and produced serum concentrations of ADA, which were approximately one</w:t>
      </w:r>
      <w:r w:rsidR="00DB323B">
        <w:t xml:space="preserve"> </w:t>
      </w:r>
      <w:r>
        <w:t xml:space="preserve">half of that shown to be efficacious in adult patients with PSOR. The use and doses of low dose oral MTX as a comparator treatment in Period </w:t>
      </w:r>
      <w:proofErr w:type="gramStart"/>
      <w:r>
        <w:t>A</w:t>
      </w:r>
      <w:proofErr w:type="gramEnd"/>
      <w:r>
        <w:t xml:space="preserve"> of Study M04-717 is appropriate as it is commonly used as a systemic therapy in paediatric patients with severe PSOR</w:t>
      </w:r>
      <w:r w:rsidR="00D24962">
        <w:t>.</w:t>
      </w:r>
    </w:p>
    <w:p w:rsidR="00C114B9" w:rsidRPr="00063FC7" w:rsidRDefault="00C114B9" w:rsidP="00DB323B">
      <w:pPr>
        <w:pStyle w:val="Heading4"/>
      </w:pPr>
      <w:r w:rsidRPr="00063FC7">
        <w:t>Summary</w:t>
      </w:r>
    </w:p>
    <w:p w:rsidR="00C114B9" w:rsidRDefault="00C114B9" w:rsidP="00C114B9">
      <w:r>
        <w:t>Although no specific dose-finding studies have been performed in paediatric patients with ERA and PSOR, the dose and administration frequency of ADA therapy identified for further evaluation in the 2 pivotal studies included in this submission has been reasonably justified. Assessment of the available population PK data at the time of design, and model simulations in paediatric subjects with related autoimmune treatment indications</w:t>
      </w:r>
      <w:r w:rsidR="00DB323B">
        <w:t xml:space="preserve"> </w:t>
      </w:r>
      <w:r>
        <w:t>suggest a comparable and sufficient drug exposure to ADA with the proposed posology for examination in both of the pivotal studies.</w:t>
      </w:r>
    </w:p>
    <w:p w:rsidR="008E7846" w:rsidRPr="00254787" w:rsidRDefault="008E7846" w:rsidP="008E7846">
      <w:pPr>
        <w:pStyle w:val="Heading3"/>
      </w:pPr>
      <w:bookmarkStart w:id="56" w:name="_Toc163441372"/>
      <w:bookmarkStart w:id="57" w:name="_Toc196046485"/>
      <w:bookmarkStart w:id="58" w:name="_Toc247691521"/>
      <w:bookmarkStart w:id="59" w:name="_Toc314842504"/>
      <w:bookmarkStart w:id="60" w:name="_Toc479772057"/>
      <w:r w:rsidRPr="00254787">
        <w:t>Efficacy</w:t>
      </w:r>
      <w:bookmarkEnd w:id="56"/>
      <w:bookmarkEnd w:id="57"/>
      <w:bookmarkEnd w:id="58"/>
      <w:bookmarkEnd w:id="59"/>
      <w:bookmarkEnd w:id="60"/>
    </w:p>
    <w:p w:rsidR="00605AD4" w:rsidRDefault="00605AD4" w:rsidP="00605AD4">
      <w:pPr>
        <w:pStyle w:val="Heading4"/>
      </w:pPr>
      <w:bookmarkStart w:id="61" w:name="_Toc184439992"/>
      <w:bookmarkStart w:id="62" w:name="_Toc184440279"/>
      <w:bookmarkStart w:id="63" w:name="_Toc184444657"/>
      <w:bookmarkStart w:id="64" w:name="_Toc196046487"/>
      <w:r w:rsidRPr="00CC0C9B">
        <w:t>Studies providing efficacy data</w:t>
      </w:r>
    </w:p>
    <w:p w:rsidR="00DB323B" w:rsidRDefault="00CC0C9B" w:rsidP="00DB323B">
      <w:r>
        <w:t>The following efficacy studies were submitted:</w:t>
      </w:r>
    </w:p>
    <w:p w:rsidR="00CC0C9B" w:rsidRDefault="00CC0C9B" w:rsidP="00D55960">
      <w:pPr>
        <w:pStyle w:val="ListBullet"/>
      </w:pPr>
      <w:r>
        <w:t>1 p</w:t>
      </w:r>
      <w:r w:rsidRPr="006A08A1">
        <w:t>ivotal efficacy</w:t>
      </w:r>
      <w:r>
        <w:t xml:space="preserve"> and </w:t>
      </w:r>
      <w:r w:rsidRPr="006A08A1">
        <w:t xml:space="preserve">safety </w:t>
      </w:r>
      <w:r>
        <w:t>trial in paediatric ERA (S</w:t>
      </w:r>
      <w:r w:rsidRPr="006A08A1">
        <w:t>tud</w:t>
      </w:r>
      <w:r>
        <w:t>y M11-328)</w:t>
      </w:r>
      <w:r w:rsidRPr="006A08A1">
        <w:t>.</w:t>
      </w:r>
    </w:p>
    <w:p w:rsidR="00CC0C9B" w:rsidRDefault="00CC0C9B" w:rsidP="00CC0C9B">
      <w:pPr>
        <w:pStyle w:val="ListBullet"/>
        <w:numPr>
          <w:ilvl w:val="0"/>
          <w:numId w:val="1"/>
        </w:numPr>
      </w:pPr>
      <w:r>
        <w:t>1 p</w:t>
      </w:r>
      <w:r w:rsidRPr="006A08A1">
        <w:t>ivotal efficacy</w:t>
      </w:r>
      <w:r>
        <w:t xml:space="preserve"> and </w:t>
      </w:r>
      <w:r w:rsidRPr="006A08A1">
        <w:t xml:space="preserve">safety </w:t>
      </w:r>
      <w:r>
        <w:t>trial in paediatric PSOR (S</w:t>
      </w:r>
      <w:r w:rsidRPr="006A08A1">
        <w:t>tud</w:t>
      </w:r>
      <w:r>
        <w:t>y M04-717).</w:t>
      </w:r>
    </w:p>
    <w:p w:rsidR="00D24962" w:rsidRDefault="00605AD4" w:rsidP="00DB323B">
      <w:pPr>
        <w:pStyle w:val="Heading4"/>
      </w:pPr>
      <w:r>
        <w:t xml:space="preserve">Evaluator’s conclusions on </w:t>
      </w:r>
      <w:bookmarkStart w:id="65" w:name="_Ref271199564"/>
      <w:bookmarkStart w:id="66" w:name="_Toc272414651"/>
      <w:bookmarkStart w:id="67" w:name="_Toc290888499"/>
      <w:bookmarkStart w:id="68" w:name="_Toc447549495"/>
      <w:r w:rsidR="00E229FD">
        <w:t>In</w:t>
      </w:r>
      <w:r w:rsidR="00E229FD" w:rsidRPr="003C0A48">
        <w:t>dication 1</w:t>
      </w:r>
      <w:bookmarkEnd w:id="65"/>
      <w:bookmarkEnd w:id="66"/>
      <w:bookmarkEnd w:id="67"/>
      <w:r w:rsidR="00E229FD">
        <w:t xml:space="preserve">: </w:t>
      </w:r>
      <w:proofErr w:type="spellStart"/>
      <w:r w:rsidR="00E229FD">
        <w:t>Enthesitis</w:t>
      </w:r>
      <w:proofErr w:type="spellEnd"/>
      <w:r w:rsidR="00E229FD">
        <w:t xml:space="preserve"> </w:t>
      </w:r>
      <w:r w:rsidR="00D55960">
        <w:t>related arthritis</w:t>
      </w:r>
      <w:bookmarkEnd w:id="68"/>
    </w:p>
    <w:p w:rsidR="00D24962" w:rsidRDefault="00C114B9" w:rsidP="00C114B9">
      <w:r>
        <w:t>JIA affects approximately 1 in 1000 children in Australia and ERA represents 3</w:t>
      </w:r>
      <w:r w:rsidR="00DB323B">
        <w:t xml:space="preserve"> to </w:t>
      </w:r>
      <w:r>
        <w:t>11% of all cases of JIA. There is significant unmet need for additional effective therapies as response to current treatment options is variable. In support of the extension of indication of ADA to include the treatment of active ERA in patients 6 years of age and older, the sponsor has provi</w:t>
      </w:r>
      <w:r w:rsidR="00DB323B">
        <w:t>ded data from a single pivotal P</w:t>
      </w:r>
      <w:r>
        <w:t xml:space="preserve">hase </w:t>
      </w:r>
      <w:r w:rsidR="00DB323B">
        <w:t>III</w:t>
      </w:r>
      <w:r>
        <w:t xml:space="preserve"> trial (Study M11-328) which had a 12</w:t>
      </w:r>
      <w:r w:rsidR="00DB323B">
        <w:t xml:space="preserve"> </w:t>
      </w:r>
      <w:r>
        <w:t xml:space="preserve">week, </w:t>
      </w:r>
      <w:r w:rsidR="003C3B4F">
        <w:t>double blind</w:t>
      </w:r>
      <w:r>
        <w:t xml:space="preserve">, </w:t>
      </w:r>
      <w:r w:rsidR="00DB323B">
        <w:t>placebo (</w:t>
      </w:r>
      <w:r>
        <w:t>PBO</w:t>
      </w:r>
      <w:r w:rsidR="00DB323B">
        <w:t xml:space="preserve">) </w:t>
      </w:r>
      <w:r>
        <w:t xml:space="preserve">controlled treatment period followed by an </w:t>
      </w:r>
      <w:r w:rsidR="00DB323B" w:rsidRPr="00DB323B">
        <w:t xml:space="preserve">Open Label </w:t>
      </w:r>
      <w:r w:rsidR="00DB323B">
        <w:t>(</w:t>
      </w:r>
      <w:r>
        <w:t>OL</w:t>
      </w:r>
      <w:r w:rsidR="00DB323B">
        <w:t>)</w:t>
      </w:r>
      <w:r>
        <w:t xml:space="preserve"> extension phase which provided continued treatment data </w:t>
      </w:r>
      <w:r w:rsidR="00DB323B">
        <w:t>up to W</w:t>
      </w:r>
      <w:r>
        <w:t xml:space="preserve">eek 52 in </w:t>
      </w:r>
      <w:r>
        <w:lastRenderedPageBreak/>
        <w:t>this submission. The study recruited 46 paediatric patients who had demonstrated an inadequate response or intolerance to at least 1 NSAID and a 3</w:t>
      </w:r>
      <w:r w:rsidR="00DB323B">
        <w:t xml:space="preserve"> </w:t>
      </w:r>
      <w:r>
        <w:t xml:space="preserve">month course of at least 1 DMARD (MTX or </w:t>
      </w:r>
      <w:r w:rsidR="00DB323B" w:rsidRPr="00DB323B">
        <w:t xml:space="preserve">Sulfasalazine </w:t>
      </w:r>
      <w:r w:rsidR="00DB323B">
        <w:t>(</w:t>
      </w:r>
      <w:r>
        <w:t>SSZ</w:t>
      </w:r>
      <w:r w:rsidR="00DB323B">
        <w:t>)</w:t>
      </w:r>
      <w:r>
        <w:t>)</w:t>
      </w:r>
      <w:r w:rsidR="00D24962">
        <w:t>.</w:t>
      </w:r>
    </w:p>
    <w:p w:rsidR="00D24962" w:rsidRDefault="00C114B9" w:rsidP="00C114B9">
      <w:r>
        <w:t>The submission has gained approval in the E</w:t>
      </w:r>
      <w:r w:rsidR="00DB323B">
        <w:t>U</w:t>
      </w:r>
      <w:r>
        <w:t xml:space="preserve"> and is consistent with the TGA adopted guidelines of interest (</w:t>
      </w:r>
      <w:r w:rsidR="00DB323B">
        <w:t xml:space="preserve">that is, EU </w:t>
      </w:r>
      <w:r>
        <w:t>guidelines on Clinical Investigation of Medicinal Products for the Treatment of Juvenile Idiopathic Arthritis). In particular, the pivotal study has been conducted as an initial PBO</w:t>
      </w:r>
      <w:r w:rsidR="00DB323B">
        <w:t xml:space="preserve"> </w:t>
      </w:r>
      <w:r>
        <w:t>controlled trial of appropriate duration (maximum of 12 weeks), which is regarded as high quality evidence, combined with an early escape design for ethical reasons. To establish longer term efficacy, the pivotal study has an OL treatment period, which has reported efficacy and safety data for up to 52 weeks of active treatment with ADA. Overall the single pivotal trial provides a sufficient exposure for evaluation of efficacy that is appropriate for the claimed indication</w:t>
      </w:r>
      <w:r w:rsidR="00D24962">
        <w:t>.</w:t>
      </w:r>
    </w:p>
    <w:p w:rsidR="00C114B9" w:rsidRDefault="00C114B9" w:rsidP="00C114B9">
      <w:r>
        <w:t>For Study M11-328, the choice of efficacy endpoints and statistical analysis were appropriately performed. The initial 12</w:t>
      </w:r>
      <w:r w:rsidR="003C3B4F">
        <w:t xml:space="preserve"> </w:t>
      </w:r>
      <w:r>
        <w:t xml:space="preserve">week period of the pivotal trial was </w:t>
      </w:r>
      <w:r w:rsidR="003C3B4F">
        <w:t>double blind</w:t>
      </w:r>
      <w:r>
        <w:t xml:space="preserve"> and strategies to maintain blinding and randomisation procedures at baseline were suitable.</w:t>
      </w:r>
    </w:p>
    <w:p w:rsidR="00C114B9" w:rsidRDefault="00C114B9" w:rsidP="00C114B9">
      <w:r>
        <w:t>The baseline demographic and disease related characteristics of patients in Study M11-328 are similar to those in the anticipated Australian patient cohort, and therefore generalisation of these results to the Australian context is expected. The majority of patients were male, of Caucasian ethnicity with a broad age range between 6 and 18 years (mean age of 12.9 years). However, there are some caveats to the generalisability of the treatment population. For example, Study M11-328 excluded patients who were at a significant risk of infection, or who had various abnormal laboratory results at baseline (</w:t>
      </w:r>
      <w:r w:rsidR="003C3B4F">
        <w:t>such as</w:t>
      </w:r>
      <w:r>
        <w:t xml:space="preserve"> abnormal liver function tests).</w:t>
      </w:r>
    </w:p>
    <w:p w:rsidR="00C114B9" w:rsidRDefault="00C114B9" w:rsidP="00C114B9">
      <w:r>
        <w:t>The pivotal Study M11-328 enrolled patients with moderately to severely active ERA and demonstrated that ADA produces a clinically relevant treatment benefit in those who have either failed to respond to conventional treatment options, such as DMARD (often MTX) and/or NSAID.</w:t>
      </w:r>
      <w:r w:rsidR="00184B82">
        <w:t xml:space="preserve"> </w:t>
      </w:r>
      <w:r>
        <w:t xml:space="preserve">The primary efficacy endpoint of Study M11-328 was the percentage change from baseline to </w:t>
      </w:r>
      <w:r w:rsidR="003C3B4F">
        <w:t>W</w:t>
      </w:r>
      <w:r>
        <w:t xml:space="preserve">eek 12 in the number of joints with active arthritis. In the primary </w:t>
      </w:r>
      <w:r w:rsidR="003C3B4F">
        <w:t>Intent-to-Treat (</w:t>
      </w:r>
      <w:r>
        <w:t>ITT</w:t>
      </w:r>
      <w:r w:rsidR="003C3B4F">
        <w:t>)</w:t>
      </w:r>
      <w:r>
        <w:t xml:space="preserve"> analysis, ADA demonstrated a statistically significant percentage reduction in joints affected by active arthritis (</w:t>
      </w:r>
      <w:r w:rsidR="003C3B4F">
        <w:noBreakHyphen/>
      </w:r>
      <w:r>
        <w:t xml:space="preserve">62.6% for ADA versus </w:t>
      </w:r>
      <w:r w:rsidR="003C3B4F">
        <w:noBreakHyphen/>
      </w:r>
      <w:r>
        <w:t xml:space="preserve">11.6% for PBO; treatment related difference of </w:t>
      </w:r>
      <w:r w:rsidR="003C3B4F">
        <w:noBreakHyphen/>
      </w:r>
      <w:r>
        <w:t xml:space="preserve">51.2%; p=0.039). Various sensitivity analyses (ITT population as observed and/or </w:t>
      </w:r>
      <w:r w:rsidR="003C3B4F">
        <w:t>Per Protocol (</w:t>
      </w:r>
      <w:r>
        <w:t>PP</w:t>
      </w:r>
      <w:r w:rsidR="003C3B4F">
        <w:t>)</w:t>
      </w:r>
      <w:r>
        <w:t xml:space="preserve"> cohort with </w:t>
      </w:r>
      <w:r w:rsidR="003C3B4F">
        <w:t>last observation carried forward (</w:t>
      </w:r>
      <w:r>
        <w:t>LOCF</w:t>
      </w:r>
      <w:r w:rsidR="003C3B4F">
        <w:t>)</w:t>
      </w:r>
      <w:r>
        <w:t xml:space="preserve"> method for handling of missing data) of the primary efficacy outcome confirmed the robustness of the primary statistical analysis in favour of active treatment with ADA.</w:t>
      </w:r>
    </w:p>
    <w:p w:rsidR="00C114B9" w:rsidRDefault="00C114B9" w:rsidP="00C114B9">
      <w:r>
        <w:t xml:space="preserve">Results for the ranked secondary efficacy outcomes in Study M11-328 also showed a consistent and numerically higher treatment benefit with ADA versus PBO. However, only the </w:t>
      </w:r>
      <w:r w:rsidR="003C3B4F">
        <w:t>sixth</w:t>
      </w:r>
      <w:r>
        <w:t xml:space="preserve"> ranked outcome in the hierarchical testing sequence was statistically superior for ADA. The ACR Pedi70</w:t>
      </w:r>
      <w:r w:rsidR="003C3B4F">
        <w:rPr>
          <w:rStyle w:val="FootnoteReference"/>
        </w:rPr>
        <w:footnoteReference w:id="4"/>
      </w:r>
      <w:r>
        <w:t xml:space="preserve"> response rate at 12 weeks was 54.8% (17/31) in the ADA treatment group compared with 20.0% (3/15) in the PBO arm (p=0.031). In patients treated with ADA, the rates of achie</w:t>
      </w:r>
      <w:r w:rsidR="005C1766">
        <w:t>ving an ACR Pedi30 response at W</w:t>
      </w:r>
      <w:r>
        <w:t xml:space="preserve">eek 12 were high at 71.0% (2/312) and the majority of patients were observed to achieve an even higher level of clinical response (ACR Pedi50 response was 67.7% [21/31] at 12 weeks). Response to ADA treatment was also seen using different efficacy measures such as the individual core </w:t>
      </w:r>
      <w:r>
        <w:lastRenderedPageBreak/>
        <w:t>components comprising the ACR Pedi criteria, enthesitis related outcomes and spondylitis measures such as the change from baseline in BASDAI</w:t>
      </w:r>
      <w:r w:rsidR="005C1766">
        <w:rPr>
          <w:rStyle w:val="FootnoteReference"/>
        </w:rPr>
        <w:footnoteReference w:id="5"/>
      </w:r>
      <w:r>
        <w:t>.</w:t>
      </w:r>
    </w:p>
    <w:p w:rsidR="00D24962" w:rsidRDefault="00C114B9" w:rsidP="00C114B9">
      <w:r>
        <w:t>Study M11-328 also showed that in the subgroup analyses of the primary efficacy outcome, male subjects, HLA-B27 positive and healthy weight subjects demonstrated greater treatment related benefits with ADA versus PBO than their comparator subgroup</w:t>
      </w:r>
      <w:r w:rsidR="00D24962">
        <w:t>.</w:t>
      </w:r>
    </w:p>
    <w:p w:rsidR="00D24962" w:rsidRDefault="00C114B9" w:rsidP="00C114B9">
      <w:r>
        <w:t>In the OL exten</w:t>
      </w:r>
      <w:r w:rsidR="005C1766">
        <w:t>sion phase of the trial (up to W</w:t>
      </w:r>
      <w:r>
        <w:t xml:space="preserve">eek 52) there was persistence of efficacy response for patients who continued ADA in Study M11-328. For example, the rate of ACR Pedi30 and Pedi50 response were consistently &gt;80% at each </w:t>
      </w:r>
      <w:r w:rsidR="003C3B4F">
        <w:t>12 week</w:t>
      </w:r>
      <w:r>
        <w:t xml:space="preserve"> interval up until 52 weeks and the rate of ACR Pedi70 response was 76.1% (35/46)</w:t>
      </w:r>
      <w:r w:rsidR="00D24962">
        <w:t>.</w:t>
      </w:r>
    </w:p>
    <w:p w:rsidR="00C114B9" w:rsidRDefault="00C114B9" w:rsidP="00C114B9">
      <w:r>
        <w:t>Overall, the results of Study M11-328 represent a clinically meaningful, treatment related benefit with ADA (versus PBO) in the management of paediatric patients with treatment refractory, active ERA. ADA is an effective therapy for up to 52 weeks in reducing the signs and symptoms of ERA, which has heterogeneous clinical manifestations (peripheral and axial arthritis, enthesitis and functional consequences).</w:t>
      </w:r>
    </w:p>
    <w:p w:rsidR="00E229FD" w:rsidRPr="003C0A48" w:rsidRDefault="00E229FD" w:rsidP="005C1766">
      <w:pPr>
        <w:pStyle w:val="Heading4"/>
      </w:pPr>
      <w:bookmarkStart w:id="69" w:name="_Toc447549506"/>
      <w:r w:rsidRPr="003C0A48">
        <w:t>Evaluator’s conclusions on clinical efficacy for</w:t>
      </w:r>
      <w:r>
        <w:t xml:space="preserve"> I</w:t>
      </w:r>
      <w:r w:rsidRPr="003C0A48">
        <w:t xml:space="preserve">ndication </w:t>
      </w:r>
      <w:r>
        <w:t>2: Psoriasis in Children (</w:t>
      </w:r>
      <w:r w:rsidR="005C1766">
        <w:rPr>
          <w:rFonts w:cs="Arial"/>
        </w:rPr>
        <w:t>≥</w:t>
      </w:r>
      <w:r w:rsidR="005C1766">
        <w:t xml:space="preserve"> </w:t>
      </w:r>
      <w:r>
        <w:t>4 years of age)</w:t>
      </w:r>
      <w:bookmarkEnd w:id="69"/>
    </w:p>
    <w:p w:rsidR="00D24962" w:rsidRDefault="00E229FD" w:rsidP="00E229FD">
      <w:pPr>
        <w:autoSpaceDE w:val="0"/>
        <w:autoSpaceDN w:val="0"/>
        <w:adjustRightInd w:val="0"/>
      </w:pPr>
      <w:r>
        <w:t xml:space="preserve">Paediatric PSOR affects approximately 1 in 1000 children in Australia and 27% of all cases of PSOR onset before the age of 16 years. </w:t>
      </w:r>
      <w:r w:rsidRPr="006500D3">
        <w:t>While treatment options for p</w:t>
      </w:r>
      <w:r>
        <w:t>a</w:t>
      </w:r>
      <w:r w:rsidRPr="006500D3">
        <w:t xml:space="preserve">ediatric patients with </w:t>
      </w:r>
      <w:r>
        <w:t>PSOR</w:t>
      </w:r>
      <w:r w:rsidRPr="006500D3">
        <w:t xml:space="preserve"> are similar to those available</w:t>
      </w:r>
      <w:r>
        <w:t xml:space="preserve"> </w:t>
      </w:r>
      <w:r w:rsidRPr="006500D3">
        <w:t>to adults, they are le</w:t>
      </w:r>
      <w:r>
        <w:t>ss in number because</w:t>
      </w:r>
      <w:r w:rsidRPr="006500D3">
        <w:t xml:space="preserve"> most treatments a</w:t>
      </w:r>
      <w:r>
        <w:t>pprov</w:t>
      </w:r>
      <w:r w:rsidRPr="006500D3">
        <w:t>ed in adult</w:t>
      </w:r>
      <w:r>
        <w:t xml:space="preserve">s </w:t>
      </w:r>
      <w:r w:rsidRPr="006500D3">
        <w:t>are not r</w:t>
      </w:r>
      <w:r>
        <w:t>egister</w:t>
      </w:r>
      <w:r w:rsidRPr="006500D3">
        <w:t xml:space="preserve">ed for </w:t>
      </w:r>
      <w:r>
        <w:t>use in children</w:t>
      </w:r>
      <w:r w:rsidRPr="006500D3">
        <w:t xml:space="preserve">. </w:t>
      </w:r>
      <w:r>
        <w:t>L</w:t>
      </w:r>
      <w:r w:rsidRPr="006500D3">
        <w:t>ow to mid</w:t>
      </w:r>
      <w:r w:rsidR="00F918CB">
        <w:t xml:space="preserve"> </w:t>
      </w:r>
      <w:r w:rsidRPr="006500D3">
        <w:t>potency topical</w:t>
      </w:r>
      <w:r>
        <w:t xml:space="preserve"> CS</w:t>
      </w:r>
      <w:r w:rsidR="00054259">
        <w:t>s</w:t>
      </w:r>
      <w:r>
        <w:t>,</w:t>
      </w:r>
      <w:r w:rsidRPr="006500D3">
        <w:t xml:space="preserve"> such as hydrocortisone 0.1% cream, are currently approved for</w:t>
      </w:r>
      <w:r>
        <w:t xml:space="preserve"> </w:t>
      </w:r>
      <w:r w:rsidRPr="006500D3">
        <w:t>use in patients &lt;</w:t>
      </w:r>
      <w:r w:rsidR="00F918CB">
        <w:t xml:space="preserve"> </w:t>
      </w:r>
      <w:r w:rsidRPr="006500D3">
        <w:t>18 years of age. MTX has been used to treat p</w:t>
      </w:r>
      <w:r>
        <w:t>a</w:t>
      </w:r>
      <w:r w:rsidRPr="006500D3">
        <w:t xml:space="preserve">ediatric </w:t>
      </w:r>
      <w:r>
        <w:t>PSOR</w:t>
      </w:r>
      <w:r w:rsidRPr="006500D3">
        <w:t xml:space="preserve"> </w:t>
      </w:r>
      <w:r>
        <w:t>but i</w:t>
      </w:r>
      <w:r w:rsidRPr="006500D3">
        <w:t>t</w:t>
      </w:r>
      <w:r>
        <w:t xml:space="preserve">s </w:t>
      </w:r>
      <w:r w:rsidRPr="006500D3">
        <w:t>efficacy has not been est</w:t>
      </w:r>
      <w:r w:rsidR="00F918CB">
        <w:t xml:space="preserve">ablished in well </w:t>
      </w:r>
      <w:r w:rsidRPr="006500D3">
        <w:t>controlled trials</w:t>
      </w:r>
      <w:r>
        <w:t>. E</w:t>
      </w:r>
      <w:r w:rsidRPr="006500D3">
        <w:t>tanercept is the only</w:t>
      </w:r>
      <w:r>
        <w:t xml:space="preserve"> </w:t>
      </w:r>
      <w:r w:rsidRPr="006500D3">
        <w:t xml:space="preserve">biologic </w:t>
      </w:r>
      <w:r>
        <w:t>therapy r</w:t>
      </w:r>
      <w:r w:rsidRPr="006500D3">
        <w:t>e</w:t>
      </w:r>
      <w:r>
        <w:t>gistered</w:t>
      </w:r>
      <w:r w:rsidRPr="006500D3">
        <w:t xml:space="preserve"> in </w:t>
      </w:r>
      <w:r>
        <w:t>Australia</w:t>
      </w:r>
      <w:r w:rsidRPr="006500D3">
        <w:t xml:space="preserve"> for use in p</w:t>
      </w:r>
      <w:r>
        <w:t>a</w:t>
      </w:r>
      <w:r w:rsidRPr="006500D3">
        <w:t xml:space="preserve">ediatric patients (from </w:t>
      </w:r>
      <w:r>
        <w:t>4</w:t>
      </w:r>
      <w:r w:rsidRPr="006500D3">
        <w:t xml:space="preserve"> years of age) with severe</w:t>
      </w:r>
      <w:r>
        <w:t xml:space="preserve"> PSOR</w:t>
      </w:r>
      <w:r w:rsidRPr="006500D3">
        <w:t xml:space="preserve"> who are inadequately controlled by or are intolerant to other systemic therap</w:t>
      </w:r>
      <w:r>
        <w:t xml:space="preserve">ies </w:t>
      </w:r>
      <w:r w:rsidRPr="006500D3">
        <w:t>or phototherap</w:t>
      </w:r>
      <w:r>
        <w:t>y</w:t>
      </w:r>
      <w:r w:rsidRPr="006500D3">
        <w:t>.</w:t>
      </w:r>
      <w:r>
        <w:t xml:space="preserve"> As such, there is significant unmet need for additional effective therapies in paediatric PSOR</w:t>
      </w:r>
      <w:r w:rsidR="00D24962">
        <w:t>.</w:t>
      </w:r>
    </w:p>
    <w:p w:rsidR="00E229FD" w:rsidRDefault="00E229FD" w:rsidP="00E229FD">
      <w:r>
        <w:t>In support of the extension of indication of ADA to include the treatment of severe chronic plaque PSOR in children 4</w:t>
      </w:r>
      <w:r w:rsidR="00F918CB">
        <w:t xml:space="preserve"> to </w:t>
      </w:r>
      <w:r>
        <w:t>17 years of age, the sponsor has submit</w:t>
      </w:r>
      <w:r w:rsidR="00F918CB">
        <w:t>ted data from a single pivotal P</w:t>
      </w:r>
      <w:r>
        <w:t xml:space="preserve">hase </w:t>
      </w:r>
      <w:r w:rsidR="00F918CB">
        <w:t>III</w:t>
      </w:r>
      <w:r>
        <w:t xml:space="preserve"> trial (Study M04-717), which is a randomised, </w:t>
      </w:r>
      <w:r w:rsidR="003C3B4F">
        <w:t>double blind</w:t>
      </w:r>
      <w:r>
        <w:t>, active</w:t>
      </w:r>
      <w:r w:rsidR="00F918CB">
        <w:t xml:space="preserve"> </w:t>
      </w:r>
      <w:r>
        <w:t>controlled, multicentre trial with up to 4 treatment and/or observation phases. The study recruited a total of 114 paediatric patients (over 22 months at 38 sites) who had failed to respond to topical therapy and/or had a history of inadequate response to or were inappropriate candidates for phototherapy. The pivotal study is ongoing with an interim study report to a minimum of 16 weeks of re-treatment follow-up in continuing subjects in Period C being included in this submission. At the data cut-off date of 2 December 2013, 69 of the 114 subjects (60.5%) had completed the trial through to the end of Period D, 21 patients (18.4%) were ongoing in Period D and a total of 24 subjects (21.1%) had discontinued from the study (including 18 patients [15.8%] who withdrew during Period D).</w:t>
      </w:r>
    </w:p>
    <w:p w:rsidR="00D24962" w:rsidRDefault="00E229FD" w:rsidP="00E229FD">
      <w:r>
        <w:t xml:space="preserve">This submission is seeking an extension of indication in severe PSOR affecting paediatric patients, and in general is consistent with the TGA adopted regulatory guideline pertaining </w:t>
      </w:r>
      <w:r>
        <w:lastRenderedPageBreak/>
        <w:t>to the requested indication</w:t>
      </w:r>
      <w:r w:rsidR="00F918CB">
        <w:rPr>
          <w:rStyle w:val="FootnoteReference"/>
        </w:rPr>
        <w:footnoteReference w:id="6"/>
      </w:r>
      <w:r>
        <w:t xml:space="preserve">. In addition, the single pivotal study (M04-717) had a design that met the criteria for single pivotal study applications. For Study M04-717, the choice of clinical (PASI and PGA response) and health related </w:t>
      </w:r>
      <w:r w:rsidR="00F918CB">
        <w:t>Quality of Life (</w:t>
      </w:r>
      <w:r>
        <w:t>QOL</w:t>
      </w:r>
      <w:r w:rsidR="00F918CB">
        <w:t>)</w:t>
      </w:r>
      <w:r>
        <w:t xml:space="preserve"> efficacy endpoints were appropriate. Furthermore, a duration of 16 weeks treatment follow-up in Period A (main efficacy period) is justified as there is published data that in subjects with </w:t>
      </w:r>
      <w:r w:rsidRPr="001258FC">
        <w:t>moderate to severe PSOR, the maximal rate of PASI 75 response is seen in MTX treated patients by 16 weeks and longer treatment follow-up (up to 52 weeks) does not result in higher rates of PASI 75 response</w:t>
      </w:r>
      <w:r w:rsidR="00D24962">
        <w:t>.</w:t>
      </w:r>
    </w:p>
    <w:p w:rsidR="00403295" w:rsidRPr="001258FC" w:rsidRDefault="00E229FD" w:rsidP="001258FC">
      <w:r w:rsidRPr="001258FC">
        <w:t>The pre-specified statistical analysis plan was also correctly performed. However, the primary statistical analysis was observed to be insufficient for demonstrating superiority with ADA 0.8 mg/kg therapy (versus MTX) in achieving many of the efficacy endpoints apart from the first ranked primary endpoint of PASI 75 response at 16 weeks.</w:t>
      </w:r>
    </w:p>
    <w:p w:rsidR="00D24962" w:rsidRDefault="00E229FD" w:rsidP="00E229FD">
      <w:r w:rsidRPr="001258FC">
        <w:t>This is a deficiency of the current submission for the additional claim of improving the signs and symptoms of severe PSOR in paediatric patients</w:t>
      </w:r>
      <w:r w:rsidR="00D24962">
        <w:t>.</w:t>
      </w:r>
    </w:p>
    <w:p w:rsidR="00E229FD" w:rsidRDefault="00E229FD" w:rsidP="00E229FD">
      <w:r w:rsidRPr="001258FC">
        <w:t>The baseline demographic and disease related characteristics of patients in Study M04-717 are similar to those in the anticipated Australian patient cohort, and therefore</w:t>
      </w:r>
      <w:r>
        <w:t xml:space="preserve"> generalisation of these results to the Australian context is expected. However, there are some caveats to the generalisability of the treatment population. For example, Study M04-717 excluded patients who had a significant risk of infection (recent or recurrent), history of any malignancy or who had various abnormal laboratory results at baseline (</w:t>
      </w:r>
      <w:r w:rsidR="00F918CB">
        <w:t>such as</w:t>
      </w:r>
      <w:r>
        <w:t xml:space="preserve"> abnormal liver function tests). The pivotal trial enrolled patients aged between 4 and 17 years (with a minimum weight of 13 kg) with severe chronic plaque PSOR of at least 6 months duration, and their PSOR had to be stable in severity for at least 2 months prior to study entry. In addition, subjects were required to have either failed to respond to topical therapy and have either inadequate response, be intolerant or contra-indicated to helio or phototherapy. The sponsor is seeking a major change in registration to lower the age limit for ADA 0.8 mg/kg therapy in severe PSOR to 4 years. However, Study M04-717 only recruited 2 subjects aged &lt;6 years (1 was 4 years of age at enrolment, and the other was 5 years). Both of these subjects received ADA 0.4 mg/kg in Period A. The youngest patient randomised to ADA 0.8 mg/kg therapy was 6 years of age at enrolment. Although severe PSOR is a relatively rare condition in children 4</w:t>
      </w:r>
      <w:r w:rsidR="00F918CB">
        <w:t xml:space="preserve"> to </w:t>
      </w:r>
      <w:r>
        <w:t>6 years of age and hence recruitment of potential subjects into clinical trials is difficult, the lack of subjects receiving the proposed dose of ADA (0.8 mg/kg) in Study M04-717 is a deficiency of the current supporting data.</w:t>
      </w:r>
    </w:p>
    <w:p w:rsidR="00D24962" w:rsidRDefault="00E229FD" w:rsidP="00E229FD">
      <w:r>
        <w:t xml:space="preserve">In Study M04-717, the first ranked primary efficacy endpoint of the comparative proportion of subjects who achieved a PASI 75 response at 16 weeks was achieved in favour of ADA 0.8 mg/kg versus MTX therapy. Using the ITT cohort and </w:t>
      </w:r>
      <w:r w:rsidR="00647E97" w:rsidRPr="008414E2">
        <w:rPr>
          <w:rFonts w:asciiTheme="minorHAnsi" w:hAnsiTheme="minorHAnsi"/>
          <w:sz w:val="20"/>
          <w:szCs w:val="20"/>
        </w:rPr>
        <w:t>Non-Responder Imputation</w:t>
      </w:r>
      <w:r w:rsidR="00647E97">
        <w:t xml:space="preserve"> (</w:t>
      </w:r>
      <w:r>
        <w:t>NRI</w:t>
      </w:r>
      <w:r w:rsidR="00647E97">
        <w:t>)</w:t>
      </w:r>
      <w:r>
        <w:t>, 57.9% (22/38) of patients treated with ADA 0.8 mg/kg achieved this outcome versus 32.4% (12/37) of patients in the MTX group (p=0.027). However, a sensitivity analysis of this primary outcome failed to reach statistical significance when the PP cohort was analysed. In addition, the rates of PASI 75 response at 16 weeks were not statistically different between the 2 ADA dose groups (43.6% [17/39] in the 0.4 mg/kg group) although were numerically higher in the ADA 0.8 mg/kg arm. Furthermore, the second ranked primary efficacy outcome of the relative proportion of subjects w</w:t>
      </w:r>
      <w:r w:rsidR="00647E97">
        <w:t xml:space="preserve">ho achieved a PGA response of 0 to </w:t>
      </w:r>
      <w:r>
        <w:t>1 at 16 weeks also did not reach statistical significance despite being numerically higher in the ADA 0.8 mg/kg group versus MTX (60.5% [23/38] in the ADA 0.8 mg/kg group versus 40.5% [15/37] in the MTX arm; p=0.083)</w:t>
      </w:r>
      <w:r w:rsidR="00D24962">
        <w:t>.</w:t>
      </w:r>
    </w:p>
    <w:p w:rsidR="00E229FD" w:rsidRDefault="00E229FD" w:rsidP="00E229FD">
      <w:r>
        <w:t xml:space="preserve">All ranked secondary efficacy measures examining clinical and health related QOL outcomes were also numerically higher in the ADA 0.8 mg/kg group versus MTX but failed to reach statistical significance apart from the mean change from baseline to </w:t>
      </w:r>
      <w:r w:rsidR="00647E97">
        <w:t>W</w:t>
      </w:r>
      <w:r>
        <w:t xml:space="preserve">eek 16 in </w:t>
      </w:r>
      <w:r>
        <w:lastRenderedPageBreak/>
        <w:t>the PedsQL score. However, more than half (52.6%; 10/19) of subjects initially randomised to ADA 0.8 mg/kg regained a PGA score of 0</w:t>
      </w:r>
      <w:r w:rsidR="00647E97">
        <w:t xml:space="preserve"> to </w:t>
      </w:r>
      <w:r>
        <w:t xml:space="preserve">1 at </w:t>
      </w:r>
      <w:r w:rsidR="00647E97">
        <w:t>W</w:t>
      </w:r>
      <w:r>
        <w:t>eek 16 in Period C (</w:t>
      </w:r>
      <w:r w:rsidR="00647E97">
        <w:t>that is,</w:t>
      </w:r>
      <w:r>
        <w:t xml:space="preserve"> upon re-treatment with ADA 0.8 mg/kg). This outcome was numerically higher than that observed with re-treatment with ADA 0.4 mg/kg (27.3%; 3/11), but the 28.3% difference in PGA response between the 2 ADA treatment groups did not reach statistical significance (p=0.113). Interestingly, patients randomised to ADA 0.8 mg/kg had a shorter median time to loss of disease control than the 2 other treatment groups in Period B (118 days for ADA 0.8 mg/kg versus 217 days for ADA 0.4 mg/kg and 184 days for MTX). In the long term, OL treatment phase (Period D), a high proportion of subjects initially randomised to ADA 0.8 mg/kg demonstrated maintenance of response (</w:t>
      </w:r>
      <w:r w:rsidR="00647E97">
        <w:t>such as</w:t>
      </w:r>
      <w:r>
        <w:t xml:space="preserve"> PASI 50, 75 and 90 response rates were 75.0%, 66.7% and 37.5% at 52 weeks, respectively). In addition, in patients initially randomised to MTX in Period A and who then were switched to ADA 0.8 mg/kg in Period D, the rates of sustained clinical response were high (</w:t>
      </w:r>
      <w:r w:rsidR="00647E97">
        <w:t xml:space="preserve">such as </w:t>
      </w:r>
      <w:r>
        <w:t>PASI 50, 75 and 90 response rates were 93.3%, 86.7% and 66.7% at 52 weeks in Period D, respectively).</w:t>
      </w:r>
    </w:p>
    <w:p w:rsidR="00E229FD" w:rsidRDefault="00E229FD" w:rsidP="00E229FD">
      <w:r>
        <w:t>In summary, although many of the efficacy endpoints (apart from the first ranked primary outcome and 1 of the secondary outcomes) did not reach statistical significance in favour of ADA 0.8 mg/kg versus active comparator therapy, most of the efficacy outcomes were numerically better with ADA 0.8 mg/kg (versus appropriate dose MTX and/or ADA 0.4 mg/kg). Most of the improvements observed with ADA 0.8 mg/kg therapy at 16 weeks of initial treatment (Period A), as well as upon re-treatment (Period C) and with continued therapy for up to 52 weeks in Period D were clinically significant changes. For example, the rates of PASI response (50, 75 and 90) at 16 weeks in Period C and at 52 weeks in Period D are reflective of a clinically meaningful sustained response in paediatric patients with severe PSOR who have exhausted initial treatment options and have limited future therapy options.</w:t>
      </w:r>
    </w:p>
    <w:p w:rsidR="008E7846" w:rsidRPr="002E238E" w:rsidRDefault="008E7846" w:rsidP="008E7846">
      <w:pPr>
        <w:pStyle w:val="Heading3"/>
      </w:pPr>
      <w:bookmarkStart w:id="70" w:name="_Toc163441378"/>
      <w:bookmarkStart w:id="71" w:name="_Toc196046495"/>
      <w:bookmarkStart w:id="72" w:name="_Toc247691522"/>
      <w:bookmarkStart w:id="73" w:name="_Toc314842505"/>
      <w:bookmarkStart w:id="74" w:name="_Toc479772058"/>
      <w:bookmarkEnd w:id="61"/>
      <w:bookmarkEnd w:id="62"/>
      <w:bookmarkEnd w:id="63"/>
      <w:bookmarkEnd w:id="64"/>
      <w:r w:rsidRPr="002E238E">
        <w:t>Safety</w:t>
      </w:r>
      <w:bookmarkEnd w:id="70"/>
      <w:bookmarkEnd w:id="71"/>
      <w:bookmarkEnd w:id="72"/>
      <w:bookmarkEnd w:id="73"/>
      <w:bookmarkEnd w:id="74"/>
    </w:p>
    <w:p w:rsidR="00605AD4" w:rsidRDefault="00605AD4" w:rsidP="00605AD4">
      <w:pPr>
        <w:pStyle w:val="Heading4"/>
      </w:pPr>
      <w:bookmarkStart w:id="75" w:name="_Toc247691524"/>
      <w:bookmarkStart w:id="76" w:name="_Toc314842508"/>
      <w:bookmarkStart w:id="77" w:name="_Toc196046504"/>
      <w:bookmarkStart w:id="78" w:name="_Toc163441390"/>
      <w:r w:rsidRPr="00605AD4">
        <w:t>Studies providing safety data</w:t>
      </w:r>
    </w:p>
    <w:p w:rsidR="00E229FD" w:rsidRDefault="00E229FD" w:rsidP="00E229FD">
      <w:bookmarkStart w:id="79" w:name="_Ref268776745"/>
      <w:r>
        <w:t>The following studies provided evaluable safety data:</w:t>
      </w:r>
    </w:p>
    <w:p w:rsidR="00E229FD" w:rsidRPr="00027276" w:rsidRDefault="00E229FD" w:rsidP="00647E97">
      <w:pPr>
        <w:pStyle w:val="Heading5"/>
      </w:pPr>
      <w:r w:rsidRPr="00027276">
        <w:t>Pivotal efficacy studies</w:t>
      </w:r>
      <w:bookmarkEnd w:id="79"/>
    </w:p>
    <w:p w:rsidR="00E229FD" w:rsidRDefault="00E229FD" w:rsidP="00647E97">
      <w:r>
        <w:t>In the pivotal efficacy studies (M11-328 for the ERA indication and M04-717 for the paediatric PSOR indication), the following safety data was collected:</w:t>
      </w:r>
    </w:p>
    <w:p w:rsidR="00E229FD" w:rsidRDefault="00E229FD" w:rsidP="00647E97">
      <w:pPr>
        <w:pStyle w:val="ListBullet"/>
      </w:pPr>
      <w:r>
        <w:t>Adverse Events (AEs) in general were assessed by completion of the AE Case Report Form (CRF) and physical examination performed at each scheduled study visit (at least every 4 weeks in both studies).</w:t>
      </w:r>
    </w:p>
    <w:p w:rsidR="00E229FD" w:rsidRDefault="00E229FD" w:rsidP="00647E97">
      <w:pPr>
        <w:pStyle w:val="ListBullet"/>
      </w:pPr>
      <w:r>
        <w:t>AEs of special interest, including infections (overall, serious and opportunistic), malignancies, immune related reactions, major adverse cardiorespiratory events, demyelination and worsening or new onset of PSOR were assessed by CRF and physical examination as per the schedule for general AE evaluation.</w:t>
      </w:r>
    </w:p>
    <w:p w:rsidR="00E229FD" w:rsidRDefault="00E229FD" w:rsidP="00647E97">
      <w:pPr>
        <w:pStyle w:val="ListBullet"/>
      </w:pPr>
      <w:r>
        <w:t>Laboratory tests, including haematology, clinical chemistry and urinalysis were performed at baseline and at each scheduled visit thereafter. Episodes of abnormal liver function tests and neutropenia were AEs of special interest as these are identified risks with ADA.</w:t>
      </w:r>
    </w:p>
    <w:p w:rsidR="00E229FD" w:rsidRDefault="00E229FD" w:rsidP="0072747B">
      <w:pPr>
        <w:pStyle w:val="ListBullet"/>
      </w:pPr>
      <w:r>
        <w:lastRenderedPageBreak/>
        <w:t>Screening tests for tuberculosis (Chest X-ray and QuantiFERON Gold®</w:t>
      </w:r>
      <w:r w:rsidR="00647E97">
        <w:rPr>
          <w:rStyle w:val="FootnoteReference"/>
        </w:rPr>
        <w:footnoteReference w:id="7"/>
      </w:r>
      <w:r>
        <w:t xml:space="preserve"> testing; or </w:t>
      </w:r>
      <w:r w:rsidR="0072747B" w:rsidRPr="0072747B">
        <w:t xml:space="preserve">purified protein derivative </w:t>
      </w:r>
      <w:r w:rsidR="0072747B">
        <w:t>(</w:t>
      </w:r>
      <w:r>
        <w:t>PPD</w:t>
      </w:r>
      <w:r w:rsidR="0072747B">
        <w:t>)</w:t>
      </w:r>
      <w:r>
        <w:t xml:space="preserve"> skin testing in countries without QuantiFeron Gold® testing) were taken at baseline and were to be performed at least annually in continuing subjects.</w:t>
      </w:r>
    </w:p>
    <w:p w:rsidR="00D24962" w:rsidRDefault="00E229FD" w:rsidP="00647E97">
      <w:pPr>
        <w:pStyle w:val="ListBullet"/>
      </w:pPr>
      <w:r>
        <w:t>Vital signs such as blood pressure, pulse rate, subject weight and temperature were performed at each scheduled study visit</w:t>
      </w:r>
      <w:r w:rsidR="00D24962">
        <w:t>.</w:t>
      </w:r>
    </w:p>
    <w:p w:rsidR="00E229FD" w:rsidRDefault="00E229FD" w:rsidP="00647E97">
      <w:pPr>
        <w:pStyle w:val="ListBullet"/>
      </w:pPr>
      <w:r>
        <w:t>Urine pregnancy testing was performed at baseline and every scheduled study visit (</w:t>
      </w:r>
      <w:r w:rsidR="0072747B">
        <w:t>that is,</w:t>
      </w:r>
      <w:r>
        <w:t xml:space="preserve"> at least every 4 weeks in both studies) in women of reproductive age.</w:t>
      </w:r>
    </w:p>
    <w:p w:rsidR="00D24962" w:rsidRDefault="00E229FD" w:rsidP="00647E97">
      <w:pPr>
        <w:pStyle w:val="ListBullet"/>
      </w:pPr>
      <w:r>
        <w:t xml:space="preserve">Serum for anti-drug antibodies to ADA (AAA) was collected at baseline and </w:t>
      </w:r>
      <w:r w:rsidR="0072747B">
        <w:t>W</w:t>
      </w:r>
      <w:r>
        <w:t xml:space="preserve">eeks 12, 24, 36 and </w:t>
      </w:r>
      <w:r w:rsidR="0072747B">
        <w:t>W</w:t>
      </w:r>
      <w:r>
        <w:t xml:space="preserve">eek 52 for Study M11-328; and for Study M04-717 was collected at baseline and </w:t>
      </w:r>
      <w:r w:rsidR="0072747B">
        <w:t>W</w:t>
      </w:r>
      <w:r>
        <w:t xml:space="preserve">eeks 11 and 16 of Period A, </w:t>
      </w:r>
      <w:r w:rsidR="0072747B">
        <w:t>W</w:t>
      </w:r>
      <w:r>
        <w:t xml:space="preserve">eeks 12 and 16 of Period B, baseline and </w:t>
      </w:r>
      <w:r w:rsidR="0072747B">
        <w:t>W</w:t>
      </w:r>
      <w:r>
        <w:t xml:space="preserve">eek 11 of Period C, as well as at baseline and </w:t>
      </w:r>
      <w:r w:rsidR="0072747B">
        <w:t>W</w:t>
      </w:r>
      <w:r>
        <w:t>eeks 8 and 16 of Period D</w:t>
      </w:r>
      <w:r w:rsidR="00D24962">
        <w:t>.</w:t>
      </w:r>
    </w:p>
    <w:p w:rsidR="00E229FD" w:rsidRPr="00E229FD" w:rsidRDefault="00E229FD" w:rsidP="0072747B">
      <w:pPr>
        <w:pStyle w:val="ListBullet"/>
      </w:pPr>
      <w:r>
        <w:t xml:space="preserve">AE reporting was summarised by the Medical Dictionary for Regulatory Activities (MedDRA) classification using the System Organ Class (SOC) and Preferred Term (PT) nomenclature. In Study M11-328, version 15.1 of the MedDRA classification was used and in Study M04-717, version 16.0 of the MedDRA classification was used. AEs were also graded according to the National cancer Institute’s </w:t>
      </w:r>
      <w:r w:rsidR="0072747B">
        <w:t xml:space="preserve">(NCI’s) </w:t>
      </w:r>
      <w:r>
        <w:t>Common Terminology Criteria</w:t>
      </w:r>
      <w:r w:rsidR="0072747B">
        <w:t xml:space="preserve"> (CTC)</w:t>
      </w:r>
      <w:r>
        <w:t>.</w:t>
      </w:r>
    </w:p>
    <w:p w:rsidR="00605AD4" w:rsidRDefault="00605AD4" w:rsidP="00605AD4">
      <w:pPr>
        <w:pStyle w:val="Heading4"/>
      </w:pPr>
      <w:r w:rsidRPr="00605AD4">
        <w:t>Patient exposure</w:t>
      </w:r>
    </w:p>
    <w:p w:rsidR="00E229FD" w:rsidRPr="007D3D62" w:rsidRDefault="00E229FD" w:rsidP="0072747B">
      <w:pPr>
        <w:pStyle w:val="Heading5"/>
      </w:pPr>
      <w:proofErr w:type="spellStart"/>
      <w:r w:rsidRPr="007D3D62">
        <w:t>Enthesitis</w:t>
      </w:r>
      <w:proofErr w:type="spellEnd"/>
      <w:r w:rsidRPr="007D3D62">
        <w:t xml:space="preserve"> </w:t>
      </w:r>
      <w:r w:rsidR="00CF74B3" w:rsidRPr="007D3D62">
        <w:t>related arthritis</w:t>
      </w:r>
    </w:p>
    <w:p w:rsidR="00E229FD" w:rsidRPr="00696496" w:rsidRDefault="00E229FD" w:rsidP="0072747B">
      <w:pPr>
        <w:pStyle w:val="Heading6"/>
      </w:pPr>
      <w:r w:rsidRPr="00696496">
        <w:t xml:space="preserve">Blinded </w:t>
      </w:r>
      <w:r w:rsidR="00CF74B3" w:rsidRPr="00696496">
        <w:t>study period</w:t>
      </w:r>
    </w:p>
    <w:p w:rsidR="00D24962" w:rsidRDefault="00E229FD" w:rsidP="00E229FD">
      <w:pPr>
        <w:autoSpaceDE w:val="0"/>
        <w:autoSpaceDN w:val="0"/>
        <w:adjustRightInd w:val="0"/>
      </w:pPr>
      <w:r>
        <w:t xml:space="preserve">In the pivotal Study M11-328, a total of 46 subjects were randomised and all received at least 1 dose of study medication in the </w:t>
      </w:r>
      <w:r w:rsidR="003C3B4F">
        <w:t>double blind</w:t>
      </w:r>
      <w:r>
        <w:t xml:space="preserve"> phase (first 12 weeks): 31 patients in the ADA treatment group and 15 patients in the PBO arm. The mean duration (SD) of study treatment in the </w:t>
      </w:r>
      <w:r w:rsidR="003C3B4F">
        <w:t>double blind</w:t>
      </w:r>
      <w:r>
        <w:t xml:space="preserve"> period of Study M11-328 was similar between the 2 treatment groups at 76.3-78.5 days (15.6-17.14 days), with a range of 27 to 91 days (median 84 days)</w:t>
      </w:r>
      <w:r w:rsidR="0072747B">
        <w:t>; see</w:t>
      </w:r>
      <w:r>
        <w:t xml:space="preserve"> Table </w:t>
      </w:r>
      <w:r w:rsidR="0072747B">
        <w:t>4</w:t>
      </w:r>
      <w:r>
        <w:t xml:space="preserve">. The overall exposure to ADA in the </w:t>
      </w:r>
      <w:r w:rsidR="003C3B4F">
        <w:t>double blind</w:t>
      </w:r>
      <w:r>
        <w:t xml:space="preserve"> period of Study M11-328 was 6.7 patient-years (PY) and the overall observation with PBO therapy was 3.1 PY</w:t>
      </w:r>
      <w:r w:rsidR="00D24962">
        <w:t>.</w:t>
      </w:r>
    </w:p>
    <w:p w:rsidR="00D24962" w:rsidRDefault="00E229FD" w:rsidP="0072747B">
      <w:pPr>
        <w:pStyle w:val="TableTitle"/>
      </w:pPr>
      <w:r>
        <w:lastRenderedPageBreak/>
        <w:t xml:space="preserve">Table </w:t>
      </w:r>
      <w:r w:rsidR="0072747B">
        <w:t>4:</w:t>
      </w:r>
      <w:r>
        <w:t xml:space="preserve"> Treatment Exposure in </w:t>
      </w:r>
      <w:r w:rsidR="003C3B4F">
        <w:t>Double blind</w:t>
      </w:r>
      <w:r>
        <w:t xml:space="preserve"> Period of Study M11-328</w:t>
      </w:r>
    </w:p>
    <w:p w:rsidR="00E229FD" w:rsidRDefault="00E229FD" w:rsidP="00E229FD">
      <w:pPr>
        <w:autoSpaceDE w:val="0"/>
        <w:autoSpaceDN w:val="0"/>
        <w:adjustRightInd w:val="0"/>
      </w:pPr>
      <w:r>
        <w:rPr>
          <w:noProof/>
          <w:lang w:eastAsia="en-AU"/>
        </w:rPr>
        <w:drawing>
          <wp:inline distT="0" distB="0" distL="0" distR="0" wp14:anchorId="09D8749B" wp14:editId="4FFE050C">
            <wp:extent cx="4636660" cy="2655418"/>
            <wp:effectExtent l="0" t="0" r="0" b="0"/>
            <wp:docPr id="5" name="Picture 5" descr="Table 4: Treatment Exposure in Double blind Period of Study M11-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44903" cy="2660139"/>
                    </a:xfrm>
                    <a:prstGeom prst="rect">
                      <a:avLst/>
                    </a:prstGeom>
                    <a:noFill/>
                    <a:ln>
                      <a:noFill/>
                    </a:ln>
                  </pic:spPr>
                </pic:pic>
              </a:graphicData>
            </a:graphic>
          </wp:inline>
        </w:drawing>
      </w:r>
    </w:p>
    <w:p w:rsidR="00E229FD" w:rsidRPr="00696496" w:rsidRDefault="00E229FD" w:rsidP="00E229FD">
      <w:pPr>
        <w:autoSpaceDE w:val="0"/>
        <w:autoSpaceDN w:val="0"/>
        <w:adjustRightInd w:val="0"/>
        <w:rPr>
          <w:i/>
        </w:rPr>
      </w:pPr>
      <w:r w:rsidRPr="00696496">
        <w:rPr>
          <w:i/>
        </w:rPr>
        <w:t xml:space="preserve">Total </w:t>
      </w:r>
      <w:r w:rsidR="00CF74B3" w:rsidRPr="00696496">
        <w:rPr>
          <w:i/>
        </w:rPr>
        <w:t>study period</w:t>
      </w:r>
    </w:p>
    <w:p w:rsidR="00E229FD" w:rsidRDefault="00E229FD" w:rsidP="00E229FD">
      <w:pPr>
        <w:autoSpaceDE w:val="0"/>
        <w:autoSpaceDN w:val="0"/>
        <w:adjustRightInd w:val="0"/>
      </w:pPr>
      <w:r>
        <w:t>Including the long-term, OL extension period of Study M11-328, the overall mean exposure to ADA is 338 days (median of 367 days), which reflects 12</w:t>
      </w:r>
      <w:r w:rsidR="0072747B">
        <w:t xml:space="preserve"> to </w:t>
      </w:r>
      <w:r>
        <w:t>13 months of treatment exposure</w:t>
      </w:r>
      <w:r w:rsidR="0072747B">
        <w:t xml:space="preserve">; see </w:t>
      </w:r>
      <w:r>
        <w:t xml:space="preserve">Table </w:t>
      </w:r>
      <w:r w:rsidR="0072747B">
        <w:t>5.</w:t>
      </w:r>
      <w:r w:rsidR="00184B82">
        <w:t xml:space="preserve"> </w:t>
      </w:r>
      <w:r>
        <w:t>The overall exposure to ADA for the 46 subjects in Study M11-328 is 42.6 PY.</w:t>
      </w:r>
    </w:p>
    <w:p w:rsidR="00E229FD" w:rsidRDefault="00E229FD" w:rsidP="0072747B">
      <w:pPr>
        <w:pStyle w:val="TableTitle"/>
      </w:pPr>
      <w:r>
        <w:t xml:space="preserve">Table </w:t>
      </w:r>
      <w:r w:rsidR="0072747B">
        <w:t>5:</w:t>
      </w:r>
      <w:r>
        <w:t xml:space="preserve"> Overall Exposure to Adalimumab in Study M11-328</w:t>
      </w:r>
    </w:p>
    <w:p w:rsidR="00E229FD" w:rsidRDefault="00E229FD" w:rsidP="00E229FD">
      <w:pPr>
        <w:autoSpaceDE w:val="0"/>
        <w:autoSpaceDN w:val="0"/>
        <w:adjustRightInd w:val="0"/>
      </w:pPr>
      <w:r>
        <w:rPr>
          <w:noProof/>
          <w:lang w:eastAsia="en-AU"/>
        </w:rPr>
        <w:drawing>
          <wp:inline distT="0" distB="0" distL="0" distR="0" wp14:anchorId="5F1473AD" wp14:editId="2EA69747">
            <wp:extent cx="4701160" cy="3906317"/>
            <wp:effectExtent l="0" t="0" r="4445" b="0"/>
            <wp:docPr id="4" name="Picture 4" descr="Table 5: Overall Exposure to Adalimumab in Study M11-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03469" cy="3908236"/>
                    </a:xfrm>
                    <a:prstGeom prst="rect">
                      <a:avLst/>
                    </a:prstGeom>
                    <a:noFill/>
                    <a:ln>
                      <a:noFill/>
                    </a:ln>
                  </pic:spPr>
                </pic:pic>
              </a:graphicData>
            </a:graphic>
          </wp:inline>
        </w:drawing>
      </w:r>
    </w:p>
    <w:p w:rsidR="00E229FD" w:rsidRPr="00036F3F" w:rsidRDefault="00E229FD" w:rsidP="0072747B">
      <w:pPr>
        <w:pStyle w:val="Heading5"/>
      </w:pPr>
      <w:r w:rsidRPr="00036F3F">
        <w:t xml:space="preserve">Paediatric </w:t>
      </w:r>
      <w:r w:rsidR="00CF74B3">
        <w:t>p</w:t>
      </w:r>
      <w:r w:rsidRPr="00036F3F">
        <w:t>soriasis</w:t>
      </w:r>
    </w:p>
    <w:p w:rsidR="00E229FD" w:rsidRDefault="00E229FD" w:rsidP="00E229FD">
      <w:pPr>
        <w:autoSpaceDE w:val="0"/>
        <w:autoSpaceDN w:val="0"/>
        <w:adjustRightInd w:val="0"/>
      </w:pPr>
      <w:r>
        <w:t xml:space="preserve">The safety data collected in Study M04-717 will be presented by each study period as well as the overall cumulative exposure. However, because Period A is the primary treatment phase (of 16 weeks duration) with a </w:t>
      </w:r>
      <w:r w:rsidR="003C3B4F">
        <w:t>double blind</w:t>
      </w:r>
      <w:r>
        <w:t xml:space="preserve">, active treatment comparator (2 </w:t>
      </w:r>
      <w:r>
        <w:lastRenderedPageBreak/>
        <w:t>different doses of ADA and MTX) there will be a focus on this exposure period in the evaluation report.</w:t>
      </w:r>
    </w:p>
    <w:p w:rsidR="00E229FD" w:rsidRPr="002F6DBF" w:rsidRDefault="00E229FD" w:rsidP="0072747B">
      <w:pPr>
        <w:pStyle w:val="Heading6"/>
      </w:pPr>
      <w:r w:rsidRPr="002F6DBF">
        <w:t>Period A</w:t>
      </w:r>
    </w:p>
    <w:p w:rsidR="00E229FD" w:rsidRDefault="00E229FD" w:rsidP="00E229FD">
      <w:pPr>
        <w:autoSpaceDE w:val="0"/>
        <w:autoSpaceDN w:val="0"/>
        <w:adjustRightInd w:val="0"/>
      </w:pPr>
      <w:r>
        <w:t xml:space="preserve">During the primary, </w:t>
      </w:r>
      <w:r w:rsidR="003C3B4F">
        <w:t>double blind</w:t>
      </w:r>
      <w:r>
        <w:t xml:space="preserve"> treatment phase of Study M04-717, the mean duration of treatment with ADA (0.4 or 0.8 mg/kg) was 112.4 days versus 104.1 days for MTX</w:t>
      </w:r>
      <w:r w:rsidR="0072747B">
        <w:t xml:space="preserve"> (see </w:t>
      </w:r>
      <w:r>
        <w:t xml:space="preserve">Table </w:t>
      </w:r>
      <w:r w:rsidR="0072747B">
        <w:t>6)</w:t>
      </w:r>
      <w:r>
        <w:t xml:space="preserve">. More than two thirds of all subjects (67.5%; 52/77) treated with ADA (either dose) in Period A were exposed to drug for between 113 and 140 days. In contrast, less than half of all subjects (45.9%; 17/37) treated with MTX in Period A were exposed to drug for between 113 and 140 days. The mean total dose of MTX used in Period A was 120.1 +/- 80.2 mg, which correlates to a mean weekly dose of 8.0 +/-4.7 mg. The overall exposure to study medication in Period </w:t>
      </w:r>
      <w:proofErr w:type="gramStart"/>
      <w:r>
        <w:t>A</w:t>
      </w:r>
      <w:proofErr w:type="gramEnd"/>
      <w:r>
        <w:t xml:space="preserve"> of Study M04-717 was 10.67 PY for the MTX group, 11.77 PY for ADA 0.4 mg/kg and 11.93 PY for ADA 0.8 mg/kg (and 23.7 PY for the combined ADA treatment dataset).</w:t>
      </w:r>
    </w:p>
    <w:p w:rsidR="00D24962" w:rsidRDefault="00E229FD" w:rsidP="00737373">
      <w:pPr>
        <w:pStyle w:val="TableTitle"/>
      </w:pPr>
      <w:r>
        <w:t xml:space="preserve">Table </w:t>
      </w:r>
      <w:r w:rsidR="00737373">
        <w:t>6:</w:t>
      </w:r>
      <w:r w:rsidR="00184B82">
        <w:t xml:space="preserve"> </w:t>
      </w:r>
      <w:r>
        <w:t>Treatment Exposure in Period A (initial 16 weeks) of Study M04-717</w:t>
      </w:r>
    </w:p>
    <w:p w:rsidR="00E229FD" w:rsidRDefault="00E229FD" w:rsidP="00E229FD">
      <w:pPr>
        <w:autoSpaceDE w:val="0"/>
        <w:autoSpaceDN w:val="0"/>
        <w:adjustRightInd w:val="0"/>
      </w:pPr>
      <w:r>
        <w:rPr>
          <w:noProof/>
          <w:lang w:eastAsia="en-AU"/>
        </w:rPr>
        <w:drawing>
          <wp:inline distT="0" distB="0" distL="0" distR="0" wp14:anchorId="48065A0E" wp14:editId="36B9AE11">
            <wp:extent cx="4710073" cy="2582266"/>
            <wp:effectExtent l="0" t="0" r="0" b="8890"/>
            <wp:docPr id="3" name="Picture 3" descr="Table 6: Treatment Exposure in Period A (initial 16 weeks) of Study M04-717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10094" cy="2582278"/>
                    </a:xfrm>
                    <a:prstGeom prst="rect">
                      <a:avLst/>
                    </a:prstGeom>
                    <a:noFill/>
                    <a:ln>
                      <a:noFill/>
                    </a:ln>
                  </pic:spPr>
                </pic:pic>
              </a:graphicData>
            </a:graphic>
          </wp:inline>
        </w:drawing>
      </w:r>
    </w:p>
    <w:p w:rsidR="00E229FD" w:rsidRPr="002F6DBF" w:rsidRDefault="00E229FD" w:rsidP="00E229FD">
      <w:pPr>
        <w:autoSpaceDE w:val="0"/>
        <w:autoSpaceDN w:val="0"/>
        <w:adjustRightInd w:val="0"/>
        <w:rPr>
          <w:i/>
        </w:rPr>
      </w:pPr>
      <w:r w:rsidRPr="002F6DBF">
        <w:rPr>
          <w:i/>
        </w:rPr>
        <w:t xml:space="preserve">Total </w:t>
      </w:r>
      <w:r w:rsidR="00CF74B3" w:rsidRPr="002F6DBF">
        <w:rPr>
          <w:i/>
        </w:rPr>
        <w:t>cumulative exposure</w:t>
      </w:r>
    </w:p>
    <w:p w:rsidR="00E229FD" w:rsidRDefault="00E229FD" w:rsidP="00E229FD">
      <w:pPr>
        <w:autoSpaceDE w:val="0"/>
        <w:autoSpaceDN w:val="0"/>
        <w:adjustRightInd w:val="0"/>
      </w:pPr>
      <w:r>
        <w:t xml:space="preserve">Table </w:t>
      </w:r>
      <w:r w:rsidR="00FD2373">
        <w:t>7</w:t>
      </w:r>
      <w:r>
        <w:t xml:space="preserve"> provides a summary of the total duration of treatment exposure to injectable study medication (stratified by initial randomised treatment group) in Study M04-717. The mean cumulative exposure to injectable study medication (ADA and PBO) for subjects initially randomised to ADA was 379.7 days (median 436 days; range: 65-611 days).</w:t>
      </w:r>
    </w:p>
    <w:p w:rsidR="00E229FD" w:rsidRDefault="00E229FD" w:rsidP="00FD2373">
      <w:pPr>
        <w:pStyle w:val="TableTitle"/>
      </w:pPr>
      <w:r>
        <w:t xml:space="preserve">Table </w:t>
      </w:r>
      <w:r w:rsidR="00FD2373">
        <w:t>7:</w:t>
      </w:r>
      <w:r w:rsidR="00184B82">
        <w:t xml:space="preserve"> </w:t>
      </w:r>
      <w:r>
        <w:t>Cumulative Exposure to Injectable Study Medication in Study M04-717</w:t>
      </w:r>
    </w:p>
    <w:p w:rsidR="00E229FD" w:rsidRDefault="00E229FD" w:rsidP="00E229FD">
      <w:pPr>
        <w:autoSpaceDE w:val="0"/>
        <w:autoSpaceDN w:val="0"/>
        <w:adjustRightInd w:val="0"/>
      </w:pPr>
      <w:r>
        <w:rPr>
          <w:noProof/>
          <w:lang w:eastAsia="en-AU"/>
        </w:rPr>
        <w:drawing>
          <wp:inline distT="0" distB="0" distL="0" distR="0" wp14:anchorId="0C5799FF" wp14:editId="17BB7A9F">
            <wp:extent cx="4724804" cy="2084832"/>
            <wp:effectExtent l="0" t="0" r="0" b="0"/>
            <wp:docPr id="2" name="Picture 2" descr="Table 7: Cumulative Exposure to Injectable Study Medication in Study M04-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23744" cy="2084364"/>
                    </a:xfrm>
                    <a:prstGeom prst="rect">
                      <a:avLst/>
                    </a:prstGeom>
                    <a:noFill/>
                    <a:ln>
                      <a:noFill/>
                    </a:ln>
                  </pic:spPr>
                </pic:pic>
              </a:graphicData>
            </a:graphic>
          </wp:inline>
        </w:drawing>
      </w:r>
    </w:p>
    <w:p w:rsidR="00605AD4" w:rsidRDefault="00605AD4" w:rsidP="00605AD4">
      <w:pPr>
        <w:pStyle w:val="Heading4"/>
      </w:pPr>
      <w:r w:rsidRPr="00605AD4">
        <w:lastRenderedPageBreak/>
        <w:t>Safety issues with the potential for major regulatory impact</w:t>
      </w:r>
    </w:p>
    <w:p w:rsidR="00E229FD" w:rsidRPr="004C62F8" w:rsidRDefault="00E229FD" w:rsidP="00FD2373">
      <w:pPr>
        <w:pStyle w:val="Heading5"/>
      </w:pPr>
      <w:bookmarkStart w:id="80" w:name="_Toc272414681"/>
      <w:bookmarkStart w:id="81" w:name="_Toc290888545"/>
      <w:bookmarkStart w:id="82" w:name="_Toc447549526"/>
      <w:r w:rsidRPr="004C62F8">
        <w:t xml:space="preserve">Serious and </w:t>
      </w:r>
      <w:r w:rsidR="00CF74B3" w:rsidRPr="004C62F8">
        <w:t>opportunistic infection</w:t>
      </w:r>
      <w:bookmarkEnd w:id="80"/>
      <w:bookmarkEnd w:id="81"/>
      <w:bookmarkEnd w:id="82"/>
    </w:p>
    <w:p w:rsidR="00D24962" w:rsidRDefault="00E229FD" w:rsidP="00E229FD">
      <w:pPr>
        <w:autoSpaceDE w:val="0"/>
        <w:autoSpaceDN w:val="0"/>
        <w:adjustRightInd w:val="0"/>
      </w:pPr>
      <w:r>
        <w:t>In both clinical studies presented in this submission, there was a very low incidence of serious, treatment related infection although minor infections (particularly involving the upper respiratory tract) were common. Several subjects in both studies experienced oral herpes or varicella-zoster infection. None of these infections resulted in permanent discontinuation from ADA. Screening for tuberculosis was a requirement of screening at baseline in both studies. Two patients in Study M04-717 experienced tuberculosis during the trial which required the concomitant administration of isoniazid. No other invasive opportunistic infections were reported in either study</w:t>
      </w:r>
      <w:r w:rsidR="00D24962">
        <w:t>.</w:t>
      </w:r>
    </w:p>
    <w:p w:rsidR="00E229FD" w:rsidRPr="004C62F8" w:rsidRDefault="00E229FD" w:rsidP="00FD2373">
      <w:pPr>
        <w:pStyle w:val="Heading5"/>
      </w:pPr>
      <w:bookmarkStart w:id="83" w:name="_Toc272414682"/>
      <w:bookmarkStart w:id="84" w:name="_Toc290888546"/>
      <w:bookmarkStart w:id="85" w:name="_Toc447549527"/>
      <w:r w:rsidRPr="004C62F8">
        <w:t>Malignancy</w:t>
      </w:r>
      <w:bookmarkEnd w:id="83"/>
      <w:bookmarkEnd w:id="84"/>
      <w:r w:rsidRPr="004C62F8">
        <w:t xml:space="preserve"> </w:t>
      </w:r>
      <w:r w:rsidR="00CF74B3">
        <w:t>p</w:t>
      </w:r>
      <w:r w:rsidRPr="004C62F8">
        <w:t>otential</w:t>
      </w:r>
      <w:bookmarkEnd w:id="85"/>
    </w:p>
    <w:p w:rsidR="00D24962" w:rsidRDefault="00E229FD" w:rsidP="00E229FD">
      <w:pPr>
        <w:autoSpaceDE w:val="0"/>
        <w:autoSpaceDN w:val="0"/>
        <w:adjustRightInd w:val="0"/>
      </w:pPr>
      <w:r>
        <w:t>No cases of malignancy were reported in either of the pivotal studies included in this submission, however, reports of malignancy (in particular, lymphoma and skin malignancies) have been reported with anti-TNF therapy when used in both adult and paediatric treatment populations. Malignancies associated with ADA therapy have been reported at a median of 30 months of treatment follow-up and the for the 2 new treatment indications, there is only a median of 13-15 months of reported follow-up. This issue will require ongoing pharmacovigilance.</w:t>
      </w:r>
      <w:r w:rsidR="00184B82">
        <w:t xml:space="preserve"> </w:t>
      </w:r>
    </w:p>
    <w:p w:rsidR="00D24962" w:rsidRDefault="00E229FD" w:rsidP="00FD2373">
      <w:pPr>
        <w:pStyle w:val="Heading5"/>
      </w:pPr>
      <w:bookmarkStart w:id="86" w:name="_Toc241374323"/>
      <w:bookmarkStart w:id="87" w:name="_Toc272414685"/>
      <w:bookmarkStart w:id="88" w:name="_Toc290888549"/>
      <w:bookmarkStart w:id="89" w:name="_Toc447549528"/>
      <w:r w:rsidRPr="004C62F8">
        <w:t>Unwanted immunological events</w:t>
      </w:r>
      <w:bookmarkEnd w:id="86"/>
      <w:bookmarkEnd w:id="87"/>
      <w:bookmarkEnd w:id="88"/>
      <w:bookmarkEnd w:id="89"/>
    </w:p>
    <w:p w:rsidR="00E229FD" w:rsidRDefault="00E229FD" w:rsidP="00E229FD">
      <w:pPr>
        <w:autoSpaceDE w:val="0"/>
        <w:autoSpaceDN w:val="0"/>
        <w:adjustRightInd w:val="0"/>
      </w:pPr>
      <w:r>
        <w:t>Injection site reactions were observed in 15.2% of patients in Study M11-328 and 10.5% of subjects in Study M04-717. The majority of these AEs were mild in severity and did not result in drug discontinuation. There was also a relatively low incidence of developing anti-adalimumab antibodies (11% in ERA and 13% in paediatric PSOR) and their clinical relevance is yet to be defined with no discernible link to safety concerns. Generalised allergic or systemic hypersensitivity reactions were rarely observed in the 2 new studies although 1 subject discontinued from Study M04-717 due to severe generalised urticaria in association with ADA.</w:t>
      </w:r>
    </w:p>
    <w:p w:rsidR="00E229FD" w:rsidRDefault="00E229FD" w:rsidP="00FD2373">
      <w:pPr>
        <w:pStyle w:val="Heading5"/>
      </w:pPr>
      <w:bookmarkStart w:id="90" w:name="_Toc447549529"/>
      <w:r>
        <w:t xml:space="preserve">Hepatic </w:t>
      </w:r>
      <w:r w:rsidR="00CF74B3">
        <w:t>e</w:t>
      </w:r>
      <w:r>
        <w:t>vents</w:t>
      </w:r>
      <w:bookmarkEnd w:id="90"/>
    </w:p>
    <w:p w:rsidR="00E229FD" w:rsidRPr="00E229FD" w:rsidRDefault="00E229FD" w:rsidP="00E229FD">
      <w:r>
        <w:t xml:space="preserve">In adult patients treated with ADA there have been rare reports of liver failure, other clinical hepatic events (such as autoimmune hepatitis) and abnormal liver function tests. In the JIA trials, the incidence of raised serum transaminases in subjects treated with ADA was 4.4%, but no significant clinical hepatic events were observed. In the 2 newly submitted studies, no significant clinical hepatic AEs were reported but there was low incidence of abnormal liver function tests seen in both ERA and PSOR patients, which is consistent with the previous experience (rate and pattern) of that observed in the previous JIA trials </w:t>
      </w:r>
      <w:r w:rsidR="00FD2373">
        <w:t>(see Attachment 2</w:t>
      </w:r>
      <w:r>
        <w:t xml:space="preserve"> </w:t>
      </w:r>
      <w:r w:rsidR="00FD2373">
        <w:t xml:space="preserve">for more details </w:t>
      </w:r>
      <w:r>
        <w:t>regarding abnormal liver function tests in Studies M11-328 and M04-717</w:t>
      </w:r>
      <w:r w:rsidR="00FD2373">
        <w:t>)</w:t>
      </w:r>
      <w:r>
        <w:t>.</w:t>
      </w:r>
    </w:p>
    <w:p w:rsidR="00605AD4" w:rsidRDefault="00605AD4" w:rsidP="00605AD4">
      <w:pPr>
        <w:pStyle w:val="Heading4"/>
      </w:pPr>
      <w:r w:rsidRPr="00605AD4">
        <w:t>Evaluator’s conclusions on safety</w:t>
      </w:r>
    </w:p>
    <w:p w:rsidR="00E229FD" w:rsidRDefault="00E229FD" w:rsidP="00E229FD">
      <w:pPr>
        <w:autoSpaceDE w:val="0"/>
        <w:autoSpaceDN w:val="0"/>
        <w:adjustRightInd w:val="0"/>
      </w:pPr>
      <w:r>
        <w:t>In this submission, the total clinical safety dataset for the use of ADA in patients aged 6</w:t>
      </w:r>
      <w:r w:rsidR="00FD2373">
        <w:t xml:space="preserve"> to </w:t>
      </w:r>
      <w:r>
        <w:t>17 years with active ERA consists of 46 patients treated with ADA for a median of 13 months in 1 pivotal Study (M11-328). The majority of subjects in this trial received ADA 30</w:t>
      </w:r>
      <w:r w:rsidR="00FD2373">
        <w:t xml:space="preserve"> to </w:t>
      </w:r>
      <w:r>
        <w:t>40 mg fortnightly by SC injection. About half of the patients in the dataset received concurrent MTX. For the paediatric PSOR treatment indication, a total of 114 patients aged between 4 and 17 years of age received either low dose oral MTX or ADA injections for severe PSOR (0.4 mg/kg or 0.8 mg/kg). In the pivotal paediatric PSOR Study M04-717, the overall median exposure to ADA in 77 treated subjects was for 436 days, which is a sufficient volume data to make a meaningful assessment of safety at least for up to 15 months of treatment in the paediatric population with either ERA or PSOR.</w:t>
      </w:r>
    </w:p>
    <w:p w:rsidR="00E229FD" w:rsidRDefault="00E229FD" w:rsidP="00E229FD">
      <w:pPr>
        <w:autoSpaceDE w:val="0"/>
        <w:autoSpaceDN w:val="0"/>
        <w:adjustRightInd w:val="0"/>
      </w:pPr>
      <w:r>
        <w:lastRenderedPageBreak/>
        <w:t>Infection was the most common AE recognised in the ADA in both studies with more than half of all patients experiencing an infection related AE.</w:t>
      </w:r>
      <w:r w:rsidR="00184B82">
        <w:t xml:space="preserve"> </w:t>
      </w:r>
      <w:r>
        <w:t xml:space="preserve">The majority of infections were mild in severity, self-limiting and predominately involved either the upper respiratory tract (nasopharyngitis and </w:t>
      </w:r>
      <w:r w:rsidR="00FD2373">
        <w:t>upper respiratory tract infection (</w:t>
      </w:r>
      <w:r>
        <w:t>URTI</w:t>
      </w:r>
      <w:r w:rsidR="00FD2373">
        <w:t>)</w:t>
      </w:r>
      <w:r>
        <w:t>) or gastrointestinal system.</w:t>
      </w:r>
      <w:r w:rsidR="00184B82">
        <w:t xml:space="preserve"> </w:t>
      </w:r>
      <w:r>
        <w:t>However, there were several reports of oral herpes and zoster infection, as well as 2 cases of reactivated tuberculosis in Study M04-717. It is unclear if the use of concurrent MTX and/or corticosteroid increases the risk of infection associated with ADA. Subject age did not appear to be a determinant of the risk of infection. In the paediatric PSOR trial were ADA 0.8 mg/kg was compared with low dose ADA (0.4 mg/kg) and oral MTX, the risk of infection was comparable to other systemic based therapies.</w:t>
      </w:r>
    </w:p>
    <w:p w:rsidR="00E229FD" w:rsidRDefault="00E229FD" w:rsidP="00E229FD">
      <w:pPr>
        <w:autoSpaceDE w:val="0"/>
        <w:autoSpaceDN w:val="0"/>
        <w:adjustRightInd w:val="0"/>
      </w:pPr>
      <w:r>
        <w:t>Injection site reactions were a relatively common type of AE occurring in patients receiving ADA. In Study M11-328, 7 subjects (15.2% of 46) experienced an injection reaction (pain and/or erythema) and 12 patients (10.5% of 114) reported this type of AE in Study M04-717. The majority of injection site reactions were mild, resolved without specific intervention and did not result in discontinuation from ADA treatment.</w:t>
      </w:r>
    </w:p>
    <w:p w:rsidR="00E229FD" w:rsidRDefault="00E229FD" w:rsidP="00E229FD">
      <w:pPr>
        <w:autoSpaceDE w:val="0"/>
        <w:autoSpaceDN w:val="0"/>
        <w:adjustRightInd w:val="0"/>
      </w:pPr>
      <w:r>
        <w:t xml:space="preserve">No treatment related deaths were reported in either of the pivotal studies. The rate of treatment related </w:t>
      </w:r>
      <w:r w:rsidR="00041E58">
        <w:t>serious AEs (</w:t>
      </w:r>
      <w:r>
        <w:t>SAEs</w:t>
      </w:r>
      <w:r w:rsidR="00041E58">
        <w:t>)</w:t>
      </w:r>
      <w:r>
        <w:t xml:space="preserve"> was low (2-4%) in both treatment cohorts and the incidence of discontinuation due to AEs was also very low (2 cases in both pivotal studies). One patient in each trial discontinued due to skin reactions following ADA therapy (1 case of injection site pain with pruritus, and 1 case of severe generalised urticaria).</w:t>
      </w:r>
    </w:p>
    <w:p w:rsidR="00E229FD" w:rsidRDefault="00E229FD" w:rsidP="00E229FD">
      <w:pPr>
        <w:autoSpaceDE w:val="0"/>
        <w:autoSpaceDN w:val="0"/>
        <w:adjustRightInd w:val="0"/>
      </w:pPr>
      <w:r>
        <w:t>Elevations in hepatic transaminases (</w:t>
      </w:r>
      <w:r w:rsidR="00041E58">
        <w:t>aspartate aminotransferase (</w:t>
      </w:r>
      <w:r>
        <w:t>AST</w:t>
      </w:r>
      <w:r w:rsidR="00041E58">
        <w:t>)</w:t>
      </w:r>
      <w:r>
        <w:t xml:space="preserve"> and </w:t>
      </w:r>
      <w:r w:rsidR="00041E58">
        <w:t>alanine aminotransferase (</w:t>
      </w:r>
      <w:r>
        <w:t>ALT</w:t>
      </w:r>
      <w:r w:rsidR="00041E58">
        <w:t>)</w:t>
      </w:r>
      <w:r>
        <w:t>) were recorded in up to 3</w:t>
      </w:r>
      <w:r w:rsidR="00041E58">
        <w:t xml:space="preserve"> to </w:t>
      </w:r>
      <w:r>
        <w:t>5% of patients treated with ADA in the 2 pivotal studies. The majority of these abnormalities in liver function tests were mild and without associated clinical implications. In addition, 3 ADA treated patients (1 in the ERA trial and 2 in the pa</w:t>
      </w:r>
      <w:r w:rsidR="00041E58">
        <w:t>ediatric PSOR study) developed G</w:t>
      </w:r>
      <w:r>
        <w:t>rade 3 neutropenia without clinical sequelae.</w:t>
      </w:r>
    </w:p>
    <w:p w:rsidR="00D24962" w:rsidRDefault="00E229FD" w:rsidP="00E229FD">
      <w:pPr>
        <w:autoSpaceDE w:val="0"/>
        <w:autoSpaceDN w:val="0"/>
        <w:adjustRightInd w:val="0"/>
      </w:pPr>
      <w:r>
        <w:t>The incidence of subjects developing anti-ADA antibodies is relatively low (11% in ERA and 13% in paediatric PSOR) and their clinical relevance is yet to be defined with no discernible link to the risk of infection, injection related reactions or any other significant safety concern</w:t>
      </w:r>
      <w:r w:rsidR="00D24962">
        <w:t>.</w:t>
      </w:r>
    </w:p>
    <w:p w:rsidR="00E229FD" w:rsidRDefault="00E229FD" w:rsidP="00E229FD">
      <w:pPr>
        <w:autoSpaceDE w:val="0"/>
        <w:autoSpaceDN w:val="0"/>
        <w:adjustRightInd w:val="0"/>
      </w:pPr>
      <w:r>
        <w:t>Overall, growth data</w:t>
      </w:r>
      <w:r w:rsidRPr="008253D7">
        <w:t xml:space="preserve"> measurements</w:t>
      </w:r>
      <w:r>
        <w:t xml:space="preserve"> (height, weight and </w:t>
      </w:r>
      <w:r w:rsidR="00041E58">
        <w:t>body mass index (</w:t>
      </w:r>
      <w:r>
        <w:t>BMI</w:t>
      </w:r>
      <w:r w:rsidR="00041E58">
        <w:t>)</w:t>
      </w:r>
      <w:r>
        <w:t xml:space="preserve">) in both studies </w:t>
      </w:r>
      <w:r w:rsidRPr="008253D7">
        <w:t xml:space="preserve">reflected the expected </w:t>
      </w:r>
      <w:r>
        <w:t>changes</w:t>
      </w:r>
      <w:r w:rsidRPr="008253D7">
        <w:t xml:space="preserve"> </w:t>
      </w:r>
      <w:r>
        <w:t>as a result of</w:t>
      </w:r>
      <w:r w:rsidRPr="008253D7">
        <w:t xml:space="preserve"> normal growth</w:t>
      </w:r>
      <w:r>
        <w:t xml:space="preserve"> in children and adolescents</w:t>
      </w:r>
      <w:r w:rsidRPr="008253D7">
        <w:t xml:space="preserve">. </w:t>
      </w:r>
      <w:r>
        <w:t>However, the study reports did not</w:t>
      </w:r>
      <w:r w:rsidRPr="008253D7">
        <w:t xml:space="preserve"> </w:t>
      </w:r>
      <w:r>
        <w:t>s</w:t>
      </w:r>
      <w:r w:rsidRPr="008253D7">
        <w:t>t</w:t>
      </w:r>
      <w:r>
        <w:t>ate any observed drug effect on development such as the Tanner assessment of sexual maturity.</w:t>
      </w:r>
    </w:p>
    <w:p w:rsidR="00E229FD" w:rsidRPr="00E229FD" w:rsidRDefault="00E229FD" w:rsidP="00041E58">
      <w:r>
        <w:t>In summary, the safety data included in this submission indicates that ADA has an acceptable overall safety profile over a median of 13 months of treatment follow-up in the treatment of patients aged between 6 and 17 years with active ERA or severe plaque PSOR. Safety data in both of the newly proposed treatment indications is consistent with the known safety profile in paediatric patients with other treatment indications (polyarticular JIA and Crohn’s disease) as well adult patients with severe PSOR. The current submission contains a small but sufficient volume of short and medium term safety data for the 2 newly requested indications but there is limited longitudinal (multi-year) safety follow-up. There are some significant safety concerns including the risk of serious infection, opportunistic infection, injection site reactions and abnormal liver function tests. Significant pharmacovigilance would be required if approval is granted for extension of treatment indications to include ERA and paediatric PSOR. This would include vigilance for opportunistic infections and malignancy.</w:t>
      </w:r>
    </w:p>
    <w:p w:rsidR="00605AD4" w:rsidRPr="00605AD4" w:rsidRDefault="00605AD4" w:rsidP="00605AD4">
      <w:pPr>
        <w:pStyle w:val="Heading3"/>
        <w:rPr>
          <w:rFonts w:eastAsia="Cambria"/>
        </w:rPr>
      </w:pPr>
      <w:bookmarkStart w:id="91" w:name="_Toc479772059"/>
      <w:r w:rsidRPr="00605AD4">
        <w:rPr>
          <w:rFonts w:eastAsia="Cambria"/>
        </w:rPr>
        <w:lastRenderedPageBreak/>
        <w:t xml:space="preserve">First </w:t>
      </w:r>
      <w:r w:rsidR="00CF74B3" w:rsidRPr="00605AD4">
        <w:rPr>
          <w:rFonts w:eastAsia="Cambria"/>
        </w:rPr>
        <w:t>round benefit-risk assessment</w:t>
      </w:r>
      <w:bookmarkEnd w:id="91"/>
    </w:p>
    <w:p w:rsidR="00E229FD" w:rsidRDefault="00E229FD" w:rsidP="00FD2373">
      <w:pPr>
        <w:pStyle w:val="Heading4"/>
      </w:pPr>
      <w:bookmarkStart w:id="92" w:name="_Toc236802592"/>
      <w:bookmarkStart w:id="93" w:name="_Toc241374331"/>
      <w:bookmarkStart w:id="94" w:name="_Ref272160836"/>
      <w:bookmarkStart w:id="95" w:name="_Toc272414693"/>
      <w:bookmarkStart w:id="96" w:name="_Toc290888557"/>
      <w:bookmarkStart w:id="97" w:name="_Toc447549532"/>
      <w:r>
        <w:t>First round assessment of benefits</w:t>
      </w:r>
      <w:bookmarkEnd w:id="92"/>
      <w:bookmarkEnd w:id="93"/>
      <w:bookmarkEnd w:id="94"/>
      <w:bookmarkEnd w:id="95"/>
      <w:bookmarkEnd w:id="96"/>
      <w:bookmarkEnd w:id="97"/>
    </w:p>
    <w:p w:rsidR="00E229FD" w:rsidRPr="00F500A8" w:rsidRDefault="00E229FD" w:rsidP="0041505C">
      <w:pPr>
        <w:pStyle w:val="Heading5"/>
      </w:pPr>
      <w:proofErr w:type="spellStart"/>
      <w:r w:rsidRPr="00F500A8">
        <w:t>Enthesitis</w:t>
      </w:r>
      <w:proofErr w:type="spellEnd"/>
      <w:r w:rsidRPr="00F500A8">
        <w:t xml:space="preserve"> </w:t>
      </w:r>
      <w:r w:rsidR="00CF74B3" w:rsidRPr="00F500A8">
        <w:t>related arthritis</w:t>
      </w:r>
    </w:p>
    <w:p w:rsidR="00E229FD" w:rsidRDefault="00E229FD" w:rsidP="00E229FD">
      <w:r>
        <w:t>The benefits of ADA in the proposed usage are:</w:t>
      </w:r>
    </w:p>
    <w:p w:rsidR="00E229FD" w:rsidRDefault="00E229FD" w:rsidP="0041505C">
      <w:pPr>
        <w:pStyle w:val="ListBullet"/>
      </w:pPr>
      <w:r>
        <w:t>Clinically significant, percentage reduction in the number of joints with active arthritis after 12 weeks of treatment (</w:t>
      </w:r>
      <w:r w:rsidR="00767DDC">
        <w:t xml:space="preserve">a </w:t>
      </w:r>
      <w:r>
        <w:t>62.6% decrease from baseline with ADA versus 11.6% reduction with PBO therapy).</w:t>
      </w:r>
    </w:p>
    <w:p w:rsidR="00D24962" w:rsidRDefault="00E229FD" w:rsidP="0041505C">
      <w:pPr>
        <w:pStyle w:val="ListBullet"/>
      </w:pPr>
      <w:r>
        <w:t xml:space="preserve">Significant rates of clinically meaningful JIA ACR responses (in particular, ACR Pedi70 response rate at </w:t>
      </w:r>
      <w:r w:rsidR="0041505C">
        <w:t>W</w:t>
      </w:r>
      <w:r>
        <w:t>eek 12 of 54.8% with ADA compared with 20.0% in the PBO arm)</w:t>
      </w:r>
      <w:r w:rsidR="00D24962">
        <w:t>.</w:t>
      </w:r>
    </w:p>
    <w:p w:rsidR="00E229FD" w:rsidRDefault="00E229FD" w:rsidP="0041505C">
      <w:pPr>
        <w:pStyle w:val="ListBullet"/>
      </w:pPr>
      <w:r>
        <w:t>The beneficial effect of ADA observed in the first 12 weeks of treatment in Study M11-328 were improved upon or sustained for an extended period of treatment in the OL extension phase (up to 52 weeks).</w:t>
      </w:r>
    </w:p>
    <w:p w:rsidR="00D24962" w:rsidRDefault="00E229FD" w:rsidP="0041505C">
      <w:pPr>
        <w:pStyle w:val="ListBullet"/>
      </w:pPr>
      <w:r>
        <w:t xml:space="preserve">Convenient SC dosing strategy of </w:t>
      </w:r>
      <w:r w:rsidRPr="00092AF8">
        <w:t>24 mg/m</w:t>
      </w:r>
      <w:r>
        <w:rPr>
          <w:vertAlign w:val="superscript"/>
        </w:rPr>
        <w:t>2</w:t>
      </w:r>
      <w:r>
        <w:t xml:space="preserve"> (</w:t>
      </w:r>
      <w:r w:rsidRPr="00092AF8">
        <w:t>up to a maximum of 40 mg</w:t>
      </w:r>
      <w:r>
        <w:t xml:space="preserve"> per dose) given at fortnightly intervals</w:t>
      </w:r>
      <w:r w:rsidR="00D24962">
        <w:t>.</w:t>
      </w:r>
    </w:p>
    <w:p w:rsidR="00D24962" w:rsidRDefault="00E229FD" w:rsidP="0041505C">
      <w:pPr>
        <w:pStyle w:val="ListBullet"/>
      </w:pPr>
      <w:r>
        <w:t>ADA offers an alternative treatment strategy for patients with moderately-severely active ERA, which currently has limited treatment options and a significant unmet therapeutic need</w:t>
      </w:r>
      <w:r w:rsidR="00D24962">
        <w:t>.</w:t>
      </w:r>
    </w:p>
    <w:p w:rsidR="00E229FD" w:rsidRPr="00F500A8" w:rsidRDefault="00E229FD" w:rsidP="0041505C">
      <w:pPr>
        <w:pStyle w:val="Heading5"/>
      </w:pPr>
      <w:r>
        <w:t xml:space="preserve">Paediatric </w:t>
      </w:r>
      <w:r w:rsidR="00CF74B3">
        <w:t>p</w:t>
      </w:r>
      <w:r>
        <w:t>sorias</w:t>
      </w:r>
      <w:r w:rsidRPr="00F500A8">
        <w:t>is</w:t>
      </w:r>
    </w:p>
    <w:p w:rsidR="00E229FD" w:rsidRDefault="00E229FD" w:rsidP="00E229FD">
      <w:r>
        <w:t>The benefits of ADA in the proposed usage are:</w:t>
      </w:r>
    </w:p>
    <w:p w:rsidR="00E229FD" w:rsidRDefault="00E229FD" w:rsidP="0041505C">
      <w:pPr>
        <w:pStyle w:val="ListBullet"/>
      </w:pPr>
      <w:r>
        <w:t>Clinically significant, higher rate of PASI 75 response after 16 weeks of treatment (57.9% with ADA 0.8 mg/kg versus 32.4% with weekly low dose oral MTX therapy).</w:t>
      </w:r>
    </w:p>
    <w:p w:rsidR="00E229FD" w:rsidRDefault="00E229FD" w:rsidP="0041505C">
      <w:pPr>
        <w:pStyle w:val="ListBullet"/>
      </w:pPr>
      <w:r>
        <w:t>Numerically higher rate of PGA response (score of 0-1) after 16 weeks of treatment (60.5% with ADA 0.8 mg/kg versus 40.5% with weekly low dose oral MTX therapy).</w:t>
      </w:r>
    </w:p>
    <w:p w:rsidR="00E229FD" w:rsidRDefault="00E229FD" w:rsidP="0041505C">
      <w:pPr>
        <w:pStyle w:val="ListBullet"/>
      </w:pPr>
      <w:r>
        <w:t>Significant rates of clinically meaningful PASI 75 and PGA response in patients with a prior history of systemic non-biological drug treatment or etanercept use (53% with ADA 0.8 mg/kg versus 10-20% with MTX).</w:t>
      </w:r>
    </w:p>
    <w:p w:rsidR="00D24962" w:rsidRDefault="00E229FD" w:rsidP="0041505C">
      <w:pPr>
        <w:pStyle w:val="ListBullet"/>
      </w:pPr>
      <w:r>
        <w:t>Clinically significant improvements in health related QOL (PSOR specific [</w:t>
      </w:r>
      <w:r w:rsidR="0041505C" w:rsidRPr="0041505C">
        <w:t xml:space="preserve">Children's Dermatology Life Quality Index </w:t>
      </w:r>
      <w:r w:rsidR="0041505C">
        <w:t>(</w:t>
      </w:r>
      <w:r>
        <w:t>CDLQI</w:t>
      </w:r>
      <w:r w:rsidR="0041505C">
        <w:t>)</w:t>
      </w:r>
      <w:r>
        <w:t xml:space="preserve"> score], and in general [PedsQL score]) with ADA 0.8 mg/kg compared to MTX</w:t>
      </w:r>
      <w:r w:rsidR="00D24962">
        <w:t>.</w:t>
      </w:r>
    </w:p>
    <w:p w:rsidR="00E229FD" w:rsidRDefault="00E229FD" w:rsidP="0041505C">
      <w:pPr>
        <w:pStyle w:val="ListBullet"/>
      </w:pPr>
      <w:r>
        <w:t>The beneficial effect of ADA 0.8 mg/kg observed in the first 16 weeks of treatment in Study M04-717 were obtained again upon re-treatment and sustained for an extended period of treatment in the long-term, OL phase (up to 52 weeks of therapy).</w:t>
      </w:r>
    </w:p>
    <w:p w:rsidR="00D24962" w:rsidRDefault="00E229FD" w:rsidP="0041505C">
      <w:pPr>
        <w:pStyle w:val="ListBullet"/>
      </w:pPr>
      <w:r>
        <w:t>Convenient SC dosing strategy given at fortnightly intervals</w:t>
      </w:r>
      <w:r w:rsidR="00D24962">
        <w:t>.</w:t>
      </w:r>
    </w:p>
    <w:p w:rsidR="00D24962" w:rsidRDefault="00E229FD" w:rsidP="0041505C">
      <w:pPr>
        <w:pStyle w:val="ListBullet"/>
      </w:pPr>
      <w:r>
        <w:t>ADA offers an alternative treatment strategy for patients with severe PSOR, which currently has limited treatment options and a significant unmet therapeutic need</w:t>
      </w:r>
      <w:r w:rsidR="00D24962">
        <w:t>.</w:t>
      </w:r>
    </w:p>
    <w:p w:rsidR="00E229FD" w:rsidRDefault="00E229FD" w:rsidP="0041505C">
      <w:pPr>
        <w:pStyle w:val="Heading4"/>
      </w:pPr>
      <w:bookmarkStart w:id="98" w:name="_Toc236802596"/>
      <w:bookmarkStart w:id="99" w:name="_Toc241374334"/>
      <w:bookmarkStart w:id="100" w:name="_Ref272160964"/>
      <w:bookmarkStart w:id="101" w:name="_Toc272414694"/>
      <w:bookmarkStart w:id="102" w:name="_Toc290888558"/>
      <w:bookmarkStart w:id="103" w:name="_Toc447549533"/>
      <w:r>
        <w:t>First round assessment of risks</w:t>
      </w:r>
      <w:bookmarkEnd w:id="98"/>
      <w:bookmarkEnd w:id="99"/>
      <w:bookmarkEnd w:id="100"/>
      <w:bookmarkEnd w:id="101"/>
      <w:bookmarkEnd w:id="102"/>
      <w:bookmarkEnd w:id="103"/>
    </w:p>
    <w:p w:rsidR="00E229FD" w:rsidRDefault="00E229FD" w:rsidP="00E229FD">
      <w:r>
        <w:t>The risks of ADA in the proposed usage (for both treatment indications) are similar and include:</w:t>
      </w:r>
    </w:p>
    <w:p w:rsidR="00E229FD" w:rsidRDefault="00E229FD" w:rsidP="0041505C">
      <w:pPr>
        <w:pStyle w:val="ListBullet"/>
      </w:pPr>
      <w:r>
        <w:t>ADA treatment carries an increased risk of infection (both overall and serious infection).</w:t>
      </w:r>
      <w:r w:rsidR="00184B82">
        <w:t xml:space="preserve"> </w:t>
      </w:r>
      <w:r>
        <w:t>While most infections are mild and self-limiting, it is likely to ADA therapy will lead to cases of serious infection and potentially death.</w:t>
      </w:r>
      <w:r w:rsidR="00184B82">
        <w:t xml:space="preserve"> </w:t>
      </w:r>
      <w:r>
        <w:t>No infection related deaths were reported in either of the pivotal studies.</w:t>
      </w:r>
    </w:p>
    <w:p w:rsidR="00E229FD" w:rsidRDefault="00E229FD" w:rsidP="0041505C">
      <w:pPr>
        <w:pStyle w:val="ListBullet"/>
      </w:pPr>
      <w:r>
        <w:lastRenderedPageBreak/>
        <w:t>Increased risk of opportunistic infections, in particular, varicella-zoster and oral herpes infection, were observed in the 2 pivotal studies (M11-328 and M04-717).</w:t>
      </w:r>
    </w:p>
    <w:p w:rsidR="00D24962" w:rsidRDefault="00E229FD" w:rsidP="0041505C">
      <w:pPr>
        <w:pStyle w:val="ListBullet"/>
      </w:pPr>
      <w:r>
        <w:t>ADA carries a risk of injection site reactions (15.2% of 46 patients in Study M11-328 and 10.5% of 114 subjects in Study M04-717)</w:t>
      </w:r>
      <w:r w:rsidR="00D24962">
        <w:t>.</w:t>
      </w:r>
    </w:p>
    <w:p w:rsidR="00E229FD" w:rsidRDefault="00E229FD" w:rsidP="0041505C">
      <w:pPr>
        <w:pStyle w:val="ListBullet"/>
      </w:pPr>
      <w:r>
        <w:t>Changes in laboratory parameters, in particular, abnormal liver function tests and a few cases of neutropenia were seen in the studies involving paediatric patients with active ERA or severe PSOR.</w:t>
      </w:r>
      <w:r w:rsidR="00184B82">
        <w:t xml:space="preserve"> </w:t>
      </w:r>
      <w:r>
        <w:t>These abnormalities did not result in clinical consequences for the majority of subjects in the studies, but some individual patients did develop clinically significant (</w:t>
      </w:r>
      <w:r w:rsidR="0041505C">
        <w:t>≥</w:t>
      </w:r>
      <w:r w:rsidR="0041505C" w:rsidRPr="0041505C">
        <w:t xml:space="preserve"> G</w:t>
      </w:r>
      <w:r w:rsidRPr="0041505C">
        <w:t>r</w:t>
      </w:r>
      <w:r>
        <w:t>ade 3) laboratory abnormalities.</w:t>
      </w:r>
    </w:p>
    <w:p w:rsidR="00E229FD" w:rsidRDefault="00E229FD" w:rsidP="0041505C">
      <w:pPr>
        <w:pStyle w:val="ListBullet"/>
      </w:pPr>
      <w:r>
        <w:t>Limited numbers of paediatric patients with ERA and PSOR have received long-term (multi-year) treatment with ADA. This may be important for the assessment of safety issues such as development of malignancy and autoimmune disorders, which require prolonged longitudinal follow-up in a moderately large number of patients.</w:t>
      </w:r>
    </w:p>
    <w:p w:rsidR="00E229FD" w:rsidRDefault="00E229FD" w:rsidP="0041505C">
      <w:pPr>
        <w:pStyle w:val="Heading4"/>
      </w:pPr>
      <w:bookmarkStart w:id="104" w:name="_Toc236802597"/>
      <w:bookmarkStart w:id="105" w:name="_Toc241374335"/>
      <w:bookmarkStart w:id="106" w:name="_Toc272414695"/>
      <w:bookmarkStart w:id="107" w:name="_Toc290888559"/>
      <w:bookmarkStart w:id="108" w:name="_Toc447549534"/>
      <w:r>
        <w:t>First round assessment of benefit-risk balance</w:t>
      </w:r>
      <w:bookmarkEnd w:id="104"/>
      <w:bookmarkEnd w:id="105"/>
      <w:bookmarkEnd w:id="106"/>
      <w:bookmarkEnd w:id="107"/>
      <w:bookmarkEnd w:id="108"/>
    </w:p>
    <w:p w:rsidR="00E229FD" w:rsidRPr="00720E16" w:rsidRDefault="00E229FD" w:rsidP="0041505C">
      <w:pPr>
        <w:pStyle w:val="Heading5"/>
      </w:pPr>
      <w:proofErr w:type="spellStart"/>
      <w:r w:rsidRPr="00720E16">
        <w:t>Enthesitis</w:t>
      </w:r>
      <w:proofErr w:type="spellEnd"/>
      <w:r w:rsidRPr="00720E16">
        <w:t xml:space="preserve"> </w:t>
      </w:r>
      <w:r w:rsidR="00CF74B3" w:rsidRPr="00720E16">
        <w:t>related arthritis</w:t>
      </w:r>
    </w:p>
    <w:p w:rsidR="00D24962" w:rsidRDefault="00E229FD" w:rsidP="00E229FD">
      <w:r>
        <w:t>The overall benefit-risk balance of ADA in the target population of subjects with active ERA aged between 6 and 17 years is favourable. The currently approved therapeutic arsenal for the target population is limited to a single anti-TNF agent (etanercept) and there is unmet need for additional therapies in ERA when it remains severely active despite conventional treatment. Although many of the secondary efficacy outcomes were not achieved in the single pivotal study (M11-328), a clinically relevant treatment effect with ADA was recorded, which included the attainment of the primary efficacy endpoint (</w:t>
      </w:r>
      <w:r w:rsidR="0041505C">
        <w:t>that is,</w:t>
      </w:r>
      <w:r>
        <w:t xml:space="preserve"> a statistically significant and clinically relevant percentage reduction in the number of active joints versus PBO after 12 weeks of treatment follow-up). The dataset supporting this submission is limited due to the low overall number of observed subjects (n=46) but no new safety signals have been observed. In addition, the safety profile of ADA is well characterised in the adult and paediatric populations from other datasets with similar treatment indications</w:t>
      </w:r>
      <w:r w:rsidR="00D24962">
        <w:t>.</w:t>
      </w:r>
    </w:p>
    <w:p w:rsidR="00D24962" w:rsidRDefault="00E229FD" w:rsidP="00E229FD">
      <w:r>
        <w:t>The sponsor proposes that ADA is administered by fortnightly subcutaneous injection using a weight based dosing strategy (20 mg in those weighing between 15</w:t>
      </w:r>
      <w:r w:rsidR="0041505C">
        <w:t xml:space="preserve"> to </w:t>
      </w:r>
      <w:r>
        <w:t>30 kg and 40 mg in those weighing &gt;</w:t>
      </w:r>
      <w:r w:rsidR="0041505C">
        <w:t xml:space="preserve"> </w:t>
      </w:r>
      <w:r>
        <w:t>30 kg). This dosing regimen has been justified in this submission, based primarily on the results of the single pivotal trial (Study M11-328)</w:t>
      </w:r>
      <w:r w:rsidR="00D24962">
        <w:t>.</w:t>
      </w:r>
    </w:p>
    <w:p w:rsidR="00E229FD" w:rsidRPr="00720E16" w:rsidRDefault="00E229FD" w:rsidP="0041505C">
      <w:pPr>
        <w:pStyle w:val="Heading5"/>
      </w:pPr>
      <w:r w:rsidRPr="00720E16">
        <w:t xml:space="preserve">Paediatric </w:t>
      </w:r>
      <w:r w:rsidR="00CF74B3">
        <w:t>p</w:t>
      </w:r>
      <w:r w:rsidRPr="00720E16">
        <w:t>soriasis</w:t>
      </w:r>
    </w:p>
    <w:p w:rsidR="00D24962" w:rsidRDefault="00E229FD" w:rsidP="0041505C">
      <w:r>
        <w:t>The efficacy and safety results from the single pivotal study (M04-717) in paediatric patients aged from 6 through to 17 years with severe chronic plaque PSOR who are inadequately controlled by topical therapies and heliotherapy/phototherapy support a favourable overall benefit-risk balance with ADA 0.8 mg/kg. Although Study M04-717 was small trial, there was a clear and clinically relevant benefit demonstrated with ADA 0.8 mg/kg therapy versus MTX and low dose ADA (0.4 mg/kg) in Period A which was sustained in the majority of subjects. The withdrawal phase of that study (Period B) shows that ADA 0.8 mg/kg can be successfully withdrawn in a subset of patients after 16 weeks of therapy. Further, the re-treatment phase of the study (Period C) shows that ADA 0.8 mg/kg can be successfully recommenced in relapsed patients. No new safety signals with ADA therapy were observed in Study M04-717 and the safety profile of ADA is well characterised in the adult PSOR and other paediatric treatment populations</w:t>
      </w:r>
      <w:r w:rsidR="00D24962">
        <w:t>.</w:t>
      </w:r>
    </w:p>
    <w:p w:rsidR="00605AD4" w:rsidRPr="00605AD4" w:rsidRDefault="00E229FD" w:rsidP="0041505C">
      <w:r>
        <w:t xml:space="preserve">The single pivotal study (M04-717) has demonstrated that the proposed dosing strategy of 0.8 mg/kg (weekly for first weeks and then fortnightly thereafter) is the most effective dose of ADA with an overall level of safety at least comparable to 0.4 mg/kg and MTX. </w:t>
      </w:r>
      <w:r>
        <w:lastRenderedPageBreak/>
        <w:t>Furthermore, the proposed weight based dosing strategy for ADA maintenance therapy is supported by simulations using the population PK modelling data.</w:t>
      </w:r>
    </w:p>
    <w:p w:rsidR="00605AD4" w:rsidRPr="00605AD4" w:rsidRDefault="00605AD4" w:rsidP="0041505C">
      <w:pPr>
        <w:pStyle w:val="Heading4"/>
      </w:pPr>
      <w:r w:rsidRPr="00605AD4">
        <w:t xml:space="preserve">First </w:t>
      </w:r>
      <w:r w:rsidR="00CF74B3" w:rsidRPr="00605AD4">
        <w:t>round recommendation regarding authorisation</w:t>
      </w:r>
    </w:p>
    <w:p w:rsidR="00E229FD" w:rsidRPr="00FA2252" w:rsidRDefault="00E229FD" w:rsidP="0041505C">
      <w:pPr>
        <w:pStyle w:val="Heading5"/>
      </w:pPr>
      <w:proofErr w:type="spellStart"/>
      <w:r>
        <w:t>Enthe</w:t>
      </w:r>
      <w:r w:rsidRPr="00FA2252">
        <w:t>siti</w:t>
      </w:r>
      <w:r>
        <w:t>s</w:t>
      </w:r>
      <w:proofErr w:type="spellEnd"/>
      <w:r>
        <w:t xml:space="preserve"> </w:t>
      </w:r>
      <w:r w:rsidR="00CF74B3">
        <w:t>related</w:t>
      </w:r>
      <w:r w:rsidR="00CF74B3" w:rsidRPr="00FA2252">
        <w:t xml:space="preserve"> arthritis</w:t>
      </w:r>
    </w:p>
    <w:p w:rsidR="00E229FD" w:rsidRDefault="0041505C" w:rsidP="00E229FD">
      <w:r>
        <w:t>The evalu</w:t>
      </w:r>
      <w:r w:rsidR="00D250EE">
        <w:t>a</w:t>
      </w:r>
      <w:r>
        <w:t>tor</w:t>
      </w:r>
      <w:r w:rsidR="00E229FD">
        <w:t xml:space="preserve"> recommend</w:t>
      </w:r>
      <w:r w:rsidR="00D250EE">
        <w:t>s</w:t>
      </w:r>
      <w:r w:rsidR="00E229FD">
        <w:t xml:space="preserve"> acceptance of the sponsor’s proposed extension of treatment indication for ADA to include the treatment of children and adolescents (6 years of age or older) with active ERA who have had an inadequate response or intolerance to at least 1 NSAID and at least 1 conventional DMARD therapy (MTX or SSZ). The current submission provides robust evidence that ADA improves the various symptoms and signs of active ERA for up to 52 weeks. ERA exhibits a heterogeneous mix of clinical manifestations (peripheral and axial arthritis, enthesitis and functional consequences), which were all largely improved by ADA therapy. The concurrent use of NSAID or DMARD did not appear to significantly impact upon efficacy outcomes. The proposed dose of ADA is 20 mg in those weighing 15 to &lt;</w:t>
      </w:r>
      <w:r w:rsidR="00D250EE">
        <w:t xml:space="preserve"> </w:t>
      </w:r>
      <w:r w:rsidR="00E229FD">
        <w:t xml:space="preserve">30 kg and 40 mg in subjects weighing </w:t>
      </w:r>
      <w:r w:rsidR="00D250EE">
        <w:t xml:space="preserve">≥ </w:t>
      </w:r>
      <w:r w:rsidR="00E229FD">
        <w:t xml:space="preserve">30 kg. It is recommended that ADA is given by SC injection at fortnightly dosing intervals in ERA. There is a sufficient volume of data to indicate that the proposed posology is the most efficacious dose in this patient group with a relatively low risk of safety concerns. </w:t>
      </w:r>
      <w:r w:rsidR="00D250EE">
        <w:t>The evaluator</w:t>
      </w:r>
      <w:r w:rsidR="00E229FD">
        <w:t xml:space="preserve"> do</w:t>
      </w:r>
      <w:r w:rsidR="00D250EE">
        <w:t>es</w:t>
      </w:r>
      <w:r w:rsidR="00E229FD">
        <w:t xml:space="preserve"> not recommend any changes to the sponsor proposed indication wording for ERA.</w:t>
      </w:r>
    </w:p>
    <w:p w:rsidR="00E229FD" w:rsidRDefault="00E229FD" w:rsidP="00E229FD">
      <w:r>
        <w:t xml:space="preserve">Should approval of the sponsor’s proposed extension of indication be granted, </w:t>
      </w:r>
      <w:r w:rsidR="00D250EE">
        <w:t xml:space="preserve">the </w:t>
      </w:r>
      <w:r w:rsidR="00054259">
        <w:t>evaluator also recommends</w:t>
      </w:r>
      <w:r>
        <w:t xml:space="preserve"> that approval of the sponsor’s proposed extension of indication be subject </w:t>
      </w:r>
      <w:proofErr w:type="gramStart"/>
      <w:r>
        <w:t>to:</w:t>
      </w:r>
      <w:proofErr w:type="gramEnd"/>
    </w:p>
    <w:p w:rsidR="00D24962" w:rsidRDefault="00E229FD" w:rsidP="00D250EE">
      <w:pPr>
        <w:pStyle w:val="ListBullet"/>
      </w:pPr>
      <w:r>
        <w:t xml:space="preserve">Satisfactory response to the questions </w:t>
      </w:r>
      <w:r w:rsidR="00D250EE">
        <w:t>posed in</w:t>
      </w:r>
      <w:r>
        <w:t xml:space="preserve"> this report</w:t>
      </w:r>
      <w:r w:rsidR="00D250EE">
        <w:t xml:space="preserve"> (see </w:t>
      </w:r>
      <w:r w:rsidR="00D250EE" w:rsidRPr="00D250EE">
        <w:rPr>
          <w:i/>
        </w:rPr>
        <w:t>Clinical questions</w:t>
      </w:r>
      <w:r w:rsidR="00D250EE">
        <w:t xml:space="preserve"> below)</w:t>
      </w:r>
      <w:r>
        <w:t>,</w:t>
      </w:r>
    </w:p>
    <w:p w:rsidR="00D24962" w:rsidRDefault="00E229FD" w:rsidP="00D250EE">
      <w:pPr>
        <w:pStyle w:val="ListBullet"/>
      </w:pPr>
      <w:r>
        <w:t>Regular periodic safety update reports, and</w:t>
      </w:r>
    </w:p>
    <w:p w:rsidR="00D24962" w:rsidRDefault="00E229FD" w:rsidP="00D250EE">
      <w:pPr>
        <w:pStyle w:val="ListBullet"/>
      </w:pPr>
      <w:r>
        <w:t>When available, the sponsor provides the TGA with the final clinical study report for Study M11-328</w:t>
      </w:r>
      <w:r w:rsidR="00D24962">
        <w:t>.</w:t>
      </w:r>
    </w:p>
    <w:p w:rsidR="00E229FD" w:rsidRPr="00FA2252" w:rsidRDefault="00E229FD" w:rsidP="00D250EE">
      <w:pPr>
        <w:pStyle w:val="Heading5"/>
      </w:pPr>
      <w:r>
        <w:t>Paed</w:t>
      </w:r>
      <w:r w:rsidRPr="00FA2252">
        <w:t>i</w:t>
      </w:r>
      <w:r>
        <w:t>atric</w:t>
      </w:r>
      <w:r w:rsidRPr="00FA2252">
        <w:t xml:space="preserve"> </w:t>
      </w:r>
      <w:r w:rsidR="00CF74B3">
        <w:t>p</w:t>
      </w:r>
      <w:r>
        <w:t>s</w:t>
      </w:r>
      <w:r w:rsidRPr="00FA2252">
        <w:t>o</w:t>
      </w:r>
      <w:r>
        <w:t>r</w:t>
      </w:r>
      <w:r w:rsidRPr="00FA2252">
        <w:t>i</w:t>
      </w:r>
      <w:r>
        <w:t>as</w:t>
      </w:r>
      <w:r w:rsidRPr="00FA2252">
        <w:t>is</w:t>
      </w:r>
    </w:p>
    <w:p w:rsidR="00D24962" w:rsidRDefault="00D250EE" w:rsidP="00E229FD">
      <w:r>
        <w:t>The evaluator</w:t>
      </w:r>
      <w:r w:rsidR="00E229FD">
        <w:t xml:space="preserve"> recommend</w:t>
      </w:r>
      <w:r>
        <w:t>s</w:t>
      </w:r>
      <w:r w:rsidR="00E229FD">
        <w:t xml:space="preserve"> acceptance of the sponsor’s proposed extension of treatment indication for ADA 0.8 mg/kg to include the treatment of paediatric patients with severe PSOR following a failure of topical treatment and/or heliotherapy or phototherapy. The current submission provides reasonably robust evidence that ADA improves the symptoms and signs of severe PSOR, as well as health related QOL. The sponsor has asked for the approval of a single dose strategy in this treatment indication being ADA 0.8 mg/kg (up to a maximum of 40 mg per dose) given by SC injection with initial dosing at </w:t>
      </w:r>
      <w:r>
        <w:t>W</w:t>
      </w:r>
      <w:r w:rsidR="00E229FD">
        <w:t xml:space="preserve">eeks 0 and 1 (loading regimen) followed by fortnightly injections starting at </w:t>
      </w:r>
      <w:r>
        <w:t>W</w:t>
      </w:r>
      <w:r w:rsidR="00E229FD">
        <w:t>eek 3 (maintenance treatment phase). This dosing posology has been demonstrated to be the minimum most effective approach with a comparable safety to the lower examined dose of ADA (0.4 mg/kg)</w:t>
      </w:r>
      <w:r w:rsidR="00D24962">
        <w:t>.</w:t>
      </w:r>
    </w:p>
    <w:p w:rsidR="00D24962" w:rsidRDefault="00E229FD" w:rsidP="00E229FD">
      <w:r>
        <w:t xml:space="preserve">The sponsor has requested that the lower age limit of treatment be 4 years of age but no subject of that age at enrolment in the single pivotal study received the proposed ADA dose of 0.8 mg/kg in that trial. The youngest patient treated with ADA 0.8 mg/kg in Study M04-717 was 6 years of age at enrolment. Given the lack of direct clinical trial evidence in subjects aged between 4 and 6 years of age with ADA 0.8 mg/kg therapy, </w:t>
      </w:r>
      <w:r w:rsidR="00D250EE">
        <w:t>the evaluator</w:t>
      </w:r>
      <w:r>
        <w:t xml:space="preserve"> recommend</w:t>
      </w:r>
      <w:r w:rsidR="00D250EE">
        <w:t>s</w:t>
      </w:r>
      <w:r>
        <w:t xml:space="preserve"> that the registered lower age limit of ADA treatment in this indication be adjusted to 6 years, unless the sponsor can adequately address this concern in the</w:t>
      </w:r>
      <w:r w:rsidR="00D250EE">
        <w:t>ir</w:t>
      </w:r>
      <w:r>
        <w:t xml:space="preserve"> response. </w:t>
      </w:r>
      <w:r w:rsidR="00D250EE">
        <w:t>The evaluator</w:t>
      </w:r>
      <w:r>
        <w:t xml:space="preserve"> recommend</w:t>
      </w:r>
      <w:r w:rsidR="00D250EE">
        <w:t>s</w:t>
      </w:r>
      <w:r>
        <w:t xml:space="preserve"> that the sponsor proposed indication wording be amended to</w:t>
      </w:r>
    </w:p>
    <w:p w:rsidR="00D250EE" w:rsidRPr="00D250EE" w:rsidRDefault="00E229FD" w:rsidP="00D250EE">
      <w:pPr>
        <w:ind w:left="720"/>
        <w:rPr>
          <w:i/>
        </w:rPr>
      </w:pPr>
      <w:proofErr w:type="spellStart"/>
      <w:r w:rsidRPr="00D250EE">
        <w:rPr>
          <w:i/>
        </w:rPr>
        <w:lastRenderedPageBreak/>
        <w:t>Humira</w:t>
      </w:r>
      <w:proofErr w:type="spellEnd"/>
      <w:r w:rsidRPr="00D250EE">
        <w:rPr>
          <w:i/>
        </w:rPr>
        <w:t xml:space="preserve"> is indicated for the treatment of severe chronic plaque psoriasis in children and adolescent patients </w:t>
      </w:r>
      <w:r w:rsidRPr="00D250EE">
        <w:rPr>
          <w:i/>
          <w:u w:val="single"/>
        </w:rPr>
        <w:t>from 6 years of age</w:t>
      </w:r>
      <w:r w:rsidRPr="00D250EE">
        <w:rPr>
          <w:i/>
        </w:rPr>
        <w:t xml:space="preserve"> who have had an inadequate response to or are inappropriate candidates for topical therapy and phototherapy.</w:t>
      </w:r>
    </w:p>
    <w:p w:rsidR="00D24962" w:rsidRDefault="00E229FD" w:rsidP="00E229FD">
      <w:r>
        <w:t xml:space="preserve">The proposed amendment is </w:t>
      </w:r>
      <w:r w:rsidR="00D250EE">
        <w:t>underlined</w:t>
      </w:r>
      <w:r w:rsidR="00D24962">
        <w:t>.</w:t>
      </w:r>
    </w:p>
    <w:p w:rsidR="00E229FD" w:rsidRDefault="00D250EE" w:rsidP="00E229FD">
      <w:r>
        <w:t>The evaluator</w:t>
      </w:r>
      <w:r w:rsidR="00E229FD">
        <w:t xml:space="preserve"> would also recommend that approval of the sponsor’s proposed extension of indication be subject to:</w:t>
      </w:r>
    </w:p>
    <w:p w:rsidR="00D24962" w:rsidRDefault="00E229FD" w:rsidP="00D250EE">
      <w:pPr>
        <w:pStyle w:val="ListBullet"/>
      </w:pPr>
      <w:r>
        <w:t>Satisfactory response to the questions in section 12 of this report,</w:t>
      </w:r>
    </w:p>
    <w:p w:rsidR="00D24962" w:rsidRDefault="00E229FD" w:rsidP="00D250EE">
      <w:pPr>
        <w:pStyle w:val="ListBullet"/>
      </w:pPr>
      <w:r>
        <w:t>Regular periodic safety update reports, and</w:t>
      </w:r>
    </w:p>
    <w:p w:rsidR="00605AD4" w:rsidRPr="00605AD4" w:rsidRDefault="00E229FD" w:rsidP="00E229FD">
      <w:r>
        <w:t>When available, the sponsor provides the TGA with the final clinical study reports for Study M04-717.</w:t>
      </w:r>
    </w:p>
    <w:p w:rsidR="00605AD4" w:rsidRPr="00605AD4" w:rsidRDefault="00605AD4" w:rsidP="00605AD4">
      <w:pPr>
        <w:pStyle w:val="Heading3"/>
        <w:rPr>
          <w:rFonts w:eastAsia="Cambria"/>
        </w:rPr>
      </w:pPr>
      <w:bookmarkStart w:id="109" w:name="_Toc479772060"/>
      <w:r w:rsidRPr="00605AD4">
        <w:rPr>
          <w:rFonts w:eastAsia="Cambria"/>
        </w:rPr>
        <w:t xml:space="preserve">Clinical </w:t>
      </w:r>
      <w:r w:rsidR="00CF74B3">
        <w:rPr>
          <w:rFonts w:eastAsia="Cambria"/>
        </w:rPr>
        <w:t>q</w:t>
      </w:r>
      <w:r w:rsidRPr="00605AD4">
        <w:rPr>
          <w:rFonts w:eastAsia="Cambria"/>
        </w:rPr>
        <w:t>uestions</w:t>
      </w:r>
      <w:bookmarkEnd w:id="109"/>
    </w:p>
    <w:p w:rsidR="00E229FD" w:rsidRPr="007E3D5D" w:rsidRDefault="00E229FD" w:rsidP="00D250EE">
      <w:pPr>
        <w:pStyle w:val="Heading4"/>
      </w:pPr>
      <w:bookmarkStart w:id="110" w:name="_Toc272414702"/>
      <w:bookmarkStart w:id="111" w:name="_Toc290888568"/>
      <w:bookmarkStart w:id="112" w:name="_Toc447549543"/>
      <w:r w:rsidRPr="007E3D5D">
        <w:t>Pharmacokinetics</w:t>
      </w:r>
      <w:bookmarkEnd w:id="110"/>
      <w:bookmarkEnd w:id="111"/>
      <w:bookmarkEnd w:id="112"/>
    </w:p>
    <w:p w:rsidR="00E229FD" w:rsidRPr="00C106BF" w:rsidRDefault="00E229FD" w:rsidP="00D250EE">
      <w:pPr>
        <w:pStyle w:val="Heading5"/>
      </w:pPr>
      <w:r>
        <w:t>Both</w:t>
      </w:r>
      <w:r w:rsidRPr="00C106BF">
        <w:t xml:space="preserve"> </w:t>
      </w:r>
      <w:r w:rsidR="00CF74B3">
        <w:t>i</w:t>
      </w:r>
      <w:r>
        <w:t>ndication</w:t>
      </w:r>
      <w:r w:rsidRPr="00C106BF">
        <w:t>s</w:t>
      </w:r>
    </w:p>
    <w:p w:rsidR="00D24962" w:rsidRDefault="00E229FD" w:rsidP="00D250EE">
      <w:pPr>
        <w:pStyle w:val="Numberbullet0"/>
        <w:numPr>
          <w:ilvl w:val="0"/>
          <w:numId w:val="32"/>
        </w:numPr>
      </w:pPr>
      <w:r>
        <w:t>Could the sponsor discuss why the proposed weight based dosing strategies compared to dosing according to subject body surface area is justified in the 2 new paediatric treatment indications?</w:t>
      </w:r>
    </w:p>
    <w:p w:rsidR="00E229FD" w:rsidRPr="007E3D5D" w:rsidRDefault="00E229FD" w:rsidP="00D250EE">
      <w:pPr>
        <w:pStyle w:val="Numberbullet0"/>
        <w:numPr>
          <w:ilvl w:val="0"/>
          <w:numId w:val="32"/>
        </w:numPr>
      </w:pPr>
      <w:r>
        <w:t>The sponsor is kindly requested to justify why, given the inter-patient variability of trough concentration of approximately 78%, all paediatric patients receive the same dose per kg body weight rather than categorising weight into groups with a different dose per group, given the changes in body composition expected?</w:t>
      </w:r>
    </w:p>
    <w:p w:rsidR="00E229FD" w:rsidRPr="007E3D5D" w:rsidRDefault="00E229FD" w:rsidP="00E229FD">
      <w:pPr>
        <w:pStyle w:val="Heading3"/>
      </w:pPr>
      <w:bookmarkStart w:id="113" w:name="_Toc272414704"/>
      <w:bookmarkStart w:id="114" w:name="_Toc290888570"/>
      <w:bookmarkStart w:id="115" w:name="_Toc447549545"/>
      <w:bookmarkStart w:id="116" w:name="_Toc479772061"/>
      <w:r w:rsidRPr="007E3D5D">
        <w:t>Efficacy</w:t>
      </w:r>
      <w:bookmarkEnd w:id="113"/>
      <w:bookmarkEnd w:id="114"/>
      <w:bookmarkEnd w:id="115"/>
      <w:bookmarkEnd w:id="116"/>
    </w:p>
    <w:p w:rsidR="00D24962" w:rsidRDefault="00E229FD" w:rsidP="006674AB">
      <w:pPr>
        <w:pStyle w:val="Heading4"/>
      </w:pPr>
      <w:proofErr w:type="spellStart"/>
      <w:r w:rsidRPr="00C106BF">
        <w:t>Enthesitis</w:t>
      </w:r>
      <w:proofErr w:type="spellEnd"/>
      <w:r w:rsidRPr="00C106BF">
        <w:t xml:space="preserve"> </w:t>
      </w:r>
      <w:r w:rsidR="00CF74B3" w:rsidRPr="00C106BF">
        <w:t>related arthritis</w:t>
      </w:r>
    </w:p>
    <w:p w:rsidR="00E229FD" w:rsidRPr="00DB5632" w:rsidRDefault="00E229FD" w:rsidP="006674AB">
      <w:pPr>
        <w:pStyle w:val="Numberbullet0"/>
      </w:pPr>
      <w:r>
        <w:t>Could the sponsor provide the dose, duration and reason for discontinuation (if applicable) of prior DMARD therapy in the ITT population enrolled in Study M11-328?</w:t>
      </w:r>
    </w:p>
    <w:p w:rsidR="00E229FD" w:rsidRDefault="00E229FD" w:rsidP="006674AB">
      <w:pPr>
        <w:pStyle w:val="Numberbullet0"/>
      </w:pPr>
      <w:bookmarkStart w:id="117" w:name="_Toc272414705"/>
      <w:bookmarkStart w:id="118" w:name="_Toc290888571"/>
      <w:r>
        <w:t>Could the sponsor provide the dose of concomitant DMARD and/or corticosteroid therapy (if applicable) in the ITT population enrolled in Study M11-328?</w:t>
      </w:r>
    </w:p>
    <w:p w:rsidR="00E229FD" w:rsidRPr="00C106BF" w:rsidRDefault="00E229FD" w:rsidP="006674AB">
      <w:pPr>
        <w:pStyle w:val="Heading4"/>
      </w:pPr>
      <w:r w:rsidRPr="00C106BF">
        <w:t xml:space="preserve">Paediatric </w:t>
      </w:r>
      <w:r w:rsidR="00CF74B3">
        <w:t>p</w:t>
      </w:r>
      <w:r w:rsidRPr="00C106BF">
        <w:t>soriasis</w:t>
      </w:r>
    </w:p>
    <w:p w:rsidR="00D24962" w:rsidRDefault="00E229FD" w:rsidP="006674AB">
      <w:pPr>
        <w:pStyle w:val="Numberbullet0"/>
      </w:pPr>
      <w:r>
        <w:t>Despite the inclusion criteria for Study M04-717 having a lower age limit of 4 years, the youngest subject who received adalimumab therapy in the trial was 6 years of age. Could the sponsor justify their request for the lowest age of treatment (from 4 years of age) in the proposed extension of indication given that no subjects aged &lt;</w:t>
      </w:r>
      <w:r w:rsidR="006674AB">
        <w:t xml:space="preserve"> </w:t>
      </w:r>
      <w:r>
        <w:t xml:space="preserve">6 years has actually received adalimumab in the single pivotal trial supporting the registration of </w:t>
      </w:r>
      <w:proofErr w:type="spellStart"/>
      <w:r>
        <w:t>adalimumab</w:t>
      </w:r>
      <w:proofErr w:type="spellEnd"/>
      <w:r>
        <w:t xml:space="preserve"> in paediatric psoriasis?</w:t>
      </w:r>
    </w:p>
    <w:p w:rsidR="00E229FD" w:rsidRPr="007E3D5D" w:rsidRDefault="00E229FD" w:rsidP="00E229FD">
      <w:pPr>
        <w:pStyle w:val="Heading3"/>
      </w:pPr>
      <w:bookmarkStart w:id="119" w:name="_Toc447549546"/>
      <w:bookmarkStart w:id="120" w:name="_Toc479772062"/>
      <w:r w:rsidRPr="007E3D5D">
        <w:lastRenderedPageBreak/>
        <w:t>Safety</w:t>
      </w:r>
      <w:bookmarkEnd w:id="117"/>
      <w:bookmarkEnd w:id="118"/>
      <w:bookmarkEnd w:id="119"/>
      <w:bookmarkEnd w:id="120"/>
    </w:p>
    <w:p w:rsidR="00D24962" w:rsidRDefault="00E229FD" w:rsidP="006674AB">
      <w:pPr>
        <w:pStyle w:val="Heading4"/>
      </w:pPr>
      <w:proofErr w:type="spellStart"/>
      <w:r w:rsidRPr="00C106BF">
        <w:t>Enthesitis</w:t>
      </w:r>
      <w:proofErr w:type="spellEnd"/>
      <w:r w:rsidRPr="00C106BF">
        <w:t xml:space="preserve"> </w:t>
      </w:r>
      <w:r w:rsidR="00CF74B3" w:rsidRPr="00C106BF">
        <w:t>related arthritis</w:t>
      </w:r>
    </w:p>
    <w:p w:rsidR="00E229FD" w:rsidRPr="00DB5632" w:rsidRDefault="00E229FD" w:rsidP="006674AB">
      <w:pPr>
        <w:pStyle w:val="Numberbullet0"/>
      </w:pPr>
      <w:r>
        <w:t xml:space="preserve">In the </w:t>
      </w:r>
      <w:r w:rsidR="003C3B4F">
        <w:t>double blind</w:t>
      </w:r>
      <w:r>
        <w:t xml:space="preserve"> period of Study M11-328, 1 subject treated with adalimumab experienced varicella infection and this adverse event was considered by the site investigator to be not related to treatment. Could the sponsor provide their opinion on the possible relationship between the reported varicella infection and adalimumab, and the reason for making such a determination?</w:t>
      </w:r>
    </w:p>
    <w:p w:rsidR="00E229FD" w:rsidRDefault="00E229FD" w:rsidP="006674AB">
      <w:pPr>
        <w:pStyle w:val="Numberbullet0"/>
      </w:pPr>
      <w:r>
        <w:t xml:space="preserve">For several of the reported types of adverse events in Study M11-328, there appears to be inconsistency between which events are considered to be drug related or not. For example, 2 of the 4 reported headache adverse events in the </w:t>
      </w:r>
      <w:r w:rsidR="003C3B4F">
        <w:t>double blind</w:t>
      </w:r>
      <w:r>
        <w:t xml:space="preserve"> period were considered to be treatment related by the site investigators and 2 were not. Could the sponsor state if a central determination (or censoring) of all adverse events, with respect to their possible relationship to study medication has been undertaken, and if so present that dataset?</w:t>
      </w:r>
    </w:p>
    <w:p w:rsidR="00E229FD" w:rsidRPr="00C106BF" w:rsidRDefault="00E229FD" w:rsidP="006674AB">
      <w:pPr>
        <w:pStyle w:val="Heading4"/>
      </w:pPr>
      <w:r w:rsidRPr="00C106BF">
        <w:t xml:space="preserve">Paediatric </w:t>
      </w:r>
      <w:r w:rsidR="00CF74B3">
        <w:t>p</w:t>
      </w:r>
      <w:r w:rsidRPr="00C106BF">
        <w:t>soriasis</w:t>
      </w:r>
    </w:p>
    <w:p w:rsidR="00E229FD" w:rsidRDefault="00E229FD" w:rsidP="006674AB">
      <w:pPr>
        <w:pStyle w:val="Numberbullet0"/>
      </w:pPr>
      <w:r>
        <w:t>Three pregnancies were reported in Study M04-717 and the outcome of 1 of those pregnancies was provided in the study report included in this submission. Could the sponsor provide an update on the outcome of the 2 other reported pregnancies in Study M04-717?</w:t>
      </w:r>
    </w:p>
    <w:p w:rsidR="00D24962" w:rsidRDefault="00E229FD" w:rsidP="006674AB">
      <w:pPr>
        <w:pStyle w:val="Numberbullet0"/>
      </w:pPr>
      <w:r>
        <w:t>In Study M04-717, a 17-year-old female subject recorded 3 episodes of increased serum ALT, which was possibly attributed to adalimumab. The study report states that post</w:t>
      </w:r>
      <w:r w:rsidR="006674AB">
        <w:t xml:space="preserve"> </w:t>
      </w:r>
      <w:r>
        <w:t>study follow-up was planned. Could the sponsor provide an update to this subject’s assessment?</w:t>
      </w:r>
    </w:p>
    <w:p w:rsidR="00E229FD" w:rsidRDefault="00E229FD" w:rsidP="006674AB">
      <w:pPr>
        <w:pStyle w:val="Heading4"/>
      </w:pPr>
      <w:r w:rsidRPr="003C7E05">
        <w:t xml:space="preserve">Both </w:t>
      </w:r>
      <w:r w:rsidR="00CF74B3">
        <w:t>i</w:t>
      </w:r>
      <w:r w:rsidRPr="003C7E05">
        <w:t>ndications</w:t>
      </w:r>
    </w:p>
    <w:p w:rsidR="00D24962" w:rsidRDefault="00E229FD" w:rsidP="006674AB">
      <w:pPr>
        <w:pStyle w:val="Numberbullet0"/>
      </w:pPr>
      <w:r>
        <w:t>Could the sponsor provide a summary of the post-marketing experience in currently approved paediatric treatment indications such as polyarticular JIA and paediatric Crohn’s disease, as well as any information from the EU database in the 2 newly requested treatment indications?</w:t>
      </w:r>
    </w:p>
    <w:p w:rsidR="00D24962" w:rsidRDefault="00E229FD" w:rsidP="006674AB">
      <w:pPr>
        <w:pStyle w:val="Numberbullet0"/>
      </w:pPr>
      <w:r>
        <w:t>In both studies, the reports state that growth data</w:t>
      </w:r>
      <w:r w:rsidRPr="008253D7">
        <w:t xml:space="preserve"> measurements</w:t>
      </w:r>
      <w:r>
        <w:t xml:space="preserve"> (height, weight and body mass index) r</w:t>
      </w:r>
      <w:r w:rsidRPr="008253D7">
        <w:t xml:space="preserve">eflected the expected </w:t>
      </w:r>
      <w:r>
        <w:t>changes</w:t>
      </w:r>
      <w:r w:rsidRPr="008253D7">
        <w:t xml:space="preserve"> </w:t>
      </w:r>
      <w:r>
        <w:t>as a result of</w:t>
      </w:r>
      <w:r w:rsidRPr="008253D7">
        <w:t xml:space="preserve"> normal growth</w:t>
      </w:r>
      <w:r>
        <w:t xml:space="preserve"> in children and adolescents</w:t>
      </w:r>
      <w:r w:rsidRPr="008253D7">
        <w:t>.</w:t>
      </w:r>
      <w:r>
        <w:t xml:space="preserve"> Could the sponsor expand upon the data supporting this claim with adalimumab therapy in children and report any developmental assessments that may have been recorded in the pivotal trials such as the Tanner assessment of sexual maturity?</w:t>
      </w:r>
    </w:p>
    <w:p w:rsidR="00605AD4" w:rsidRPr="00605AD4" w:rsidRDefault="00E229FD" w:rsidP="006674AB">
      <w:pPr>
        <w:pStyle w:val="Numberbullet0"/>
      </w:pPr>
      <w:r>
        <w:t>Could the sponsor provide an analysis of safety data in both studies according to the nearest collected trough serum adalimumab concentration?</w:t>
      </w:r>
    </w:p>
    <w:p w:rsidR="00605AD4" w:rsidRPr="00605AD4" w:rsidRDefault="00605AD4" w:rsidP="00605AD4">
      <w:pPr>
        <w:pStyle w:val="Heading3"/>
        <w:rPr>
          <w:rFonts w:eastAsia="Cambria"/>
        </w:rPr>
      </w:pPr>
      <w:bookmarkStart w:id="121" w:name="_Toc479772063"/>
      <w:r w:rsidRPr="00605AD4">
        <w:rPr>
          <w:rFonts w:eastAsia="Cambria"/>
        </w:rPr>
        <w:t xml:space="preserve">Second </w:t>
      </w:r>
      <w:r w:rsidR="00CF74B3" w:rsidRPr="00605AD4">
        <w:rPr>
          <w:rFonts w:eastAsia="Cambria"/>
        </w:rPr>
        <w:t xml:space="preserve">round evaluation </w:t>
      </w:r>
      <w:r w:rsidRPr="00605AD4">
        <w:rPr>
          <w:rFonts w:eastAsia="Cambria"/>
        </w:rPr>
        <w:t>of clinical data submitted in response to questions</w:t>
      </w:r>
      <w:bookmarkEnd w:id="121"/>
    </w:p>
    <w:p w:rsidR="006136D7" w:rsidRPr="00605AD4" w:rsidRDefault="006136D7" w:rsidP="006136D7">
      <w:r>
        <w:t>For details of the sponsor’s responses and the evaluation of these responses please see Attachment 2.</w:t>
      </w:r>
    </w:p>
    <w:p w:rsidR="00605AD4" w:rsidRPr="00605AD4" w:rsidRDefault="00605AD4" w:rsidP="00546154">
      <w:pPr>
        <w:pStyle w:val="Heading3"/>
        <w:rPr>
          <w:rFonts w:eastAsia="Cambria"/>
        </w:rPr>
      </w:pPr>
      <w:bookmarkStart w:id="122" w:name="_Toc479772064"/>
      <w:r w:rsidRPr="00605AD4">
        <w:rPr>
          <w:rFonts w:eastAsia="Cambria"/>
        </w:rPr>
        <w:lastRenderedPageBreak/>
        <w:t xml:space="preserve">Second </w:t>
      </w:r>
      <w:r w:rsidR="00CF74B3" w:rsidRPr="00605AD4">
        <w:rPr>
          <w:rFonts w:eastAsia="Cambria"/>
        </w:rPr>
        <w:t>round benefit-risk assessment</w:t>
      </w:r>
      <w:bookmarkEnd w:id="122"/>
    </w:p>
    <w:p w:rsidR="00E229FD" w:rsidRDefault="00E229FD" w:rsidP="006674AB">
      <w:pPr>
        <w:pStyle w:val="Heading4"/>
      </w:pPr>
      <w:bookmarkStart w:id="123" w:name="_Toc272414709"/>
      <w:bookmarkStart w:id="124" w:name="_Toc290888575"/>
      <w:bookmarkStart w:id="125" w:name="_Toc447549550"/>
      <w:r>
        <w:t>Second round assessment of benefits</w:t>
      </w:r>
      <w:bookmarkEnd w:id="123"/>
      <w:bookmarkEnd w:id="124"/>
      <w:bookmarkEnd w:id="125"/>
    </w:p>
    <w:p w:rsidR="00D24962" w:rsidRDefault="00E229FD" w:rsidP="00E229FD">
      <w:pPr>
        <w:autoSpaceDE w:val="0"/>
        <w:autoSpaceDN w:val="0"/>
        <w:adjustRightInd w:val="0"/>
      </w:pPr>
      <w:r>
        <w:t xml:space="preserve">After consideration of the responses to the clinical questions (1-5), the benefits of ADA for the treatment of paediatric patients with active ERA or PSOR in the proposed usage are unchanged from those identified in </w:t>
      </w:r>
      <w:r w:rsidR="006674AB">
        <w:t>the first round</w:t>
      </w:r>
      <w:r>
        <w:t xml:space="preserve"> report. In particular, the Phase </w:t>
      </w:r>
      <w:r w:rsidR="006674AB">
        <w:t>III</w:t>
      </w:r>
      <w:r>
        <w:t xml:space="preserve"> ERA study (M11-328) was a reasonably well conducted trial, which demonstrates a robust and clinically meaningful efficacy benefit with ADA. Furthermore, the newly proposed dosing regimen in paediatric PSOR, using a weight based patient categorisation (20 mg injections for those &lt;40 kg, and 40 mg injections for subjects weighing </w:t>
      </w:r>
      <w:r w:rsidR="006674AB">
        <w:t>≥ 4</w:t>
      </w:r>
      <w:r>
        <w:t xml:space="preserve">0 kg), has been reasonably justified in the </w:t>
      </w:r>
      <w:r w:rsidR="006674AB">
        <w:t>sponsor’s</w:t>
      </w:r>
      <w:r>
        <w:t xml:space="preserve"> response. The sponsor has also sufficiently justified by extrapolation the claim to extend the use of ADA to paediatric patients with PSOR aged between 4 and 6 years of age</w:t>
      </w:r>
      <w:r w:rsidR="00D24962">
        <w:t>.</w:t>
      </w:r>
    </w:p>
    <w:p w:rsidR="00E229FD" w:rsidRDefault="00E229FD" w:rsidP="006674AB">
      <w:pPr>
        <w:pStyle w:val="Heading4"/>
      </w:pPr>
      <w:bookmarkStart w:id="126" w:name="_Toc272414710"/>
      <w:bookmarkStart w:id="127" w:name="_Toc290888576"/>
      <w:bookmarkStart w:id="128" w:name="_Toc447549551"/>
      <w:r>
        <w:t>Second round assessment of risks</w:t>
      </w:r>
      <w:bookmarkEnd w:id="126"/>
      <w:bookmarkEnd w:id="127"/>
      <w:bookmarkEnd w:id="128"/>
    </w:p>
    <w:p w:rsidR="00D24962" w:rsidRDefault="00E229FD" w:rsidP="00E229FD">
      <w:pPr>
        <w:autoSpaceDE w:val="0"/>
        <w:autoSpaceDN w:val="0"/>
        <w:adjustRightInd w:val="0"/>
      </w:pPr>
      <w:r>
        <w:t xml:space="preserve">After consideration of the responses to the clinical questions (6-12), the risks of ADA for the treatment of paediatric patients with active ERA or PSOR in the proposed usage are unchanged from those identified in </w:t>
      </w:r>
      <w:r w:rsidR="006674AB">
        <w:t>the first round</w:t>
      </w:r>
      <w:r>
        <w:t xml:space="preserve"> report. In particular, the limited post-marketing data and additional safety information presented for patients involved in the 2 pivotal trials in this submission have not revealed any new safety concerns with ADA use in a broad range of paediatric subjects.</w:t>
      </w:r>
      <w:r w:rsidR="00184B82">
        <w:t xml:space="preserve"> </w:t>
      </w:r>
    </w:p>
    <w:p w:rsidR="00E229FD" w:rsidRDefault="00E229FD" w:rsidP="006674AB">
      <w:pPr>
        <w:pStyle w:val="Heading4"/>
      </w:pPr>
      <w:bookmarkStart w:id="129" w:name="_Toc272414711"/>
      <w:bookmarkStart w:id="130" w:name="_Toc290888577"/>
      <w:bookmarkStart w:id="131" w:name="_Toc447549552"/>
      <w:r>
        <w:t>Second round assessment of benefit-risk balance</w:t>
      </w:r>
      <w:bookmarkEnd w:id="129"/>
      <w:bookmarkEnd w:id="130"/>
      <w:bookmarkEnd w:id="131"/>
    </w:p>
    <w:p w:rsidR="00E229FD" w:rsidRPr="001E6201" w:rsidRDefault="00E229FD" w:rsidP="006674AB">
      <w:pPr>
        <w:pStyle w:val="Heading5"/>
      </w:pPr>
      <w:proofErr w:type="spellStart"/>
      <w:r>
        <w:t>Enthe</w:t>
      </w:r>
      <w:r w:rsidRPr="001E6201">
        <w:t>siti</w:t>
      </w:r>
      <w:r>
        <w:t>s</w:t>
      </w:r>
      <w:proofErr w:type="spellEnd"/>
      <w:r>
        <w:t xml:space="preserve"> </w:t>
      </w:r>
      <w:r w:rsidR="00CF74B3">
        <w:t xml:space="preserve">related </w:t>
      </w:r>
      <w:r w:rsidR="00CF74B3" w:rsidRPr="001E6201">
        <w:t>arthritis</w:t>
      </w:r>
    </w:p>
    <w:p w:rsidR="006E5EC5" w:rsidRDefault="00E229FD" w:rsidP="005061A2">
      <w:r>
        <w:t xml:space="preserve">After consideration of the responses to the clinical questions, there is no change to the opinion expressed in </w:t>
      </w:r>
      <w:r w:rsidR="006674AB">
        <w:t>the first round report</w:t>
      </w:r>
      <w:r>
        <w:t>. The benefit-risk balance of ADA injections in the proposed treatment indication of active ERA in paediatric patients is favourable. Clinically relevant, robust efficacy has been observed with ADA in the treatment of E</w:t>
      </w:r>
      <w:r w:rsidR="006674AB">
        <w:t>RA in the single pivotal Phase III</w:t>
      </w:r>
      <w:r>
        <w:t xml:space="preserve"> study (M11-328) where the majority of subjects had prior exposure to conventional DMARD therapy (MTX and/or SSZ). Unfavourable effects consistent with other anti-TNF therapy have been observed with ADA, including infections and injection site </w:t>
      </w:r>
      <w:proofErr w:type="spellStart"/>
      <w:r>
        <w:t>reactions.Although</w:t>
      </w:r>
      <w:proofErr w:type="spellEnd"/>
      <w:r>
        <w:t xml:space="preserve"> a higher incidence of herpes virus infections were observed with </w:t>
      </w:r>
      <w:proofErr w:type="gramStart"/>
      <w:r>
        <w:t>ADA,</w:t>
      </w:r>
      <w:proofErr w:type="gramEnd"/>
      <w:r>
        <w:t xml:space="preserve"> there was no increased prevalence of serious opportunistic infections (including mycobacterium infection) in the ERA population.</w:t>
      </w:r>
      <w:r w:rsidR="005061A2">
        <w:rPr>
          <w:rStyle w:val="FootnoteReference"/>
        </w:rPr>
        <w:footnoteReference w:id="8"/>
      </w:r>
    </w:p>
    <w:p w:rsidR="00E229FD" w:rsidRPr="001E6201" w:rsidRDefault="00E229FD" w:rsidP="006674AB">
      <w:pPr>
        <w:pStyle w:val="Heading5"/>
      </w:pPr>
      <w:r>
        <w:t xml:space="preserve">Paediatric </w:t>
      </w:r>
      <w:r w:rsidR="00CF74B3">
        <w:t>p</w:t>
      </w:r>
      <w:r>
        <w:t>s</w:t>
      </w:r>
      <w:r w:rsidRPr="001E6201">
        <w:t>o</w:t>
      </w:r>
      <w:r>
        <w:t>r</w:t>
      </w:r>
      <w:r w:rsidRPr="001E6201">
        <w:t>i</w:t>
      </w:r>
      <w:r>
        <w:t>a</w:t>
      </w:r>
      <w:r w:rsidRPr="001E6201">
        <w:t>s</w:t>
      </w:r>
      <w:r>
        <w:t>is</w:t>
      </w:r>
    </w:p>
    <w:p w:rsidR="00D24962" w:rsidRDefault="00E229FD" w:rsidP="00E229FD">
      <w:r>
        <w:t xml:space="preserve">After consideration of the responses to the clinical questions, there is no change to the opinion expressed in </w:t>
      </w:r>
      <w:r w:rsidR="003B4590">
        <w:t>the first round</w:t>
      </w:r>
      <w:r>
        <w:t>. The benefit-risk balance of ADA injections in the proposed treatment indication of active PSOR in paediatric patients is favourable. Clinically relevant efficacy has been observed with ADA in the treatment of paediatric PSOR, and the nature and risk of side-effects with ADA is consistent with anti-TNF therapy used in paediatric patients with active autoimmune disease</w:t>
      </w:r>
      <w:r w:rsidR="00D24962">
        <w:t>.</w:t>
      </w:r>
    </w:p>
    <w:p w:rsidR="00D24962" w:rsidRDefault="003B4590" w:rsidP="003B4590">
      <w:pPr>
        <w:pStyle w:val="Heading4"/>
      </w:pPr>
      <w:bookmarkStart w:id="132" w:name="_Ref272160677"/>
      <w:bookmarkStart w:id="133" w:name="_Toc272414713"/>
      <w:bookmarkStart w:id="134" w:name="_Toc290888578"/>
      <w:bookmarkStart w:id="135" w:name="_Toc447549553"/>
      <w:r>
        <w:t>Second round recommendation regarding authorisation</w:t>
      </w:r>
      <w:bookmarkEnd w:id="132"/>
      <w:bookmarkEnd w:id="133"/>
      <w:bookmarkEnd w:id="134"/>
      <w:bookmarkEnd w:id="135"/>
    </w:p>
    <w:p w:rsidR="00E229FD" w:rsidRPr="001E6201" w:rsidRDefault="00E229FD" w:rsidP="003B4590">
      <w:pPr>
        <w:pStyle w:val="Heading5"/>
      </w:pPr>
      <w:proofErr w:type="spellStart"/>
      <w:r>
        <w:t>Enthe</w:t>
      </w:r>
      <w:r w:rsidRPr="001E6201">
        <w:t>siti</w:t>
      </w:r>
      <w:r>
        <w:t>s</w:t>
      </w:r>
      <w:proofErr w:type="spellEnd"/>
      <w:r>
        <w:t xml:space="preserve"> </w:t>
      </w:r>
      <w:r w:rsidR="00CF74B3">
        <w:t>related</w:t>
      </w:r>
      <w:r w:rsidR="00CF74B3" w:rsidRPr="001E6201">
        <w:t xml:space="preserve"> arthritis</w:t>
      </w:r>
    </w:p>
    <w:p w:rsidR="00E229FD" w:rsidRDefault="003B4590" w:rsidP="00E229FD">
      <w:r>
        <w:t>The evaluator</w:t>
      </w:r>
      <w:r w:rsidR="00E229FD">
        <w:t xml:space="preserve"> recommend</w:t>
      </w:r>
      <w:r>
        <w:t>s</w:t>
      </w:r>
      <w:r w:rsidR="00E229FD">
        <w:t xml:space="preserve"> acceptance of the sponsor’s proposal for an extension of treatment indication for ADA to include active ERA in paediatric subjects. The concurrent </w:t>
      </w:r>
      <w:r w:rsidR="00E229FD">
        <w:lastRenderedPageBreak/>
        <w:t xml:space="preserve">use of NSAID or DMARD did not appear to significantly impact upon efficacy outcomes. The proposed dose of ADA is 20 mg in those weighing 15 to &lt;30 kg and 40 mg in subjects weighing </w:t>
      </w:r>
      <w:r>
        <w:t xml:space="preserve">≥ </w:t>
      </w:r>
      <w:r w:rsidR="00E229FD">
        <w:t xml:space="preserve">30 kg. It is recommended that ADA is given by SC injection at fortnightly dosing intervals in ERA. There is a sufficient volume of data to indicate that the proposed posology is the most efficacious dose in this patient group with a relatively low risk of safety concerns. </w:t>
      </w:r>
      <w:r>
        <w:t>The evaluator</w:t>
      </w:r>
      <w:r w:rsidR="00E229FD">
        <w:t xml:space="preserve"> do</w:t>
      </w:r>
      <w:r>
        <w:t>es</w:t>
      </w:r>
      <w:r w:rsidR="00E229FD">
        <w:t xml:space="preserve"> not recommend any changes to the sponsor proposed indication wording for ERA.</w:t>
      </w:r>
    </w:p>
    <w:p w:rsidR="00D24962" w:rsidRDefault="00E229FD" w:rsidP="00E229FD">
      <w:r>
        <w:t>Should approval of the sponsor’s proposed exten</w:t>
      </w:r>
      <w:r w:rsidR="003B4590">
        <w:t>sion of indication be granted, the evaluator</w:t>
      </w:r>
      <w:r>
        <w:t xml:space="preserve"> recommend</w:t>
      </w:r>
      <w:r w:rsidR="003B4590">
        <w:t>s</w:t>
      </w:r>
      <w:r>
        <w:t xml:space="preserve"> that approval of the sponsor’s proposed extension of indication be subject to:-</w:t>
      </w:r>
    </w:p>
    <w:p w:rsidR="00D24962" w:rsidRDefault="00E229FD" w:rsidP="003B4590">
      <w:pPr>
        <w:pStyle w:val="ListBullet"/>
      </w:pPr>
      <w:r>
        <w:t>Regular periodic safety update reports, and</w:t>
      </w:r>
    </w:p>
    <w:p w:rsidR="00D24962" w:rsidRDefault="00E229FD" w:rsidP="003B4590">
      <w:pPr>
        <w:pStyle w:val="ListBullet"/>
      </w:pPr>
      <w:r>
        <w:t>When available, the sponsor provides the TGA with the final clinical study report for Study M11-328</w:t>
      </w:r>
      <w:r w:rsidR="00D24962">
        <w:t>.</w:t>
      </w:r>
    </w:p>
    <w:p w:rsidR="00E229FD" w:rsidRPr="001E6201" w:rsidRDefault="00E229FD" w:rsidP="003B4590">
      <w:pPr>
        <w:pStyle w:val="Heading5"/>
      </w:pPr>
      <w:r>
        <w:t xml:space="preserve">Paediatric </w:t>
      </w:r>
      <w:r w:rsidR="00CF74B3">
        <w:t>p</w:t>
      </w:r>
      <w:r>
        <w:t>s</w:t>
      </w:r>
      <w:r w:rsidRPr="001E6201">
        <w:t>o</w:t>
      </w:r>
      <w:r>
        <w:t>r</w:t>
      </w:r>
      <w:r w:rsidRPr="001E6201">
        <w:t>i</w:t>
      </w:r>
      <w:r>
        <w:t>as</w:t>
      </w:r>
      <w:r w:rsidRPr="001E6201">
        <w:t>is</w:t>
      </w:r>
    </w:p>
    <w:p w:rsidR="00D24962" w:rsidRDefault="003B4590" w:rsidP="00E229FD">
      <w:r>
        <w:t>The evaluator</w:t>
      </w:r>
      <w:r w:rsidR="00E229FD">
        <w:t xml:space="preserve"> recommend</w:t>
      </w:r>
      <w:r>
        <w:t>s</w:t>
      </w:r>
      <w:r w:rsidR="00E229FD">
        <w:t xml:space="preserve"> acceptance of the sponsor’s proposal for an extension of treatment indication for ADA to include active PSOR in children aged between 4 and 17 years of age. Based on the data available, ADA is effective and demonstrates an acceptable safety profile in the management of active PSOR in paediatric patients. Furthermore, the sponsor has proposed a new posology for ADA in paediatric PSOR, which is acceptable based on the </w:t>
      </w:r>
      <w:r>
        <w:t>sponsor’s</w:t>
      </w:r>
      <w:r w:rsidR="00E229FD">
        <w:t xml:space="preserve"> response. The proposed dose of ADA is 20 mg in those weighing &lt;40 kg and 40 mg in subjects weighing </w:t>
      </w:r>
      <w:r>
        <w:t>≥ 4</w:t>
      </w:r>
      <w:r w:rsidR="00E229FD">
        <w:t>0 kg. There is a sufficient volume of data to indicate that the proposed posology is the most efficacious dose in this patient group with a relatively low risk of safety concerns</w:t>
      </w:r>
      <w:r w:rsidR="00D24962">
        <w:t>.</w:t>
      </w:r>
    </w:p>
    <w:p w:rsidR="00E229FD" w:rsidRDefault="003B4590" w:rsidP="00E229FD">
      <w:r>
        <w:t>The evaluator</w:t>
      </w:r>
      <w:r w:rsidR="00E229FD">
        <w:t xml:space="preserve"> recommend</w:t>
      </w:r>
      <w:r>
        <w:t>s</w:t>
      </w:r>
      <w:r w:rsidR="00E229FD">
        <w:t xml:space="preserve"> that approval of the sponsor’s proposed extension of indication be subject to:</w:t>
      </w:r>
    </w:p>
    <w:p w:rsidR="00D24962" w:rsidRDefault="00E229FD" w:rsidP="003B4590">
      <w:pPr>
        <w:pStyle w:val="ListBullet"/>
      </w:pPr>
      <w:r>
        <w:t>Regular periodic safety update reports, and</w:t>
      </w:r>
    </w:p>
    <w:p w:rsidR="00605AD4" w:rsidRPr="00605AD4" w:rsidRDefault="00E229FD" w:rsidP="003B4590">
      <w:pPr>
        <w:pStyle w:val="ListBullet"/>
      </w:pPr>
      <w:r>
        <w:t>When available, the sponsor provides the TGA with the final clinical study reports for Study M04-717.</w:t>
      </w:r>
    </w:p>
    <w:p w:rsidR="008E7846" w:rsidRPr="00E41208" w:rsidRDefault="008E7846" w:rsidP="00546154">
      <w:pPr>
        <w:pStyle w:val="Heading2"/>
      </w:pPr>
      <w:bookmarkStart w:id="136" w:name="_Toc479772065"/>
      <w:r w:rsidRPr="00E41208">
        <w:t xml:space="preserve">V. Pharmacovigilance </w:t>
      </w:r>
      <w:r>
        <w:t>f</w:t>
      </w:r>
      <w:r w:rsidRPr="00E41208">
        <w:t>indings</w:t>
      </w:r>
      <w:bookmarkEnd w:id="75"/>
      <w:bookmarkEnd w:id="76"/>
      <w:bookmarkEnd w:id="136"/>
    </w:p>
    <w:p w:rsidR="008E7846" w:rsidRDefault="00386150" w:rsidP="008E7846">
      <w:pPr>
        <w:pStyle w:val="Heading3"/>
        <w:rPr>
          <w:lang w:eastAsia="en-AU"/>
        </w:rPr>
      </w:pPr>
      <w:bookmarkStart w:id="137" w:name="_Toc247691526"/>
      <w:bookmarkStart w:id="138" w:name="_Toc314842509"/>
      <w:bookmarkStart w:id="139" w:name="_Toc479772066"/>
      <w:r>
        <w:rPr>
          <w:lang w:eastAsia="en-AU"/>
        </w:rPr>
        <w:t>Risk m</w:t>
      </w:r>
      <w:r w:rsidR="008E7846">
        <w:rPr>
          <w:lang w:eastAsia="en-AU"/>
        </w:rPr>
        <w:t xml:space="preserve">anagement </w:t>
      </w:r>
      <w:r>
        <w:rPr>
          <w:lang w:eastAsia="en-AU"/>
        </w:rPr>
        <w:t>p</w:t>
      </w:r>
      <w:r w:rsidR="008E7846">
        <w:rPr>
          <w:lang w:eastAsia="en-AU"/>
        </w:rPr>
        <w:t>lan</w:t>
      </w:r>
      <w:bookmarkEnd w:id="137"/>
      <w:bookmarkEnd w:id="138"/>
      <w:bookmarkEnd w:id="139"/>
    </w:p>
    <w:p w:rsidR="008E7846" w:rsidRPr="003B4590" w:rsidRDefault="008E7846" w:rsidP="008E7846">
      <w:r>
        <w:rPr>
          <w:lang w:eastAsia="en-AU"/>
        </w:rPr>
        <w:t xml:space="preserve">The sponsor submitted a Risk </w:t>
      </w:r>
      <w:r w:rsidRPr="003B4590">
        <w:t>Management Plan</w:t>
      </w:r>
      <w:r w:rsidR="006F25B8" w:rsidRPr="003B4590">
        <w:t xml:space="preserve"> (</w:t>
      </w:r>
      <w:r w:rsidR="00BF682A" w:rsidRPr="003B4590">
        <w:t>EU-RMP (Version 11.3.1, dated June 2015) with an Australian Specific Annex (ASA) Version: 5.0, dated September 2015</w:t>
      </w:r>
      <w:r w:rsidR="006F25B8" w:rsidRPr="003B4590">
        <w:t>)</w:t>
      </w:r>
      <w:r w:rsidRPr="003B4590">
        <w:t xml:space="preserve"> which was reviewed by the </w:t>
      </w:r>
      <w:r w:rsidR="00FC1FCA" w:rsidRPr="003B4590">
        <w:t>RMP evaluator.</w:t>
      </w:r>
    </w:p>
    <w:p w:rsidR="008E7846" w:rsidRDefault="003A7F6C" w:rsidP="008E7846">
      <w:pPr>
        <w:pStyle w:val="Heading4"/>
        <w:rPr>
          <w:lang w:eastAsia="en-AU"/>
        </w:rPr>
      </w:pPr>
      <w:r>
        <w:rPr>
          <w:lang w:eastAsia="en-AU"/>
        </w:rPr>
        <w:t>Safety s</w:t>
      </w:r>
      <w:r w:rsidR="008E7846">
        <w:rPr>
          <w:lang w:eastAsia="en-AU"/>
        </w:rPr>
        <w:t>pecification</w:t>
      </w:r>
    </w:p>
    <w:p w:rsidR="008E7846" w:rsidRDefault="008E7846" w:rsidP="008E7846">
      <w:pPr>
        <w:rPr>
          <w:lang w:eastAsia="en-AU"/>
        </w:rPr>
      </w:pPr>
      <w:r>
        <w:rPr>
          <w:lang w:eastAsia="en-AU"/>
        </w:rPr>
        <w:t>The</w:t>
      </w:r>
      <w:r w:rsidR="006F25B8">
        <w:rPr>
          <w:lang w:eastAsia="en-AU"/>
        </w:rPr>
        <w:t xml:space="preserve"> sponsor provided a summary of o</w:t>
      </w:r>
      <w:r>
        <w:rPr>
          <w:lang w:eastAsia="en-AU"/>
        </w:rPr>
        <w:t xml:space="preserve">ngoing safety </w:t>
      </w:r>
      <w:r w:rsidR="006F25B8">
        <w:rPr>
          <w:lang w:eastAsia="en-AU"/>
        </w:rPr>
        <w:t>c</w:t>
      </w:r>
      <w:r>
        <w:rPr>
          <w:lang w:eastAsia="en-AU"/>
        </w:rPr>
        <w:t xml:space="preserve">oncerns which are shown at Table </w:t>
      </w:r>
      <w:r w:rsidR="003B4590">
        <w:rPr>
          <w:lang w:eastAsia="en-AU"/>
        </w:rPr>
        <w:t>8</w:t>
      </w:r>
      <w:r>
        <w:rPr>
          <w:lang w:eastAsia="en-AU"/>
        </w:rPr>
        <w:t>.</w:t>
      </w:r>
    </w:p>
    <w:p w:rsidR="008E7846" w:rsidRDefault="003B4590" w:rsidP="003B4590">
      <w:pPr>
        <w:pStyle w:val="TableTitle"/>
        <w:rPr>
          <w:lang w:eastAsia="en-AU"/>
        </w:rPr>
      </w:pPr>
      <w:r>
        <w:rPr>
          <w:lang w:eastAsia="en-AU"/>
        </w:rPr>
        <w:t>Table 8: Summary of ongoing safety concerns</w:t>
      </w:r>
    </w:p>
    <w:tbl>
      <w:tblPr>
        <w:tblStyle w:val="TableGrid"/>
        <w:tblW w:w="0" w:type="auto"/>
        <w:tblLook w:val="04A0" w:firstRow="1" w:lastRow="0" w:firstColumn="1" w:lastColumn="0" w:noHBand="0" w:noVBand="1"/>
      </w:tblPr>
      <w:tblGrid>
        <w:gridCol w:w="4360"/>
        <w:gridCol w:w="4360"/>
      </w:tblGrid>
      <w:tr w:rsidR="00760EF6" w:rsidRPr="00CF74B3" w:rsidTr="00760EF6">
        <w:tc>
          <w:tcPr>
            <w:tcW w:w="4360" w:type="dxa"/>
            <w:shd w:val="clear" w:color="auto" w:fill="0070B5" w:themeFill="text2" w:themeFillTint="BF"/>
          </w:tcPr>
          <w:p w:rsidR="00760EF6" w:rsidRPr="00CF74B3" w:rsidRDefault="00760EF6" w:rsidP="00CF74B3">
            <w:pPr>
              <w:pStyle w:val="Default"/>
              <w:rPr>
                <w:sz w:val="20"/>
                <w:szCs w:val="20"/>
              </w:rPr>
            </w:pPr>
            <w:r w:rsidRPr="00CF74B3">
              <w:rPr>
                <w:b/>
                <w:bCs/>
                <w:color w:val="FFFFFF"/>
                <w:sz w:val="20"/>
                <w:szCs w:val="20"/>
              </w:rPr>
              <w:t>Important identified risks</w:t>
            </w:r>
          </w:p>
        </w:tc>
        <w:tc>
          <w:tcPr>
            <w:tcW w:w="4360" w:type="dxa"/>
          </w:tcPr>
          <w:p w:rsidR="00D24962" w:rsidRPr="00CF74B3" w:rsidRDefault="00732A6A" w:rsidP="00732A6A">
            <w:pPr>
              <w:rPr>
                <w:sz w:val="20"/>
                <w:szCs w:val="20"/>
              </w:rPr>
            </w:pPr>
            <w:r w:rsidRPr="00CF74B3">
              <w:rPr>
                <w:sz w:val="20"/>
                <w:szCs w:val="20"/>
              </w:rPr>
              <w:t>Serious i</w:t>
            </w:r>
            <w:r w:rsidR="00760EF6" w:rsidRPr="00CF74B3">
              <w:rPr>
                <w:sz w:val="20"/>
                <w:szCs w:val="20"/>
              </w:rPr>
              <w:t xml:space="preserve">nfections including </w:t>
            </w:r>
            <w:r w:rsidRPr="00CF74B3">
              <w:rPr>
                <w:sz w:val="20"/>
                <w:szCs w:val="20"/>
              </w:rPr>
              <w:t xml:space="preserve">diverticulitis and opportunistic infection, e.g. </w:t>
            </w:r>
            <w:r w:rsidR="00760EF6" w:rsidRPr="00CF74B3">
              <w:rPr>
                <w:sz w:val="20"/>
                <w:szCs w:val="20"/>
              </w:rPr>
              <w:t xml:space="preserve">invasive fungal infections, parasitic infections, </w:t>
            </w:r>
            <w:proofErr w:type="spellStart"/>
            <w:r w:rsidR="00760EF6" w:rsidRPr="00CF74B3">
              <w:rPr>
                <w:sz w:val="20"/>
                <w:szCs w:val="20"/>
              </w:rPr>
              <w:t>legionellosis</w:t>
            </w:r>
            <w:proofErr w:type="spellEnd"/>
            <w:r w:rsidR="00760EF6" w:rsidRPr="00CF74B3">
              <w:rPr>
                <w:sz w:val="20"/>
                <w:szCs w:val="20"/>
              </w:rPr>
              <w:t>, and TB</w:t>
            </w:r>
          </w:p>
          <w:p w:rsidR="00D24962" w:rsidRPr="00CF74B3" w:rsidRDefault="00760EF6" w:rsidP="00732A6A">
            <w:pPr>
              <w:rPr>
                <w:sz w:val="20"/>
                <w:szCs w:val="20"/>
              </w:rPr>
            </w:pPr>
            <w:r w:rsidRPr="00CF74B3">
              <w:rPr>
                <w:sz w:val="20"/>
                <w:szCs w:val="20"/>
              </w:rPr>
              <w:t>Reactivation of hepatitis B</w:t>
            </w:r>
          </w:p>
          <w:p w:rsidR="00D24962" w:rsidRPr="00CF74B3" w:rsidRDefault="00760EF6" w:rsidP="00732A6A">
            <w:pPr>
              <w:rPr>
                <w:sz w:val="20"/>
                <w:szCs w:val="20"/>
              </w:rPr>
            </w:pPr>
            <w:r w:rsidRPr="00CF74B3">
              <w:rPr>
                <w:sz w:val="20"/>
                <w:szCs w:val="20"/>
              </w:rPr>
              <w:lastRenderedPageBreak/>
              <w:t>Pancreatitis</w:t>
            </w:r>
          </w:p>
          <w:p w:rsidR="00D24962" w:rsidRPr="00CF74B3" w:rsidRDefault="00760EF6" w:rsidP="00732A6A">
            <w:pPr>
              <w:rPr>
                <w:sz w:val="20"/>
                <w:szCs w:val="20"/>
              </w:rPr>
            </w:pPr>
            <w:r w:rsidRPr="00CF74B3">
              <w:rPr>
                <w:sz w:val="20"/>
                <w:szCs w:val="20"/>
              </w:rPr>
              <w:t>Lymphoma</w:t>
            </w:r>
          </w:p>
          <w:p w:rsidR="00760EF6" w:rsidRPr="00CF74B3" w:rsidRDefault="00760EF6" w:rsidP="00732A6A">
            <w:pPr>
              <w:rPr>
                <w:sz w:val="20"/>
                <w:szCs w:val="20"/>
              </w:rPr>
            </w:pPr>
            <w:r w:rsidRPr="00CF74B3">
              <w:rPr>
                <w:sz w:val="20"/>
                <w:szCs w:val="20"/>
              </w:rPr>
              <w:t>H</w:t>
            </w:r>
            <w:r w:rsidR="00732A6A" w:rsidRPr="00CF74B3">
              <w:rPr>
                <w:sz w:val="20"/>
                <w:szCs w:val="20"/>
              </w:rPr>
              <w:t>S</w:t>
            </w:r>
            <w:r w:rsidRPr="00CF74B3">
              <w:rPr>
                <w:sz w:val="20"/>
                <w:szCs w:val="20"/>
              </w:rPr>
              <w:t>T</w:t>
            </w:r>
            <w:r w:rsidR="00732A6A" w:rsidRPr="00CF74B3">
              <w:rPr>
                <w:sz w:val="20"/>
                <w:szCs w:val="20"/>
              </w:rPr>
              <w:t>C</w:t>
            </w:r>
            <w:r w:rsidRPr="00CF74B3">
              <w:rPr>
                <w:sz w:val="20"/>
                <w:szCs w:val="20"/>
              </w:rPr>
              <w:t>L</w:t>
            </w:r>
          </w:p>
          <w:p w:rsidR="00D24962" w:rsidRPr="00CF74B3" w:rsidRDefault="00760EF6" w:rsidP="00732A6A">
            <w:pPr>
              <w:rPr>
                <w:sz w:val="20"/>
                <w:szCs w:val="20"/>
              </w:rPr>
            </w:pPr>
            <w:proofErr w:type="spellStart"/>
            <w:r w:rsidRPr="00CF74B3">
              <w:rPr>
                <w:sz w:val="20"/>
                <w:szCs w:val="20"/>
              </w:rPr>
              <w:t>Leukemia</w:t>
            </w:r>
            <w:proofErr w:type="spellEnd"/>
          </w:p>
          <w:p w:rsidR="00760EF6" w:rsidRPr="00CF74B3" w:rsidRDefault="00760EF6" w:rsidP="00732A6A">
            <w:pPr>
              <w:rPr>
                <w:sz w:val="20"/>
                <w:szCs w:val="20"/>
              </w:rPr>
            </w:pPr>
            <w:r w:rsidRPr="00CF74B3">
              <w:rPr>
                <w:sz w:val="20"/>
                <w:szCs w:val="20"/>
              </w:rPr>
              <w:t>N</w:t>
            </w:r>
            <w:r w:rsidR="00732A6A" w:rsidRPr="00CF74B3">
              <w:rPr>
                <w:sz w:val="20"/>
                <w:szCs w:val="20"/>
              </w:rPr>
              <w:t>M</w:t>
            </w:r>
            <w:r w:rsidRPr="00CF74B3">
              <w:rPr>
                <w:sz w:val="20"/>
                <w:szCs w:val="20"/>
              </w:rPr>
              <w:t>SC</w:t>
            </w:r>
          </w:p>
          <w:p w:rsidR="00D24962" w:rsidRPr="00CF74B3" w:rsidRDefault="00760EF6" w:rsidP="00732A6A">
            <w:pPr>
              <w:rPr>
                <w:sz w:val="20"/>
                <w:szCs w:val="20"/>
              </w:rPr>
            </w:pPr>
            <w:r w:rsidRPr="00CF74B3">
              <w:rPr>
                <w:sz w:val="20"/>
                <w:szCs w:val="20"/>
              </w:rPr>
              <w:t>Melanoma</w:t>
            </w:r>
          </w:p>
          <w:p w:rsidR="00732A6A" w:rsidRPr="00CF74B3" w:rsidRDefault="00732A6A" w:rsidP="00732A6A">
            <w:pPr>
              <w:rPr>
                <w:sz w:val="20"/>
                <w:szCs w:val="20"/>
              </w:rPr>
            </w:pPr>
            <w:r w:rsidRPr="00CF74B3">
              <w:rPr>
                <w:sz w:val="20"/>
                <w:szCs w:val="20"/>
              </w:rPr>
              <w:t>Merkel Cell Carcinoma (Neuroendocrine carcinoma of the skin)</w:t>
            </w:r>
          </w:p>
          <w:p w:rsidR="00D24962" w:rsidRPr="00CF74B3" w:rsidRDefault="00760EF6" w:rsidP="00732A6A">
            <w:pPr>
              <w:rPr>
                <w:sz w:val="20"/>
                <w:szCs w:val="20"/>
              </w:rPr>
            </w:pPr>
            <w:r w:rsidRPr="00CF74B3">
              <w:rPr>
                <w:sz w:val="20"/>
                <w:szCs w:val="20"/>
              </w:rPr>
              <w:t>Demyelinating disorders (including MS, GBS, and optic neuritis)</w:t>
            </w:r>
          </w:p>
          <w:p w:rsidR="00D24962" w:rsidRPr="00CF74B3" w:rsidRDefault="00760EF6" w:rsidP="00732A6A">
            <w:pPr>
              <w:rPr>
                <w:sz w:val="20"/>
                <w:szCs w:val="20"/>
              </w:rPr>
            </w:pPr>
            <w:r w:rsidRPr="00CF74B3">
              <w:rPr>
                <w:sz w:val="20"/>
                <w:szCs w:val="20"/>
              </w:rPr>
              <w:t>Immune reactions (including lupus-like reactions and allergic reactions)</w:t>
            </w:r>
          </w:p>
          <w:p w:rsidR="00D24962" w:rsidRPr="00CF74B3" w:rsidRDefault="00760EF6" w:rsidP="00732A6A">
            <w:pPr>
              <w:rPr>
                <w:sz w:val="20"/>
                <w:szCs w:val="20"/>
              </w:rPr>
            </w:pPr>
            <w:r w:rsidRPr="00CF74B3">
              <w:rPr>
                <w:sz w:val="20"/>
                <w:szCs w:val="20"/>
              </w:rPr>
              <w:t>Sarcoidosis</w:t>
            </w:r>
          </w:p>
          <w:p w:rsidR="00760EF6" w:rsidRPr="00CF74B3" w:rsidRDefault="00760EF6" w:rsidP="00732A6A">
            <w:pPr>
              <w:rPr>
                <w:sz w:val="20"/>
                <w:szCs w:val="20"/>
              </w:rPr>
            </w:pPr>
            <w:r w:rsidRPr="00CF74B3">
              <w:rPr>
                <w:sz w:val="20"/>
                <w:szCs w:val="20"/>
              </w:rPr>
              <w:t>CHF</w:t>
            </w:r>
          </w:p>
          <w:p w:rsidR="00760EF6" w:rsidRPr="00CF74B3" w:rsidRDefault="00760EF6" w:rsidP="00732A6A">
            <w:pPr>
              <w:rPr>
                <w:sz w:val="20"/>
                <w:szCs w:val="20"/>
              </w:rPr>
            </w:pPr>
            <w:r w:rsidRPr="00CF74B3">
              <w:rPr>
                <w:sz w:val="20"/>
                <w:szCs w:val="20"/>
              </w:rPr>
              <w:t>MI</w:t>
            </w:r>
          </w:p>
          <w:p w:rsidR="00760EF6" w:rsidRPr="00CF74B3" w:rsidRDefault="00760EF6" w:rsidP="00732A6A">
            <w:pPr>
              <w:rPr>
                <w:sz w:val="20"/>
                <w:szCs w:val="20"/>
              </w:rPr>
            </w:pPr>
            <w:r w:rsidRPr="00CF74B3">
              <w:rPr>
                <w:sz w:val="20"/>
                <w:szCs w:val="20"/>
              </w:rPr>
              <w:t>C</w:t>
            </w:r>
            <w:r w:rsidR="00732A6A" w:rsidRPr="00CF74B3">
              <w:rPr>
                <w:sz w:val="20"/>
                <w:szCs w:val="20"/>
              </w:rPr>
              <w:t>V</w:t>
            </w:r>
            <w:r w:rsidRPr="00CF74B3">
              <w:rPr>
                <w:sz w:val="20"/>
                <w:szCs w:val="20"/>
              </w:rPr>
              <w:t>A</w:t>
            </w:r>
          </w:p>
          <w:p w:rsidR="00760EF6" w:rsidRPr="00CF74B3" w:rsidRDefault="00760EF6" w:rsidP="00732A6A">
            <w:pPr>
              <w:rPr>
                <w:sz w:val="20"/>
                <w:szCs w:val="20"/>
              </w:rPr>
            </w:pPr>
            <w:r w:rsidRPr="00CF74B3">
              <w:rPr>
                <w:sz w:val="20"/>
                <w:szCs w:val="20"/>
              </w:rPr>
              <w:t>ILD</w:t>
            </w:r>
          </w:p>
          <w:p w:rsidR="00D24962" w:rsidRPr="00CF74B3" w:rsidRDefault="00760EF6" w:rsidP="00732A6A">
            <w:pPr>
              <w:rPr>
                <w:sz w:val="20"/>
                <w:szCs w:val="20"/>
              </w:rPr>
            </w:pPr>
            <w:r w:rsidRPr="00CF74B3">
              <w:rPr>
                <w:sz w:val="20"/>
                <w:szCs w:val="20"/>
              </w:rPr>
              <w:t>Pulmonary embolism</w:t>
            </w:r>
          </w:p>
          <w:p w:rsidR="00D24962" w:rsidRPr="00CF74B3" w:rsidRDefault="00760EF6" w:rsidP="00732A6A">
            <w:pPr>
              <w:rPr>
                <w:sz w:val="20"/>
                <w:szCs w:val="20"/>
              </w:rPr>
            </w:pPr>
            <w:r w:rsidRPr="00CF74B3">
              <w:rPr>
                <w:sz w:val="20"/>
                <w:szCs w:val="20"/>
              </w:rPr>
              <w:t>Cutaneous vasculitis</w:t>
            </w:r>
          </w:p>
          <w:p w:rsidR="00D24962" w:rsidRPr="00CF74B3" w:rsidRDefault="00760EF6" w:rsidP="00732A6A">
            <w:pPr>
              <w:rPr>
                <w:sz w:val="20"/>
                <w:szCs w:val="20"/>
              </w:rPr>
            </w:pPr>
            <w:r w:rsidRPr="00CF74B3">
              <w:rPr>
                <w:sz w:val="20"/>
                <w:szCs w:val="20"/>
              </w:rPr>
              <w:t xml:space="preserve">SJS and erythema </w:t>
            </w:r>
            <w:proofErr w:type="spellStart"/>
            <w:r w:rsidRPr="00CF74B3">
              <w:rPr>
                <w:sz w:val="20"/>
                <w:szCs w:val="20"/>
              </w:rPr>
              <w:t>multiforme</w:t>
            </w:r>
            <w:proofErr w:type="spellEnd"/>
          </w:p>
          <w:p w:rsidR="00D24962" w:rsidRPr="00CF74B3" w:rsidRDefault="00760EF6" w:rsidP="00732A6A">
            <w:pPr>
              <w:rPr>
                <w:sz w:val="20"/>
                <w:szCs w:val="20"/>
              </w:rPr>
            </w:pPr>
            <w:r w:rsidRPr="00CF74B3">
              <w:rPr>
                <w:sz w:val="20"/>
                <w:szCs w:val="20"/>
              </w:rPr>
              <w:t>Worsening and new onset of Ps</w:t>
            </w:r>
          </w:p>
          <w:p w:rsidR="00D24962" w:rsidRPr="00CF74B3" w:rsidRDefault="00760EF6" w:rsidP="00732A6A">
            <w:pPr>
              <w:rPr>
                <w:sz w:val="20"/>
                <w:szCs w:val="20"/>
              </w:rPr>
            </w:pPr>
            <w:proofErr w:type="spellStart"/>
            <w:r w:rsidRPr="00CF74B3">
              <w:rPr>
                <w:sz w:val="20"/>
                <w:szCs w:val="20"/>
              </w:rPr>
              <w:t>Haematologic</w:t>
            </w:r>
            <w:proofErr w:type="spellEnd"/>
            <w:r w:rsidRPr="00CF74B3">
              <w:rPr>
                <w:sz w:val="20"/>
                <w:szCs w:val="20"/>
              </w:rPr>
              <w:t xml:space="preserve"> disorders</w:t>
            </w:r>
          </w:p>
          <w:p w:rsidR="00D24962" w:rsidRPr="00CF74B3" w:rsidRDefault="00760EF6" w:rsidP="00732A6A">
            <w:pPr>
              <w:rPr>
                <w:sz w:val="20"/>
                <w:szCs w:val="20"/>
              </w:rPr>
            </w:pPr>
            <w:r w:rsidRPr="00CF74B3">
              <w:rPr>
                <w:sz w:val="20"/>
                <w:szCs w:val="20"/>
              </w:rPr>
              <w:t>Intestinal perforation</w:t>
            </w:r>
          </w:p>
          <w:p w:rsidR="00D24962" w:rsidRPr="00CF74B3" w:rsidRDefault="00760EF6" w:rsidP="00732A6A">
            <w:pPr>
              <w:rPr>
                <w:sz w:val="20"/>
                <w:szCs w:val="20"/>
              </w:rPr>
            </w:pPr>
            <w:r w:rsidRPr="00CF74B3">
              <w:rPr>
                <w:sz w:val="20"/>
                <w:szCs w:val="20"/>
              </w:rPr>
              <w:t>Intestinal strictures in CD</w:t>
            </w:r>
          </w:p>
          <w:p w:rsidR="00D24962" w:rsidRPr="00CF74B3" w:rsidRDefault="00760EF6" w:rsidP="00732A6A">
            <w:pPr>
              <w:rPr>
                <w:sz w:val="20"/>
                <w:szCs w:val="20"/>
              </w:rPr>
            </w:pPr>
            <w:r w:rsidRPr="00CF74B3">
              <w:rPr>
                <w:sz w:val="20"/>
                <w:szCs w:val="20"/>
              </w:rPr>
              <w:t>Liver failure</w:t>
            </w:r>
            <w:r w:rsidR="00732A6A" w:rsidRPr="00CF74B3">
              <w:rPr>
                <w:sz w:val="20"/>
                <w:szCs w:val="20"/>
              </w:rPr>
              <w:t xml:space="preserve"> and Other Liver Events</w:t>
            </w:r>
          </w:p>
          <w:p w:rsidR="00D24962" w:rsidRPr="00CF74B3" w:rsidRDefault="00760EF6" w:rsidP="00732A6A">
            <w:pPr>
              <w:rPr>
                <w:sz w:val="20"/>
                <w:szCs w:val="20"/>
              </w:rPr>
            </w:pPr>
            <w:r w:rsidRPr="00CF74B3">
              <w:rPr>
                <w:sz w:val="20"/>
                <w:szCs w:val="20"/>
              </w:rPr>
              <w:t>Elevated ALT levels</w:t>
            </w:r>
          </w:p>
          <w:p w:rsidR="00732A6A" w:rsidRPr="00CF74B3" w:rsidRDefault="00732A6A" w:rsidP="00732A6A">
            <w:pPr>
              <w:rPr>
                <w:sz w:val="20"/>
                <w:szCs w:val="20"/>
              </w:rPr>
            </w:pPr>
            <w:r w:rsidRPr="00CF74B3">
              <w:rPr>
                <w:sz w:val="20"/>
                <w:szCs w:val="20"/>
              </w:rPr>
              <w:t>Autoimmune hepatitis and</w:t>
            </w:r>
          </w:p>
          <w:p w:rsidR="00760EF6" w:rsidRPr="00CF74B3" w:rsidRDefault="00760EF6" w:rsidP="00732A6A">
            <w:pPr>
              <w:rPr>
                <w:sz w:val="20"/>
                <w:szCs w:val="20"/>
              </w:rPr>
            </w:pPr>
            <w:r w:rsidRPr="00CF74B3">
              <w:rPr>
                <w:sz w:val="20"/>
                <w:szCs w:val="20"/>
              </w:rPr>
              <w:t xml:space="preserve">Medication errors and maladministration </w:t>
            </w:r>
          </w:p>
        </w:tc>
      </w:tr>
      <w:tr w:rsidR="00760EF6" w:rsidRPr="00CF74B3" w:rsidTr="00760EF6">
        <w:tc>
          <w:tcPr>
            <w:tcW w:w="4360" w:type="dxa"/>
            <w:shd w:val="clear" w:color="auto" w:fill="0070B5" w:themeFill="text2" w:themeFillTint="BF"/>
          </w:tcPr>
          <w:p w:rsidR="00760EF6" w:rsidRPr="00CF74B3" w:rsidRDefault="00760EF6" w:rsidP="00760EF6">
            <w:pPr>
              <w:pStyle w:val="Default"/>
              <w:rPr>
                <w:color w:val="FFFFFF"/>
                <w:sz w:val="20"/>
                <w:szCs w:val="20"/>
              </w:rPr>
            </w:pPr>
            <w:r w:rsidRPr="00CF74B3">
              <w:rPr>
                <w:b/>
                <w:bCs/>
                <w:color w:val="FFFFFF"/>
                <w:sz w:val="20"/>
                <w:szCs w:val="20"/>
              </w:rPr>
              <w:lastRenderedPageBreak/>
              <w:t xml:space="preserve">Important potential risks </w:t>
            </w:r>
          </w:p>
        </w:tc>
        <w:tc>
          <w:tcPr>
            <w:tcW w:w="4360" w:type="dxa"/>
          </w:tcPr>
          <w:p w:rsidR="00D24962" w:rsidRPr="00CF74B3" w:rsidRDefault="00760EF6" w:rsidP="00732A6A">
            <w:pPr>
              <w:rPr>
                <w:sz w:val="20"/>
                <w:szCs w:val="20"/>
              </w:rPr>
            </w:pPr>
            <w:r w:rsidRPr="00CF74B3">
              <w:rPr>
                <w:sz w:val="20"/>
                <w:szCs w:val="20"/>
              </w:rPr>
              <w:t xml:space="preserve">Other malignancies (except lymphoma, HSTCL, </w:t>
            </w:r>
            <w:proofErr w:type="spellStart"/>
            <w:r w:rsidRPr="00CF74B3">
              <w:rPr>
                <w:sz w:val="20"/>
                <w:szCs w:val="20"/>
              </w:rPr>
              <w:t>leukemia</w:t>
            </w:r>
            <w:proofErr w:type="spellEnd"/>
            <w:r w:rsidRPr="00CF74B3">
              <w:rPr>
                <w:sz w:val="20"/>
                <w:szCs w:val="20"/>
              </w:rPr>
              <w:t>, NMSC, and melanoma)</w:t>
            </w:r>
          </w:p>
          <w:p w:rsidR="00D24962" w:rsidRPr="00CF74B3" w:rsidRDefault="00760EF6" w:rsidP="00732A6A">
            <w:pPr>
              <w:rPr>
                <w:sz w:val="20"/>
                <w:szCs w:val="20"/>
              </w:rPr>
            </w:pPr>
            <w:r w:rsidRPr="00CF74B3">
              <w:rPr>
                <w:sz w:val="20"/>
                <w:szCs w:val="20"/>
              </w:rPr>
              <w:t>Vasculitis (non-cutaneous)</w:t>
            </w:r>
          </w:p>
          <w:p w:rsidR="00760EF6" w:rsidRPr="00CF74B3" w:rsidRDefault="00760EF6" w:rsidP="00732A6A">
            <w:pPr>
              <w:rPr>
                <w:sz w:val="20"/>
                <w:szCs w:val="20"/>
              </w:rPr>
            </w:pPr>
            <w:r w:rsidRPr="00CF74B3">
              <w:rPr>
                <w:sz w:val="20"/>
                <w:szCs w:val="20"/>
              </w:rPr>
              <w:t>PM</w:t>
            </w:r>
            <w:r w:rsidR="00732A6A" w:rsidRPr="00CF74B3">
              <w:rPr>
                <w:sz w:val="20"/>
                <w:szCs w:val="20"/>
              </w:rPr>
              <w:t>L</w:t>
            </w:r>
          </w:p>
          <w:p w:rsidR="00760EF6" w:rsidRPr="00CF74B3" w:rsidRDefault="00760EF6" w:rsidP="00732A6A">
            <w:pPr>
              <w:rPr>
                <w:sz w:val="20"/>
                <w:szCs w:val="20"/>
              </w:rPr>
            </w:pPr>
            <w:r w:rsidRPr="00CF74B3">
              <w:rPr>
                <w:sz w:val="20"/>
                <w:szCs w:val="20"/>
              </w:rPr>
              <w:t>RPLS</w:t>
            </w:r>
          </w:p>
          <w:p w:rsidR="00760EF6" w:rsidRPr="00CF74B3" w:rsidRDefault="00760EF6" w:rsidP="00732A6A">
            <w:pPr>
              <w:rPr>
                <w:sz w:val="20"/>
                <w:szCs w:val="20"/>
              </w:rPr>
            </w:pPr>
            <w:r w:rsidRPr="00CF74B3">
              <w:rPr>
                <w:sz w:val="20"/>
                <w:szCs w:val="20"/>
              </w:rPr>
              <w:t>ALS</w:t>
            </w:r>
          </w:p>
          <w:p w:rsidR="00D24962" w:rsidRPr="00CF74B3" w:rsidRDefault="00760EF6" w:rsidP="00732A6A">
            <w:pPr>
              <w:rPr>
                <w:sz w:val="20"/>
                <w:szCs w:val="20"/>
              </w:rPr>
            </w:pPr>
            <w:r w:rsidRPr="00CF74B3">
              <w:rPr>
                <w:sz w:val="20"/>
                <w:szCs w:val="20"/>
              </w:rPr>
              <w:t>Colon cancer in UC patients</w:t>
            </w:r>
          </w:p>
          <w:p w:rsidR="00D24962" w:rsidRPr="00CF74B3" w:rsidRDefault="00760EF6" w:rsidP="00732A6A">
            <w:pPr>
              <w:rPr>
                <w:iCs/>
                <w:sz w:val="20"/>
                <w:szCs w:val="20"/>
              </w:rPr>
            </w:pPr>
            <w:r w:rsidRPr="00CF74B3">
              <w:rPr>
                <w:sz w:val="20"/>
                <w:szCs w:val="20"/>
              </w:rPr>
              <w:t xml:space="preserve">Infections in infants exposed to </w:t>
            </w:r>
            <w:proofErr w:type="spellStart"/>
            <w:r w:rsidRPr="00CF74B3">
              <w:rPr>
                <w:sz w:val="20"/>
                <w:szCs w:val="20"/>
              </w:rPr>
              <w:t>adalimumab</w:t>
            </w:r>
            <w:proofErr w:type="spellEnd"/>
            <w:r w:rsidRPr="00CF74B3">
              <w:rPr>
                <w:sz w:val="20"/>
                <w:szCs w:val="20"/>
              </w:rPr>
              <w:t xml:space="preserve"> </w:t>
            </w:r>
            <w:r w:rsidRPr="00CF74B3">
              <w:rPr>
                <w:iCs/>
                <w:sz w:val="20"/>
                <w:szCs w:val="20"/>
              </w:rPr>
              <w:t>in utero</w:t>
            </w:r>
          </w:p>
          <w:p w:rsidR="00D24962" w:rsidRPr="00CF74B3" w:rsidRDefault="00760EF6" w:rsidP="00732A6A">
            <w:pPr>
              <w:rPr>
                <w:sz w:val="20"/>
                <w:szCs w:val="20"/>
              </w:rPr>
            </w:pPr>
            <w:r w:rsidRPr="00CF74B3">
              <w:rPr>
                <w:sz w:val="20"/>
                <w:szCs w:val="20"/>
              </w:rPr>
              <w:t>Medication errors with paediatric vial</w:t>
            </w:r>
          </w:p>
          <w:p w:rsidR="00760EF6" w:rsidRPr="00CF74B3" w:rsidRDefault="00760EF6" w:rsidP="00732A6A">
            <w:pPr>
              <w:rPr>
                <w:sz w:val="20"/>
                <w:szCs w:val="20"/>
              </w:rPr>
            </w:pPr>
            <w:r w:rsidRPr="00CF74B3">
              <w:rPr>
                <w:sz w:val="20"/>
                <w:szCs w:val="20"/>
              </w:rPr>
              <w:t xml:space="preserve">Off-label use </w:t>
            </w:r>
          </w:p>
        </w:tc>
      </w:tr>
      <w:tr w:rsidR="00760EF6" w:rsidRPr="00CF74B3" w:rsidTr="00760EF6">
        <w:tc>
          <w:tcPr>
            <w:tcW w:w="4360" w:type="dxa"/>
            <w:shd w:val="clear" w:color="auto" w:fill="0070B5" w:themeFill="text2" w:themeFillTint="BF"/>
          </w:tcPr>
          <w:p w:rsidR="00760EF6" w:rsidRPr="00CF74B3" w:rsidRDefault="007A1783" w:rsidP="007A1783">
            <w:pPr>
              <w:pStyle w:val="Default"/>
              <w:rPr>
                <w:color w:val="FFFFFF"/>
                <w:sz w:val="20"/>
                <w:szCs w:val="20"/>
              </w:rPr>
            </w:pPr>
            <w:r w:rsidRPr="00CF74B3">
              <w:rPr>
                <w:b/>
                <w:bCs/>
                <w:color w:val="FFFFFF"/>
                <w:sz w:val="20"/>
                <w:szCs w:val="20"/>
              </w:rPr>
              <w:t>M</w:t>
            </w:r>
            <w:r w:rsidR="00760EF6" w:rsidRPr="00CF74B3">
              <w:rPr>
                <w:b/>
                <w:bCs/>
                <w:color w:val="FFFFFF"/>
                <w:sz w:val="20"/>
                <w:szCs w:val="20"/>
              </w:rPr>
              <w:t xml:space="preserve">issing information </w:t>
            </w:r>
          </w:p>
        </w:tc>
        <w:tc>
          <w:tcPr>
            <w:tcW w:w="4360" w:type="dxa"/>
          </w:tcPr>
          <w:p w:rsidR="00D24962" w:rsidRPr="00CF74B3" w:rsidRDefault="00760EF6" w:rsidP="00732A6A">
            <w:pPr>
              <w:rPr>
                <w:sz w:val="20"/>
                <w:szCs w:val="20"/>
              </w:rPr>
            </w:pPr>
            <w:r w:rsidRPr="00CF74B3">
              <w:rPr>
                <w:sz w:val="20"/>
                <w:szCs w:val="20"/>
              </w:rPr>
              <w:t xml:space="preserve">Subjects with immune-compromised conditions </w:t>
            </w:r>
            <w:r w:rsidRPr="00CF74B3">
              <w:rPr>
                <w:sz w:val="20"/>
                <w:szCs w:val="20"/>
              </w:rPr>
              <w:lastRenderedPageBreak/>
              <w:t xml:space="preserve">(that is, </w:t>
            </w:r>
            <w:r w:rsidR="007A1783" w:rsidRPr="00CF74B3">
              <w:rPr>
                <w:sz w:val="20"/>
                <w:szCs w:val="20"/>
              </w:rPr>
              <w:t>diabetes, renal or liver failure, HIV infection, alcohol or illicit drug abuse) or due medications (</w:t>
            </w:r>
            <w:r w:rsidRPr="00CF74B3">
              <w:rPr>
                <w:sz w:val="20"/>
                <w:szCs w:val="20"/>
              </w:rPr>
              <w:t>post</w:t>
            </w:r>
            <w:r w:rsidR="007A1783" w:rsidRPr="00CF74B3">
              <w:rPr>
                <w:sz w:val="20"/>
                <w:szCs w:val="20"/>
              </w:rPr>
              <w:t xml:space="preserve"> cancer; anti-rejection drugs for </w:t>
            </w:r>
            <w:r w:rsidRPr="00CF74B3">
              <w:rPr>
                <w:sz w:val="20"/>
                <w:szCs w:val="20"/>
              </w:rPr>
              <w:t xml:space="preserve">organ transplant) </w:t>
            </w:r>
            <w:r w:rsidR="007A1783" w:rsidRPr="00CF74B3">
              <w:rPr>
                <w:sz w:val="20"/>
                <w:szCs w:val="20"/>
              </w:rPr>
              <w:t>may have increased known risk of infection or other unknown risks related to the condition or to the concomitant medications</w:t>
            </w:r>
            <w:r w:rsidR="00D24962" w:rsidRPr="00CF74B3">
              <w:rPr>
                <w:sz w:val="20"/>
                <w:szCs w:val="20"/>
              </w:rPr>
              <w:t>.</w:t>
            </w:r>
          </w:p>
          <w:p w:rsidR="007A1783" w:rsidRPr="00CF74B3" w:rsidRDefault="007A1783" w:rsidP="00732A6A">
            <w:pPr>
              <w:rPr>
                <w:sz w:val="20"/>
                <w:szCs w:val="20"/>
              </w:rPr>
            </w:pPr>
            <w:r w:rsidRPr="00CF74B3">
              <w:rPr>
                <w:sz w:val="20"/>
                <w:szCs w:val="20"/>
              </w:rPr>
              <w:t>Long-term safety information in the treatment of children aged from 4 years to less than 18 years with Ps and from 6 years to less than 18 years with CD and PedERA;</w:t>
            </w:r>
          </w:p>
          <w:p w:rsidR="00D24962" w:rsidRPr="00CF74B3" w:rsidRDefault="00760EF6" w:rsidP="00732A6A">
            <w:pPr>
              <w:rPr>
                <w:sz w:val="20"/>
                <w:szCs w:val="20"/>
              </w:rPr>
            </w:pPr>
            <w:r w:rsidRPr="00CF74B3">
              <w:rPr>
                <w:sz w:val="20"/>
                <w:szCs w:val="20"/>
              </w:rPr>
              <w:t>Pregnant and lactating women;</w:t>
            </w:r>
          </w:p>
          <w:p w:rsidR="00760EF6" w:rsidRPr="00CF74B3" w:rsidRDefault="004041A9" w:rsidP="004041A9">
            <w:pPr>
              <w:rPr>
                <w:sz w:val="20"/>
                <w:szCs w:val="20"/>
              </w:rPr>
            </w:pPr>
            <w:r w:rsidRPr="00CF74B3">
              <w:rPr>
                <w:sz w:val="20"/>
                <w:szCs w:val="20"/>
              </w:rPr>
              <w:t>Remission-withdrawal-retreatment nr-</w:t>
            </w:r>
            <w:proofErr w:type="spellStart"/>
            <w:r w:rsidRPr="00CF74B3">
              <w:rPr>
                <w:sz w:val="20"/>
                <w:szCs w:val="20"/>
              </w:rPr>
              <w:t>axSpA</w:t>
            </w:r>
            <w:proofErr w:type="spellEnd"/>
            <w:r w:rsidRPr="00CF74B3">
              <w:rPr>
                <w:sz w:val="20"/>
                <w:szCs w:val="20"/>
              </w:rPr>
              <w:t xml:space="preserve"> data and episodic treatment in Ps, CD, UC and JIA.</w:t>
            </w:r>
            <w:r w:rsidR="00760EF6" w:rsidRPr="00CF74B3">
              <w:rPr>
                <w:sz w:val="20"/>
                <w:szCs w:val="20"/>
              </w:rPr>
              <w:t xml:space="preserve"> </w:t>
            </w:r>
          </w:p>
        </w:tc>
      </w:tr>
    </w:tbl>
    <w:p w:rsidR="00CF74B3" w:rsidRDefault="00CF74B3" w:rsidP="00CF74B3">
      <w:pPr>
        <w:pStyle w:val="TableDescription"/>
        <w:rPr>
          <w:lang w:eastAsia="en-AU"/>
        </w:rPr>
      </w:pPr>
      <w:r w:rsidRPr="00CF74B3">
        <w:lastRenderedPageBreak/>
        <w:t xml:space="preserve">RA Rheumatoid Arthritis; JIA </w:t>
      </w:r>
      <w:proofErr w:type="spellStart"/>
      <w:r w:rsidRPr="00CF74B3">
        <w:t>Polyarticular</w:t>
      </w:r>
      <w:proofErr w:type="spellEnd"/>
      <w:r w:rsidRPr="00CF74B3">
        <w:t xml:space="preserve"> juvenile idiopathic arthritis; </w:t>
      </w:r>
      <w:proofErr w:type="spellStart"/>
      <w:r w:rsidRPr="00CF74B3">
        <w:t>PsA</w:t>
      </w:r>
      <w:proofErr w:type="spellEnd"/>
      <w:r w:rsidRPr="00CF74B3">
        <w:t xml:space="preserve"> Psoriatic arthritis; AS Ankylosing spondylitis; CD Crohn’s disease; Ps Psoriasis; </w:t>
      </w:r>
      <w:proofErr w:type="spellStart"/>
      <w:r w:rsidRPr="00CF74B3">
        <w:t>pedERA</w:t>
      </w:r>
      <w:proofErr w:type="spellEnd"/>
      <w:r w:rsidRPr="00CF74B3">
        <w:t xml:space="preserve"> Paediatric </w:t>
      </w:r>
      <w:proofErr w:type="spellStart"/>
      <w:r w:rsidRPr="00CF74B3">
        <w:t>Enthesitis</w:t>
      </w:r>
      <w:proofErr w:type="spellEnd"/>
      <w:r w:rsidRPr="00CF74B3">
        <w:t xml:space="preserve">-related Arthritis; </w:t>
      </w:r>
      <w:proofErr w:type="spellStart"/>
      <w:r w:rsidRPr="00CF74B3">
        <w:t>SpA</w:t>
      </w:r>
      <w:proofErr w:type="spellEnd"/>
      <w:r w:rsidRPr="00CF74B3">
        <w:t xml:space="preserve"> </w:t>
      </w:r>
      <w:proofErr w:type="spellStart"/>
      <w:r w:rsidRPr="00CF74B3">
        <w:t>Spondyloarthritis</w:t>
      </w:r>
      <w:proofErr w:type="spellEnd"/>
      <w:r w:rsidRPr="00CF74B3">
        <w:t>; UC Ulcerative Colitis</w:t>
      </w:r>
    </w:p>
    <w:p w:rsidR="008E7846" w:rsidRDefault="008E7846" w:rsidP="008E7846">
      <w:pPr>
        <w:pStyle w:val="Heading4"/>
        <w:rPr>
          <w:lang w:eastAsia="en-AU"/>
        </w:rPr>
      </w:pPr>
      <w:r>
        <w:rPr>
          <w:lang w:eastAsia="en-AU"/>
        </w:rPr>
        <w:t xml:space="preserve">Pharmacovigilance </w:t>
      </w:r>
      <w:r w:rsidR="003A7F6C">
        <w:rPr>
          <w:lang w:eastAsia="en-AU"/>
        </w:rPr>
        <w:t>p</w:t>
      </w:r>
      <w:r>
        <w:rPr>
          <w:lang w:eastAsia="en-AU"/>
        </w:rPr>
        <w:t>lan</w:t>
      </w:r>
    </w:p>
    <w:p w:rsidR="00BF682A" w:rsidRDefault="00BF682A" w:rsidP="003B4590">
      <w:pPr>
        <w:rPr>
          <w:rFonts w:eastAsiaTheme="minorHAnsi"/>
        </w:rPr>
      </w:pPr>
      <w:r w:rsidRPr="004B5FC1">
        <w:t xml:space="preserve">The sponsor proposes routine pharmacovigilance activities to monitor all the specified safety </w:t>
      </w:r>
      <w:r w:rsidRPr="005312A5">
        <w:t>concerns and missing information.</w:t>
      </w:r>
      <w:r w:rsidR="00184B82">
        <w:t xml:space="preserve"> </w:t>
      </w:r>
      <w:r w:rsidRPr="005312A5">
        <w:t>Additional pharmacovigilance activities are also proposed to further monitor and characterise the following</w:t>
      </w:r>
      <w:r w:rsidRPr="005312A5">
        <w:rPr>
          <w:rFonts w:eastAsiaTheme="minorHAnsi"/>
        </w:rPr>
        <w:t>:</w:t>
      </w:r>
    </w:p>
    <w:p w:rsidR="00D24962" w:rsidRDefault="00BF682A" w:rsidP="003B4590">
      <w:pPr>
        <w:pStyle w:val="ListBullet"/>
      </w:pPr>
      <w:r w:rsidRPr="005312A5">
        <w:t xml:space="preserve">the important identified risks: </w:t>
      </w:r>
      <w:r w:rsidRPr="005312A5">
        <w:rPr>
          <w:rFonts w:eastAsia="TimesNewRoman"/>
        </w:rPr>
        <w:t>‘</w:t>
      </w:r>
      <w:r w:rsidRPr="005312A5">
        <w:t xml:space="preserve">Serious infections including diverticulitis and opportunistic infections </w:t>
      </w:r>
      <w:r w:rsidR="003B4590">
        <w:t>for example</w:t>
      </w:r>
      <w:r w:rsidRPr="005312A5">
        <w:t xml:space="preserve"> invasive fungal infections, parasitic infections, legionellosis and Tuberculosis (TB)’, ‘Merkel Cell Carcinoma’, ‘Elevated ALT levels’ </w:t>
      </w:r>
      <w:r w:rsidR="003B4590">
        <w:t>and</w:t>
      </w:r>
      <w:r w:rsidRPr="005312A5">
        <w:t xml:space="preserve"> ‘Autoimmune hepatitis’;</w:t>
      </w:r>
    </w:p>
    <w:p w:rsidR="00D24962" w:rsidRDefault="00BF682A" w:rsidP="003B4590">
      <w:pPr>
        <w:pStyle w:val="ListBullet"/>
      </w:pPr>
      <w:r w:rsidRPr="005312A5">
        <w:t>the important potential risk: ‘Colon cancer in Ulcerative Colitis patients’; and</w:t>
      </w:r>
    </w:p>
    <w:p w:rsidR="00BF682A" w:rsidRPr="00942A02" w:rsidRDefault="00BF682A" w:rsidP="003B4590">
      <w:pPr>
        <w:pStyle w:val="ListBullet"/>
        <w:rPr>
          <w:rFonts w:eastAsiaTheme="minorHAnsi"/>
          <w:color w:val="000000"/>
        </w:rPr>
      </w:pPr>
      <w:r w:rsidRPr="00942A02">
        <w:t>the missing information: ‘</w:t>
      </w:r>
      <w:r w:rsidRPr="00942A02">
        <w:rPr>
          <w:rFonts w:eastAsiaTheme="minorHAnsi"/>
        </w:rPr>
        <w:t>Long-term safety information in the treatment of children aged from 4 years to less than 18 years with P</w:t>
      </w:r>
      <w:r w:rsidR="00FC6BF6">
        <w:rPr>
          <w:rFonts w:eastAsiaTheme="minorHAnsi"/>
        </w:rPr>
        <w:t>SOR</w:t>
      </w:r>
      <w:r w:rsidRPr="00942A02">
        <w:rPr>
          <w:rFonts w:eastAsiaTheme="minorHAnsi"/>
        </w:rPr>
        <w:t xml:space="preserve"> and from 6 years to less than 18 years with CD and PedERA’, ‘</w:t>
      </w:r>
      <w:r w:rsidRPr="00942A02">
        <w:rPr>
          <w:rFonts w:eastAsia="TimesNewRoman"/>
        </w:rPr>
        <w:t>Pregnant and lactating women’, ‘</w:t>
      </w:r>
      <w:r w:rsidRPr="00942A02">
        <w:rPr>
          <w:rFonts w:eastAsiaTheme="minorHAnsi"/>
          <w:color w:val="000000"/>
        </w:rPr>
        <w:t xml:space="preserve">Remission-withdrawal-retreatment nr-axSpA data and episodic treatment in Ps, CD, UC, and JIA’ </w:t>
      </w:r>
      <w:r w:rsidR="003B4590">
        <w:rPr>
          <w:rFonts w:eastAsiaTheme="minorHAnsi"/>
          <w:color w:val="000000"/>
        </w:rPr>
        <w:t>and</w:t>
      </w:r>
      <w:r w:rsidRPr="00942A02">
        <w:rPr>
          <w:rFonts w:eastAsiaTheme="minorHAnsi"/>
          <w:color w:val="000000"/>
        </w:rPr>
        <w:t xml:space="preserve"> ‘Long-term safety data in </w:t>
      </w:r>
      <w:r>
        <w:rPr>
          <w:rFonts w:eastAsiaTheme="minorHAnsi"/>
          <w:color w:val="000000"/>
        </w:rPr>
        <w:t>the treatment of adults with HS’.</w:t>
      </w:r>
    </w:p>
    <w:p w:rsidR="008E7846" w:rsidRDefault="008E7846" w:rsidP="008E7846">
      <w:pPr>
        <w:pStyle w:val="Heading4"/>
        <w:rPr>
          <w:lang w:eastAsia="en-AU"/>
        </w:rPr>
      </w:pPr>
      <w:r>
        <w:rPr>
          <w:lang w:eastAsia="en-AU"/>
        </w:rPr>
        <w:t xml:space="preserve">Risk </w:t>
      </w:r>
      <w:r w:rsidR="003A7F6C">
        <w:rPr>
          <w:lang w:eastAsia="en-AU"/>
        </w:rPr>
        <w:t>m</w:t>
      </w:r>
      <w:r>
        <w:rPr>
          <w:lang w:eastAsia="en-AU"/>
        </w:rPr>
        <w:t xml:space="preserve">inimisation </w:t>
      </w:r>
      <w:r w:rsidR="003A7F6C">
        <w:rPr>
          <w:lang w:eastAsia="en-AU"/>
        </w:rPr>
        <w:t>a</w:t>
      </w:r>
      <w:r>
        <w:rPr>
          <w:lang w:eastAsia="en-AU"/>
        </w:rPr>
        <w:t>ctivities</w:t>
      </w:r>
    </w:p>
    <w:p w:rsidR="00BF682A" w:rsidRDefault="00BF682A" w:rsidP="003B4590">
      <w:bookmarkStart w:id="140" w:name="_Toc247691527"/>
      <w:r w:rsidRPr="005312A5">
        <w:rPr>
          <w:rFonts w:eastAsia="SymbolMT"/>
        </w:rPr>
        <w:t xml:space="preserve">The sponsor concludes that routine </w:t>
      </w:r>
      <w:r w:rsidRPr="005312A5">
        <w:t>risk minimisation activities are sufficient for all the specified safety concerns and missing information, except for the following for which no risk minimisation is proposed:</w:t>
      </w:r>
    </w:p>
    <w:p w:rsidR="00BF682A" w:rsidRPr="008A295A" w:rsidRDefault="00BF682A" w:rsidP="003B4590">
      <w:pPr>
        <w:pStyle w:val="ListBullet"/>
      </w:pPr>
      <w:r w:rsidRPr="008A295A">
        <w:t xml:space="preserve">the important identified risk: ‘Intestinal strictures in Crohn’s disease’ </w:t>
      </w:r>
      <w:r w:rsidR="003B4590">
        <w:t>and</w:t>
      </w:r>
      <w:r w:rsidRPr="008A295A">
        <w:t xml:space="preserve"> ‘</w:t>
      </w:r>
      <w:r w:rsidRPr="008A295A">
        <w:rPr>
          <w:rFonts w:eastAsiaTheme="minorHAnsi" w:cs="TimesNewRoman"/>
        </w:rPr>
        <w:t>Autoimmune hepatitis’</w:t>
      </w:r>
      <w:r w:rsidRPr="008A295A">
        <w:t>;</w:t>
      </w:r>
    </w:p>
    <w:p w:rsidR="00BF682A" w:rsidRPr="008A295A" w:rsidRDefault="00BF682A" w:rsidP="003B4590">
      <w:pPr>
        <w:pStyle w:val="ListBullet"/>
      </w:pPr>
      <w:r w:rsidRPr="008A295A">
        <w:t xml:space="preserve">the important potential risks: ‘Vasculitis (non-cutaneous)’, ‘Progressive multifocal leukoencephalopathy (PML)’, ‘Reversible posterior leukoencephalopathy syndrome (RPLS)’, ‘Amyotrophic Lateral Sclerosis (ALS)’ </w:t>
      </w:r>
      <w:r w:rsidR="003B4590">
        <w:t>and</w:t>
      </w:r>
      <w:r w:rsidRPr="008A295A">
        <w:t xml:space="preserve"> ‘Off-label use’; and</w:t>
      </w:r>
    </w:p>
    <w:p w:rsidR="00BF682A" w:rsidRPr="008A295A" w:rsidRDefault="00BF682A" w:rsidP="003B4590">
      <w:pPr>
        <w:pStyle w:val="ListBullet"/>
      </w:pPr>
      <w:proofErr w:type="gramStart"/>
      <w:r w:rsidRPr="008A295A">
        <w:t>the</w:t>
      </w:r>
      <w:proofErr w:type="gramEnd"/>
      <w:r w:rsidRPr="008A295A">
        <w:t xml:space="preserve"> missing information: ‘</w:t>
      </w:r>
      <w:r w:rsidRPr="00942A02">
        <w:rPr>
          <w:rFonts w:eastAsiaTheme="minorHAnsi"/>
          <w:color w:val="000000"/>
        </w:rPr>
        <w:t>Remission-withdrawal-retreatment nr-axSpA data and episodic t</w:t>
      </w:r>
      <w:r w:rsidRPr="008A295A">
        <w:rPr>
          <w:rFonts w:eastAsiaTheme="minorHAnsi"/>
          <w:color w:val="000000"/>
        </w:rPr>
        <w:t xml:space="preserve">reatment in Ps, CD, UC, and JIA’ </w:t>
      </w:r>
      <w:r w:rsidR="003B4590">
        <w:rPr>
          <w:rFonts w:eastAsiaTheme="minorHAnsi"/>
          <w:color w:val="000000"/>
        </w:rPr>
        <w:t>and</w:t>
      </w:r>
      <w:r w:rsidRPr="008A295A">
        <w:rPr>
          <w:rFonts w:eastAsiaTheme="minorHAnsi"/>
          <w:color w:val="000000"/>
        </w:rPr>
        <w:t xml:space="preserve"> ‘</w:t>
      </w:r>
      <w:r w:rsidRPr="00942A02">
        <w:rPr>
          <w:rFonts w:eastAsiaTheme="minorHAnsi"/>
          <w:color w:val="000000"/>
        </w:rPr>
        <w:t xml:space="preserve">Long-term safety data in </w:t>
      </w:r>
      <w:r w:rsidRPr="008A295A">
        <w:rPr>
          <w:rFonts w:eastAsiaTheme="minorHAnsi"/>
          <w:color w:val="000000"/>
        </w:rPr>
        <w:t>the treatment of adults with HS’.</w:t>
      </w:r>
    </w:p>
    <w:p w:rsidR="00BF682A" w:rsidRDefault="00BF682A" w:rsidP="003B4590">
      <w:r>
        <w:t xml:space="preserve">Furthermore </w:t>
      </w:r>
      <w:r w:rsidRPr="004B5FC1">
        <w:t>additional risk minimisati</w:t>
      </w:r>
      <w:r>
        <w:t>on activities are also applied to the following:</w:t>
      </w:r>
    </w:p>
    <w:p w:rsidR="00BF682A" w:rsidRPr="00607721" w:rsidRDefault="00BF682A" w:rsidP="003B4590">
      <w:pPr>
        <w:pStyle w:val="ListBullet"/>
      </w:pPr>
      <w:r w:rsidRPr="00607721">
        <w:lastRenderedPageBreak/>
        <w:t xml:space="preserve">the important identified risks: ‘Serious infections including diverticulitis and opportunistic infections </w:t>
      </w:r>
      <w:r w:rsidR="003B4590">
        <w:t>for example</w:t>
      </w:r>
      <w:r w:rsidRPr="00607721">
        <w:t xml:space="preserve"> invasive fungal infections, parasitic infections, legione</w:t>
      </w:r>
      <w:r>
        <w:t>llosis and Tuberculosis (TB)’,</w:t>
      </w:r>
      <w:r w:rsidRPr="00607721">
        <w:t xml:space="preserve"> ‘Lymphoma’, ‘Hepatosplenic T-cell lymphoma (HSTCL)’, ‘Leukaemia’, ‘Non-melanoma skin cancer (NMSC)’, ‘Melanoma’, ‘Merkel Cell Carcinoma’, ‘Demyelinating disorders (including Multiple Sclerosis, Guillain Barré Syndrome and optic neuritis)’ </w:t>
      </w:r>
      <w:r w:rsidR="00FC6BF6">
        <w:t>and</w:t>
      </w:r>
      <w:r w:rsidRPr="00607721">
        <w:t xml:space="preserve"> ‘Congestive Heart Failure (CHF)</w:t>
      </w:r>
      <w:r>
        <w:t>’</w:t>
      </w:r>
      <w:r w:rsidRPr="00607721">
        <w:t>; and</w:t>
      </w:r>
    </w:p>
    <w:p w:rsidR="00BF682A" w:rsidRPr="00607721" w:rsidRDefault="00BF682A" w:rsidP="003B4590">
      <w:pPr>
        <w:pStyle w:val="ListBullet"/>
      </w:pPr>
      <w:proofErr w:type="gramStart"/>
      <w:r w:rsidRPr="00607721">
        <w:t>the</w:t>
      </w:r>
      <w:proofErr w:type="gramEnd"/>
      <w:r w:rsidRPr="00607721">
        <w:t xml:space="preserve"> important potential risk: ‘Other malignancies (except lymphoma, HSTCL, leukaemia, NMSC and melanoma)’.</w:t>
      </w:r>
    </w:p>
    <w:p w:rsidR="00D24962" w:rsidRDefault="006F25B8" w:rsidP="006F25B8">
      <w:pPr>
        <w:pStyle w:val="Heading4"/>
        <w:rPr>
          <w:lang w:eastAsia="en-AU"/>
        </w:rPr>
      </w:pPr>
      <w:r w:rsidRPr="006F25B8">
        <w:rPr>
          <w:lang w:eastAsia="en-AU"/>
        </w:rPr>
        <w:t>Reconciliation of issues outlined in the RMP report</w:t>
      </w:r>
    </w:p>
    <w:p w:rsidR="006F25B8" w:rsidRDefault="006F25B8" w:rsidP="006F25B8">
      <w:pPr>
        <w:rPr>
          <w:lang w:eastAsia="en-AU"/>
        </w:rPr>
      </w:pPr>
      <w:r>
        <w:rPr>
          <w:lang w:eastAsia="en-AU"/>
        </w:rPr>
        <w:t xml:space="preserve">Table </w:t>
      </w:r>
      <w:r w:rsidR="00FC6BF6">
        <w:rPr>
          <w:lang w:eastAsia="en-AU"/>
        </w:rPr>
        <w:t>9</w:t>
      </w:r>
      <w:r>
        <w:rPr>
          <w:lang w:eastAsia="en-AU"/>
        </w:rPr>
        <w:t xml:space="preserve"> summarises the first round evaluation of the RMP, the sponsor’s responses to issues raised and the </w:t>
      </w:r>
      <w:r w:rsidR="002174B2">
        <w:rPr>
          <w:lang w:eastAsia="en-AU"/>
        </w:rPr>
        <w:t>TGA’s</w:t>
      </w:r>
      <w:r>
        <w:rPr>
          <w:lang w:eastAsia="en-AU"/>
        </w:rPr>
        <w:t xml:space="preserve"> evaluation of the sponsor’s responses.</w:t>
      </w:r>
    </w:p>
    <w:p w:rsidR="00736586" w:rsidRPr="00C31998" w:rsidRDefault="00FC6BF6" w:rsidP="00FC6BF6">
      <w:pPr>
        <w:pStyle w:val="TableTitle"/>
      </w:pPr>
      <w:r>
        <w:t xml:space="preserve">Table 9: </w:t>
      </w:r>
      <w:r w:rsidR="00736586" w:rsidRPr="00C31998">
        <w:t xml:space="preserve">Reconciliation of issues outlined in the RMP </w:t>
      </w:r>
      <w:r w:rsidR="00736586">
        <w:t>Evaluation Report</w:t>
      </w:r>
    </w:p>
    <w:tbl>
      <w:tblPr>
        <w:tblStyle w:val="TableTGAblue"/>
        <w:tblW w:w="4788" w:type="pct"/>
        <w:tblInd w:w="103" w:type="dxa"/>
        <w:tblLayout w:type="fixed"/>
        <w:tblLook w:val="04A0" w:firstRow="1" w:lastRow="0" w:firstColumn="1" w:lastColumn="0" w:noHBand="0" w:noVBand="1"/>
      </w:tblPr>
      <w:tblGrid>
        <w:gridCol w:w="3196"/>
        <w:gridCol w:w="2509"/>
        <w:gridCol w:w="2645"/>
      </w:tblGrid>
      <w:tr w:rsidR="00736586" w:rsidRPr="00107999" w:rsidTr="00CF74B3">
        <w:trPr>
          <w:cnfStyle w:val="100000000000" w:firstRow="1" w:lastRow="0" w:firstColumn="0" w:lastColumn="0" w:oddVBand="0" w:evenVBand="0" w:oddHBand="0" w:evenHBand="0" w:firstRowFirstColumn="0" w:firstRowLastColumn="0" w:lastRowFirstColumn="0" w:lastRowLastColumn="0"/>
        </w:trPr>
        <w:tc>
          <w:tcPr>
            <w:tcW w:w="1910" w:type="pct"/>
            <w:noWrap/>
          </w:tcPr>
          <w:p w:rsidR="00736586" w:rsidRPr="00FC6BF6" w:rsidRDefault="00736586" w:rsidP="00CF74B3">
            <w:r w:rsidRPr="00FC6BF6">
              <w:t>Recommendation in RMP evaluation report</w:t>
            </w:r>
          </w:p>
        </w:tc>
        <w:tc>
          <w:tcPr>
            <w:tcW w:w="1502" w:type="pct"/>
            <w:noWrap/>
          </w:tcPr>
          <w:p w:rsidR="00736586" w:rsidRPr="00FC6BF6" w:rsidRDefault="00736586" w:rsidP="00CF74B3">
            <w:r w:rsidRPr="00FC6BF6">
              <w:t>Sponsor’s response</w:t>
            </w:r>
          </w:p>
        </w:tc>
        <w:tc>
          <w:tcPr>
            <w:tcW w:w="1584" w:type="pct"/>
            <w:noWrap/>
          </w:tcPr>
          <w:p w:rsidR="00736586" w:rsidRPr="00FC6BF6" w:rsidRDefault="00736586" w:rsidP="00CF74B3">
            <w:r w:rsidRPr="00FC6BF6">
              <w:t>RMP evaluator’s comment</w:t>
            </w:r>
          </w:p>
        </w:tc>
      </w:tr>
      <w:tr w:rsidR="00736586" w:rsidTr="00CF74B3">
        <w:trPr>
          <w:trHeight w:val="1673"/>
        </w:trPr>
        <w:tc>
          <w:tcPr>
            <w:tcW w:w="1913" w:type="pct"/>
            <w:noWrap/>
          </w:tcPr>
          <w:p w:rsidR="00736586" w:rsidRPr="00FC6BF6" w:rsidRDefault="00736586" w:rsidP="00CF74B3">
            <w:r w:rsidRPr="00FC6BF6">
              <w:rPr>
                <w:rFonts w:eastAsiaTheme="minorHAnsi" w:cs="TimesNewRoman"/>
              </w:rPr>
              <w:t xml:space="preserve">Table 5: ‘Summary of the Risk Minimisation Plan in Australia’ of the ASA should be renamed and corrected to ‘Summary of the </w:t>
            </w:r>
            <w:r w:rsidRPr="000A16BB">
              <w:rPr>
                <w:rFonts w:eastAsiaTheme="minorHAnsi" w:cs="TimesNewRoman"/>
              </w:rPr>
              <w:t>Risk Management Plan</w:t>
            </w:r>
            <w:r w:rsidRPr="00FC6BF6">
              <w:rPr>
                <w:rFonts w:eastAsiaTheme="minorHAnsi" w:cs="TimesNewRoman"/>
              </w:rPr>
              <w:t xml:space="preserve"> in Australia’. </w:t>
            </w:r>
          </w:p>
        </w:tc>
        <w:tc>
          <w:tcPr>
            <w:tcW w:w="1502" w:type="pct"/>
            <w:noWrap/>
          </w:tcPr>
          <w:p w:rsidR="00736586" w:rsidRPr="00FC6BF6" w:rsidRDefault="00736586" w:rsidP="00CF74B3">
            <w:pPr>
              <w:rPr>
                <w:rFonts w:eastAsia="TimesNewRoman" w:cs="TimesNewRoman"/>
              </w:rPr>
            </w:pPr>
            <w:r w:rsidRPr="00FC6BF6">
              <w:t>The sponsor states</w:t>
            </w:r>
            <w:r w:rsidRPr="00FC6BF6">
              <w:rPr>
                <w:i/>
              </w:rPr>
              <w:t xml:space="preserve">: </w:t>
            </w:r>
            <w:r w:rsidR="0031116A" w:rsidRPr="00FC6BF6">
              <w:rPr>
                <w:i/>
              </w:rPr>
              <w:t>‘</w:t>
            </w:r>
            <w:r w:rsidRPr="00FC6BF6">
              <w:rPr>
                <w:rFonts w:eastAsiaTheme="minorHAnsi"/>
                <w:i/>
              </w:rPr>
              <w:t xml:space="preserve">AbbVie has revised the heading for Table 5 on page 58 of the Australian Specific Annex (ASA) to read </w:t>
            </w:r>
            <w:r w:rsidR="0031116A" w:rsidRPr="00FC6BF6">
              <w:rPr>
                <w:rFonts w:eastAsiaTheme="minorHAnsi"/>
                <w:i/>
              </w:rPr>
              <w:t>‘</w:t>
            </w:r>
            <w:r w:rsidRPr="00FC6BF6">
              <w:rPr>
                <w:rFonts w:eastAsiaTheme="minorHAnsi"/>
                <w:i/>
              </w:rPr>
              <w:t>Summary of Risk Management Plan in Australia.</w:t>
            </w:r>
            <w:r w:rsidR="0031116A" w:rsidRPr="00FC6BF6">
              <w:rPr>
                <w:rFonts w:eastAsiaTheme="minorHAnsi"/>
                <w:i/>
              </w:rPr>
              <w:t>’</w:t>
            </w:r>
          </w:p>
        </w:tc>
        <w:tc>
          <w:tcPr>
            <w:tcW w:w="1584" w:type="pct"/>
            <w:noWrap/>
          </w:tcPr>
          <w:p w:rsidR="00736586" w:rsidRPr="00FC6BF6" w:rsidRDefault="00736586" w:rsidP="00CF74B3">
            <w:r w:rsidRPr="00FC6BF6">
              <w:rPr>
                <w:rFonts w:cs="TimesNewRoman"/>
              </w:rPr>
              <w:t>This is acceptable</w:t>
            </w:r>
            <w:r w:rsidRPr="00FC6BF6">
              <w:rPr>
                <w:rFonts w:eastAsia="TimesNewRoman"/>
              </w:rPr>
              <w:t xml:space="preserve">. </w:t>
            </w:r>
          </w:p>
        </w:tc>
      </w:tr>
      <w:tr w:rsidR="00736586" w:rsidRPr="00926FE5" w:rsidTr="00CF74B3">
        <w:trPr>
          <w:trHeight w:val="1084"/>
        </w:trPr>
        <w:tc>
          <w:tcPr>
            <w:tcW w:w="1913" w:type="pct"/>
            <w:noWrap/>
          </w:tcPr>
          <w:p w:rsidR="00736586" w:rsidRPr="00FC6BF6" w:rsidRDefault="00736586" w:rsidP="00CF74B3">
            <w:r w:rsidRPr="00FC6BF6">
              <w:rPr>
                <w:color w:val="000000"/>
              </w:rPr>
              <w:t xml:space="preserve">Safety considerations may be raised by the clinical evaluator through the </w:t>
            </w:r>
            <w:r w:rsidR="00FC6BF6">
              <w:rPr>
                <w:color w:val="000000"/>
              </w:rPr>
              <w:t xml:space="preserve">TGA’s </w:t>
            </w:r>
            <w:r w:rsidRPr="00FC6BF6">
              <w:rPr>
                <w:color w:val="000000"/>
              </w:rPr>
              <w:t xml:space="preserve">consolidated request </w:t>
            </w:r>
            <w:r w:rsidR="00FC6BF6">
              <w:rPr>
                <w:color w:val="000000"/>
              </w:rPr>
              <w:t xml:space="preserve">for further information </w:t>
            </w:r>
            <w:r w:rsidRPr="00FC6BF6">
              <w:rPr>
                <w:color w:val="000000"/>
              </w:rPr>
              <w:t>and/or the Clinical Evaluation Report.</w:t>
            </w:r>
            <w:r w:rsidR="00184B82" w:rsidRPr="00FC6BF6">
              <w:rPr>
                <w:color w:val="000000"/>
              </w:rPr>
              <w:t xml:space="preserve"> </w:t>
            </w:r>
            <w:r w:rsidRPr="00FC6BF6">
              <w:rPr>
                <w:color w:val="000000"/>
              </w:rPr>
              <w:t xml:space="preserve">It is important to ensure that the information provided in response to these </w:t>
            </w:r>
            <w:r w:rsidR="00054259" w:rsidRPr="00FC6BF6">
              <w:rPr>
                <w:color w:val="000000"/>
              </w:rPr>
              <w:t>includes</w:t>
            </w:r>
            <w:r w:rsidRPr="00FC6BF6">
              <w:rPr>
                <w:color w:val="000000"/>
              </w:rPr>
              <w:t xml:space="preserve"> a consideration of the relevance for the Risk Management Plan, and any specific information needed to address this issue in the RMP.</w:t>
            </w:r>
            <w:r w:rsidR="00184B82" w:rsidRPr="00FC6BF6">
              <w:t xml:space="preserve"> </w:t>
            </w:r>
            <w:r w:rsidRPr="00FC6BF6">
              <w:rPr>
                <w:bCs/>
                <w:color w:val="000000"/>
              </w:rPr>
              <w:t xml:space="preserve">For any safety considerations so raised, </w:t>
            </w:r>
            <w:r w:rsidRPr="00FC6BF6">
              <w:t>the sponsor should</w:t>
            </w:r>
            <w:r w:rsidRPr="00FC6BF6">
              <w:rPr>
                <w:bCs/>
                <w:color w:val="000000"/>
              </w:rPr>
              <w:t xml:space="preserve"> provide information that is relevant and necessary to address the issue in the RMP.</w:t>
            </w:r>
          </w:p>
        </w:tc>
        <w:tc>
          <w:tcPr>
            <w:tcW w:w="1502" w:type="pct"/>
            <w:noWrap/>
          </w:tcPr>
          <w:p w:rsidR="00736586" w:rsidRPr="00FC6BF6" w:rsidRDefault="00736586" w:rsidP="00CF74B3">
            <w:pPr>
              <w:rPr>
                <w:rFonts w:cs="Calibri"/>
              </w:rPr>
            </w:pPr>
            <w:r w:rsidRPr="00FC6BF6">
              <w:t xml:space="preserve">The sponsor states: </w:t>
            </w:r>
            <w:r w:rsidR="0031116A" w:rsidRPr="00FC6BF6">
              <w:rPr>
                <w:rFonts w:eastAsia="TimesNewRoman" w:cs="TimesNewRoman"/>
                <w:i/>
              </w:rPr>
              <w:t>‘</w:t>
            </w:r>
            <w:r w:rsidRPr="00FC6BF6">
              <w:rPr>
                <w:rFonts w:eastAsiaTheme="minorHAnsi"/>
                <w:i/>
              </w:rPr>
              <w:t xml:space="preserve">AbbVie will reinstate under </w:t>
            </w:r>
            <w:r w:rsidR="0031116A" w:rsidRPr="00FC6BF6">
              <w:rPr>
                <w:rFonts w:eastAsiaTheme="minorHAnsi"/>
                <w:i/>
              </w:rPr>
              <w:t>‘</w:t>
            </w:r>
            <w:r w:rsidRPr="00FC6BF6">
              <w:rPr>
                <w:rFonts w:eastAsiaTheme="minorHAnsi"/>
                <w:i/>
              </w:rPr>
              <w:t>Proposed Risk Minimisation Activity (Routine and Additional)</w:t>
            </w:r>
            <w:r w:rsidR="0031116A" w:rsidRPr="00FC6BF6">
              <w:rPr>
                <w:rFonts w:eastAsiaTheme="minorHAnsi"/>
                <w:i/>
              </w:rPr>
              <w:t>’</w:t>
            </w:r>
            <w:r w:rsidRPr="00FC6BF6">
              <w:rPr>
                <w:rFonts w:eastAsiaTheme="minorHAnsi"/>
                <w:i/>
              </w:rPr>
              <w:t xml:space="preserve"> that </w:t>
            </w:r>
            <w:r w:rsidR="0031116A" w:rsidRPr="00FC6BF6">
              <w:rPr>
                <w:rFonts w:eastAsiaTheme="minorHAnsi"/>
                <w:i/>
              </w:rPr>
              <w:t>‘</w:t>
            </w:r>
            <w:r w:rsidRPr="00FC6BF6">
              <w:rPr>
                <w:rFonts w:eastAsiaTheme="minorHAnsi"/>
                <w:i/>
              </w:rPr>
              <w:t>Risk Minimisation actions in the form of an educational programme is ongoing</w:t>
            </w:r>
            <w:r w:rsidR="0031116A" w:rsidRPr="00FC6BF6">
              <w:rPr>
                <w:rFonts w:eastAsiaTheme="minorHAnsi"/>
                <w:i/>
              </w:rPr>
              <w:t>’</w:t>
            </w:r>
            <w:r w:rsidRPr="00FC6BF6">
              <w:rPr>
                <w:rFonts w:eastAsiaTheme="minorHAnsi"/>
                <w:i/>
              </w:rPr>
              <w:t xml:space="preserve"> for Reactivation of Hepatitis B.</w:t>
            </w:r>
            <w:r w:rsidR="0031116A" w:rsidRPr="00FC6BF6">
              <w:rPr>
                <w:rFonts w:eastAsiaTheme="minorHAnsi"/>
                <w:i/>
              </w:rPr>
              <w:t>’</w:t>
            </w:r>
          </w:p>
        </w:tc>
        <w:tc>
          <w:tcPr>
            <w:tcW w:w="1584" w:type="pct"/>
            <w:noWrap/>
          </w:tcPr>
          <w:p w:rsidR="00736586" w:rsidRPr="00FC6BF6" w:rsidRDefault="00736586" w:rsidP="00CF74B3">
            <w:r w:rsidRPr="00FC6BF6">
              <w:rPr>
                <w:rFonts w:cs="TimesNewRoman"/>
              </w:rPr>
              <w:t>This is acceptable</w:t>
            </w:r>
            <w:r w:rsidRPr="00FC6BF6">
              <w:rPr>
                <w:rFonts w:eastAsia="TimesNewRoman"/>
              </w:rPr>
              <w:t>.</w:t>
            </w:r>
          </w:p>
        </w:tc>
      </w:tr>
      <w:tr w:rsidR="00736586" w:rsidTr="00CF74B3">
        <w:trPr>
          <w:trHeight w:val="1153"/>
        </w:trPr>
        <w:tc>
          <w:tcPr>
            <w:tcW w:w="1913" w:type="pct"/>
            <w:noWrap/>
          </w:tcPr>
          <w:p w:rsidR="00736586" w:rsidRPr="00FC6BF6" w:rsidRDefault="00736586" w:rsidP="00CF74B3">
            <w:r w:rsidRPr="00FC6BF6">
              <w:rPr>
                <w:rFonts w:cstheme="minorHAnsi"/>
              </w:rPr>
              <w:lastRenderedPageBreak/>
              <w:t>In comparison to</w:t>
            </w:r>
            <w:r w:rsidRPr="00FC6BF6">
              <w:t xml:space="preserve"> summary of safety concerns previously accepted and evaluated for </w:t>
            </w:r>
            <w:r w:rsidRPr="00FC6BF6">
              <w:rPr>
                <w:rFonts w:cs="Arial"/>
              </w:rPr>
              <w:t>H</w:t>
            </w:r>
            <w:r w:rsidR="00FC6BF6">
              <w:rPr>
                <w:rFonts w:cs="Arial"/>
              </w:rPr>
              <w:t>umira</w:t>
            </w:r>
            <w:r w:rsidRPr="00FC6BF6">
              <w:rPr>
                <w:rFonts w:cs="Arial"/>
              </w:rPr>
              <w:t xml:space="preserve">, </w:t>
            </w:r>
            <w:r w:rsidRPr="00FC6BF6">
              <w:rPr>
                <w:rFonts w:eastAsiaTheme="minorHAnsi" w:cs="TimesNewRoman"/>
              </w:rPr>
              <w:t xml:space="preserve">it is apparent that the specified missing information in </w:t>
            </w:r>
            <w:r w:rsidRPr="00FC6BF6">
              <w:rPr>
                <w:rFonts w:eastAsiaTheme="minorHAnsi"/>
                <w:bCs/>
              </w:rPr>
              <w:t xml:space="preserve">Table 4: ‘Summary of the Risk Minimisation Plan in Australia’ and </w:t>
            </w:r>
            <w:r w:rsidRPr="00FC6BF6">
              <w:rPr>
                <w:rFonts w:eastAsiaTheme="minorHAnsi" w:cs="TimesNewRoman"/>
              </w:rPr>
              <w:t xml:space="preserve">Table 5 of the ASA has been significantly rationalised, </w:t>
            </w:r>
            <w:r w:rsidRPr="00FC6BF6">
              <w:rPr>
                <w:rFonts w:eastAsiaTheme="minorHAnsi"/>
              </w:rPr>
              <w:t>including the deletion of ‘Subjects with renal or liver impairment’.</w:t>
            </w:r>
            <w:r w:rsidR="00184B82" w:rsidRPr="00FC6BF6">
              <w:rPr>
                <w:rFonts w:eastAsiaTheme="minorHAnsi"/>
              </w:rPr>
              <w:t xml:space="preserve"> </w:t>
            </w:r>
            <w:r w:rsidRPr="00FC6BF6">
              <w:rPr>
                <w:rFonts w:eastAsiaTheme="minorHAnsi" w:cs="TimesNewRoman"/>
              </w:rPr>
              <w:t xml:space="preserve">It would appear the only justification offered for such change is </w:t>
            </w:r>
            <w:r w:rsidR="0031116A" w:rsidRPr="00FC6BF6">
              <w:rPr>
                <w:rFonts w:eastAsiaTheme="minorHAnsi" w:cs="TimesNewRoman"/>
                <w:i/>
              </w:rPr>
              <w:t>‘</w:t>
            </w:r>
            <w:r w:rsidRPr="00FC6BF6">
              <w:rPr>
                <w:rFonts w:eastAsiaTheme="minorHAnsi" w:cs="TimesNewRoman"/>
                <w:i/>
              </w:rPr>
              <w:t>Missing information was updated</w:t>
            </w:r>
            <w:r w:rsidR="0031116A" w:rsidRPr="00FC6BF6">
              <w:rPr>
                <w:rFonts w:eastAsiaTheme="minorHAnsi" w:cs="TimesNewRoman"/>
                <w:i/>
              </w:rPr>
              <w:t>’</w:t>
            </w:r>
            <w:r w:rsidRPr="00FC6BF6">
              <w:rPr>
                <w:rFonts w:eastAsiaTheme="minorHAnsi" w:cs="TimesNewRoman"/>
                <w:i/>
              </w:rPr>
              <w:t>,</w:t>
            </w:r>
            <w:r w:rsidRPr="00FC6BF6">
              <w:rPr>
                <w:rFonts w:eastAsiaTheme="minorHAnsi" w:cs="TimesNewRoman"/>
              </w:rPr>
              <w:t xml:space="preserve"> which is considered to be inadequate.</w:t>
            </w:r>
            <w:r w:rsidR="00184B82" w:rsidRPr="00FC6BF6">
              <w:rPr>
                <w:rFonts w:eastAsiaTheme="minorHAnsi" w:cs="TimesNewRoman"/>
              </w:rPr>
              <w:t xml:space="preserve"> </w:t>
            </w:r>
            <w:r w:rsidRPr="00FC6BF6">
              <w:rPr>
                <w:rFonts w:eastAsiaTheme="minorHAnsi" w:cs="TimesNewRoman"/>
              </w:rPr>
              <w:t>Consequently the sponsor should provide compelling justification for apparent changes to the missing information items previously accepted for H</w:t>
            </w:r>
            <w:r w:rsidR="00FC6BF6">
              <w:rPr>
                <w:rFonts w:eastAsiaTheme="minorHAnsi" w:cs="TimesNewRoman"/>
              </w:rPr>
              <w:t>umira</w:t>
            </w:r>
            <w:r w:rsidRPr="00FC6BF6">
              <w:rPr>
                <w:rFonts w:eastAsiaTheme="minorHAnsi" w:cs="TimesNewRoman"/>
              </w:rPr>
              <w:t xml:space="preserve"> or alternatively reinstate these safety concerns, which need only be reflected in a revised ASA.</w:t>
            </w:r>
          </w:p>
        </w:tc>
        <w:tc>
          <w:tcPr>
            <w:tcW w:w="1502" w:type="pct"/>
            <w:noWrap/>
          </w:tcPr>
          <w:p w:rsidR="00736586" w:rsidRPr="00FC6BF6" w:rsidRDefault="00736586" w:rsidP="00CF74B3">
            <w:r w:rsidRPr="00FC6BF6">
              <w:t xml:space="preserve">The sponsor has advised that the </w:t>
            </w:r>
            <w:r w:rsidRPr="00FC6BF6">
              <w:rPr>
                <w:rFonts w:eastAsiaTheme="minorHAnsi" w:cs="TimesNewRoman"/>
              </w:rPr>
              <w:t xml:space="preserve">missing information: </w:t>
            </w:r>
            <w:r w:rsidRPr="00FC6BF6">
              <w:rPr>
                <w:rFonts w:eastAsiaTheme="minorHAnsi"/>
              </w:rPr>
              <w:t>‘Subjects with renal or liver impairment’ has been combined with patients with immune-compromised conditions, either due to underlying conditions, such as diabetes, renal or liver failure, human immunodeficiency virus infection, and alcohol or illicit drug abuse or medications (</w:t>
            </w:r>
            <w:r w:rsidR="00FC6BF6">
              <w:rPr>
                <w:rFonts w:eastAsiaTheme="minorHAnsi"/>
              </w:rPr>
              <w:t>such as</w:t>
            </w:r>
            <w:r w:rsidRPr="00FC6BF6">
              <w:rPr>
                <w:rFonts w:eastAsiaTheme="minorHAnsi"/>
              </w:rPr>
              <w:t xml:space="preserve"> post</w:t>
            </w:r>
            <w:r w:rsidR="00FC6BF6">
              <w:rPr>
                <w:rFonts w:eastAsiaTheme="minorHAnsi"/>
              </w:rPr>
              <w:t xml:space="preserve"> </w:t>
            </w:r>
            <w:r w:rsidRPr="00FC6BF6">
              <w:rPr>
                <w:rFonts w:eastAsiaTheme="minorHAnsi"/>
              </w:rPr>
              <w:t>cancer chemotherapy and anti-rejection drugs for organ transplant), that may have increased known risks of infection or other unknown risks related to the condition or to the concomitant medications.</w:t>
            </w:r>
            <w:r w:rsidR="00184B82" w:rsidRPr="00FC6BF6">
              <w:rPr>
                <w:rFonts w:eastAsiaTheme="minorHAnsi"/>
              </w:rPr>
              <w:t xml:space="preserve"> </w:t>
            </w:r>
            <w:r w:rsidRPr="00FC6BF6">
              <w:rPr>
                <w:rFonts w:eastAsiaTheme="minorHAnsi"/>
              </w:rPr>
              <w:t xml:space="preserve">The sponsor has also provided justification for other </w:t>
            </w:r>
            <w:r w:rsidRPr="00FC6BF6">
              <w:rPr>
                <w:rFonts w:eastAsiaTheme="minorHAnsi" w:cs="TimesNewRoman"/>
              </w:rPr>
              <w:t xml:space="preserve">changes to missing information items. </w:t>
            </w:r>
          </w:p>
        </w:tc>
        <w:tc>
          <w:tcPr>
            <w:tcW w:w="1584" w:type="pct"/>
            <w:noWrap/>
          </w:tcPr>
          <w:p w:rsidR="00736586" w:rsidRPr="00FC6BF6" w:rsidRDefault="00736586" w:rsidP="00CF74B3">
            <w:r w:rsidRPr="00FC6BF6">
              <w:rPr>
                <w:rFonts w:cs="TimesNewRoman"/>
              </w:rPr>
              <w:t>This is acceptable</w:t>
            </w:r>
            <w:r w:rsidRPr="00FC6BF6">
              <w:rPr>
                <w:rFonts w:eastAsia="TimesNewRoman"/>
              </w:rPr>
              <w:t xml:space="preserve">. </w:t>
            </w:r>
          </w:p>
        </w:tc>
      </w:tr>
      <w:tr w:rsidR="00736586" w:rsidTr="00CF74B3">
        <w:trPr>
          <w:trHeight w:val="869"/>
        </w:trPr>
        <w:tc>
          <w:tcPr>
            <w:tcW w:w="1913" w:type="pct"/>
            <w:noWrap/>
          </w:tcPr>
          <w:p w:rsidR="00736586" w:rsidRPr="00FC6BF6" w:rsidRDefault="00736586" w:rsidP="00CF74B3">
            <w:r w:rsidRPr="00FC6BF6">
              <w:t xml:space="preserve">No justification for the deletion of additional risk minimisation activities for the important identified risk: ‘Reactivation of hepatitis B’ has been provided and it would appear safety messages relating to this safety concern are still included in the educational materials </w:t>
            </w:r>
            <w:r w:rsidRPr="00FC6BF6">
              <w:lastRenderedPageBreak/>
              <w:t>attached as appendices to the ASA.</w:t>
            </w:r>
            <w:r w:rsidR="00184B82" w:rsidRPr="00FC6BF6">
              <w:t xml:space="preserve"> </w:t>
            </w:r>
            <w:r w:rsidRPr="00FC6BF6">
              <w:t xml:space="preserve">The sponsor should correct these omissions by revising </w:t>
            </w:r>
            <w:r w:rsidRPr="00FC6BF6">
              <w:rPr>
                <w:rFonts w:eastAsiaTheme="minorHAnsi"/>
                <w:bCs/>
              </w:rPr>
              <w:t xml:space="preserve">Table 4: ‘Summary of the Risk Minimisation Plan in Australia’ and </w:t>
            </w:r>
            <w:r w:rsidRPr="00FC6BF6">
              <w:rPr>
                <w:rFonts w:eastAsiaTheme="minorHAnsi" w:cs="TimesNewRoman"/>
              </w:rPr>
              <w:t xml:space="preserve">Table 5 of the ASA to reinstate </w:t>
            </w:r>
            <w:r w:rsidRPr="00FC6BF6">
              <w:t>additional risk minimisation activities for the important identified risk: ‘Reactivation of hepatitis B’.</w:t>
            </w:r>
          </w:p>
        </w:tc>
        <w:tc>
          <w:tcPr>
            <w:tcW w:w="1502" w:type="pct"/>
            <w:noWrap/>
          </w:tcPr>
          <w:p w:rsidR="00736586" w:rsidRPr="00FC6BF6" w:rsidRDefault="00736586" w:rsidP="00CF74B3">
            <w:r w:rsidRPr="00FC6BF6">
              <w:lastRenderedPageBreak/>
              <w:t xml:space="preserve">The sponsor states: </w:t>
            </w:r>
            <w:r w:rsidR="0031116A" w:rsidRPr="00FC6BF6">
              <w:rPr>
                <w:i/>
              </w:rPr>
              <w:t>‘</w:t>
            </w:r>
            <w:r w:rsidRPr="00FC6BF6">
              <w:rPr>
                <w:rFonts w:eastAsiaTheme="minorHAnsi" w:cs="TimesNewRoman"/>
                <w:i/>
              </w:rPr>
              <w:t xml:space="preserve">AbbVie would like to point out that this information has been captured in version 4.0 of the ASA, which was submitted recently. Please refer to Table 3, Overview of Ongoing and Planned </w:t>
            </w:r>
            <w:r w:rsidRPr="00FC6BF6">
              <w:rPr>
                <w:rFonts w:eastAsiaTheme="minorHAnsi" w:cs="TimesNewRoman"/>
                <w:i/>
              </w:rPr>
              <w:lastRenderedPageBreak/>
              <w:t>Pharmacovigilance Actions, on page 46 (of 79)</w:t>
            </w:r>
            <w:r w:rsidR="0031116A" w:rsidRPr="00FC6BF6">
              <w:rPr>
                <w:rFonts w:eastAsiaTheme="minorHAnsi" w:cs="TimesNewRoman"/>
                <w:i/>
              </w:rPr>
              <w:t>’</w:t>
            </w:r>
            <w:r w:rsidRPr="00FC6BF6">
              <w:rPr>
                <w:rFonts w:eastAsiaTheme="minorHAnsi" w:cs="TimesNewRoman"/>
                <w:i/>
              </w:rPr>
              <w:t>.</w:t>
            </w:r>
          </w:p>
        </w:tc>
        <w:tc>
          <w:tcPr>
            <w:tcW w:w="1584" w:type="pct"/>
            <w:noWrap/>
          </w:tcPr>
          <w:p w:rsidR="00736586" w:rsidRPr="00FC6BF6" w:rsidRDefault="00736586" w:rsidP="00CF74B3">
            <w:r w:rsidRPr="00FC6BF6">
              <w:rPr>
                <w:rFonts w:eastAsiaTheme="minorHAnsi" w:cs="TimesNewRomanPSMT"/>
              </w:rPr>
              <w:lastRenderedPageBreak/>
              <w:t>Th</w:t>
            </w:r>
            <w:r w:rsidRPr="00FC6BF6">
              <w:rPr>
                <w:rFonts w:cs="TimesNewRoman"/>
              </w:rPr>
              <w:t>is is acceptable</w:t>
            </w:r>
            <w:r w:rsidRPr="00FC6BF6">
              <w:rPr>
                <w:rFonts w:eastAsia="TimesNewRoman"/>
              </w:rPr>
              <w:t>.</w:t>
            </w:r>
            <w:r w:rsidR="00184B82" w:rsidRPr="00FC6BF6">
              <w:rPr>
                <w:rFonts w:eastAsia="TimesNewRoman"/>
              </w:rPr>
              <w:t xml:space="preserve"> </w:t>
            </w:r>
            <w:r w:rsidRPr="00FC6BF6">
              <w:rPr>
                <w:rFonts w:eastAsia="TimesNewRoman"/>
              </w:rPr>
              <w:t xml:space="preserve">However, </w:t>
            </w:r>
            <w:r w:rsidRPr="00FC6BF6">
              <w:t>the omission of the important identified risk: ‘Reactivation of hepatitis B’ as a key safety risk warranting a HCP and patient educational program under the sub-heading: ‘</w:t>
            </w:r>
            <w:r w:rsidRPr="00FC6BF6">
              <w:rPr>
                <w:rFonts w:eastAsiaTheme="minorHAnsi" w:cs="TimesNewRoman"/>
              </w:rPr>
              <w:t xml:space="preserve">Risk </w:t>
            </w:r>
            <w:r w:rsidRPr="00FC6BF6">
              <w:rPr>
                <w:rFonts w:eastAsiaTheme="minorHAnsi" w:cs="TimesNewRoman"/>
              </w:rPr>
              <w:lastRenderedPageBreak/>
              <w:t>Minimisation Program’ (page 56 of the ASA) and the omission o</w:t>
            </w:r>
            <w:r w:rsidRPr="00FC6BF6">
              <w:t xml:space="preserve">f additional risk minimisation activities for the important identified risk: ‘Reactivation of hepatitis B’ from </w:t>
            </w:r>
            <w:r w:rsidRPr="00FC6BF6">
              <w:rPr>
                <w:rFonts w:eastAsiaTheme="minorHAnsi" w:cs="TimesNewRoman"/>
              </w:rPr>
              <w:t xml:space="preserve">Table 5: ‘Summary of the Risk Management Plan in Australia’ of the ASA </w:t>
            </w:r>
            <w:r w:rsidRPr="00FC6BF6">
              <w:t>should be corrected when this document is next updated.</w:t>
            </w:r>
          </w:p>
        </w:tc>
      </w:tr>
    </w:tbl>
    <w:p w:rsidR="008E7846" w:rsidRDefault="008E7846" w:rsidP="00CF74B3">
      <w:pPr>
        <w:pStyle w:val="Heading4"/>
        <w:rPr>
          <w:lang w:eastAsia="en-AU"/>
        </w:rPr>
      </w:pPr>
      <w:r>
        <w:rPr>
          <w:lang w:eastAsia="en-AU"/>
        </w:rPr>
        <w:lastRenderedPageBreak/>
        <w:t xml:space="preserve">Summary of </w:t>
      </w:r>
      <w:r w:rsidR="003A7F6C">
        <w:rPr>
          <w:lang w:eastAsia="en-AU"/>
        </w:rPr>
        <w:t>r</w:t>
      </w:r>
      <w:r>
        <w:rPr>
          <w:lang w:eastAsia="en-AU"/>
        </w:rPr>
        <w:t>ecommendations</w:t>
      </w:r>
    </w:p>
    <w:p w:rsidR="00736586" w:rsidRPr="009F15FD" w:rsidRDefault="00736586" w:rsidP="00CF74B3">
      <w:pPr>
        <w:pStyle w:val="Heading5"/>
      </w:pPr>
      <w:r w:rsidRPr="009F15FD">
        <w:t>Outstanding issues</w:t>
      </w:r>
    </w:p>
    <w:p w:rsidR="00D24962" w:rsidRDefault="00736586" w:rsidP="00CF74B3">
      <w:pPr>
        <w:pStyle w:val="Heading6"/>
      </w:pPr>
      <w:r w:rsidRPr="009F15FD">
        <w:t>Issues in relation to the RMP</w:t>
      </w:r>
    </w:p>
    <w:p w:rsidR="00D24962" w:rsidRDefault="00736586" w:rsidP="00CF74B3">
      <w:r w:rsidRPr="007E1903">
        <w:t>There are no outstanding issues in relation to the RMP for this submission</w:t>
      </w:r>
      <w:r w:rsidR="00D24962">
        <w:t>.</w:t>
      </w:r>
    </w:p>
    <w:p w:rsidR="00736586" w:rsidRPr="00DE546D" w:rsidRDefault="00736586" w:rsidP="00CF74B3">
      <w:r w:rsidRPr="00DE546D">
        <w:t xml:space="preserve">Nevertheless the omission </w:t>
      </w:r>
      <w:r>
        <w:t xml:space="preserve">of </w:t>
      </w:r>
      <w:r w:rsidRPr="00DE546D">
        <w:t xml:space="preserve">the important identified risk: ‘Reactivation of hepatitis B’ as a key safety risk warranting a </w:t>
      </w:r>
      <w:r w:rsidR="00DB26F9">
        <w:t>Health care Professional (</w:t>
      </w:r>
      <w:r w:rsidRPr="00DE546D">
        <w:t>HCP</w:t>
      </w:r>
      <w:r w:rsidR="00DB26F9">
        <w:t>)</w:t>
      </w:r>
      <w:r w:rsidRPr="00DE546D">
        <w:t xml:space="preserve"> and patient educational program </w:t>
      </w:r>
      <w:r>
        <w:t>under</w:t>
      </w:r>
      <w:r w:rsidRPr="00DE546D">
        <w:t xml:space="preserve"> the sub-heading: </w:t>
      </w:r>
      <w:r>
        <w:t>‘</w:t>
      </w:r>
      <w:r w:rsidRPr="00DE546D">
        <w:rPr>
          <w:rFonts w:eastAsiaTheme="minorHAnsi" w:cs="TimesNewRoman"/>
        </w:rPr>
        <w:t>Risk Minimisation Program</w:t>
      </w:r>
      <w:r>
        <w:rPr>
          <w:rFonts w:eastAsiaTheme="minorHAnsi" w:cs="TimesNewRoman"/>
        </w:rPr>
        <w:t>’</w:t>
      </w:r>
      <w:r w:rsidRPr="00DE546D">
        <w:rPr>
          <w:rFonts w:eastAsiaTheme="minorHAnsi" w:cs="TimesNewRoman"/>
        </w:rPr>
        <w:t xml:space="preserve"> (page 56 of the ASA) and the omission o</w:t>
      </w:r>
      <w:r w:rsidRPr="00DE546D">
        <w:t xml:space="preserve">f additional risk minimisation activities for the important identified risk: ‘Reactivation of hepatitis B’ from </w:t>
      </w:r>
      <w:r w:rsidRPr="00DE546D">
        <w:rPr>
          <w:rFonts w:eastAsiaTheme="minorHAnsi" w:cs="TimesNewRoman"/>
        </w:rPr>
        <w:t xml:space="preserve">Table 5: ‘Summary of the Risk Management Plan in Australia’ of the ASA </w:t>
      </w:r>
      <w:r w:rsidRPr="00DE546D">
        <w:t>should be corrected when this document is next updated.</w:t>
      </w:r>
    </w:p>
    <w:p w:rsidR="00736586" w:rsidRPr="00DB26F9" w:rsidRDefault="00736586" w:rsidP="00CF74B3">
      <w:pPr>
        <w:pStyle w:val="Heading6"/>
      </w:pPr>
      <w:r w:rsidRPr="00DB26F9">
        <w:t>Advice from the Advisory Committee on the Safety of Medicines (ACSOM)</w:t>
      </w:r>
    </w:p>
    <w:p w:rsidR="00736586" w:rsidRPr="002A1AFE" w:rsidRDefault="00736586" w:rsidP="00DB26F9">
      <w:r w:rsidRPr="002A1AFE">
        <w:t>ACSOM advice was not sought for this submission.</w:t>
      </w:r>
    </w:p>
    <w:p w:rsidR="00D24962" w:rsidRDefault="00736586" w:rsidP="00DB26F9">
      <w:pPr>
        <w:pStyle w:val="Heading5"/>
      </w:pPr>
      <w:r w:rsidRPr="009F15FD">
        <w:t>Key changes to the updated RMP</w:t>
      </w:r>
    </w:p>
    <w:p w:rsidR="00DB26F9" w:rsidRDefault="00736586" w:rsidP="00DB26F9">
      <w:r w:rsidRPr="00624A83">
        <w:t>In their response to the TGA the sponsor provided an updated ASA (</w:t>
      </w:r>
      <w:r>
        <w:t>Version 5.1</w:t>
      </w:r>
      <w:r w:rsidRPr="00624A83">
        <w:t xml:space="preserve">, dated </w:t>
      </w:r>
      <w:r>
        <w:t>Dec</w:t>
      </w:r>
      <w:r w:rsidRPr="00624A83">
        <w:t>ember 2015).</w:t>
      </w:r>
      <w:r w:rsidR="00184B82">
        <w:t xml:space="preserve"> </w:t>
      </w:r>
      <w:r w:rsidRPr="00624A83">
        <w:t xml:space="preserve">Key changes from the versions evaluated at </w:t>
      </w:r>
      <w:r w:rsidR="00DB26F9">
        <w:t>r</w:t>
      </w:r>
      <w:r w:rsidRPr="00624A83">
        <w:t>ound 1 are summarised below</w:t>
      </w:r>
      <w:r w:rsidR="00DB26F9">
        <w:t>:</w:t>
      </w:r>
    </w:p>
    <w:p w:rsidR="00736586" w:rsidRPr="00624A83" w:rsidRDefault="00DB26F9" w:rsidP="00DB26F9">
      <w:pPr>
        <w:rPr>
          <w:b/>
          <w:u w:val="single"/>
        </w:rPr>
      </w:pPr>
      <w:r w:rsidRPr="00DB26F9">
        <w:rPr>
          <w:lang w:eastAsia="en-AU"/>
        </w:rPr>
        <w:t>ASA</w:t>
      </w:r>
      <w:r>
        <w:rPr>
          <w:lang w:eastAsia="en-AU"/>
        </w:rPr>
        <w:t>:</w:t>
      </w:r>
      <w:r w:rsidRPr="00DB26F9">
        <w:rPr>
          <w:rFonts w:eastAsiaTheme="minorHAnsi"/>
          <w:bCs/>
        </w:rPr>
        <w:t xml:space="preserve"> Correction to Table 4: ‘Summary of the Risk Minimisation Plan in Australia’</w:t>
      </w:r>
      <w:r w:rsidRPr="00DB26F9">
        <w:t xml:space="preserve"> to include additional risk minimisation activities for the important identified risk: ‘Reactivation of hepatitis B’</w:t>
      </w:r>
    </w:p>
    <w:p w:rsidR="00D24962" w:rsidRDefault="00736586" w:rsidP="00DB26F9">
      <w:pPr>
        <w:pStyle w:val="Heading5"/>
      </w:pPr>
      <w:r w:rsidRPr="009F15FD">
        <w:t>Suggested wording for conditions of registration</w:t>
      </w:r>
    </w:p>
    <w:p w:rsidR="00736586" w:rsidRPr="009F15FD" w:rsidRDefault="00736586" w:rsidP="00DB26F9">
      <w:pPr>
        <w:pStyle w:val="Heading6"/>
      </w:pPr>
      <w:r w:rsidRPr="009F15FD">
        <w:t>RMP</w:t>
      </w:r>
    </w:p>
    <w:p w:rsidR="00736586" w:rsidRPr="00B5517B" w:rsidRDefault="00736586" w:rsidP="00DB26F9">
      <w:pPr>
        <w:rPr>
          <w:rFonts w:asciiTheme="minorHAnsi" w:hAnsiTheme="minorHAnsi"/>
          <w:kern w:val="2"/>
          <w:sz w:val="24"/>
          <w:szCs w:val="24"/>
        </w:rPr>
      </w:pPr>
      <w:r w:rsidRPr="00CA4A65">
        <w:rPr>
          <w:rFonts w:asciiTheme="minorHAnsi" w:hAnsiTheme="minorHAnsi"/>
          <w:kern w:val="2"/>
          <w:sz w:val="24"/>
          <w:szCs w:val="24"/>
        </w:rPr>
        <w:t xml:space="preserve">Any changes to which the sponsor agreed become part of the risk management system, whether they are included in the currently available version of the RMP document, or </w:t>
      </w:r>
      <w:r w:rsidRPr="00B5517B">
        <w:rPr>
          <w:rFonts w:asciiTheme="minorHAnsi" w:hAnsiTheme="minorHAnsi"/>
          <w:kern w:val="2"/>
          <w:sz w:val="24"/>
          <w:szCs w:val="24"/>
        </w:rPr>
        <w:t>not included, inadvertently or otherwise.</w:t>
      </w:r>
    </w:p>
    <w:p w:rsidR="00736586" w:rsidRPr="007E1903" w:rsidRDefault="00736586" w:rsidP="00DB26F9">
      <w:r w:rsidRPr="007E1903">
        <w:t>The suggested wording is:</w:t>
      </w:r>
    </w:p>
    <w:p w:rsidR="00D24962" w:rsidRDefault="00736586" w:rsidP="00DB26F9">
      <w:pPr>
        <w:ind w:left="720"/>
        <w:rPr>
          <w:i/>
        </w:rPr>
      </w:pPr>
      <w:r w:rsidRPr="00DB26F9">
        <w:rPr>
          <w:i/>
        </w:rPr>
        <w:lastRenderedPageBreak/>
        <w:t>The European Risk Management Plan for HUMIRA (Version 11.3.1, dated June 2015), as qualified by the Australian Specific Annex (Version 5.1, dated December 2015), must be implemented</w:t>
      </w:r>
      <w:r w:rsidR="00D24962">
        <w:rPr>
          <w:i/>
        </w:rPr>
        <w:t>.</w:t>
      </w:r>
    </w:p>
    <w:p w:rsidR="008E7846" w:rsidRPr="00767DDC" w:rsidRDefault="008E7846" w:rsidP="008E7846">
      <w:pPr>
        <w:pStyle w:val="Heading2"/>
      </w:pPr>
      <w:bookmarkStart w:id="141" w:name="_Toc314842510"/>
      <w:bookmarkStart w:id="142" w:name="_Toc479772067"/>
      <w:r w:rsidRPr="00767DDC">
        <w:t>VI. Overall conclusion and risk/benefit assessment</w:t>
      </w:r>
      <w:bookmarkEnd w:id="77"/>
      <w:bookmarkEnd w:id="140"/>
      <w:bookmarkEnd w:id="141"/>
      <w:bookmarkEnd w:id="142"/>
    </w:p>
    <w:p w:rsidR="008E7846" w:rsidRPr="00767DDC" w:rsidRDefault="008E7846" w:rsidP="008E7846">
      <w:bookmarkStart w:id="143" w:name="_Toc247691528"/>
      <w:r w:rsidRPr="00767DDC">
        <w:t xml:space="preserve">The submission was summarised in </w:t>
      </w:r>
      <w:r w:rsidR="00796DB0" w:rsidRPr="00767DDC">
        <w:t>two</w:t>
      </w:r>
      <w:r w:rsidRPr="00767DDC">
        <w:t xml:space="preserve"> Delegate’s overview</w:t>
      </w:r>
      <w:r w:rsidR="00796DB0" w:rsidRPr="00767DDC">
        <w:t>s</w:t>
      </w:r>
      <w:r w:rsidRPr="00767DDC">
        <w:t xml:space="preserve"> and </w:t>
      </w:r>
      <w:r w:rsidR="00767DDC" w:rsidRPr="00767DDC">
        <w:t>risk/benefit assessments</w:t>
      </w:r>
      <w:r w:rsidRPr="00767DDC">
        <w:t>:</w:t>
      </w:r>
    </w:p>
    <w:p w:rsidR="00543B7D" w:rsidRPr="00767DDC" w:rsidRDefault="00767DDC" w:rsidP="00543B7D">
      <w:pPr>
        <w:pStyle w:val="Heading3"/>
      </w:pPr>
      <w:bookmarkStart w:id="144" w:name="_Toc479772068"/>
      <w:r w:rsidRPr="00767DDC">
        <w:t xml:space="preserve">Delegate 1: </w:t>
      </w:r>
      <w:r w:rsidR="00543B7D" w:rsidRPr="00767DDC">
        <w:t>Overview of the enthesitis associated arthritis indication</w:t>
      </w:r>
      <w:bookmarkEnd w:id="144"/>
    </w:p>
    <w:p w:rsidR="00D24962" w:rsidRDefault="0002219E" w:rsidP="0002219E">
      <w:r w:rsidRPr="00767DDC">
        <w:t>This application requests 2 significant changes to the current approved indication for ADA. Firstly, the sponsor is requesting</w:t>
      </w:r>
      <w:r>
        <w:t xml:space="preserve"> </w:t>
      </w:r>
      <w:r w:rsidRPr="00965837">
        <w:t>an ext</w:t>
      </w:r>
      <w:r>
        <w:t xml:space="preserve">ension of indication </w:t>
      </w:r>
      <w:r w:rsidRPr="00965837">
        <w:t xml:space="preserve">to include the </w:t>
      </w:r>
      <w:r>
        <w:t>treatment of an additional sub-type of JIA</w:t>
      </w:r>
      <w:r w:rsidR="00DB26F9">
        <w:t>,</w:t>
      </w:r>
      <w:r>
        <w:t xml:space="preserve"> ERA. The current JIA indication for ADA is limited to active polyarticular course JIA (pJIA) in patients aged 4 years or older. Secondly, the sponsor is requesting to lower the age limit of treatment for the currently approved treatment indication of moderate to severe chronic plaque psoriasis (PSOR). The current PSOR indication is restricted to adult patients (18 years of age or older) and the sponsor is proposing to include the treatment of children and adolescents from 4 years of age. The third element of this submission relates to an update of Adverse Effects section of the current approved Product Information (PI)</w:t>
      </w:r>
      <w:r w:rsidR="00D24962">
        <w:t>.</w:t>
      </w:r>
    </w:p>
    <w:p w:rsidR="00D24962" w:rsidRDefault="0002219E" w:rsidP="0002219E">
      <w:r>
        <w:t xml:space="preserve">The submission supporting the ERA application contains a single pivotal controlled trial (Study M11-328) conducted in 2 parts over 144 weeks, which evaluated the utility of ADA for the treatment of active ERA in 46 children and adolescents (at least 6 years of age at enrolment). The study had a 12 week </w:t>
      </w:r>
      <w:r w:rsidR="003C3B4F">
        <w:t>double blind</w:t>
      </w:r>
      <w:r>
        <w:t xml:space="preserve">, placebo-controlled treatment period followed by an </w:t>
      </w:r>
      <w:r w:rsidR="00543B7D">
        <w:t>OL</w:t>
      </w:r>
      <w:r>
        <w:t xml:space="preserve"> treatment phase of up to 144 weeks. In this submission, the interim report for Study M11-328 containing efficacy and safety data up to 52 weeks has been provided. The sponsor has also provided a separate population (PK) report for this indication</w:t>
      </w:r>
      <w:r w:rsidR="00D24962">
        <w:t>.</w:t>
      </w:r>
    </w:p>
    <w:p w:rsidR="00D24962" w:rsidRDefault="0002219E" w:rsidP="00543B7D">
      <w:pPr>
        <w:spacing w:before="0" w:after="0" w:line="240" w:lineRule="auto"/>
      </w:pPr>
      <w:r>
        <w:t xml:space="preserve">The submission supporting the major variation (change in patient group) for the PSOR indication contains a single pivotal controlled trial (Study M04-717) conducted in 4 parts over 120 weeks, which evaluated the utility of ADA for the treatment of moderate severe PSOR in 114 children and adolescents (at least 4 years of age at enrolment). The study had a 16 week </w:t>
      </w:r>
      <w:r w:rsidR="003C3B4F">
        <w:t>double blind</w:t>
      </w:r>
      <w:r>
        <w:t xml:space="preserve"> primary treatment phase (Period A) followed by a withdrawal period of up to 36 weeks (Period B), then a re-treatment phase for relapsed patients (Period C) and a long-term follow-up period (Period D) of up to 52 weeks. In this submission, the interim report for Study M04-717 containing efficacy and safety data for 21 subjects (18.4% of 114) ongoing in Period D has been provided. The sponsor has also provided a separate population PK report for this indication</w:t>
      </w:r>
      <w:r w:rsidR="00D24962">
        <w:t>.</w:t>
      </w:r>
    </w:p>
    <w:p w:rsidR="00543B7D" w:rsidRDefault="00543B7D" w:rsidP="00543B7D">
      <w:pPr>
        <w:spacing w:before="0" w:after="0" w:line="240" w:lineRule="auto"/>
        <w:rPr>
          <w:rFonts w:asciiTheme="minorHAnsi" w:hAnsiTheme="minorHAnsi"/>
        </w:rPr>
      </w:pPr>
      <w:r>
        <w:rPr>
          <w:rFonts w:asciiTheme="minorHAnsi" w:hAnsiTheme="minorHAnsi"/>
        </w:rPr>
        <w:t xml:space="preserve">The PK of </w:t>
      </w:r>
      <w:proofErr w:type="spellStart"/>
      <w:r>
        <w:rPr>
          <w:rFonts w:asciiTheme="minorHAnsi" w:hAnsiTheme="minorHAnsi"/>
        </w:rPr>
        <w:t>adalimumab</w:t>
      </w:r>
      <w:proofErr w:type="spellEnd"/>
      <w:r>
        <w:rPr>
          <w:rFonts w:asciiTheme="minorHAnsi" w:hAnsiTheme="minorHAnsi"/>
        </w:rPr>
        <w:t xml:space="preserve"> has been previously well established in adults. Some PK and population PK reports for children were available for this application- see below.</w:t>
      </w:r>
    </w:p>
    <w:p w:rsidR="008E7846" w:rsidRDefault="008E7846" w:rsidP="00543B7D">
      <w:pPr>
        <w:pStyle w:val="Heading4"/>
      </w:pPr>
      <w:bookmarkStart w:id="145" w:name="_Toc314842511"/>
      <w:r>
        <w:t>Quality</w:t>
      </w:r>
      <w:bookmarkEnd w:id="143"/>
      <w:bookmarkEnd w:id="145"/>
    </w:p>
    <w:p w:rsidR="00E45619" w:rsidRDefault="008E7846" w:rsidP="003A7F6C">
      <w:r>
        <w:t>There was no requirement for a quality evaluation in a submission of this type.</w:t>
      </w:r>
    </w:p>
    <w:p w:rsidR="008E7846" w:rsidRDefault="008E7846" w:rsidP="00543B7D">
      <w:pPr>
        <w:pStyle w:val="Heading4"/>
      </w:pPr>
      <w:bookmarkStart w:id="146" w:name="_Toc314842512"/>
      <w:r>
        <w:t>Nonclinical</w:t>
      </w:r>
      <w:bookmarkEnd w:id="146"/>
    </w:p>
    <w:p w:rsidR="008E7846" w:rsidRDefault="008E7846" w:rsidP="008E7846">
      <w:r>
        <w:t>There was no requirement for a nonclinical evaluation in a submission of this type.</w:t>
      </w:r>
    </w:p>
    <w:p w:rsidR="008E7846" w:rsidRDefault="008E7846" w:rsidP="00543B7D">
      <w:pPr>
        <w:pStyle w:val="Heading4"/>
      </w:pPr>
      <w:bookmarkStart w:id="147" w:name="_Toc247691530"/>
      <w:bookmarkStart w:id="148" w:name="_Toc314842513"/>
      <w:r>
        <w:lastRenderedPageBreak/>
        <w:t>Clinical</w:t>
      </w:r>
      <w:bookmarkEnd w:id="147"/>
      <w:bookmarkEnd w:id="148"/>
    </w:p>
    <w:p w:rsidR="009E5527" w:rsidRPr="006D2CFB" w:rsidRDefault="009E5527" w:rsidP="00543B7D">
      <w:pPr>
        <w:pStyle w:val="Heading5"/>
      </w:pPr>
      <w:bookmarkStart w:id="149" w:name="_Toc314842514"/>
      <w:r w:rsidRPr="006D2CFB">
        <w:t>Pharmacology</w:t>
      </w:r>
    </w:p>
    <w:p w:rsidR="009E5527" w:rsidRDefault="009E5527" w:rsidP="002820CA">
      <w:r>
        <w:t>PK dat</w:t>
      </w:r>
      <w:r w:rsidR="00543B7D">
        <w:t>a was collected in the pivotal P</w:t>
      </w:r>
      <w:r>
        <w:t xml:space="preserve">hase </w:t>
      </w:r>
      <w:r w:rsidR="00543B7D">
        <w:t>III</w:t>
      </w:r>
      <w:r>
        <w:t xml:space="preserve"> studies for the ERA and Psoriasis indications in children. These were both used, along with other studies in children, to develop a population PK model.</w:t>
      </w:r>
    </w:p>
    <w:p w:rsidR="00D24962" w:rsidRDefault="009E5527" w:rsidP="002820CA">
      <w:r>
        <w:t xml:space="preserve">In </w:t>
      </w:r>
      <w:r w:rsidR="007329AC">
        <w:t>Study M11</w:t>
      </w:r>
      <w:r>
        <w:t>-328, subjects were given a dose of 24mg/m</w:t>
      </w:r>
      <w:r w:rsidRPr="00BB3ED6">
        <w:rPr>
          <w:vertAlign w:val="superscript"/>
        </w:rPr>
        <w:t>2</w:t>
      </w:r>
      <w:r>
        <w:t xml:space="preserve"> of adalimumab or placebo. Blood for PK analysis was collected from all subjects at baseline an</w:t>
      </w:r>
      <w:r w:rsidR="00543B7D">
        <w:t>d prior to dosing at baseline, W</w:t>
      </w:r>
      <w:r>
        <w:t xml:space="preserve">eeks 2, 4, 8, 12, 24, 36 and 52. Blood for adalimumab antibodies (AAA) was collected at baseline, </w:t>
      </w:r>
      <w:r w:rsidR="00543B7D">
        <w:t>W</w:t>
      </w:r>
      <w:r>
        <w:t>eeks 12, 24, 36 and 52</w:t>
      </w:r>
      <w:r w:rsidR="00D24962">
        <w:t>.</w:t>
      </w:r>
    </w:p>
    <w:p w:rsidR="009E5527" w:rsidRDefault="00543B7D" w:rsidP="00543B7D">
      <w:pPr>
        <w:pStyle w:val="TableTitle"/>
      </w:pPr>
      <w:r>
        <w:t xml:space="preserve">Table 10: </w:t>
      </w:r>
      <w:r w:rsidR="009E5527">
        <w:t>Known PK parameters in children and those in ERA</w:t>
      </w:r>
    </w:p>
    <w:tbl>
      <w:tblPr>
        <w:tblStyle w:val="TableTGAblue"/>
        <w:tblW w:w="8897" w:type="dxa"/>
        <w:tblLayout w:type="fixed"/>
        <w:tblLook w:val="04A0" w:firstRow="1" w:lastRow="0" w:firstColumn="1" w:lastColumn="0" w:noHBand="0" w:noVBand="1"/>
      </w:tblPr>
      <w:tblGrid>
        <w:gridCol w:w="1809"/>
        <w:gridCol w:w="1560"/>
        <w:gridCol w:w="1417"/>
        <w:gridCol w:w="1559"/>
        <w:gridCol w:w="1418"/>
        <w:gridCol w:w="1134"/>
      </w:tblGrid>
      <w:tr w:rsidR="009E5527" w:rsidTr="002174B2">
        <w:trPr>
          <w:cnfStyle w:val="100000000000" w:firstRow="1" w:lastRow="0" w:firstColumn="0" w:lastColumn="0" w:oddVBand="0" w:evenVBand="0" w:oddHBand="0" w:evenHBand="0" w:firstRowFirstColumn="0" w:firstRowLastColumn="0" w:lastRowFirstColumn="0" w:lastRowLastColumn="0"/>
          <w:trHeight w:val="517"/>
        </w:trPr>
        <w:tc>
          <w:tcPr>
            <w:tcW w:w="1809" w:type="dxa"/>
          </w:tcPr>
          <w:p w:rsidR="009E5527" w:rsidRPr="00543B7D" w:rsidRDefault="009E5527" w:rsidP="009E5527">
            <w:pPr>
              <w:spacing w:before="0" w:after="0" w:line="240" w:lineRule="auto"/>
              <w:rPr>
                <w:rFonts w:asciiTheme="minorHAnsi" w:hAnsiTheme="minorHAnsi"/>
                <w:sz w:val="20"/>
                <w:szCs w:val="20"/>
              </w:rPr>
            </w:pPr>
          </w:p>
        </w:tc>
        <w:tc>
          <w:tcPr>
            <w:tcW w:w="2977" w:type="dxa"/>
            <w:gridSpan w:val="2"/>
          </w:tcPr>
          <w:p w:rsidR="009E5527" w:rsidRPr="00543B7D" w:rsidRDefault="009E5527" w:rsidP="009E5527">
            <w:pPr>
              <w:spacing w:before="0" w:after="0" w:line="240" w:lineRule="auto"/>
              <w:rPr>
                <w:rFonts w:asciiTheme="minorHAnsi" w:hAnsiTheme="minorHAnsi"/>
                <w:sz w:val="20"/>
                <w:szCs w:val="20"/>
              </w:rPr>
            </w:pPr>
            <w:proofErr w:type="spellStart"/>
            <w:r w:rsidRPr="00543B7D">
              <w:rPr>
                <w:rFonts w:asciiTheme="minorHAnsi" w:hAnsiTheme="minorHAnsi"/>
                <w:sz w:val="20"/>
                <w:szCs w:val="20"/>
              </w:rPr>
              <w:t>pJIA</w:t>
            </w:r>
            <w:proofErr w:type="spellEnd"/>
          </w:p>
        </w:tc>
        <w:tc>
          <w:tcPr>
            <w:tcW w:w="2977" w:type="dxa"/>
            <w:gridSpan w:val="2"/>
          </w:tcPr>
          <w:p w:rsidR="009E5527" w:rsidRPr="00543B7D" w:rsidRDefault="009E5527" w:rsidP="009E5527">
            <w:pPr>
              <w:spacing w:before="0" w:after="0" w:line="240" w:lineRule="auto"/>
              <w:rPr>
                <w:rFonts w:asciiTheme="minorHAnsi" w:hAnsiTheme="minorHAnsi"/>
                <w:sz w:val="20"/>
                <w:szCs w:val="20"/>
              </w:rPr>
            </w:pPr>
            <w:r w:rsidRPr="00543B7D">
              <w:rPr>
                <w:rFonts w:asciiTheme="minorHAnsi" w:hAnsiTheme="minorHAnsi"/>
                <w:sz w:val="20"/>
                <w:szCs w:val="20"/>
              </w:rPr>
              <w:t>Crohn</w:t>
            </w:r>
            <w:r w:rsidR="00054259">
              <w:rPr>
                <w:rFonts w:asciiTheme="minorHAnsi" w:hAnsiTheme="minorHAnsi"/>
                <w:sz w:val="20"/>
                <w:szCs w:val="20"/>
              </w:rPr>
              <w:t>’</w:t>
            </w:r>
            <w:r w:rsidRPr="00543B7D">
              <w:rPr>
                <w:rFonts w:asciiTheme="minorHAnsi" w:hAnsiTheme="minorHAnsi"/>
                <w:sz w:val="20"/>
                <w:szCs w:val="20"/>
              </w:rPr>
              <w:t>s</w:t>
            </w:r>
          </w:p>
        </w:tc>
        <w:tc>
          <w:tcPr>
            <w:tcW w:w="1134" w:type="dxa"/>
          </w:tcPr>
          <w:p w:rsidR="009E5527" w:rsidRPr="00543B7D" w:rsidRDefault="009E5527" w:rsidP="009E5527">
            <w:pPr>
              <w:spacing w:before="0" w:after="0" w:line="240" w:lineRule="auto"/>
              <w:rPr>
                <w:rFonts w:asciiTheme="minorHAnsi" w:hAnsiTheme="minorHAnsi"/>
                <w:sz w:val="20"/>
                <w:szCs w:val="20"/>
              </w:rPr>
            </w:pPr>
            <w:r w:rsidRPr="00543B7D">
              <w:rPr>
                <w:rFonts w:asciiTheme="minorHAnsi" w:hAnsiTheme="minorHAnsi"/>
                <w:sz w:val="20"/>
                <w:szCs w:val="20"/>
              </w:rPr>
              <w:t>ERA</w:t>
            </w:r>
          </w:p>
        </w:tc>
      </w:tr>
      <w:tr w:rsidR="002820CA" w:rsidTr="007D2AF6">
        <w:tc>
          <w:tcPr>
            <w:tcW w:w="1809" w:type="dxa"/>
          </w:tcPr>
          <w:p w:rsidR="009E5527" w:rsidRPr="00543B7D" w:rsidRDefault="009E5527" w:rsidP="009E5527">
            <w:pPr>
              <w:spacing w:before="0" w:after="0" w:line="240" w:lineRule="auto"/>
              <w:rPr>
                <w:rFonts w:asciiTheme="minorHAnsi" w:hAnsiTheme="minorHAnsi"/>
                <w:sz w:val="20"/>
                <w:szCs w:val="20"/>
              </w:rPr>
            </w:pPr>
          </w:p>
        </w:tc>
        <w:tc>
          <w:tcPr>
            <w:tcW w:w="1560" w:type="dxa"/>
          </w:tcPr>
          <w:p w:rsidR="00CF74B3" w:rsidRDefault="009E5527" w:rsidP="00CF74B3">
            <w:pPr>
              <w:spacing w:before="0" w:after="0" w:line="240" w:lineRule="auto"/>
              <w:rPr>
                <w:rFonts w:asciiTheme="minorHAnsi" w:hAnsiTheme="minorHAnsi"/>
                <w:sz w:val="20"/>
                <w:szCs w:val="20"/>
              </w:rPr>
            </w:pPr>
            <w:r w:rsidRPr="00543B7D">
              <w:rPr>
                <w:rFonts w:asciiTheme="minorHAnsi" w:hAnsiTheme="minorHAnsi"/>
                <w:sz w:val="20"/>
                <w:szCs w:val="20"/>
              </w:rPr>
              <w:t>&lt; 30</w:t>
            </w:r>
            <w:r w:rsidR="002820CA">
              <w:rPr>
                <w:rFonts w:asciiTheme="minorHAnsi" w:hAnsiTheme="minorHAnsi"/>
                <w:sz w:val="20"/>
                <w:szCs w:val="20"/>
              </w:rPr>
              <w:t xml:space="preserve"> </w:t>
            </w:r>
            <w:r w:rsidRPr="00543B7D">
              <w:rPr>
                <w:rFonts w:asciiTheme="minorHAnsi" w:hAnsiTheme="minorHAnsi"/>
                <w:sz w:val="20"/>
                <w:szCs w:val="20"/>
              </w:rPr>
              <w:t>kg</w:t>
            </w:r>
            <w:r w:rsidR="00CF74B3">
              <w:rPr>
                <w:rFonts w:asciiTheme="minorHAnsi" w:hAnsiTheme="minorHAnsi"/>
                <w:sz w:val="20"/>
                <w:szCs w:val="20"/>
              </w:rPr>
              <w:t xml:space="preserve"> </w:t>
            </w:r>
          </w:p>
          <w:p w:rsidR="009E5527" w:rsidRPr="00543B7D" w:rsidRDefault="009E5527" w:rsidP="00CF74B3">
            <w:pPr>
              <w:spacing w:before="0" w:after="0" w:line="240" w:lineRule="auto"/>
              <w:rPr>
                <w:rFonts w:asciiTheme="minorHAnsi" w:hAnsiTheme="minorHAnsi"/>
                <w:sz w:val="20"/>
                <w:szCs w:val="20"/>
              </w:rPr>
            </w:pPr>
            <w:r w:rsidRPr="00543B7D">
              <w:rPr>
                <w:rFonts w:asciiTheme="minorHAnsi" w:hAnsiTheme="minorHAnsi"/>
                <w:sz w:val="20"/>
                <w:szCs w:val="20"/>
              </w:rPr>
              <w:t>20</w:t>
            </w:r>
            <w:r w:rsidR="002820CA">
              <w:rPr>
                <w:rFonts w:asciiTheme="minorHAnsi" w:hAnsiTheme="minorHAnsi"/>
                <w:sz w:val="20"/>
                <w:szCs w:val="20"/>
              </w:rPr>
              <w:t xml:space="preserve"> </w:t>
            </w:r>
            <w:r w:rsidRPr="00543B7D">
              <w:rPr>
                <w:rFonts w:asciiTheme="minorHAnsi" w:hAnsiTheme="minorHAnsi"/>
                <w:sz w:val="20"/>
                <w:szCs w:val="20"/>
              </w:rPr>
              <w:t>mg fortnightly</w:t>
            </w:r>
          </w:p>
        </w:tc>
        <w:tc>
          <w:tcPr>
            <w:tcW w:w="1417" w:type="dxa"/>
          </w:tcPr>
          <w:p w:rsidR="009E5527" w:rsidRDefault="009E5527" w:rsidP="009E5527">
            <w:pPr>
              <w:pStyle w:val="ListParagraph"/>
              <w:ind w:left="0"/>
              <w:rPr>
                <w:rFonts w:asciiTheme="minorHAnsi" w:hAnsiTheme="minorHAnsi"/>
                <w:sz w:val="20"/>
                <w:szCs w:val="20"/>
              </w:rPr>
            </w:pPr>
            <w:r w:rsidRPr="00543B7D">
              <w:rPr>
                <w:rFonts w:asciiTheme="minorHAnsi" w:hAnsiTheme="minorHAnsi"/>
                <w:sz w:val="20"/>
                <w:szCs w:val="20"/>
              </w:rPr>
              <w:t>&gt;30</w:t>
            </w:r>
            <w:r w:rsidR="002820CA">
              <w:rPr>
                <w:rFonts w:asciiTheme="minorHAnsi" w:hAnsiTheme="minorHAnsi"/>
                <w:sz w:val="20"/>
                <w:szCs w:val="20"/>
              </w:rPr>
              <w:t xml:space="preserve"> </w:t>
            </w:r>
            <w:r w:rsidRPr="00543B7D">
              <w:rPr>
                <w:rFonts w:asciiTheme="minorHAnsi" w:hAnsiTheme="minorHAnsi"/>
                <w:sz w:val="20"/>
                <w:szCs w:val="20"/>
              </w:rPr>
              <w:t>kg</w:t>
            </w:r>
            <w:r w:rsidR="00CF74B3">
              <w:rPr>
                <w:rFonts w:asciiTheme="minorHAnsi" w:hAnsiTheme="minorHAnsi"/>
                <w:sz w:val="20"/>
                <w:szCs w:val="20"/>
              </w:rPr>
              <w:t xml:space="preserve"> </w:t>
            </w:r>
          </w:p>
          <w:p w:rsidR="009E5527" w:rsidRPr="00543B7D" w:rsidRDefault="009E5527" w:rsidP="00CF74B3">
            <w:pPr>
              <w:pStyle w:val="ListParagraph"/>
              <w:ind w:left="0"/>
              <w:jc w:val="both"/>
              <w:rPr>
                <w:rFonts w:asciiTheme="minorHAnsi" w:hAnsiTheme="minorHAnsi"/>
                <w:sz w:val="20"/>
                <w:szCs w:val="20"/>
              </w:rPr>
            </w:pPr>
            <w:r w:rsidRPr="00543B7D">
              <w:rPr>
                <w:rFonts w:asciiTheme="minorHAnsi" w:hAnsiTheme="minorHAnsi"/>
                <w:sz w:val="20"/>
                <w:szCs w:val="20"/>
              </w:rPr>
              <w:t>40mg fortnightly</w:t>
            </w:r>
          </w:p>
        </w:tc>
        <w:tc>
          <w:tcPr>
            <w:tcW w:w="1559" w:type="dxa"/>
          </w:tcPr>
          <w:p w:rsidR="009E5527" w:rsidRPr="00543B7D" w:rsidRDefault="009E5527" w:rsidP="009E5527">
            <w:pPr>
              <w:spacing w:before="0" w:after="0" w:line="240" w:lineRule="auto"/>
              <w:jc w:val="both"/>
              <w:rPr>
                <w:rFonts w:asciiTheme="minorHAnsi" w:hAnsiTheme="minorHAnsi"/>
                <w:sz w:val="20"/>
                <w:szCs w:val="20"/>
              </w:rPr>
            </w:pPr>
            <w:r w:rsidRPr="00543B7D">
              <w:rPr>
                <w:rFonts w:asciiTheme="minorHAnsi" w:hAnsiTheme="minorHAnsi"/>
                <w:sz w:val="20"/>
                <w:szCs w:val="20"/>
              </w:rPr>
              <w:t>&lt;40</w:t>
            </w:r>
            <w:r w:rsidR="002820CA">
              <w:rPr>
                <w:rFonts w:asciiTheme="minorHAnsi" w:hAnsiTheme="minorHAnsi"/>
                <w:sz w:val="20"/>
                <w:szCs w:val="20"/>
              </w:rPr>
              <w:t xml:space="preserve"> </w:t>
            </w:r>
            <w:r w:rsidRPr="00543B7D">
              <w:rPr>
                <w:rFonts w:asciiTheme="minorHAnsi" w:hAnsiTheme="minorHAnsi"/>
                <w:sz w:val="20"/>
                <w:szCs w:val="20"/>
              </w:rPr>
              <w:t>kg</w:t>
            </w:r>
          </w:p>
          <w:p w:rsidR="009E5527" w:rsidRPr="00543B7D" w:rsidRDefault="009E5527" w:rsidP="009E5527">
            <w:pPr>
              <w:spacing w:before="0" w:after="0" w:line="240" w:lineRule="auto"/>
              <w:rPr>
                <w:rFonts w:asciiTheme="minorHAnsi" w:hAnsiTheme="minorHAnsi"/>
                <w:sz w:val="20"/>
                <w:szCs w:val="20"/>
              </w:rPr>
            </w:pPr>
            <w:r w:rsidRPr="00543B7D">
              <w:rPr>
                <w:rFonts w:asciiTheme="minorHAnsi" w:hAnsiTheme="minorHAnsi"/>
                <w:sz w:val="20"/>
                <w:szCs w:val="20"/>
              </w:rPr>
              <w:t>80</w:t>
            </w:r>
            <w:r w:rsidR="002820CA">
              <w:rPr>
                <w:rFonts w:asciiTheme="minorHAnsi" w:hAnsiTheme="minorHAnsi"/>
                <w:sz w:val="20"/>
                <w:szCs w:val="20"/>
              </w:rPr>
              <w:t xml:space="preserve"> </w:t>
            </w:r>
            <w:r w:rsidRPr="00543B7D">
              <w:rPr>
                <w:rFonts w:asciiTheme="minorHAnsi" w:hAnsiTheme="minorHAnsi"/>
                <w:sz w:val="20"/>
                <w:szCs w:val="20"/>
              </w:rPr>
              <w:t>mg loading, 40</w:t>
            </w:r>
            <w:r w:rsidR="002820CA">
              <w:rPr>
                <w:rFonts w:asciiTheme="minorHAnsi" w:hAnsiTheme="minorHAnsi"/>
                <w:sz w:val="20"/>
                <w:szCs w:val="20"/>
              </w:rPr>
              <w:t xml:space="preserve"> </w:t>
            </w:r>
            <w:r w:rsidRPr="00543B7D">
              <w:rPr>
                <w:rFonts w:asciiTheme="minorHAnsi" w:hAnsiTheme="minorHAnsi"/>
                <w:sz w:val="20"/>
                <w:szCs w:val="20"/>
              </w:rPr>
              <w:t>mg fortnightly</w:t>
            </w:r>
          </w:p>
        </w:tc>
        <w:tc>
          <w:tcPr>
            <w:tcW w:w="1418" w:type="dxa"/>
          </w:tcPr>
          <w:p w:rsidR="009E5527" w:rsidRPr="00543B7D" w:rsidRDefault="009E5527" w:rsidP="009E5527">
            <w:pPr>
              <w:pStyle w:val="ListParagraph"/>
              <w:ind w:left="0"/>
              <w:rPr>
                <w:rFonts w:asciiTheme="minorHAnsi" w:hAnsiTheme="minorHAnsi"/>
                <w:sz w:val="20"/>
                <w:szCs w:val="20"/>
              </w:rPr>
            </w:pPr>
            <w:r w:rsidRPr="00543B7D">
              <w:rPr>
                <w:rFonts w:asciiTheme="minorHAnsi" w:hAnsiTheme="minorHAnsi"/>
                <w:sz w:val="20"/>
                <w:szCs w:val="20"/>
              </w:rPr>
              <w:t>&gt;40</w:t>
            </w:r>
            <w:r w:rsidR="002820CA">
              <w:rPr>
                <w:rFonts w:asciiTheme="minorHAnsi" w:hAnsiTheme="minorHAnsi"/>
                <w:sz w:val="20"/>
                <w:szCs w:val="20"/>
              </w:rPr>
              <w:t xml:space="preserve"> </w:t>
            </w:r>
            <w:r w:rsidRPr="00543B7D">
              <w:rPr>
                <w:rFonts w:asciiTheme="minorHAnsi" w:hAnsiTheme="minorHAnsi"/>
                <w:sz w:val="20"/>
                <w:szCs w:val="20"/>
              </w:rPr>
              <w:t>kg</w:t>
            </w:r>
          </w:p>
          <w:p w:rsidR="009E5527" w:rsidRPr="00543B7D" w:rsidRDefault="009E5527" w:rsidP="009E5527">
            <w:pPr>
              <w:pStyle w:val="ListParagraph"/>
              <w:ind w:left="0"/>
              <w:rPr>
                <w:rFonts w:asciiTheme="minorHAnsi" w:hAnsiTheme="minorHAnsi"/>
                <w:sz w:val="20"/>
                <w:szCs w:val="20"/>
              </w:rPr>
            </w:pPr>
            <w:r w:rsidRPr="00543B7D">
              <w:rPr>
                <w:rFonts w:asciiTheme="minorHAnsi" w:hAnsiTheme="minorHAnsi"/>
                <w:sz w:val="20"/>
                <w:szCs w:val="20"/>
              </w:rPr>
              <w:t>160</w:t>
            </w:r>
            <w:r w:rsidR="002820CA">
              <w:rPr>
                <w:rFonts w:asciiTheme="minorHAnsi" w:hAnsiTheme="minorHAnsi"/>
                <w:sz w:val="20"/>
                <w:szCs w:val="20"/>
              </w:rPr>
              <w:t xml:space="preserve"> </w:t>
            </w:r>
            <w:r w:rsidRPr="00543B7D">
              <w:rPr>
                <w:rFonts w:asciiTheme="minorHAnsi" w:hAnsiTheme="minorHAnsi"/>
                <w:sz w:val="20"/>
                <w:szCs w:val="20"/>
              </w:rPr>
              <w:t>mg loading,</w:t>
            </w:r>
            <w:r w:rsidR="00184B82" w:rsidRPr="00543B7D">
              <w:rPr>
                <w:rFonts w:asciiTheme="minorHAnsi" w:hAnsiTheme="minorHAnsi"/>
                <w:sz w:val="20"/>
                <w:szCs w:val="20"/>
              </w:rPr>
              <w:t xml:space="preserve"> </w:t>
            </w:r>
            <w:r w:rsidRPr="00543B7D">
              <w:rPr>
                <w:rFonts w:asciiTheme="minorHAnsi" w:hAnsiTheme="minorHAnsi"/>
                <w:sz w:val="20"/>
                <w:szCs w:val="20"/>
              </w:rPr>
              <w:t>80</w:t>
            </w:r>
            <w:r w:rsidR="002820CA">
              <w:rPr>
                <w:rFonts w:asciiTheme="minorHAnsi" w:hAnsiTheme="minorHAnsi"/>
                <w:sz w:val="20"/>
                <w:szCs w:val="20"/>
              </w:rPr>
              <w:t xml:space="preserve"> </w:t>
            </w:r>
            <w:r w:rsidRPr="00543B7D">
              <w:rPr>
                <w:rFonts w:asciiTheme="minorHAnsi" w:hAnsiTheme="minorHAnsi"/>
                <w:sz w:val="20"/>
                <w:szCs w:val="20"/>
              </w:rPr>
              <w:t xml:space="preserve">mg fortnightly </w:t>
            </w:r>
          </w:p>
        </w:tc>
        <w:tc>
          <w:tcPr>
            <w:tcW w:w="1134" w:type="dxa"/>
          </w:tcPr>
          <w:p w:rsidR="009E5527" w:rsidRPr="00543B7D" w:rsidRDefault="009E5527" w:rsidP="009E5527">
            <w:pPr>
              <w:spacing w:before="0" w:after="0" w:line="240" w:lineRule="auto"/>
              <w:rPr>
                <w:rFonts w:asciiTheme="minorHAnsi" w:hAnsiTheme="minorHAnsi"/>
                <w:sz w:val="20"/>
                <w:szCs w:val="20"/>
              </w:rPr>
            </w:pPr>
            <w:r w:rsidRPr="00543B7D">
              <w:rPr>
                <w:rFonts w:asciiTheme="minorHAnsi" w:hAnsiTheme="minorHAnsi"/>
                <w:sz w:val="20"/>
                <w:szCs w:val="20"/>
              </w:rPr>
              <w:t>24mg/m</w:t>
            </w:r>
            <w:r w:rsidRPr="00543B7D">
              <w:rPr>
                <w:rFonts w:asciiTheme="minorHAnsi" w:hAnsiTheme="minorHAnsi"/>
                <w:sz w:val="20"/>
                <w:szCs w:val="20"/>
                <w:vertAlign w:val="superscript"/>
              </w:rPr>
              <w:t>2</w:t>
            </w:r>
          </w:p>
        </w:tc>
      </w:tr>
      <w:tr w:rsidR="002820CA" w:rsidTr="007D2AF6">
        <w:tc>
          <w:tcPr>
            <w:tcW w:w="1809" w:type="dxa"/>
          </w:tcPr>
          <w:p w:rsidR="009E5527" w:rsidRPr="00543B7D" w:rsidRDefault="007D2AF6" w:rsidP="007D2AF6">
            <w:pPr>
              <w:spacing w:before="0" w:after="0" w:line="240" w:lineRule="auto"/>
              <w:rPr>
                <w:rFonts w:asciiTheme="minorHAnsi" w:hAnsiTheme="minorHAnsi"/>
                <w:sz w:val="20"/>
                <w:szCs w:val="20"/>
              </w:rPr>
            </w:pPr>
            <w:r>
              <w:rPr>
                <w:rFonts w:asciiTheme="minorHAnsi" w:hAnsiTheme="minorHAnsi"/>
                <w:sz w:val="20"/>
                <w:szCs w:val="20"/>
              </w:rPr>
              <w:t xml:space="preserve">Steady state trough </w:t>
            </w:r>
            <w:r w:rsidR="00054259">
              <w:rPr>
                <w:rFonts w:asciiTheme="minorHAnsi" w:hAnsiTheme="minorHAnsi"/>
                <w:sz w:val="20"/>
                <w:szCs w:val="20"/>
              </w:rPr>
              <w:t>µ</w:t>
            </w:r>
            <w:r w:rsidR="009E5527" w:rsidRPr="00543B7D">
              <w:rPr>
                <w:rFonts w:asciiTheme="minorHAnsi" w:hAnsiTheme="minorHAnsi"/>
                <w:sz w:val="20"/>
                <w:szCs w:val="20"/>
              </w:rPr>
              <w:t>g/ml without/with methotrexate</w:t>
            </w:r>
          </w:p>
        </w:tc>
        <w:tc>
          <w:tcPr>
            <w:tcW w:w="1560" w:type="dxa"/>
          </w:tcPr>
          <w:p w:rsidR="009E5527" w:rsidRPr="00543B7D" w:rsidRDefault="009E5527" w:rsidP="009E5527">
            <w:pPr>
              <w:spacing w:before="0" w:after="0" w:line="240" w:lineRule="auto"/>
              <w:rPr>
                <w:rFonts w:asciiTheme="minorHAnsi" w:hAnsiTheme="minorHAnsi"/>
                <w:sz w:val="20"/>
                <w:szCs w:val="20"/>
              </w:rPr>
            </w:pPr>
            <w:r w:rsidRPr="00543B7D">
              <w:rPr>
                <w:rFonts w:asciiTheme="minorHAnsi" w:hAnsiTheme="minorHAnsi"/>
                <w:sz w:val="20"/>
                <w:szCs w:val="20"/>
              </w:rPr>
              <w:t>6.8/10.9</w:t>
            </w:r>
          </w:p>
        </w:tc>
        <w:tc>
          <w:tcPr>
            <w:tcW w:w="1417" w:type="dxa"/>
          </w:tcPr>
          <w:p w:rsidR="009E5527" w:rsidRPr="00543B7D" w:rsidRDefault="009E5527" w:rsidP="009E5527">
            <w:pPr>
              <w:spacing w:before="0" w:after="0" w:line="240" w:lineRule="auto"/>
              <w:rPr>
                <w:rFonts w:asciiTheme="minorHAnsi" w:hAnsiTheme="minorHAnsi"/>
                <w:sz w:val="20"/>
                <w:szCs w:val="20"/>
              </w:rPr>
            </w:pPr>
            <w:r w:rsidRPr="00543B7D">
              <w:rPr>
                <w:rFonts w:asciiTheme="minorHAnsi" w:hAnsiTheme="minorHAnsi"/>
                <w:sz w:val="20"/>
                <w:szCs w:val="20"/>
              </w:rPr>
              <w:t>6.6/8.1</w:t>
            </w:r>
          </w:p>
        </w:tc>
        <w:tc>
          <w:tcPr>
            <w:tcW w:w="1559" w:type="dxa"/>
          </w:tcPr>
          <w:p w:rsidR="009E5527" w:rsidRPr="00543B7D" w:rsidRDefault="009E5527" w:rsidP="009E5527">
            <w:pPr>
              <w:spacing w:before="0" w:after="0" w:line="240" w:lineRule="auto"/>
              <w:jc w:val="both"/>
              <w:rPr>
                <w:rFonts w:asciiTheme="minorHAnsi" w:hAnsiTheme="minorHAnsi"/>
                <w:sz w:val="20"/>
                <w:szCs w:val="20"/>
              </w:rPr>
            </w:pPr>
            <w:r w:rsidRPr="00543B7D">
              <w:rPr>
                <w:rFonts w:asciiTheme="minorHAnsi" w:hAnsiTheme="minorHAnsi"/>
                <w:sz w:val="20"/>
                <w:szCs w:val="20"/>
              </w:rPr>
              <w:t>10.6</w:t>
            </w:r>
          </w:p>
        </w:tc>
        <w:tc>
          <w:tcPr>
            <w:tcW w:w="1418" w:type="dxa"/>
          </w:tcPr>
          <w:p w:rsidR="009E5527" w:rsidRPr="00543B7D" w:rsidRDefault="009E5527" w:rsidP="009E5527">
            <w:pPr>
              <w:spacing w:before="0" w:after="0" w:line="240" w:lineRule="auto"/>
              <w:jc w:val="both"/>
              <w:rPr>
                <w:rFonts w:asciiTheme="minorHAnsi" w:hAnsiTheme="minorHAnsi"/>
                <w:sz w:val="20"/>
                <w:szCs w:val="20"/>
              </w:rPr>
            </w:pPr>
            <w:r w:rsidRPr="00543B7D">
              <w:rPr>
                <w:rFonts w:asciiTheme="minorHAnsi" w:hAnsiTheme="minorHAnsi"/>
                <w:sz w:val="20"/>
                <w:szCs w:val="20"/>
              </w:rPr>
              <w:t>15.7</w:t>
            </w:r>
          </w:p>
        </w:tc>
        <w:tc>
          <w:tcPr>
            <w:tcW w:w="1134" w:type="dxa"/>
          </w:tcPr>
          <w:p w:rsidR="009E5527" w:rsidRPr="00543B7D" w:rsidRDefault="009E5527" w:rsidP="009E5527">
            <w:pPr>
              <w:spacing w:before="0" w:after="0" w:line="240" w:lineRule="auto"/>
              <w:rPr>
                <w:rFonts w:asciiTheme="minorHAnsi" w:hAnsiTheme="minorHAnsi"/>
                <w:sz w:val="20"/>
                <w:szCs w:val="20"/>
              </w:rPr>
            </w:pPr>
            <w:r w:rsidRPr="00543B7D">
              <w:rPr>
                <w:rFonts w:asciiTheme="minorHAnsi" w:hAnsiTheme="minorHAnsi"/>
                <w:sz w:val="20"/>
                <w:szCs w:val="20"/>
              </w:rPr>
              <w:t>7.5-9.4 /9.7-11.8</w:t>
            </w:r>
          </w:p>
        </w:tc>
      </w:tr>
    </w:tbl>
    <w:p w:rsidR="009E5527" w:rsidRDefault="009E5527" w:rsidP="002820CA">
      <w:r>
        <w:t>In adults with RA receiving adalimumab 40mg every fortnight, the relevant parameters are 5/8-9 with and without methotrexate.</w:t>
      </w:r>
    </w:p>
    <w:p w:rsidR="009E5527" w:rsidRDefault="009E5527" w:rsidP="002820CA">
      <w:r>
        <w:t>Thus, the PK parameters with a dosing regime</w:t>
      </w:r>
      <w:r w:rsidR="002820CA">
        <w:t>n</w:t>
      </w:r>
      <w:r>
        <w:t xml:space="preserve"> of 24mg/m</w:t>
      </w:r>
      <w:r w:rsidRPr="00B23628">
        <w:rPr>
          <w:vertAlign w:val="superscript"/>
        </w:rPr>
        <w:t>2</w:t>
      </w:r>
      <w:r>
        <w:t xml:space="preserve"> are similar to that observed in pJIA and adult RA. There is no dose adjustment recommended with methotrexate. This has been accepted for other indications and is therefore accept</w:t>
      </w:r>
      <w:r w:rsidR="002820CA">
        <w:t>able for this indication.</w:t>
      </w:r>
    </w:p>
    <w:p w:rsidR="00D24962" w:rsidRDefault="009E5527" w:rsidP="002820CA">
      <w:r>
        <w:t xml:space="preserve">The base population PK model was a one compartment model with first order elimination and first order absorption. The descriptive and predictive capabilities of each </w:t>
      </w:r>
      <w:r w:rsidR="00054259">
        <w:t xml:space="preserve">of the </w:t>
      </w:r>
      <w:r>
        <w:t>developed goodness of fit model were validated using goodness of fit plots and predictive checks. Several covariates were investigated for potential impact on the PK- these included body weight, age, BSA, use of methotrexate and the presence of AAA</w:t>
      </w:r>
      <w:r w:rsidR="00D24962">
        <w:t>.</w:t>
      </w:r>
    </w:p>
    <w:p w:rsidR="00D24962" w:rsidRDefault="002820CA" w:rsidP="002820CA">
      <w:r>
        <w:t>Five out of 46</w:t>
      </w:r>
      <w:r w:rsidR="009E5527">
        <w:t xml:space="preserve"> (10.9%) developed AAA antibodies. Serum trough AAA concentrations were below the LLOQ of adalimumab concentration in all 5 patients when they developed antibodies, consistent with the know effect of AAA on drug clearance. Despite this, all 5 patients with AAA had a clinical response</w:t>
      </w:r>
      <w:r w:rsidR="00D24962">
        <w:t>.</w:t>
      </w:r>
    </w:p>
    <w:p w:rsidR="009E5527" w:rsidRDefault="009E5527" w:rsidP="002820CA">
      <w:r>
        <w:t>The PK model showed that an increased body weight resulted in a less than dose proportional increase in drug clearance and apparent volume of distribution. Positive testing for AAA, concomitant use of MTX and baseline BSA were significant covariates affecting drug clearance. A simulated PK model showed that trough adalimumab concentrations using a weight based dosing regime</w:t>
      </w:r>
      <w:r w:rsidR="002820CA">
        <w:t>n</w:t>
      </w:r>
      <w:r>
        <w:t xml:space="preserve"> of 20 and 40mg administered at fortnightly intervals were comparable to that observed with simulated trough ADA concentrations following a BSA dosing regimen.</w:t>
      </w:r>
    </w:p>
    <w:p w:rsidR="009E5527" w:rsidRDefault="009E5527" w:rsidP="002820CA">
      <w:pPr>
        <w:pStyle w:val="Heading4"/>
      </w:pPr>
      <w:r w:rsidRPr="003F08CF">
        <w:t>Efficacy</w:t>
      </w:r>
    </w:p>
    <w:p w:rsidR="009E5527" w:rsidRDefault="009E5527" w:rsidP="002820CA">
      <w:pPr>
        <w:pStyle w:val="Heading5"/>
      </w:pPr>
      <w:r w:rsidRPr="00174E82">
        <w:t xml:space="preserve">Enthesitis related </w:t>
      </w:r>
      <w:r w:rsidR="00CF74B3">
        <w:t>a</w:t>
      </w:r>
      <w:r w:rsidRPr="00174E82">
        <w:t>rthritis</w:t>
      </w:r>
      <w:r>
        <w:t>- Study M11-328</w:t>
      </w:r>
    </w:p>
    <w:p w:rsidR="009E5527" w:rsidRDefault="002820CA" w:rsidP="009E5527">
      <w:pPr>
        <w:spacing w:before="0" w:after="0" w:line="240" w:lineRule="auto"/>
        <w:rPr>
          <w:rFonts w:asciiTheme="minorHAnsi" w:hAnsiTheme="minorHAnsi"/>
        </w:rPr>
      </w:pPr>
      <w:r>
        <w:rPr>
          <w:rFonts w:asciiTheme="minorHAnsi" w:hAnsiTheme="minorHAnsi"/>
        </w:rPr>
        <w:t>This was a P</w:t>
      </w:r>
      <w:r w:rsidR="009E5527">
        <w:rPr>
          <w:rFonts w:asciiTheme="minorHAnsi" w:hAnsiTheme="minorHAnsi"/>
        </w:rPr>
        <w:t xml:space="preserve">hase </w:t>
      </w:r>
      <w:r>
        <w:rPr>
          <w:rFonts w:asciiTheme="minorHAnsi" w:hAnsiTheme="minorHAnsi"/>
        </w:rPr>
        <w:t>III</w:t>
      </w:r>
      <w:r w:rsidR="009E5527">
        <w:rPr>
          <w:rFonts w:asciiTheme="minorHAnsi" w:hAnsiTheme="minorHAnsi"/>
        </w:rPr>
        <w:t>, double blind, placebo controlled trial which included a screening period, 12 week double blind placebo controlled period with an early escape option and</w:t>
      </w:r>
      <w:r>
        <w:rPr>
          <w:rFonts w:asciiTheme="minorHAnsi" w:hAnsiTheme="minorHAnsi"/>
        </w:rPr>
        <w:t xml:space="preserve"> an open label extension phase</w:t>
      </w:r>
      <w:r w:rsidR="00C95F30">
        <w:rPr>
          <w:rFonts w:asciiTheme="minorHAnsi" w:hAnsiTheme="minorHAnsi"/>
        </w:rPr>
        <w:t xml:space="preserve"> (Figure 1)</w:t>
      </w:r>
      <w:r>
        <w:rPr>
          <w:rFonts w:asciiTheme="minorHAnsi" w:hAnsiTheme="minorHAnsi"/>
        </w:rPr>
        <w:t>.</w:t>
      </w:r>
    </w:p>
    <w:p w:rsidR="002820CA" w:rsidRDefault="002820CA" w:rsidP="002820CA">
      <w:pPr>
        <w:pStyle w:val="FigureTitle"/>
      </w:pPr>
      <w:r>
        <w:lastRenderedPageBreak/>
        <w:t>Figure 1: Study design</w:t>
      </w:r>
    </w:p>
    <w:p w:rsidR="009E5527" w:rsidRDefault="009E5527" w:rsidP="00CF74B3">
      <w:r>
        <w:rPr>
          <w:noProof/>
          <w:lang w:eastAsia="en-AU"/>
        </w:rPr>
        <w:drawing>
          <wp:inline distT="0" distB="0" distL="0" distR="0" wp14:anchorId="0E5BD4F8" wp14:editId="7405F233">
            <wp:extent cx="5489777" cy="2055571"/>
            <wp:effectExtent l="0" t="0" r="0" b="1905"/>
            <wp:docPr id="9" name="Picture 9" descr="Figure 1: Study design&#10;Trial included a screening period Day -30, 12 week double blind placebo controlled period with an early escape option and an open label extension phase up until Week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2">
                      <a:extLst>
                        <a:ext uri="{28A0092B-C50C-407E-A947-70E740481C1C}">
                          <a14:useLocalDpi xmlns:a14="http://schemas.microsoft.com/office/drawing/2010/main" val="0"/>
                        </a:ext>
                      </a:extLst>
                    </a:blip>
                    <a:srcRect l="1832"/>
                    <a:stretch/>
                  </pic:blipFill>
                  <pic:spPr bwMode="auto">
                    <a:xfrm>
                      <a:off x="0" y="0"/>
                      <a:ext cx="5496761" cy="2058186"/>
                    </a:xfrm>
                    <a:prstGeom prst="rect">
                      <a:avLst/>
                    </a:prstGeom>
                    <a:noFill/>
                    <a:ln>
                      <a:noFill/>
                    </a:ln>
                    <a:extLst>
                      <a:ext uri="{53640926-AAD7-44D8-BBD7-CCE9431645EC}">
                        <a14:shadowObscured xmlns:a14="http://schemas.microsoft.com/office/drawing/2010/main"/>
                      </a:ext>
                    </a:extLst>
                  </pic:spPr>
                </pic:pic>
              </a:graphicData>
            </a:graphic>
          </wp:inline>
        </w:drawing>
      </w:r>
    </w:p>
    <w:p w:rsidR="009E5527" w:rsidRDefault="009E5527" w:rsidP="00B07DCE">
      <w:r>
        <w:t>Subjects who met the enrolment criteria were randomised in a 2:1 ratio to receive either adalimumab (BSA dosing of 24mg/m</w:t>
      </w:r>
      <w:r w:rsidRPr="00885E04">
        <w:rPr>
          <w:vertAlign w:val="superscript"/>
        </w:rPr>
        <w:t>2</w:t>
      </w:r>
      <w:r>
        <w:t xml:space="preserve"> up to a maximum of 40mg per dose) or placebo.</w:t>
      </w:r>
      <w:r w:rsidRPr="00336363">
        <w:t xml:space="preserve"> </w:t>
      </w:r>
      <w:r>
        <w:t xml:space="preserve">There was an </w:t>
      </w:r>
      <w:r w:rsidRPr="00092AF8">
        <w:t xml:space="preserve">option </w:t>
      </w:r>
      <w:r>
        <w:t xml:space="preserve">for early </w:t>
      </w:r>
      <w:r w:rsidR="002820CA">
        <w:t>exit</w:t>
      </w:r>
      <w:r>
        <w:t xml:space="preserve"> </w:t>
      </w:r>
      <w:r w:rsidRPr="00092AF8">
        <w:t xml:space="preserve">at </w:t>
      </w:r>
      <w:r w:rsidR="002820CA">
        <w:t>W</w:t>
      </w:r>
      <w:r w:rsidRPr="00092AF8">
        <w:t xml:space="preserve">eeks 4 and 8 for subjects who either experienced a worsening of </w:t>
      </w:r>
      <w:r>
        <w:t xml:space="preserve">their </w:t>
      </w:r>
      <w:r w:rsidRPr="00092AF8">
        <w:t>disease or failed to improve.</w:t>
      </w:r>
      <w:r>
        <w:t xml:space="preserve"> Worsening of disease at </w:t>
      </w:r>
      <w:r w:rsidR="002820CA">
        <w:t>W</w:t>
      </w:r>
      <w:r>
        <w:t xml:space="preserve">eek 4 was defined as an increase in active joint count (AJC) </w:t>
      </w:r>
      <w:r w:rsidR="002820CA">
        <w:t xml:space="preserve">≥ </w:t>
      </w:r>
      <w:r>
        <w:t>30% with a minimum of at least 2 additional active joints compared to b</w:t>
      </w:r>
      <w:r w:rsidR="002820CA">
        <w:t>aseline. Failure to improve at W</w:t>
      </w:r>
      <w:r>
        <w:t>eek 8 was defined as &lt;30% improvement in active joint count compared to baseline.</w:t>
      </w:r>
    </w:p>
    <w:p w:rsidR="00D24962" w:rsidRDefault="009E5527" w:rsidP="00B07DCE">
      <w:r>
        <w:t>The study took place in 16 sites in Canada, France, Germany, Italy, Mexico, Poland, Spain, Sweden and Switzerland</w:t>
      </w:r>
      <w:r w:rsidR="00D24962">
        <w:t>.</w:t>
      </w:r>
    </w:p>
    <w:p w:rsidR="009E5527" w:rsidRDefault="009E5527" w:rsidP="00B07DCE">
      <w:r>
        <w:t>Inclusion Criteria: aged 6</w:t>
      </w:r>
      <w:r w:rsidR="002820CA">
        <w:t xml:space="preserve"> to </w:t>
      </w:r>
      <w:r>
        <w:t>18 years and with a diagnosis of ERA according to the ILAR criteria. The disease needed to be active at screening with at least 3 active peripheral joints and have evidence of enthesitis in at least one location. Patients needed to have a history of inadequate response or intolerance to at least 1 NSAID and a 3 month course of at least 1 conventional DMARD at adequate dose.</w:t>
      </w:r>
      <w:r w:rsidRPr="00336363">
        <w:t xml:space="preserve"> </w:t>
      </w:r>
      <w:r>
        <w:t>Background conventional DMARD treatment (single therapy only) could be continued on study in those receiving it in a stable dose for at least 28 days prior to study entry. In particular, MTX could be continued at a stable dose not exceeding 15 mg/m</w:t>
      </w:r>
      <w:r>
        <w:rPr>
          <w:vertAlign w:val="superscript"/>
        </w:rPr>
        <w:t>2</w:t>
      </w:r>
      <w:r>
        <w:t xml:space="preserve"> (maximum dose of 25 mg/week) or SSZ could be continued at a stable dose not exceeding 50 mg/m</w:t>
      </w:r>
      <w:r>
        <w:rPr>
          <w:vertAlign w:val="superscript"/>
        </w:rPr>
        <w:t>2</w:t>
      </w:r>
      <w:r>
        <w:t xml:space="preserve"> (maximum dose of 3 g/day). Continuing treatment with NSAID and low dose prednisone (no more than 10 mg/day or 0.2 mg/kg/day, whichever was less) was also permitted if the patient had received a stable dose for the 14 days prior to baseline.</w:t>
      </w:r>
    </w:p>
    <w:p w:rsidR="00D24962" w:rsidRDefault="009E5527" w:rsidP="00B07DCE">
      <w:pPr>
        <w:pStyle w:val="Heading6"/>
        <w:rPr>
          <w:kern w:val="16"/>
        </w:rPr>
      </w:pPr>
      <w:r w:rsidRPr="00885E04">
        <w:t>Endpoint</w:t>
      </w:r>
      <w:r>
        <w:t>s</w:t>
      </w:r>
    </w:p>
    <w:p w:rsidR="00D24962" w:rsidRDefault="009E5527" w:rsidP="00B07DCE">
      <w:r w:rsidRPr="00885E04">
        <w:t>Primary:</w:t>
      </w:r>
      <w:r>
        <w:t xml:space="preserve"> the primary efficacy endpoint was the percent change from baseline to </w:t>
      </w:r>
      <w:r w:rsidR="00B07DCE">
        <w:t>W</w:t>
      </w:r>
      <w:r>
        <w:t>eek 12 in the number of active joints with arthritis</w:t>
      </w:r>
      <w:r w:rsidR="00D24962">
        <w:t>.</w:t>
      </w:r>
    </w:p>
    <w:p w:rsidR="009E5527" w:rsidRDefault="009E5527" w:rsidP="00B07DCE">
      <w:r w:rsidRPr="00336363">
        <w:t>Secondary:</w:t>
      </w:r>
    </w:p>
    <w:p w:rsidR="009E5527" w:rsidRPr="000B6E42" w:rsidRDefault="009E5527" w:rsidP="00B07DCE">
      <w:pPr>
        <w:pStyle w:val="ListBullet"/>
      </w:pPr>
      <w:r>
        <w:t>Number of sites a</w:t>
      </w:r>
      <w:r w:rsidRPr="000B6E42">
        <w:t>f</w:t>
      </w:r>
      <w:r>
        <w:t>fected by</w:t>
      </w:r>
      <w:r w:rsidRPr="000B6E42">
        <w:t xml:space="preserve"> enthesitis</w:t>
      </w:r>
      <w:r>
        <w:t xml:space="preserve"> for 35 different anatomical sites,</w:t>
      </w:r>
    </w:p>
    <w:p w:rsidR="009E5527" w:rsidRPr="000B6E42" w:rsidRDefault="009E5527" w:rsidP="00B07DCE">
      <w:pPr>
        <w:pStyle w:val="ListBullet"/>
      </w:pPr>
      <w:r w:rsidRPr="000B6E42">
        <w:t>T</w:t>
      </w:r>
      <w:r>
        <w:t xml:space="preserve">ender </w:t>
      </w:r>
      <w:r w:rsidRPr="000B6E42">
        <w:t>J</w:t>
      </w:r>
      <w:r>
        <w:t xml:space="preserve">oint </w:t>
      </w:r>
      <w:r w:rsidRPr="000B6E42">
        <w:t>C</w:t>
      </w:r>
      <w:r>
        <w:t>ount (TJC)</w:t>
      </w:r>
      <w:r w:rsidRPr="000B6E42">
        <w:t xml:space="preserve"> for 72 joints</w:t>
      </w:r>
      <w:r>
        <w:t>,</w:t>
      </w:r>
    </w:p>
    <w:p w:rsidR="009E5527" w:rsidRPr="000B6E42" w:rsidRDefault="009E5527" w:rsidP="00B07DCE">
      <w:pPr>
        <w:pStyle w:val="ListBullet"/>
      </w:pPr>
      <w:r>
        <w:t>Swollen Joint Count (</w:t>
      </w:r>
      <w:r w:rsidRPr="000B6E42">
        <w:t>SJC</w:t>
      </w:r>
      <w:r>
        <w:t>)</w:t>
      </w:r>
      <w:r w:rsidRPr="000B6E42">
        <w:t xml:space="preserve"> for 68 joints</w:t>
      </w:r>
      <w:r>
        <w:t>,</w:t>
      </w:r>
    </w:p>
    <w:p w:rsidR="009E5527" w:rsidRPr="000B6E42" w:rsidRDefault="009E5527" w:rsidP="00B07DCE">
      <w:pPr>
        <w:pStyle w:val="ListBullet"/>
      </w:pPr>
      <w:r w:rsidRPr="000B6E42">
        <w:t>ACR Pedi30 response</w:t>
      </w:r>
      <w:r>
        <w:t>,</w:t>
      </w:r>
    </w:p>
    <w:p w:rsidR="009E5527" w:rsidRPr="000B6E42" w:rsidRDefault="009E5527" w:rsidP="00B07DCE">
      <w:pPr>
        <w:pStyle w:val="ListBullet"/>
        <w:rPr>
          <w:lang w:val="it-IT"/>
        </w:rPr>
      </w:pPr>
      <w:r w:rsidRPr="000B6E42">
        <w:rPr>
          <w:lang w:val="it-IT"/>
        </w:rPr>
        <w:t>ACR Pedi50 response</w:t>
      </w:r>
      <w:r>
        <w:rPr>
          <w:lang w:val="it-IT"/>
        </w:rPr>
        <w:t>, and</w:t>
      </w:r>
    </w:p>
    <w:p w:rsidR="009E5527" w:rsidRPr="000B6E42" w:rsidRDefault="009E5527" w:rsidP="00B07DCE">
      <w:pPr>
        <w:pStyle w:val="ListBullet"/>
        <w:rPr>
          <w:lang w:val="it-IT"/>
        </w:rPr>
      </w:pPr>
      <w:r w:rsidRPr="000B6E42">
        <w:rPr>
          <w:lang w:val="it-IT"/>
        </w:rPr>
        <w:t>ACR Pedi70 response</w:t>
      </w:r>
      <w:r>
        <w:rPr>
          <w:lang w:val="it-IT"/>
        </w:rPr>
        <w:t>.</w:t>
      </w:r>
    </w:p>
    <w:p w:rsidR="009E5527" w:rsidRDefault="009E5527" w:rsidP="009E5527">
      <w:pPr>
        <w:spacing w:before="0" w:after="0" w:line="240" w:lineRule="auto"/>
        <w:rPr>
          <w:rFonts w:asciiTheme="minorHAnsi" w:hAnsiTheme="minorHAnsi"/>
        </w:rPr>
      </w:pPr>
      <w:r w:rsidRPr="000012BC">
        <w:rPr>
          <w:rFonts w:asciiTheme="minorHAnsi" w:hAnsiTheme="minorHAnsi"/>
        </w:rPr>
        <w:t>Analysis was based on ITT</w:t>
      </w:r>
    </w:p>
    <w:p w:rsidR="009E5527" w:rsidRDefault="009E5527" w:rsidP="00B07DCE">
      <w:pPr>
        <w:pStyle w:val="Heading6"/>
      </w:pPr>
      <w:r w:rsidRPr="00885E04">
        <w:lastRenderedPageBreak/>
        <w:t xml:space="preserve">Patient </w:t>
      </w:r>
      <w:r w:rsidR="00CF74B3">
        <w:t>f</w:t>
      </w:r>
      <w:r w:rsidRPr="00885E04">
        <w:t>low</w:t>
      </w:r>
    </w:p>
    <w:p w:rsidR="00B07DCE" w:rsidRDefault="00B07DCE" w:rsidP="00B07DCE">
      <w:r>
        <w:t>Patient flow is described in Table 11.</w:t>
      </w:r>
    </w:p>
    <w:p w:rsidR="00B07DCE" w:rsidRPr="00B07DCE" w:rsidRDefault="00B07DCE" w:rsidP="00B07DCE">
      <w:pPr>
        <w:pStyle w:val="TableTitle"/>
      </w:pPr>
      <w:r>
        <w:t>Table 11: Patient flow</w:t>
      </w:r>
    </w:p>
    <w:p w:rsidR="009E5527" w:rsidRDefault="009E5527" w:rsidP="009E5527">
      <w:pPr>
        <w:spacing w:before="0" w:after="0" w:line="240" w:lineRule="auto"/>
        <w:rPr>
          <w:rFonts w:asciiTheme="minorHAnsi" w:hAnsiTheme="minorHAnsi"/>
          <w:b/>
        </w:rPr>
      </w:pPr>
      <w:r>
        <w:rPr>
          <w:noProof/>
          <w:lang w:eastAsia="en-AU"/>
        </w:rPr>
        <w:drawing>
          <wp:inline distT="0" distB="0" distL="0" distR="0" wp14:anchorId="23299301" wp14:editId="0CF9463D">
            <wp:extent cx="4484217" cy="2086245"/>
            <wp:effectExtent l="0" t="0" r="0" b="9525"/>
            <wp:docPr id="10" name="Picture 3" descr="Table 11: Patient 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485399" cy="2086795"/>
                    </a:xfrm>
                    <a:prstGeom prst="rect">
                      <a:avLst/>
                    </a:prstGeom>
                    <a:noFill/>
                    <a:ln>
                      <a:noFill/>
                    </a:ln>
                  </pic:spPr>
                </pic:pic>
              </a:graphicData>
            </a:graphic>
          </wp:inline>
        </w:drawing>
      </w:r>
    </w:p>
    <w:p w:rsidR="009E5527" w:rsidRPr="000012BC" w:rsidRDefault="009E5527" w:rsidP="00B07DCE">
      <w:pPr>
        <w:pStyle w:val="Heading6"/>
      </w:pPr>
      <w:r w:rsidRPr="000012BC">
        <w:t>Baseline</w:t>
      </w:r>
    </w:p>
    <w:p w:rsidR="009E5527" w:rsidRDefault="009E5527" w:rsidP="00A77B00">
      <w:r>
        <w:t xml:space="preserve">The overall mean age of the cohort was 12.9 years with 2 patients (4.3%) aged 6 to &lt;9 years, 13 subjects (28.3%) aged 9 to &lt;12 years, 16 patients (34.8%) aged 12 to &lt;15 years and 15 subjects (32.6%) aged </w:t>
      </w:r>
      <w:r w:rsidRPr="008B5EEB">
        <w:rPr>
          <w:u w:val="single"/>
        </w:rPr>
        <w:t>&gt;</w:t>
      </w:r>
      <w:r>
        <w:t>15 years.</w:t>
      </w:r>
      <w:r w:rsidRPr="000012BC">
        <w:t xml:space="preserve"> </w:t>
      </w:r>
      <w:r w:rsidRPr="00567E04">
        <w:t>Subjects reported having had symptoms of ERA for a mean of 2.6 years</w:t>
      </w:r>
      <w:r>
        <w:t xml:space="preserve"> (median 1.9 years)</w:t>
      </w:r>
      <w:r w:rsidRPr="00567E04">
        <w:t xml:space="preserve"> and had been</w:t>
      </w:r>
      <w:r>
        <w:t xml:space="preserve"> </w:t>
      </w:r>
      <w:r w:rsidRPr="00567E04">
        <w:t xml:space="preserve">formally diagnosed with ERA for a mean of 1.9 years prior to </w:t>
      </w:r>
      <w:r>
        <w:t>b</w:t>
      </w:r>
      <w:r w:rsidRPr="00567E04">
        <w:t>aseline (</w:t>
      </w:r>
      <w:r>
        <w:t>median 0.8 years; range: 0.1-8.1 years). Three subjects in the placebo group had a history of uveitis. All subjects tested negative for RF at baseline and the majority of subjects had a positive HLA-B27 test (67.4%; 31/46). Most subjects (58.7%; 27/46) were ANA negative at baseline, with the majority of those who were positive demonstrating a low titre result. All of the ANA positive subjects tested negative for anti-dsDNA antibodies. Prior to the study, 91.3% (42/46) of all subjects had received at least 1 DMARD for ERA (either MTX [n=29] or SSZ [n=20]), all had taken NSAID therapy and 56.5% (26/46) of all subjects had previously used oral corticosteroids, with no statistically significant differences between the 2 treatment groups.</w:t>
      </w:r>
    </w:p>
    <w:p w:rsidR="00D24962" w:rsidRDefault="009E5527" w:rsidP="00A77B00">
      <w:r>
        <w:t xml:space="preserve">There were no statistically significant differences between the 2 treatment groups at baseline for ERA disease activity. In general, patients had moderately to severely active ERA at baseline with the mean number of active joints being 7.8, mean tender joint count being 12.9, mean swollen joint count being 6.2 and the mean number of joints with </w:t>
      </w:r>
      <w:r w:rsidR="00A77B00" w:rsidRPr="008414E2">
        <w:rPr>
          <w:rFonts w:asciiTheme="minorHAnsi" w:hAnsiTheme="minorHAnsi"/>
          <w:sz w:val="20"/>
          <w:szCs w:val="20"/>
        </w:rPr>
        <w:t>Limitation of Movement</w:t>
      </w:r>
      <w:r w:rsidR="00A77B00">
        <w:t xml:space="preserve"> (</w:t>
      </w:r>
      <w:r>
        <w:t>LOM</w:t>
      </w:r>
      <w:r w:rsidR="00A77B00">
        <w:t>)</w:t>
      </w:r>
      <w:r>
        <w:t xml:space="preserve"> being 4.9. Patients with ERA had a significant degree of soft tissue disease manifestations with the mean number of enthesitis affected sites being 8.1 at baseline. The </w:t>
      </w:r>
      <w:r w:rsidR="00A77B00" w:rsidRPr="00A77B00">
        <w:t>Maastricht Ankylosing Spondylitis Enthesitis Score</w:t>
      </w:r>
      <w:r w:rsidR="00A77B00">
        <w:t xml:space="preserve"> (</w:t>
      </w:r>
      <w:r>
        <w:t>MASES</w:t>
      </w:r>
      <w:r w:rsidR="00A77B00">
        <w:t>)</w:t>
      </w:r>
      <w:r>
        <w:t xml:space="preserve"> and </w:t>
      </w:r>
      <w:r w:rsidR="00A77B00" w:rsidRPr="00A77B00">
        <w:t xml:space="preserve">Spondyloarthritis Research Consortium of Canada </w:t>
      </w:r>
      <w:r w:rsidR="00A77B00">
        <w:t>(</w:t>
      </w:r>
      <w:r>
        <w:t>SPARCC</w:t>
      </w:r>
      <w:r w:rsidR="00A77B00">
        <w:t xml:space="preserve">) </w:t>
      </w:r>
      <w:r>
        <w:t xml:space="preserve">enthesitis scores show a mixture of peripheral and axial sites affected by enthesitis. The mean baseline CRP was 9.0 mg/L (median 2.6 mg/L). Only 18 subjects (8 in the placebo group and 10 in the adalimumab arm) had a </w:t>
      </w:r>
      <w:r w:rsidR="00AE304E" w:rsidRPr="00AE304E">
        <w:t>C</w:t>
      </w:r>
      <w:r w:rsidR="00054259">
        <w:t xml:space="preserve"> </w:t>
      </w:r>
      <w:r w:rsidR="00AE304E" w:rsidRPr="00AE304E">
        <w:t xml:space="preserve">Reactive Protein </w:t>
      </w:r>
      <w:r w:rsidR="00AE304E">
        <w:t>(</w:t>
      </w:r>
      <w:r>
        <w:t>CRP</w:t>
      </w:r>
      <w:r w:rsidR="00AE304E">
        <w:t>)</w:t>
      </w:r>
      <w:r>
        <w:t xml:space="preserve"> reading &gt;</w:t>
      </w:r>
      <w:r w:rsidR="00A77B00">
        <w:t>upper level of normal (</w:t>
      </w:r>
      <w:r>
        <w:t>ULN</w:t>
      </w:r>
      <w:r w:rsidR="00A77B00">
        <w:t>)</w:t>
      </w:r>
      <w:r>
        <w:t xml:space="preserve"> at baseline. Patients showed moderately active axial disease manifestations at baseline. The mean baseline BASDAI score was 4.7 (scale range of 0</w:t>
      </w:r>
      <w:r w:rsidR="00A77B00">
        <w:t xml:space="preserve"> to </w:t>
      </w:r>
      <w:r>
        <w:t xml:space="preserve">10). The </w:t>
      </w:r>
      <w:r w:rsidR="00AE304E" w:rsidRPr="00AE304E">
        <w:t xml:space="preserve">Childhood Health Assessment Questionnaire </w:t>
      </w:r>
      <w:r w:rsidR="00AE304E">
        <w:t>(</w:t>
      </w:r>
      <w:r>
        <w:t>CHAQ</w:t>
      </w:r>
      <w:r w:rsidR="00AE304E">
        <w:t>)</w:t>
      </w:r>
      <w:r>
        <w:t xml:space="preserve"> index was also consistent with moderate functional impairment at baseline with the median score being 0.8 (scale range 0</w:t>
      </w:r>
      <w:r w:rsidR="00A77B00">
        <w:t xml:space="preserve"> to </w:t>
      </w:r>
      <w:r>
        <w:t>3)</w:t>
      </w:r>
      <w:r w:rsidR="00D24962">
        <w:t>.</w:t>
      </w:r>
    </w:p>
    <w:p w:rsidR="009E5527" w:rsidRPr="000012BC" w:rsidRDefault="009E5527" w:rsidP="009E5527">
      <w:pPr>
        <w:autoSpaceDE w:val="0"/>
        <w:autoSpaceDN w:val="0"/>
        <w:rPr>
          <w:i/>
        </w:rPr>
      </w:pPr>
      <w:r w:rsidRPr="000012BC">
        <w:rPr>
          <w:i/>
        </w:rPr>
        <w:t>Efficacy</w:t>
      </w:r>
    </w:p>
    <w:p w:rsidR="009E5527" w:rsidRDefault="009E5527" w:rsidP="009E5527">
      <w:pPr>
        <w:spacing w:before="0" w:after="0" w:line="240" w:lineRule="auto"/>
      </w:pPr>
      <w:r>
        <w:t xml:space="preserve">The primary efficacy outcome was the percentage change from baseline to </w:t>
      </w:r>
      <w:r w:rsidR="00A77B00">
        <w:t>W</w:t>
      </w:r>
      <w:r>
        <w:t xml:space="preserve">eek 12 in the number of joints with active arthritis in the ITT analysis set using LOCF. Patients treated with ADA showed a statistically larger decrease from baseline to </w:t>
      </w:r>
      <w:r w:rsidR="00A77B00">
        <w:t>W</w:t>
      </w:r>
      <w:r>
        <w:t>eek 12 in the mean percentage number of active joints (</w:t>
      </w:r>
      <w:r w:rsidR="00A77B00">
        <w:noBreakHyphen/>
      </w:r>
      <w:r>
        <w:t xml:space="preserve">62.6% for adalimumab versus </w:t>
      </w:r>
      <w:r w:rsidR="00A77B00">
        <w:noBreakHyphen/>
      </w:r>
      <w:r>
        <w:t xml:space="preserve">11.6% for placebo; </w:t>
      </w:r>
      <w:r>
        <w:lastRenderedPageBreak/>
        <w:t>treatment related difference 51.2%; p=0.039). Male patients and those with HLA-B27 antibodies were more likely to respond.</w:t>
      </w:r>
    </w:p>
    <w:p w:rsidR="009E5527" w:rsidRDefault="009E5527" w:rsidP="009E5527">
      <w:pPr>
        <w:spacing w:before="0" w:after="0" w:line="240" w:lineRule="auto"/>
      </w:pPr>
      <w:r>
        <w:t>In the secondary analysis, the response to adalimumab was numerically but not statistically better except for the ACR 70</w:t>
      </w:r>
      <w:r w:rsidR="00AE304E">
        <w:t xml:space="preserve"> (Table 12)</w:t>
      </w:r>
      <w:r>
        <w:t>.</w:t>
      </w:r>
    </w:p>
    <w:p w:rsidR="009E5527" w:rsidRDefault="00AE304E" w:rsidP="00AE304E">
      <w:pPr>
        <w:pStyle w:val="TableTitle"/>
      </w:pPr>
      <w:r>
        <w:t>Table 12: Results for secondary outcomes</w:t>
      </w:r>
    </w:p>
    <w:p w:rsidR="009E5527" w:rsidRDefault="009E5527" w:rsidP="009E5527">
      <w:pPr>
        <w:spacing w:before="0" w:after="0" w:line="240" w:lineRule="auto"/>
      </w:pPr>
      <w:r>
        <w:rPr>
          <w:noProof/>
          <w:u w:val="single"/>
          <w:lang w:eastAsia="en-AU"/>
        </w:rPr>
        <w:drawing>
          <wp:inline distT="0" distB="0" distL="0" distR="0" wp14:anchorId="52084077" wp14:editId="219DF8D0">
            <wp:extent cx="5400040" cy="2958378"/>
            <wp:effectExtent l="0" t="0" r="0" b="0"/>
            <wp:docPr id="14" name="Picture 10" descr="Table 12: Results for secondary outc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BEBA8EAE-BF5A-486C-A8C5-ECC9F3942E4B}">
                          <a14:imgProps xmlns:a14="http://schemas.microsoft.com/office/drawing/2010/main">
                            <a14:imgLayer r:embed="rId25">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400040" cy="2958378"/>
                    </a:xfrm>
                    <a:prstGeom prst="rect">
                      <a:avLst/>
                    </a:prstGeom>
                    <a:noFill/>
                    <a:ln>
                      <a:noFill/>
                    </a:ln>
                  </pic:spPr>
                </pic:pic>
              </a:graphicData>
            </a:graphic>
          </wp:inline>
        </w:drawing>
      </w:r>
    </w:p>
    <w:p w:rsidR="009E5527" w:rsidRDefault="009E5527" w:rsidP="00AE304E">
      <w:r>
        <w:t>After 52 weeks, the active joint count decreased to 0.7 (from a baseline of 7,</w:t>
      </w:r>
      <w:r w:rsidR="00054259">
        <w:t xml:space="preserve"> </w:t>
      </w:r>
      <w:r>
        <w:t>8).</w:t>
      </w:r>
    </w:p>
    <w:p w:rsidR="009E5527" w:rsidRDefault="009E5527" w:rsidP="00AE304E">
      <w:pPr>
        <w:pStyle w:val="Heading4"/>
      </w:pPr>
      <w:r w:rsidRPr="003F08CF">
        <w:t>Safety</w:t>
      </w:r>
    </w:p>
    <w:p w:rsidR="009E5527" w:rsidRDefault="009E5527" w:rsidP="00AE304E">
      <w:pPr>
        <w:rPr>
          <w:rFonts w:asciiTheme="minorHAnsi" w:hAnsiTheme="minorHAnsi"/>
        </w:rPr>
      </w:pPr>
      <w:r w:rsidRPr="00544C48">
        <w:t xml:space="preserve">Among subjects who received at least 1 dose of adalimumab, </w:t>
      </w:r>
      <w:r>
        <w:t>93.5% experienced at least 1 AE. Five subjects reported 8 SAE during the study and 3 subjects prematurely discontinued from the study due to AE. The events were consistent with the known safety profile for adalimumab.</w:t>
      </w:r>
    </w:p>
    <w:p w:rsidR="008E7846" w:rsidRDefault="00386150" w:rsidP="00AE304E">
      <w:pPr>
        <w:pStyle w:val="Heading4"/>
        <w:rPr>
          <w:lang w:eastAsia="en-AU"/>
        </w:rPr>
      </w:pPr>
      <w:r>
        <w:rPr>
          <w:lang w:eastAsia="en-AU"/>
        </w:rPr>
        <w:t>Risk m</w:t>
      </w:r>
      <w:r w:rsidR="008E7846">
        <w:rPr>
          <w:lang w:eastAsia="en-AU"/>
        </w:rPr>
        <w:t xml:space="preserve">anagement </w:t>
      </w:r>
      <w:r>
        <w:rPr>
          <w:lang w:eastAsia="en-AU"/>
        </w:rPr>
        <w:t>p</w:t>
      </w:r>
      <w:r w:rsidR="008E7846">
        <w:rPr>
          <w:lang w:eastAsia="en-AU"/>
        </w:rPr>
        <w:t>lan</w:t>
      </w:r>
      <w:bookmarkEnd w:id="149"/>
    </w:p>
    <w:p w:rsidR="00D24962" w:rsidRDefault="009E5527" w:rsidP="00AE304E">
      <w:r>
        <w:t>Summary of safety concerns</w:t>
      </w:r>
      <w:r w:rsidR="00AE304E">
        <w:t xml:space="preserve"> are summarised above under Pharmacovigilance</w:t>
      </w:r>
      <w:r w:rsidR="00D24962">
        <w:t>.</w:t>
      </w:r>
    </w:p>
    <w:p w:rsidR="009E5527" w:rsidRDefault="009E5527" w:rsidP="009E5527">
      <w:pPr>
        <w:spacing w:before="0" w:after="0" w:line="240" w:lineRule="auto"/>
        <w:rPr>
          <w:rFonts w:asciiTheme="minorHAnsi" w:hAnsiTheme="minorHAnsi"/>
        </w:rPr>
      </w:pPr>
      <w:r w:rsidRPr="00896D34">
        <w:rPr>
          <w:rFonts w:asciiTheme="minorHAnsi" w:hAnsiTheme="minorHAnsi"/>
        </w:rPr>
        <w:t xml:space="preserve">Routine pharmacovigilance </w:t>
      </w:r>
      <w:r w:rsidR="00AE304E">
        <w:rPr>
          <w:rFonts w:asciiTheme="minorHAnsi" w:hAnsiTheme="minorHAnsi"/>
        </w:rPr>
        <w:t xml:space="preserve">was proposed </w:t>
      </w:r>
      <w:r w:rsidRPr="00896D34">
        <w:rPr>
          <w:rFonts w:asciiTheme="minorHAnsi" w:hAnsiTheme="minorHAnsi"/>
        </w:rPr>
        <w:t>for most activities</w:t>
      </w:r>
      <w:r w:rsidR="00AE304E">
        <w:rPr>
          <w:rFonts w:asciiTheme="minorHAnsi" w:hAnsiTheme="minorHAnsi"/>
        </w:rPr>
        <w:t xml:space="preserve">. </w:t>
      </w:r>
      <w:r w:rsidRPr="00896D34">
        <w:rPr>
          <w:rFonts w:asciiTheme="minorHAnsi" w:hAnsiTheme="minorHAnsi"/>
        </w:rPr>
        <w:t>Active pharmacovigilance for children</w:t>
      </w:r>
      <w:r w:rsidR="00AE304E">
        <w:rPr>
          <w:rFonts w:asciiTheme="minorHAnsi" w:hAnsiTheme="minorHAnsi"/>
        </w:rPr>
        <w:t xml:space="preserve"> in 4 studies (Table 13).</w:t>
      </w:r>
    </w:p>
    <w:p w:rsidR="00AE304E" w:rsidRPr="00896D34" w:rsidRDefault="00AE304E" w:rsidP="00AE304E">
      <w:pPr>
        <w:pStyle w:val="TableTitle"/>
      </w:pPr>
      <w:r>
        <w:t>Table 13: Paediatric studies</w:t>
      </w:r>
    </w:p>
    <w:tbl>
      <w:tblPr>
        <w:tblStyle w:val="TableTGAblue"/>
        <w:tblW w:w="0" w:type="auto"/>
        <w:tblLook w:val="04A0" w:firstRow="1" w:lastRow="0" w:firstColumn="1" w:lastColumn="0" w:noHBand="0" w:noVBand="1"/>
      </w:tblPr>
      <w:tblGrid>
        <w:gridCol w:w="1242"/>
        <w:gridCol w:w="4586"/>
        <w:gridCol w:w="1397"/>
        <w:gridCol w:w="1495"/>
      </w:tblGrid>
      <w:tr w:rsidR="009E5527" w:rsidRPr="00CF74B3" w:rsidTr="00AE304E">
        <w:trPr>
          <w:cnfStyle w:val="100000000000" w:firstRow="1" w:lastRow="0" w:firstColumn="0" w:lastColumn="0" w:oddVBand="0" w:evenVBand="0" w:oddHBand="0" w:evenHBand="0" w:firstRowFirstColumn="0" w:firstRowLastColumn="0" w:lastRowFirstColumn="0" w:lastRowLastColumn="0"/>
          <w:cantSplit/>
        </w:trPr>
        <w:tc>
          <w:tcPr>
            <w:tcW w:w="1242" w:type="dxa"/>
          </w:tcPr>
          <w:p w:rsidR="009E5527" w:rsidRPr="00CF74B3" w:rsidRDefault="009E5527" w:rsidP="00CF74B3">
            <w:pPr>
              <w:rPr>
                <w:sz w:val="20"/>
                <w:szCs w:val="20"/>
              </w:rPr>
            </w:pPr>
            <w:r w:rsidRPr="00CF74B3">
              <w:rPr>
                <w:sz w:val="20"/>
                <w:szCs w:val="20"/>
              </w:rPr>
              <w:t>Study</w:t>
            </w:r>
          </w:p>
        </w:tc>
        <w:tc>
          <w:tcPr>
            <w:tcW w:w="4586" w:type="dxa"/>
          </w:tcPr>
          <w:p w:rsidR="009E5527" w:rsidRPr="00CF74B3" w:rsidRDefault="009E5527" w:rsidP="00CF74B3">
            <w:pPr>
              <w:rPr>
                <w:sz w:val="20"/>
                <w:szCs w:val="20"/>
              </w:rPr>
            </w:pPr>
            <w:r w:rsidRPr="00CF74B3">
              <w:rPr>
                <w:sz w:val="20"/>
                <w:szCs w:val="20"/>
              </w:rPr>
              <w:t>Population</w:t>
            </w:r>
          </w:p>
        </w:tc>
        <w:tc>
          <w:tcPr>
            <w:tcW w:w="0" w:type="auto"/>
          </w:tcPr>
          <w:p w:rsidR="009E5527" w:rsidRPr="00CF74B3" w:rsidRDefault="009E5527" w:rsidP="00CF74B3">
            <w:pPr>
              <w:rPr>
                <w:sz w:val="20"/>
                <w:szCs w:val="20"/>
              </w:rPr>
            </w:pPr>
            <w:r w:rsidRPr="00CF74B3">
              <w:rPr>
                <w:sz w:val="20"/>
                <w:szCs w:val="20"/>
              </w:rPr>
              <w:t>Duration</w:t>
            </w:r>
          </w:p>
        </w:tc>
        <w:tc>
          <w:tcPr>
            <w:tcW w:w="0" w:type="auto"/>
          </w:tcPr>
          <w:p w:rsidR="009E5527" w:rsidRPr="00CF74B3" w:rsidRDefault="009E5527" w:rsidP="00CF74B3">
            <w:pPr>
              <w:rPr>
                <w:sz w:val="20"/>
                <w:szCs w:val="20"/>
              </w:rPr>
            </w:pPr>
            <w:r w:rsidRPr="00CF74B3">
              <w:rPr>
                <w:sz w:val="20"/>
                <w:szCs w:val="20"/>
              </w:rPr>
              <w:t>Report due</w:t>
            </w:r>
          </w:p>
        </w:tc>
      </w:tr>
      <w:tr w:rsidR="009E5527" w:rsidRPr="00CF74B3" w:rsidTr="00AE304E">
        <w:tc>
          <w:tcPr>
            <w:tcW w:w="1242" w:type="dxa"/>
          </w:tcPr>
          <w:p w:rsidR="009E5527" w:rsidRPr="00CF74B3" w:rsidRDefault="009E5527" w:rsidP="00CF74B3">
            <w:pPr>
              <w:rPr>
                <w:sz w:val="20"/>
                <w:szCs w:val="20"/>
              </w:rPr>
            </w:pPr>
            <w:r w:rsidRPr="00CF74B3">
              <w:rPr>
                <w:sz w:val="20"/>
                <w:szCs w:val="20"/>
              </w:rPr>
              <w:t>M11-328</w:t>
            </w:r>
          </w:p>
        </w:tc>
        <w:tc>
          <w:tcPr>
            <w:tcW w:w="4586" w:type="dxa"/>
          </w:tcPr>
          <w:p w:rsidR="009E5527" w:rsidRPr="00CF74B3" w:rsidRDefault="009E5527" w:rsidP="00CF74B3">
            <w:pPr>
              <w:rPr>
                <w:sz w:val="20"/>
                <w:szCs w:val="20"/>
              </w:rPr>
            </w:pPr>
            <w:r w:rsidRPr="00CF74B3">
              <w:rPr>
                <w:sz w:val="20"/>
                <w:szCs w:val="20"/>
              </w:rPr>
              <w:t>Pediatric ERA</w:t>
            </w:r>
          </w:p>
        </w:tc>
        <w:tc>
          <w:tcPr>
            <w:tcW w:w="0" w:type="auto"/>
          </w:tcPr>
          <w:p w:rsidR="009E5527" w:rsidRPr="00CF74B3" w:rsidRDefault="009E5527" w:rsidP="00CF74B3">
            <w:pPr>
              <w:rPr>
                <w:sz w:val="20"/>
                <w:szCs w:val="20"/>
              </w:rPr>
            </w:pPr>
            <w:r w:rsidRPr="00CF74B3">
              <w:rPr>
                <w:sz w:val="20"/>
                <w:szCs w:val="20"/>
              </w:rPr>
              <w:t>Up to 204 weeks</w:t>
            </w:r>
          </w:p>
        </w:tc>
        <w:tc>
          <w:tcPr>
            <w:tcW w:w="0" w:type="auto"/>
          </w:tcPr>
          <w:p w:rsidR="009E5527" w:rsidRPr="00CF74B3" w:rsidRDefault="009E5527" w:rsidP="00CF74B3">
            <w:pPr>
              <w:rPr>
                <w:sz w:val="20"/>
                <w:szCs w:val="20"/>
              </w:rPr>
            </w:pPr>
            <w:r w:rsidRPr="00CF74B3">
              <w:rPr>
                <w:sz w:val="20"/>
                <w:szCs w:val="20"/>
              </w:rPr>
              <w:t>September 2016</w:t>
            </w:r>
          </w:p>
        </w:tc>
      </w:tr>
      <w:tr w:rsidR="009E5527" w:rsidRPr="00CF74B3" w:rsidTr="00AE304E">
        <w:tc>
          <w:tcPr>
            <w:tcW w:w="1242" w:type="dxa"/>
          </w:tcPr>
          <w:p w:rsidR="009E5527" w:rsidRPr="00CF74B3" w:rsidRDefault="009E5527" w:rsidP="00CF74B3">
            <w:pPr>
              <w:rPr>
                <w:sz w:val="20"/>
                <w:szCs w:val="20"/>
              </w:rPr>
            </w:pPr>
            <w:r w:rsidRPr="00CF74B3">
              <w:rPr>
                <w:sz w:val="20"/>
                <w:szCs w:val="20"/>
              </w:rPr>
              <w:t>P11-292</w:t>
            </w:r>
          </w:p>
        </w:tc>
        <w:tc>
          <w:tcPr>
            <w:tcW w:w="4586" w:type="dxa"/>
          </w:tcPr>
          <w:p w:rsidR="009E5527" w:rsidRPr="00CF74B3" w:rsidRDefault="009E5527" w:rsidP="00CF74B3">
            <w:pPr>
              <w:rPr>
                <w:sz w:val="20"/>
                <w:szCs w:val="20"/>
              </w:rPr>
            </w:pPr>
            <w:r w:rsidRPr="00CF74B3">
              <w:rPr>
                <w:sz w:val="20"/>
                <w:szCs w:val="20"/>
              </w:rPr>
              <w:t>Paediatric Crohn’s registry</w:t>
            </w:r>
          </w:p>
        </w:tc>
        <w:tc>
          <w:tcPr>
            <w:tcW w:w="0" w:type="auto"/>
          </w:tcPr>
          <w:p w:rsidR="009E5527" w:rsidRPr="00CF74B3" w:rsidRDefault="009E5527" w:rsidP="00CF74B3">
            <w:pPr>
              <w:rPr>
                <w:sz w:val="20"/>
                <w:szCs w:val="20"/>
              </w:rPr>
            </w:pPr>
            <w:r w:rsidRPr="00CF74B3">
              <w:rPr>
                <w:sz w:val="20"/>
                <w:szCs w:val="20"/>
              </w:rPr>
              <w:t>10 years</w:t>
            </w:r>
          </w:p>
        </w:tc>
        <w:tc>
          <w:tcPr>
            <w:tcW w:w="0" w:type="auto"/>
          </w:tcPr>
          <w:p w:rsidR="009E5527" w:rsidRPr="00CF74B3" w:rsidRDefault="009E5527" w:rsidP="00CF74B3">
            <w:pPr>
              <w:rPr>
                <w:sz w:val="20"/>
                <w:szCs w:val="20"/>
              </w:rPr>
            </w:pPr>
            <w:r w:rsidRPr="00CF74B3">
              <w:rPr>
                <w:sz w:val="20"/>
                <w:szCs w:val="20"/>
              </w:rPr>
              <w:t>August 2023</w:t>
            </w:r>
          </w:p>
        </w:tc>
      </w:tr>
      <w:tr w:rsidR="009E5527" w:rsidRPr="00CF74B3" w:rsidTr="00AE304E">
        <w:tc>
          <w:tcPr>
            <w:tcW w:w="1242" w:type="dxa"/>
          </w:tcPr>
          <w:p w:rsidR="009E5527" w:rsidRPr="00CF74B3" w:rsidRDefault="009E5527" w:rsidP="00CF74B3">
            <w:pPr>
              <w:rPr>
                <w:sz w:val="20"/>
                <w:szCs w:val="20"/>
              </w:rPr>
            </w:pPr>
            <w:r w:rsidRPr="00CF74B3">
              <w:rPr>
                <w:sz w:val="20"/>
                <w:szCs w:val="20"/>
              </w:rPr>
              <w:t>M04-717</w:t>
            </w:r>
          </w:p>
        </w:tc>
        <w:tc>
          <w:tcPr>
            <w:tcW w:w="4586" w:type="dxa"/>
          </w:tcPr>
          <w:p w:rsidR="009E5527" w:rsidRPr="00CF74B3" w:rsidRDefault="009E5527" w:rsidP="00CF74B3">
            <w:pPr>
              <w:rPr>
                <w:sz w:val="20"/>
                <w:szCs w:val="20"/>
              </w:rPr>
            </w:pPr>
            <w:r w:rsidRPr="00CF74B3">
              <w:rPr>
                <w:sz w:val="20"/>
                <w:szCs w:val="20"/>
              </w:rPr>
              <w:t>Paediatric Psoriasis</w:t>
            </w:r>
          </w:p>
        </w:tc>
        <w:tc>
          <w:tcPr>
            <w:tcW w:w="0" w:type="auto"/>
          </w:tcPr>
          <w:p w:rsidR="009E5527" w:rsidRPr="00CF74B3" w:rsidRDefault="009E5527" w:rsidP="00CF74B3">
            <w:pPr>
              <w:rPr>
                <w:sz w:val="20"/>
                <w:szCs w:val="20"/>
              </w:rPr>
            </w:pPr>
            <w:r w:rsidRPr="00CF74B3">
              <w:rPr>
                <w:sz w:val="20"/>
                <w:szCs w:val="20"/>
              </w:rPr>
              <w:t>52 weeks</w:t>
            </w:r>
          </w:p>
        </w:tc>
        <w:tc>
          <w:tcPr>
            <w:tcW w:w="0" w:type="auto"/>
          </w:tcPr>
          <w:p w:rsidR="009E5527" w:rsidRPr="00CF74B3" w:rsidRDefault="009E5527" w:rsidP="00CF74B3">
            <w:pPr>
              <w:rPr>
                <w:sz w:val="20"/>
                <w:szCs w:val="20"/>
              </w:rPr>
            </w:pPr>
          </w:p>
        </w:tc>
      </w:tr>
      <w:tr w:rsidR="009E5527" w:rsidRPr="00CF74B3" w:rsidTr="00AE304E">
        <w:tc>
          <w:tcPr>
            <w:tcW w:w="1242" w:type="dxa"/>
          </w:tcPr>
          <w:p w:rsidR="009E5527" w:rsidRPr="00CF74B3" w:rsidRDefault="009E5527" w:rsidP="00CF74B3">
            <w:pPr>
              <w:rPr>
                <w:sz w:val="20"/>
                <w:szCs w:val="20"/>
              </w:rPr>
            </w:pPr>
            <w:r w:rsidRPr="00CF74B3">
              <w:rPr>
                <w:sz w:val="20"/>
                <w:szCs w:val="20"/>
              </w:rPr>
              <w:t>P10-</w:t>
            </w:r>
            <w:r w:rsidRPr="00CF74B3">
              <w:rPr>
                <w:sz w:val="20"/>
                <w:szCs w:val="20"/>
              </w:rPr>
              <w:lastRenderedPageBreak/>
              <w:t>262</w:t>
            </w:r>
          </w:p>
        </w:tc>
        <w:tc>
          <w:tcPr>
            <w:tcW w:w="4586" w:type="dxa"/>
          </w:tcPr>
          <w:p w:rsidR="009E5527" w:rsidRPr="00CF74B3" w:rsidRDefault="009E5527" w:rsidP="00CF74B3">
            <w:pPr>
              <w:rPr>
                <w:sz w:val="20"/>
                <w:szCs w:val="20"/>
              </w:rPr>
            </w:pPr>
            <w:r w:rsidRPr="00CF74B3">
              <w:rPr>
                <w:sz w:val="20"/>
                <w:szCs w:val="20"/>
              </w:rPr>
              <w:lastRenderedPageBreak/>
              <w:t xml:space="preserve">Multicentre longitudinal observational post </w:t>
            </w:r>
            <w:r w:rsidRPr="00CF74B3">
              <w:rPr>
                <w:sz w:val="20"/>
                <w:szCs w:val="20"/>
              </w:rPr>
              <w:lastRenderedPageBreak/>
              <w:t>marketing study. Planned 800. US and EU</w:t>
            </w:r>
          </w:p>
        </w:tc>
        <w:tc>
          <w:tcPr>
            <w:tcW w:w="0" w:type="auto"/>
          </w:tcPr>
          <w:p w:rsidR="009E5527" w:rsidRPr="00CF74B3" w:rsidRDefault="009E5527" w:rsidP="00CF74B3">
            <w:pPr>
              <w:rPr>
                <w:sz w:val="20"/>
                <w:szCs w:val="20"/>
              </w:rPr>
            </w:pPr>
            <w:r w:rsidRPr="00CF74B3">
              <w:rPr>
                <w:sz w:val="20"/>
                <w:szCs w:val="20"/>
              </w:rPr>
              <w:lastRenderedPageBreak/>
              <w:t>10 years</w:t>
            </w:r>
          </w:p>
        </w:tc>
        <w:tc>
          <w:tcPr>
            <w:tcW w:w="0" w:type="auto"/>
          </w:tcPr>
          <w:p w:rsidR="009E5527" w:rsidRPr="00CF74B3" w:rsidRDefault="009E5527" w:rsidP="00CF74B3">
            <w:pPr>
              <w:rPr>
                <w:sz w:val="20"/>
                <w:szCs w:val="20"/>
              </w:rPr>
            </w:pPr>
          </w:p>
        </w:tc>
      </w:tr>
    </w:tbl>
    <w:p w:rsidR="008E7846" w:rsidRDefault="00AA0ED0" w:rsidP="00A134B0">
      <w:pPr>
        <w:pStyle w:val="Heading4"/>
      </w:pPr>
      <w:bookmarkStart w:id="150" w:name="_Toc247691531"/>
      <w:bookmarkStart w:id="151" w:name="_Toc314842515"/>
      <w:bookmarkStart w:id="152" w:name="_Toc196046505"/>
      <w:bookmarkStart w:id="153" w:name="_Toc196046949"/>
      <w:r>
        <w:lastRenderedPageBreak/>
        <w:t>Risk-benefit a</w:t>
      </w:r>
      <w:r w:rsidR="008E7846">
        <w:t>nalysis</w:t>
      </w:r>
      <w:bookmarkEnd w:id="150"/>
      <w:bookmarkEnd w:id="151"/>
    </w:p>
    <w:p w:rsidR="009E5527" w:rsidRDefault="009E5527" w:rsidP="00A134B0">
      <w:pPr>
        <w:pStyle w:val="Heading5"/>
      </w:pPr>
      <w:r>
        <w:t>PK and dosing</w:t>
      </w:r>
    </w:p>
    <w:p w:rsidR="009E5527" w:rsidRPr="00A134B0" w:rsidRDefault="009E5527" w:rsidP="009E5527">
      <w:pPr>
        <w:spacing w:before="0" w:after="0" w:line="240" w:lineRule="auto"/>
      </w:pPr>
      <w:r>
        <w:rPr>
          <w:rFonts w:asciiTheme="minorHAnsi" w:hAnsiTheme="minorHAnsi"/>
        </w:rPr>
        <w:t xml:space="preserve">The </w:t>
      </w:r>
      <w:r w:rsidRPr="00A134B0">
        <w:t>PK parameters in ERA are similar to that observed in adult RA and paediatric p JIA. The dosing regime</w:t>
      </w:r>
      <w:r w:rsidR="00A134B0" w:rsidRPr="00A134B0">
        <w:t>n</w:t>
      </w:r>
      <w:r w:rsidRPr="00A134B0">
        <w:t xml:space="preserve"> based on weight showed comparable adalimumab exposure to that observed with dosing per BSA and has been previously accepted for the p</w:t>
      </w:r>
      <w:r w:rsidR="0036531C">
        <w:t>olyarticular</w:t>
      </w:r>
      <w:r w:rsidRPr="00A134B0">
        <w:t xml:space="preserve"> JIA indication. The trough concentration of adalimumab also varies with concomitant treatment with methotrexate. There is no dose adjustment with methotrexate recommended for other indications. This is therefore appropriate for this indication.</w:t>
      </w:r>
    </w:p>
    <w:p w:rsidR="009E5527" w:rsidRDefault="009E5527" w:rsidP="00A134B0">
      <w:pPr>
        <w:pStyle w:val="Heading5"/>
      </w:pPr>
      <w:r>
        <w:t>Efficacy in ERA</w:t>
      </w:r>
    </w:p>
    <w:p w:rsidR="00D24962" w:rsidRDefault="009E5527" w:rsidP="00A134B0">
      <w:pPr>
        <w:pStyle w:val="ListBullet"/>
      </w:pPr>
      <w:r>
        <w:t>T</w:t>
      </w:r>
      <w:r w:rsidRPr="00AA539E">
        <w:t xml:space="preserve">he study was designed according to </w:t>
      </w:r>
      <w:r>
        <w:t>EMA guidelines and showed efficacy of the primary endpoint</w:t>
      </w:r>
      <w:r w:rsidR="00D24962">
        <w:t>.</w:t>
      </w:r>
    </w:p>
    <w:p w:rsidR="009E5527" w:rsidRDefault="009E5527" w:rsidP="00A134B0">
      <w:pPr>
        <w:pStyle w:val="ListBullet"/>
      </w:pPr>
      <w:r>
        <w:t>Secondary endpoints were not statistically significant but the study may not have been powered to demonstrate this</w:t>
      </w:r>
    </w:p>
    <w:p w:rsidR="009E5527" w:rsidRPr="00AA539E" w:rsidRDefault="009E5527" w:rsidP="00A134B0">
      <w:pPr>
        <w:pStyle w:val="ListBullet"/>
      </w:pPr>
      <w:r>
        <w:t>There were some children who did not respond- around 30% of children did not achieve ACR Pedi30 or 50 and 45% did not achieve an ACR Pedi70.</w:t>
      </w:r>
    </w:p>
    <w:p w:rsidR="009E5527" w:rsidRDefault="009E5527" w:rsidP="00A134B0">
      <w:pPr>
        <w:pStyle w:val="Heading5"/>
      </w:pPr>
      <w:r>
        <w:t>Safety in children</w:t>
      </w:r>
    </w:p>
    <w:p w:rsidR="009E5527" w:rsidRPr="00AA539E" w:rsidRDefault="009E5527" w:rsidP="00A134B0">
      <w:pPr>
        <w:pStyle w:val="ListBullet"/>
      </w:pPr>
      <w:r w:rsidRPr="00AA539E">
        <w:t>AE as noted for adults</w:t>
      </w:r>
    </w:p>
    <w:p w:rsidR="009E5527" w:rsidRPr="00AA539E" w:rsidRDefault="009E5527" w:rsidP="00A134B0">
      <w:pPr>
        <w:pStyle w:val="ListBullet"/>
      </w:pPr>
      <w:r w:rsidRPr="00AA539E">
        <w:t>Long term safety is limited but active PV is proposed</w:t>
      </w:r>
    </w:p>
    <w:p w:rsidR="009E5527" w:rsidRDefault="009E5527" w:rsidP="00A134B0">
      <w:pPr>
        <w:pStyle w:val="Heading5"/>
      </w:pPr>
      <w:r>
        <w:t>Unknown factors</w:t>
      </w:r>
    </w:p>
    <w:p w:rsidR="009E5527" w:rsidRDefault="009E5527" w:rsidP="00A134B0">
      <w:r>
        <w:t>The optimal duration of therapy and safety of long term therapy is unknown.</w:t>
      </w:r>
    </w:p>
    <w:p w:rsidR="009E5527" w:rsidRPr="005C6902" w:rsidRDefault="009E5527" w:rsidP="00A134B0">
      <w:pPr>
        <w:pStyle w:val="Heading5"/>
      </w:pPr>
      <w:r w:rsidRPr="005C6902">
        <w:t>Benefit-</w:t>
      </w:r>
      <w:r w:rsidR="00CF74B3">
        <w:t>r</w:t>
      </w:r>
      <w:r w:rsidRPr="005C6902">
        <w:t>isk balance</w:t>
      </w:r>
    </w:p>
    <w:p w:rsidR="009E5527" w:rsidRDefault="009E5527" w:rsidP="00A134B0">
      <w:r>
        <w:t>The study submitted by the sponsor showed a positive benefit-risk ratio in the population studied under clinical trial setting.</w:t>
      </w:r>
    </w:p>
    <w:p w:rsidR="00D24962" w:rsidRDefault="009E5527" w:rsidP="00A134B0">
      <w:r>
        <w:t>There are clinical benefits in early and effective control of JIA in children. Some children with JIA</w:t>
      </w:r>
      <w:r w:rsidR="00A134B0">
        <w:t xml:space="preserve"> may not fit easily into a well-</w:t>
      </w:r>
      <w:r>
        <w:t>defined subgroup, and others may cross over subgroups with time.</w:t>
      </w:r>
      <w:r w:rsidR="00184B82">
        <w:t xml:space="preserve"> </w:t>
      </w:r>
      <w:r>
        <w:t>It</w:t>
      </w:r>
      <w:r w:rsidR="00184B82">
        <w:t xml:space="preserve"> </w:t>
      </w:r>
      <w:r>
        <w:t>is possible that some patients with the clinical criteria for ERA may have been misclassified</w:t>
      </w:r>
      <w:r w:rsidR="00A134B0">
        <w:t>;</w:t>
      </w:r>
      <w:r>
        <w:t xml:space="preserve"> some patients may not respond to adalimumab and some patients may enter remission spontaneous. It is important not to expose these groups to long term treatment as the risks of therapy are likely to outweigh the benefits. The </w:t>
      </w:r>
      <w:r w:rsidR="00A134B0">
        <w:t>D</w:t>
      </w:r>
      <w:r>
        <w:t>elegate proposes some amendments to the PI to mitigate the risk of prolonged exposure in these groups</w:t>
      </w:r>
      <w:r w:rsidR="00D24962">
        <w:t>.</w:t>
      </w:r>
    </w:p>
    <w:p w:rsidR="009E5527" w:rsidRDefault="009E5527" w:rsidP="00CF74B3">
      <w:pPr>
        <w:pStyle w:val="Heading5"/>
        <w:pageBreakBefore/>
      </w:pPr>
      <w:r>
        <w:lastRenderedPageBreak/>
        <w:t>Questions for expert paediatric rheumatologist</w:t>
      </w:r>
    </w:p>
    <w:p w:rsidR="00D24962" w:rsidRDefault="009E5527" w:rsidP="00A134B0">
      <w:pPr>
        <w:pStyle w:val="ListBullet"/>
      </w:pPr>
      <w:r>
        <w:t xml:space="preserve">The studies for ERA in children showed some children did not respond. </w:t>
      </w:r>
      <w:r w:rsidR="00A134B0">
        <w:t>T</w:t>
      </w:r>
      <w:r>
        <w:t>he study duration was for 3 months with up to 52 weeks extension</w:t>
      </w:r>
      <w:r w:rsidR="00A83FB4">
        <w:rPr>
          <w:rStyle w:val="FootnoteReference"/>
        </w:rPr>
        <w:footnoteReference w:id="9"/>
      </w:r>
      <w:r>
        <w:t>. Should there be a stopping rule if there is no response or lack or response?</w:t>
      </w:r>
    </w:p>
    <w:p w:rsidR="009E5527" w:rsidRDefault="009E5527" w:rsidP="00A134B0">
      <w:pPr>
        <w:pStyle w:val="ListBullet"/>
      </w:pPr>
      <w:r>
        <w:t>What is the natural history of ERA? Should there be a break from therapy after 12 months or 24 months to determine if the disease has gone into remission and if ongoing treatment is necessary?</w:t>
      </w:r>
    </w:p>
    <w:p w:rsidR="009E5527" w:rsidRDefault="009E5527" w:rsidP="00A134B0">
      <w:pPr>
        <w:pStyle w:val="Heading5"/>
      </w:pPr>
      <w:r>
        <w:t>Age restrictions</w:t>
      </w:r>
    </w:p>
    <w:p w:rsidR="00D24962" w:rsidRDefault="00A134B0" w:rsidP="009E5527">
      <w:pPr>
        <w:spacing w:before="0" w:after="0" w:line="240" w:lineRule="auto"/>
        <w:rPr>
          <w:rFonts w:asciiTheme="minorHAnsi" w:hAnsiTheme="minorHAnsi"/>
        </w:rPr>
      </w:pPr>
      <w:r>
        <w:rPr>
          <w:rFonts w:asciiTheme="minorHAnsi" w:hAnsiTheme="minorHAnsi"/>
        </w:rPr>
        <w:t>The D</w:t>
      </w:r>
      <w:r w:rsidR="009E5527">
        <w:rPr>
          <w:rFonts w:asciiTheme="minorHAnsi" w:hAnsiTheme="minorHAnsi"/>
        </w:rPr>
        <w:t>elegate notes that there are different age restrictions for different conditions.</w:t>
      </w:r>
      <w:r w:rsidR="00184B82">
        <w:rPr>
          <w:rFonts w:asciiTheme="minorHAnsi" w:hAnsiTheme="minorHAnsi"/>
        </w:rPr>
        <w:t xml:space="preserve"> </w:t>
      </w:r>
      <w:r w:rsidR="009E5527">
        <w:rPr>
          <w:rFonts w:asciiTheme="minorHAnsi" w:hAnsiTheme="minorHAnsi"/>
        </w:rPr>
        <w:t>The PK of adalimumab is similar for different indications. The EMA guidelines consider that, in general, children aged 2</w:t>
      </w:r>
      <w:r>
        <w:rPr>
          <w:rFonts w:asciiTheme="minorHAnsi" w:hAnsiTheme="minorHAnsi"/>
        </w:rPr>
        <w:t xml:space="preserve"> to </w:t>
      </w:r>
      <w:r w:rsidR="009E5527">
        <w:rPr>
          <w:rFonts w:asciiTheme="minorHAnsi" w:hAnsiTheme="minorHAnsi"/>
        </w:rPr>
        <w:t>11 years can be considered together when considering pharmacokinetic parameters.</w:t>
      </w:r>
      <w:r w:rsidR="00184B82">
        <w:rPr>
          <w:rFonts w:asciiTheme="minorHAnsi" w:hAnsiTheme="minorHAnsi"/>
        </w:rPr>
        <w:t xml:space="preserve"> </w:t>
      </w:r>
      <w:r w:rsidR="009E5527">
        <w:rPr>
          <w:rFonts w:asciiTheme="minorHAnsi" w:hAnsiTheme="minorHAnsi"/>
        </w:rPr>
        <w:t>The current different age restrictions seem to have arisen based on the age of children in the clinical trials. Is this necessary? The use of drugs in children aged &lt; 6 years is likely to be small, but to restrict their use to older children potentially limits their access to this medication and limits the post market pharmacovigilance activities in this age group</w:t>
      </w:r>
      <w:r w:rsidR="00D24962">
        <w:rPr>
          <w:rFonts w:asciiTheme="minorHAnsi" w:hAnsiTheme="minorHAnsi"/>
        </w:rPr>
        <w:t>.</w:t>
      </w:r>
    </w:p>
    <w:p w:rsidR="009E5527" w:rsidRPr="00E500EE" w:rsidRDefault="009E5527" w:rsidP="00A134B0">
      <w:pPr>
        <w:pStyle w:val="Heading5"/>
      </w:pPr>
      <w:r w:rsidRPr="00E500EE">
        <w:t>Conditions of registration</w:t>
      </w:r>
    </w:p>
    <w:p w:rsidR="009E5527" w:rsidRPr="00A134B0" w:rsidRDefault="009E5527" w:rsidP="00A134B0">
      <w:pPr>
        <w:pStyle w:val="Numberbullet0"/>
        <w:numPr>
          <w:ilvl w:val="0"/>
          <w:numId w:val="33"/>
        </w:numPr>
        <w:rPr>
          <w:i/>
        </w:rPr>
      </w:pPr>
      <w:r w:rsidRPr="00A134B0">
        <w:rPr>
          <w:i/>
        </w:rPr>
        <w:t>The European Risk Management Plan for H</w:t>
      </w:r>
      <w:r w:rsidR="00A83FB4">
        <w:rPr>
          <w:i/>
        </w:rPr>
        <w:t>umira</w:t>
      </w:r>
      <w:r w:rsidRPr="00A134B0">
        <w:rPr>
          <w:i/>
        </w:rPr>
        <w:t xml:space="preserve"> (Version 11.3.1, dated June 2015), as qualified by the Australian Specific Annex (Version 5.1, dated December 2015), must be implemented.</w:t>
      </w:r>
    </w:p>
    <w:p w:rsidR="009E5527" w:rsidRPr="009E5527" w:rsidRDefault="009E5527" w:rsidP="00A134B0">
      <w:pPr>
        <w:pStyle w:val="Numberbullet0"/>
      </w:pPr>
      <w:r w:rsidRPr="00A134B0">
        <w:rPr>
          <w:i/>
        </w:rPr>
        <w:t>Submit long term paediatric safety studies for evaluation as a category 1 application</w:t>
      </w:r>
      <w:r>
        <w:t>.</w:t>
      </w:r>
    </w:p>
    <w:p w:rsidR="00D24962" w:rsidRDefault="00D23139" w:rsidP="00D23139">
      <w:pPr>
        <w:pStyle w:val="Heading4"/>
      </w:pPr>
      <w:r w:rsidRPr="00D23139">
        <w:t>Delegate’s considerations</w:t>
      </w:r>
    </w:p>
    <w:p w:rsidR="00A134B0" w:rsidRDefault="00A134B0" w:rsidP="00A134B0">
      <w:r w:rsidRPr="00C80339">
        <w:rPr>
          <w:rFonts w:asciiTheme="minorHAnsi" w:hAnsiTheme="minorHAnsi"/>
          <w:b/>
        </w:rPr>
        <w:t xml:space="preserve">Summary of </w:t>
      </w:r>
      <w:r w:rsidR="00CF74B3">
        <w:rPr>
          <w:rFonts w:asciiTheme="minorHAnsi" w:hAnsiTheme="minorHAnsi"/>
          <w:b/>
        </w:rPr>
        <w:t>i</w:t>
      </w:r>
      <w:r w:rsidRPr="00C80339">
        <w:rPr>
          <w:rFonts w:asciiTheme="minorHAnsi" w:hAnsiTheme="minorHAnsi"/>
          <w:b/>
        </w:rPr>
        <w:t>ssues</w:t>
      </w:r>
    </w:p>
    <w:p w:rsidR="00A134B0" w:rsidRDefault="00A134B0" w:rsidP="00A134B0">
      <w:pPr>
        <w:pStyle w:val="ListBullet"/>
      </w:pPr>
      <w:r>
        <w:t>JIA is a clinical diagnosis. The subtypes are defined by phenotype. There is no clear pathophysiology, treatment response or prognosis within each category and patients can fall between the groups</w:t>
      </w:r>
    </w:p>
    <w:p w:rsidR="00A134B0" w:rsidRDefault="00A134B0" w:rsidP="00A134B0">
      <w:pPr>
        <w:pStyle w:val="ListBullet"/>
      </w:pPr>
      <w:r>
        <w:t>Some children with JIA will enter remission spontaneously</w:t>
      </w:r>
    </w:p>
    <w:p w:rsidR="00A134B0" w:rsidRDefault="00A134B0" w:rsidP="00A134B0">
      <w:pPr>
        <w:pStyle w:val="ListBullet"/>
      </w:pPr>
      <w:r>
        <w:t>The clinical study in children for ERA showed efficacy for the primary endpoint but was underpowered for the secondary endpoints. However it is probably reasonable for some extrapolation between the known efficacy in related adult disorders (RA, AS, PsA)</w:t>
      </w:r>
    </w:p>
    <w:p w:rsidR="00A134B0" w:rsidRPr="00A134B0" w:rsidRDefault="00A134B0" w:rsidP="00A134B0">
      <w:pPr>
        <w:pStyle w:val="ListBullet"/>
      </w:pPr>
      <w:r>
        <w:t>Long term safety in children unknown but there are a number of active pharmacovigilance activities. It is reasonable to extrapolate safety in children between paediatric indications</w:t>
      </w:r>
    </w:p>
    <w:p w:rsidR="00D23139" w:rsidRDefault="00D23139" w:rsidP="00A134B0">
      <w:pPr>
        <w:pStyle w:val="Heading5"/>
      </w:pPr>
      <w:r w:rsidRPr="00D23139">
        <w:t>Proposed action</w:t>
      </w:r>
    </w:p>
    <w:p w:rsidR="009E5527" w:rsidRPr="009E5527" w:rsidRDefault="00A134B0" w:rsidP="009E5527">
      <w:r>
        <w:t>The Delegate</w:t>
      </w:r>
      <w:r w:rsidR="009E5527" w:rsidRPr="009E5527">
        <w:t xml:space="preserve"> ha</w:t>
      </w:r>
      <w:r>
        <w:t>d</w:t>
      </w:r>
      <w:r w:rsidR="009E5527" w:rsidRPr="009E5527">
        <w:t xml:space="preserve"> no reason to say, at this time, that the application for Adalimumab should not be approved for registration to treat enthesitis related arthritis in children</w:t>
      </w:r>
    </w:p>
    <w:p w:rsidR="00D23139" w:rsidRDefault="00D23139" w:rsidP="00A134B0">
      <w:pPr>
        <w:pStyle w:val="Heading5"/>
      </w:pPr>
      <w:r w:rsidRPr="00D23139">
        <w:t>Request for ACPM advice</w:t>
      </w:r>
    </w:p>
    <w:p w:rsidR="009E5527" w:rsidRDefault="009E5527" w:rsidP="00A134B0">
      <w:pPr>
        <w:pStyle w:val="ListBullet"/>
      </w:pPr>
      <w:r>
        <w:t>Should there be a stopping rule for patients who do not respond?</w:t>
      </w:r>
    </w:p>
    <w:p w:rsidR="009E5527" w:rsidRDefault="009E5527" w:rsidP="00A134B0">
      <w:pPr>
        <w:pStyle w:val="ListBullet"/>
      </w:pPr>
      <w:r>
        <w:lastRenderedPageBreak/>
        <w:t>Should prescription be limited to paediatric rheumatologists or immunologists to ensure patients are accurately diagnosed and monitored</w:t>
      </w:r>
    </w:p>
    <w:p w:rsidR="009E5527" w:rsidRDefault="009E5527" w:rsidP="00A134B0">
      <w:pPr>
        <w:pStyle w:val="ListBullet"/>
      </w:pPr>
      <w:r>
        <w:t>Does there need to be different age restrictions for different indications?</w:t>
      </w:r>
    </w:p>
    <w:p w:rsidR="009E5527" w:rsidRPr="009E5527" w:rsidRDefault="009E5527" w:rsidP="00A134B0">
      <w:pPr>
        <w:pStyle w:val="ListBullet"/>
      </w:pPr>
      <w:r w:rsidRPr="00C80339">
        <w:t xml:space="preserve">The committee is </w:t>
      </w:r>
      <w:r>
        <w:t>(</w:t>
      </w:r>
      <w:r w:rsidRPr="00C80339">
        <w:t>also</w:t>
      </w:r>
      <w:r>
        <w:t>)</w:t>
      </w:r>
      <w:r w:rsidRPr="00C80339">
        <w:t xml:space="preserve"> requested to provide advice on any other issues that it thinks may be relevant to a decision on whether or not to approve this application.</w:t>
      </w:r>
    </w:p>
    <w:p w:rsidR="00796DB0" w:rsidRDefault="00796DB0" w:rsidP="00A134B0">
      <w:pPr>
        <w:pStyle w:val="Heading3"/>
      </w:pPr>
      <w:bookmarkStart w:id="154" w:name="_Toc479772069"/>
      <w:r>
        <w:t>Delegate</w:t>
      </w:r>
      <w:r w:rsidR="00767DDC">
        <w:t xml:space="preserve"> 2</w:t>
      </w:r>
      <w:r w:rsidR="00894045">
        <w:t>:</w:t>
      </w:r>
      <w:r w:rsidR="00767DDC">
        <w:t xml:space="preserve"> P</w:t>
      </w:r>
      <w:r w:rsidRPr="00796DB0">
        <w:t>aediatric psoriasis indication</w:t>
      </w:r>
      <w:bookmarkEnd w:id="154"/>
    </w:p>
    <w:p w:rsidR="00796DB0" w:rsidRPr="00F04B0E" w:rsidRDefault="00796DB0" w:rsidP="00A134B0">
      <w:pPr>
        <w:pStyle w:val="Heading4"/>
      </w:pPr>
      <w:r w:rsidRPr="00F04B0E">
        <w:t>Pharmacokinetics</w:t>
      </w:r>
    </w:p>
    <w:p w:rsidR="00796DB0" w:rsidRPr="00F04B0E" w:rsidRDefault="00796DB0" w:rsidP="00314B62">
      <w:r>
        <w:t>In the pivotal study for psoriasis in a paediatric population PK sampling was taken throughout the study and used in the PopPK analysis described</w:t>
      </w:r>
      <w:r w:rsidR="00767DDC">
        <w:t>.</w:t>
      </w:r>
      <w:r w:rsidR="00184B82">
        <w:t xml:space="preserve"> </w:t>
      </w:r>
      <w:r w:rsidR="00314B62">
        <w:t>At W</w:t>
      </w:r>
      <w:r>
        <w:t>eek 11, f</w:t>
      </w:r>
      <w:r w:rsidRPr="00F04B0E">
        <w:t xml:space="preserve">ollowing the administration of 0.8 mg/kg (up to a maximum of 40 mg) </w:t>
      </w:r>
      <w:r w:rsidR="00314B62">
        <w:t>SC</w:t>
      </w:r>
      <w:r w:rsidRPr="00F04B0E">
        <w:t xml:space="preserve"> fortnightly to paediatric patients </w:t>
      </w:r>
      <w:r>
        <w:t xml:space="preserve">(n=36) </w:t>
      </w:r>
      <w:r w:rsidRPr="00F04B0E">
        <w:t xml:space="preserve">with chronic plaque psoriasis, the mean ± SD steady-state adalimumab trough concentration (measured at Week 11) was approximately 7.4 </w:t>
      </w:r>
      <w:r w:rsidR="00314B62">
        <w:t>±</w:t>
      </w:r>
      <w:r w:rsidRPr="00F04B0E">
        <w:t xml:space="preserve"> 5.8 </w:t>
      </w:r>
      <w:r>
        <w:t>micrograms</w:t>
      </w:r>
      <w:r w:rsidRPr="00F04B0E">
        <w:t>/mL (79% CV).</w:t>
      </w:r>
    </w:p>
    <w:p w:rsidR="00796DB0" w:rsidRDefault="00796DB0" w:rsidP="00314B62">
      <w:pPr>
        <w:pStyle w:val="Heading4"/>
      </w:pPr>
      <w:r w:rsidRPr="003F08CF">
        <w:t>Efficacy</w:t>
      </w:r>
    </w:p>
    <w:p w:rsidR="00D24962" w:rsidRDefault="00796DB0" w:rsidP="00314B62">
      <w:r>
        <w:t>The proposed indication was supported by a single clinical trial.</w:t>
      </w:r>
      <w:r w:rsidR="00184B82">
        <w:t xml:space="preserve"> </w:t>
      </w:r>
      <w:r w:rsidRPr="00A15361">
        <w:t xml:space="preserve">Study M04-717 </w:t>
      </w:r>
      <w:r>
        <w:t xml:space="preserve">was </w:t>
      </w:r>
      <w:r w:rsidRPr="00A15361">
        <w:t xml:space="preserve">a Phase </w:t>
      </w:r>
      <w:r w:rsidR="00314B62">
        <w:t>III</w:t>
      </w:r>
      <w:r w:rsidRPr="00A15361">
        <w:t xml:space="preserve">, </w:t>
      </w:r>
      <w:r w:rsidR="003C3B4F">
        <w:t>double blind</w:t>
      </w:r>
      <w:r w:rsidRPr="00A15361">
        <w:t xml:space="preserve">, double-dummy trial </w:t>
      </w:r>
      <w:r>
        <w:t>with</w:t>
      </w:r>
      <w:r w:rsidRPr="00A15361">
        <w:t xml:space="preserve"> a screening period of up to 30 days, followed by a multi-period study design which is summarised </w:t>
      </w:r>
      <w:r w:rsidR="00314B62">
        <w:t xml:space="preserve">the Extract from the </w:t>
      </w:r>
      <w:r w:rsidR="008D0767">
        <w:t>Clinical Evaluation Report (</w:t>
      </w:r>
      <w:r>
        <w:t>CER</w:t>
      </w:r>
      <w:r w:rsidR="008D0767">
        <w:t>)</w:t>
      </w:r>
      <w:r w:rsidR="00314B62">
        <w:t>, Attachment 2</w:t>
      </w:r>
      <w:r w:rsidR="00D24962">
        <w:t>.</w:t>
      </w:r>
    </w:p>
    <w:p w:rsidR="00D24962" w:rsidRDefault="00796DB0" w:rsidP="00314B62">
      <w:r>
        <w:t>A total of 114 subjects aged from 6 to 17 years with severe chronic plaque psoriasis stable for at least 2 months were randomised to ADA or methotrexate (MTX).</w:t>
      </w:r>
      <w:r w:rsidR="00184B82">
        <w:t xml:space="preserve"> </w:t>
      </w:r>
      <w:r w:rsidRPr="00715289">
        <w:t xml:space="preserve">Subjects randomised to ADA (either dose) were to receive a single SC loading dose of 0.8 or 0.4 mg/kg (up to a maximum dose of 40 mg) at baseline followed by a dose every fortnight starting at </w:t>
      </w:r>
      <w:r w:rsidR="00314B62">
        <w:t>W</w:t>
      </w:r>
      <w:r w:rsidRPr="00715289">
        <w:t>eek 1. Subjects randomised to MTX were to receive an oral loading dose of MTX 0.1 mg/kg (up to a maximum dose of 7.5 mg) followed by a weekly maintenance dose of oral MTX of 0.4 mg/kg (up to a maximum of 25 mg/week, unless tolerability issues arose)</w:t>
      </w:r>
      <w:r w:rsidR="00D24962">
        <w:t>.</w:t>
      </w:r>
    </w:p>
    <w:p w:rsidR="00D24962" w:rsidRDefault="00796DB0" w:rsidP="00314B62">
      <w:r>
        <w:t>Subjects</w:t>
      </w:r>
      <w:r w:rsidRPr="00715289">
        <w:t xml:space="preserve"> were to have failed topical therapy; failed to respond, be intolerant or contra-indicated to heliotherapy (if &lt;</w:t>
      </w:r>
      <w:r w:rsidR="00314B62">
        <w:t xml:space="preserve"> </w:t>
      </w:r>
      <w:r w:rsidRPr="00715289">
        <w:t>12 years) or phototherapy (if &gt;</w:t>
      </w:r>
      <w:r w:rsidR="00314B62">
        <w:t xml:space="preserve"> </w:t>
      </w:r>
      <w:r w:rsidRPr="00715289">
        <w:t>12 years) as well as be candidates for systemic treatment with at least 1 of the following:</w:t>
      </w:r>
    </w:p>
    <w:p w:rsidR="00796DB0" w:rsidRPr="00715289" w:rsidRDefault="00796DB0" w:rsidP="00314B62">
      <w:pPr>
        <w:pStyle w:val="ListBullet"/>
      </w:pPr>
      <w:r w:rsidRPr="00715289">
        <w:t>PGA score of &gt;4,</w:t>
      </w:r>
    </w:p>
    <w:p w:rsidR="00796DB0" w:rsidRPr="00715289" w:rsidRDefault="00796DB0" w:rsidP="00314B62">
      <w:pPr>
        <w:pStyle w:val="ListBullet"/>
      </w:pPr>
      <w:r w:rsidRPr="00715289">
        <w:t>Body Surface Area (BSA) involvement &gt;20%,</w:t>
      </w:r>
    </w:p>
    <w:p w:rsidR="00796DB0" w:rsidRPr="00715289" w:rsidRDefault="00796DB0" w:rsidP="00314B62">
      <w:pPr>
        <w:pStyle w:val="ListBullet"/>
      </w:pPr>
      <w:r w:rsidRPr="00715289">
        <w:t>Very thick PSOR lesions with BSA &gt;10%,</w:t>
      </w:r>
    </w:p>
    <w:p w:rsidR="00796DB0" w:rsidRPr="00715289" w:rsidRDefault="00796DB0" w:rsidP="00314B62">
      <w:pPr>
        <w:pStyle w:val="ListBullet"/>
      </w:pPr>
      <w:r w:rsidRPr="00715289">
        <w:t>PASI score &gt;20, or</w:t>
      </w:r>
    </w:p>
    <w:p w:rsidR="00796DB0" w:rsidRPr="00715289" w:rsidRDefault="00796DB0" w:rsidP="00314B62">
      <w:pPr>
        <w:pStyle w:val="ListBullet"/>
      </w:pPr>
      <w:r w:rsidRPr="00715289">
        <w:t>PASI score &gt;10 and at least 1 of the following: active psoriatic arthritis unresponsive to NSAID; clinically relevant facial, genital or hand/foot involvement; or CDLQI score &gt;10.</w:t>
      </w:r>
    </w:p>
    <w:p w:rsidR="00D24962" w:rsidRDefault="00796DB0" w:rsidP="00314B62">
      <w:r>
        <w:t>The study had 4 treatment periods.</w:t>
      </w:r>
      <w:r w:rsidR="00184B82">
        <w:t xml:space="preserve"> </w:t>
      </w:r>
      <w:r w:rsidRPr="00A15361">
        <w:t xml:space="preserve">The primary treatment period of 16 weeks (Period A) </w:t>
      </w:r>
      <w:r>
        <w:t xml:space="preserve">was </w:t>
      </w:r>
      <w:r w:rsidRPr="00A15361">
        <w:t xml:space="preserve">followed by a withdrawal phase (Period B) of up to 36 weeks in responder </w:t>
      </w:r>
      <w:r>
        <w:t>subjects</w:t>
      </w:r>
      <w:r w:rsidRPr="00A15361">
        <w:t xml:space="preserve"> from Period A, then a re-treatment period</w:t>
      </w:r>
      <w:r>
        <w:t xml:space="preserve"> of 16 weeks</w:t>
      </w:r>
      <w:r w:rsidRPr="00A15361">
        <w:t xml:space="preserve"> (Period C) for </w:t>
      </w:r>
      <w:r>
        <w:t xml:space="preserve">responder </w:t>
      </w:r>
      <w:r w:rsidRPr="00A15361">
        <w:t xml:space="preserve">subjects </w:t>
      </w:r>
      <w:r>
        <w:t xml:space="preserve">from Period A </w:t>
      </w:r>
      <w:r w:rsidRPr="00A15361">
        <w:t xml:space="preserve">who received ADA because of </w:t>
      </w:r>
      <w:r>
        <w:t>psoriasis</w:t>
      </w:r>
      <w:r w:rsidRPr="00A15361">
        <w:t xml:space="preserve"> relapse. Th</w:t>
      </w:r>
      <w:r>
        <w:t xml:space="preserve">is was followed by </w:t>
      </w:r>
      <w:r w:rsidRPr="00A15361">
        <w:t xml:space="preserve">a </w:t>
      </w:r>
      <w:r>
        <w:t>52</w:t>
      </w:r>
      <w:r w:rsidR="00314B62">
        <w:t xml:space="preserve"> </w:t>
      </w:r>
      <w:r>
        <w:t>week</w:t>
      </w:r>
      <w:r w:rsidRPr="00A15361">
        <w:t xml:space="preserve"> follow-up phase (Period D) for all subjects, regardless of continuing treatment</w:t>
      </w:r>
      <w:r>
        <w:t xml:space="preserve"> and response in Period A</w:t>
      </w:r>
      <w:r w:rsidR="00D24962">
        <w:t>.</w:t>
      </w:r>
    </w:p>
    <w:p w:rsidR="00796DB0" w:rsidRDefault="00796DB0" w:rsidP="00314B62">
      <w:r w:rsidRPr="002F63DD">
        <w:t xml:space="preserve">In </w:t>
      </w:r>
      <w:r>
        <w:t>Period D</w:t>
      </w:r>
      <w:r w:rsidRPr="002F63DD">
        <w:t xml:space="preserve">, ADA was to be administered as either 0.8 mg/kg (up to a maximum of 40 mg per dose) or 0.4 mg/kg (up to a maximum of 20 mg per dose). Subjects who entered </w:t>
      </w:r>
      <w:r w:rsidRPr="002F63DD">
        <w:lastRenderedPageBreak/>
        <w:t>Period D from Period A were to receive OL fortnightly injections of ADA 0.8 mg/kg (up to a maximum of 40 mg per dose)</w:t>
      </w:r>
      <w:r>
        <w:t xml:space="preserve"> if they experienced a loss of disease control</w:t>
      </w:r>
      <w:r w:rsidRPr="002F63DD">
        <w:t>. Subjects who entered Period D from Period C were to receive blinded fortnightly injections of ADA at the same dose they received in Period C (either 0.4 or 0.8 mg/kg). Subjects entering from Period C who developed a loss of disease control in Period D were to receive OL ADA at a fortnightly dose of 0.8 mg/kg (up to a maximum of 40 mg per dose). The ADA dose schedule in Period D involved fortnightly injections commencing at baseline</w:t>
      </w:r>
      <w:r>
        <w:t xml:space="preserve"> for Period D</w:t>
      </w:r>
      <w:r w:rsidRPr="002F63DD">
        <w:t xml:space="preserve"> (week 0) and continuing up to and including </w:t>
      </w:r>
      <w:r w:rsidR="00314B62">
        <w:t>W</w:t>
      </w:r>
      <w:r w:rsidRPr="002F63DD">
        <w:t>eek 50.</w:t>
      </w:r>
    </w:p>
    <w:p w:rsidR="00796DB0" w:rsidRPr="001129A4" w:rsidRDefault="00796DB0" w:rsidP="00314B62">
      <w:r w:rsidRPr="001129A4">
        <w:t>The primary efficacy endpoints were:</w:t>
      </w:r>
    </w:p>
    <w:p w:rsidR="00796DB0" w:rsidRPr="002F63DD" w:rsidRDefault="00796DB0" w:rsidP="00314B62">
      <w:pPr>
        <w:pStyle w:val="ListBullet"/>
      </w:pPr>
      <w:r w:rsidRPr="002F63DD">
        <w:t xml:space="preserve">The proportion of subjects achieving a </w:t>
      </w:r>
      <w:r w:rsidR="00314B62">
        <w:t>≥</w:t>
      </w:r>
      <w:r w:rsidRPr="002F63DD">
        <w:t xml:space="preserve"> PASI 75 response at Week 16, adalimumab</w:t>
      </w:r>
      <w:r w:rsidR="00314B62">
        <w:t xml:space="preserve"> </w:t>
      </w:r>
      <w:r w:rsidRPr="002F63DD">
        <w:t>0.8 mg/kg versus MTX.</w:t>
      </w:r>
    </w:p>
    <w:p w:rsidR="00796DB0" w:rsidRPr="002F63DD" w:rsidRDefault="00796DB0" w:rsidP="00314B62">
      <w:pPr>
        <w:pStyle w:val="ListBullet"/>
      </w:pPr>
      <w:r w:rsidRPr="002F63DD">
        <w:t>The proportion of subjects achieving a PGA 0,</w:t>
      </w:r>
      <w:r w:rsidR="00054259">
        <w:t xml:space="preserve"> </w:t>
      </w:r>
      <w:r w:rsidRPr="002F63DD">
        <w:t>1</w:t>
      </w:r>
      <w:r w:rsidR="00314B62">
        <w:t xml:space="preserve"> </w:t>
      </w:r>
      <w:r w:rsidRPr="002F63DD">
        <w:t>(cleared or minimal) at Week 16, adalimumab 0.8 mg/kg versus MTX.</w:t>
      </w:r>
    </w:p>
    <w:p w:rsidR="00796DB0" w:rsidRPr="002F63DD" w:rsidRDefault="00796DB0" w:rsidP="00314B62">
      <w:r w:rsidRPr="002F63DD">
        <w:t>The a priori defined order of the statistical hypotheses was:</w:t>
      </w:r>
    </w:p>
    <w:p w:rsidR="00796DB0" w:rsidRPr="002F63DD" w:rsidRDefault="00796DB0" w:rsidP="00314B62">
      <w:pPr>
        <w:pStyle w:val="Numberbullet0"/>
        <w:numPr>
          <w:ilvl w:val="0"/>
          <w:numId w:val="34"/>
        </w:numPr>
      </w:pPr>
      <w:r w:rsidRPr="002F63DD">
        <w:t>Superiority of adalimumab 0.8 mg/kg versus MTX, regarding the proportion of subjects achieving a</w:t>
      </w:r>
      <w:r>
        <w:t xml:space="preserve"> </w:t>
      </w:r>
      <w:r w:rsidRPr="002F63DD">
        <w:t>PASI 75 response at Week 16</w:t>
      </w:r>
      <w:r>
        <w:t xml:space="preserve"> in Period A</w:t>
      </w:r>
      <w:r w:rsidRPr="002F63DD">
        <w:t>;</w:t>
      </w:r>
    </w:p>
    <w:p w:rsidR="00796DB0" w:rsidRDefault="00796DB0" w:rsidP="00314B62">
      <w:pPr>
        <w:pStyle w:val="Numberbullet0"/>
        <w:numPr>
          <w:ilvl w:val="0"/>
          <w:numId w:val="34"/>
        </w:numPr>
      </w:pPr>
      <w:r w:rsidRPr="002F63DD">
        <w:t>Superiority of adalimumab 0.8 mg/kg versus MTX, regarding the proportion of subjects achieving a</w:t>
      </w:r>
      <w:r>
        <w:t xml:space="preserve"> </w:t>
      </w:r>
      <w:r w:rsidRPr="002F63DD">
        <w:t>PGA 0,</w:t>
      </w:r>
      <w:r w:rsidR="00054259">
        <w:t xml:space="preserve"> </w:t>
      </w:r>
      <w:r w:rsidRPr="002F63DD">
        <w:t>1 (clear or minimal) at Week 16</w:t>
      </w:r>
      <w:r>
        <w:t xml:space="preserve"> in Period A</w:t>
      </w:r>
      <w:r w:rsidRPr="002F63DD">
        <w:t>.</w:t>
      </w:r>
    </w:p>
    <w:p w:rsidR="003B61A0" w:rsidRDefault="00796DB0" w:rsidP="00314B62">
      <w:r w:rsidRPr="00111C58">
        <w:t>The PASI is an assessment of 4 anatomic sites (head, upper extremities, trunk, and lower extremities) for erythema, induration, and desquamation using a scale of zero (the best evaluation, no symptoms) to four (the worst evaluation, very marked). The extent of lesions in a given area is assigned a numerical v</w:t>
      </w:r>
      <w:r w:rsidR="00314B62">
        <w:t xml:space="preserve">alue from one (&lt;10%) to six (90 to </w:t>
      </w:r>
      <w:r w:rsidRPr="00111C58">
        <w:t>100%). The PASI score is then calculated from a weighted average based on the % of BSA of the anatomic site (head, 10%; upper extremities, 20%; trunk, 30%; and lower extremities, 40%). The PASI score has a range from 0 (no disease) to 72 (maximal disease) and responses can be based on at least 50%, 75%, 90% and 100% improvement in scores from baseline.</w:t>
      </w:r>
      <w:r w:rsidR="00184B82">
        <w:t xml:space="preserve"> </w:t>
      </w:r>
      <w:r w:rsidRPr="001129A4">
        <w:t xml:space="preserve">The PGA of </w:t>
      </w:r>
      <w:r>
        <w:t>psoriasis</w:t>
      </w:r>
      <w:r w:rsidRPr="001129A4">
        <w:t xml:space="preserve"> </w:t>
      </w:r>
      <w:r>
        <w:t>wa</w:t>
      </w:r>
      <w:r w:rsidRPr="001129A4">
        <w:t xml:space="preserve">s a </w:t>
      </w:r>
      <w:r w:rsidR="00B060A6">
        <w:t>7</w:t>
      </w:r>
      <w:r w:rsidR="00314B62">
        <w:t xml:space="preserve"> </w:t>
      </w:r>
      <w:r w:rsidRPr="001129A4">
        <w:t xml:space="preserve">point scale ranging from clear (=0) and almost clear (=1) to severe (=6). </w:t>
      </w:r>
      <w:r>
        <w:t xml:space="preserve">There were a large number of secondary efficacy measures as listed in </w:t>
      </w:r>
      <w:r w:rsidR="00314B62">
        <w:t>Attachment 2</w:t>
      </w:r>
      <w:r>
        <w:t>.</w:t>
      </w:r>
    </w:p>
    <w:p w:rsidR="00796DB0" w:rsidRPr="002F63DD" w:rsidRDefault="00796DB0" w:rsidP="00314B62">
      <w:r>
        <w:t xml:space="preserve">A total of 114 subjects were randomised to treatment with </w:t>
      </w:r>
      <w:r w:rsidRPr="001129A4">
        <w:t>39</w:t>
      </w:r>
      <w:r>
        <w:t xml:space="preserve"> receiving </w:t>
      </w:r>
      <w:r w:rsidRPr="001129A4">
        <w:t xml:space="preserve">ADA 0.4 mg/kg, 38 </w:t>
      </w:r>
      <w:r>
        <w:t>receiving</w:t>
      </w:r>
      <w:r w:rsidR="00184B82">
        <w:t xml:space="preserve"> </w:t>
      </w:r>
      <w:r w:rsidRPr="001129A4">
        <w:t>ADA 0.8 mg/kg</w:t>
      </w:r>
      <w:r>
        <w:t xml:space="preserve"> and </w:t>
      </w:r>
      <w:r w:rsidRPr="001129A4">
        <w:t xml:space="preserve">37 </w:t>
      </w:r>
      <w:r>
        <w:t>receiving</w:t>
      </w:r>
      <w:r w:rsidR="00184B82">
        <w:t xml:space="preserve"> </w:t>
      </w:r>
      <w:r w:rsidRPr="001129A4">
        <w:t>MTX.</w:t>
      </w:r>
      <w:r w:rsidR="00184B82">
        <w:t xml:space="preserve"> </w:t>
      </w:r>
      <w:r w:rsidRPr="001129A4">
        <w:t>At the date of data cut-off for the submitted interim study report (2 December 2013), 69 of the 114 subjects (60.5%) had completed the trial through to the end of Period D, 21 patients were ongoing in Period D and 24 subjects had discontinued from the study (including 18 patients who withdrew during Period D).</w:t>
      </w:r>
    </w:p>
    <w:p w:rsidR="00D24962" w:rsidRDefault="00796DB0" w:rsidP="00314B62">
      <w:r w:rsidRPr="001129A4">
        <w:t xml:space="preserve">The mean age </w:t>
      </w:r>
      <w:r>
        <w:t xml:space="preserve">at enrolment </w:t>
      </w:r>
      <w:r w:rsidRPr="001129A4">
        <w:t>was 13.0 years with 6 patients (5.3% of 114) aged 4-6 years (all of whom received ADA 0.4 mg/kg), 19 subjects (16.7% of 114) aged &gt;6 to 9 years, 21 patients (18.4% of 114) aged &gt;9 to 12 years, 31 subjects (27.2% of 114) aged &gt;12 to 15 years and 37 subjects (32.5% of 114) aged &gt;15 years</w:t>
      </w:r>
      <w:r w:rsidR="00D24962">
        <w:t>.</w:t>
      </w:r>
    </w:p>
    <w:p w:rsidR="00796DB0" w:rsidRPr="001129A4" w:rsidRDefault="00796DB0" w:rsidP="008D0767">
      <w:r w:rsidRPr="001129A4">
        <w:t>The youngest subject randomised to ADA 0.8 mg/kg was 6 years of age at enrolment.</w:t>
      </w:r>
      <w:r w:rsidR="00184B82">
        <w:t xml:space="preserve"> </w:t>
      </w:r>
      <w:r>
        <w:t>Baseline disease severity measures are shown in Table 17 in the CER.</w:t>
      </w:r>
      <w:r w:rsidR="00184B82">
        <w:t xml:space="preserve"> </w:t>
      </w:r>
      <w:r>
        <w:t xml:space="preserve">At baseline the mean PASI across the treatment groups </w:t>
      </w:r>
      <w:r w:rsidRPr="001843CB">
        <w:t xml:space="preserve">was 18.3 </w:t>
      </w:r>
      <w:r>
        <w:t>and mean BSA (baseline skin area) with psoriasis was 27.9%, consistent with severe psoriasis.</w:t>
      </w:r>
    </w:p>
    <w:p w:rsidR="00796DB0" w:rsidRPr="00993CB5" w:rsidRDefault="00796DB0" w:rsidP="008D0767">
      <w:pPr>
        <w:rPr>
          <w:rFonts w:asciiTheme="minorHAnsi" w:hAnsiTheme="minorHAnsi"/>
        </w:rPr>
      </w:pPr>
      <w:r>
        <w:rPr>
          <w:rFonts w:asciiTheme="minorHAnsi" w:hAnsiTheme="minorHAnsi"/>
        </w:rPr>
        <w:t xml:space="preserve">A </w:t>
      </w:r>
      <w:r w:rsidRPr="00872E1B">
        <w:rPr>
          <w:rFonts w:asciiTheme="minorHAnsi" w:hAnsiTheme="minorHAnsi"/>
        </w:rPr>
        <w:t xml:space="preserve">PASI 75 </w:t>
      </w:r>
      <w:r>
        <w:rPr>
          <w:rFonts w:asciiTheme="minorHAnsi" w:hAnsiTheme="minorHAnsi"/>
        </w:rPr>
        <w:t xml:space="preserve">at Week 16 was achieved </w:t>
      </w:r>
      <w:r w:rsidRPr="00993CB5">
        <w:rPr>
          <w:rFonts w:asciiTheme="minorHAnsi" w:hAnsiTheme="minorHAnsi"/>
        </w:rPr>
        <w:t>(using the ITT dataset and Non-responder imputation)</w:t>
      </w:r>
      <w:r>
        <w:rPr>
          <w:rFonts w:asciiTheme="minorHAnsi" w:hAnsiTheme="minorHAnsi"/>
        </w:rPr>
        <w:t xml:space="preserve"> by</w:t>
      </w:r>
      <w:r w:rsidRPr="00993CB5">
        <w:rPr>
          <w:rFonts w:asciiTheme="minorHAnsi" w:hAnsiTheme="minorHAnsi"/>
        </w:rPr>
        <w:t xml:space="preserve"> 22/38 (57.9%) subjects given</w:t>
      </w:r>
      <w:r w:rsidR="00184B82">
        <w:rPr>
          <w:rFonts w:asciiTheme="minorHAnsi" w:hAnsiTheme="minorHAnsi"/>
        </w:rPr>
        <w:t xml:space="preserve"> </w:t>
      </w:r>
      <w:r w:rsidRPr="00993CB5">
        <w:rPr>
          <w:rFonts w:asciiTheme="minorHAnsi" w:hAnsiTheme="minorHAnsi"/>
        </w:rPr>
        <w:t>ADA 0.8 mg/kg group, 17/39 (43.6%) given ADA 0.4 mg/kg and 12/37 (32.4%) given MTX</w:t>
      </w:r>
      <w:r>
        <w:rPr>
          <w:rFonts w:asciiTheme="minorHAnsi" w:hAnsiTheme="minorHAnsi"/>
        </w:rPr>
        <w:t>.</w:t>
      </w:r>
      <w:r w:rsidR="00184B82">
        <w:rPr>
          <w:rFonts w:asciiTheme="minorHAnsi" w:hAnsiTheme="minorHAnsi"/>
        </w:rPr>
        <w:t xml:space="preserve"> </w:t>
      </w:r>
      <w:r w:rsidRPr="00993CB5">
        <w:rPr>
          <w:rFonts w:asciiTheme="minorHAnsi" w:hAnsiTheme="minorHAnsi"/>
        </w:rPr>
        <w:t xml:space="preserve">The 25.5% treatment related difference between ADA 0.8 mg/kg and MTX was clinically and statistically significant </w:t>
      </w:r>
      <w:r w:rsidR="00054259" w:rsidRPr="00993CB5">
        <w:rPr>
          <w:rFonts w:asciiTheme="minorHAnsi" w:hAnsiTheme="minorHAnsi"/>
        </w:rPr>
        <w:t>(p</w:t>
      </w:r>
      <w:r w:rsidRPr="00993CB5">
        <w:rPr>
          <w:rFonts w:asciiTheme="minorHAnsi" w:hAnsiTheme="minorHAnsi"/>
        </w:rPr>
        <w:t xml:space="preserve"> = 0.027</w:t>
      </w:r>
      <w:r w:rsidR="00054259" w:rsidRPr="00993CB5">
        <w:rPr>
          <w:rFonts w:asciiTheme="minorHAnsi" w:hAnsiTheme="minorHAnsi"/>
        </w:rPr>
        <w:t>; chi</w:t>
      </w:r>
      <w:r w:rsidRPr="00993CB5">
        <w:rPr>
          <w:rFonts w:asciiTheme="minorHAnsi" w:hAnsiTheme="minorHAnsi"/>
        </w:rPr>
        <w:t>-square test).</w:t>
      </w:r>
      <w:r w:rsidR="00184B82">
        <w:rPr>
          <w:rFonts w:asciiTheme="minorHAnsi" w:hAnsiTheme="minorHAnsi"/>
        </w:rPr>
        <w:t xml:space="preserve"> </w:t>
      </w:r>
      <w:r>
        <w:rPr>
          <w:rFonts w:asciiTheme="minorHAnsi" w:hAnsiTheme="minorHAnsi"/>
        </w:rPr>
        <w:t xml:space="preserve">A PGA of 0 or 1 was achieved at Week 16 by 23/38 (60.5%) subjects given ADA 0.8 </w:t>
      </w:r>
      <w:r>
        <w:rPr>
          <w:rFonts w:asciiTheme="minorHAnsi" w:hAnsiTheme="minorHAnsi"/>
        </w:rPr>
        <w:lastRenderedPageBreak/>
        <w:t>mg/kg, 16/39 (41.0%) given ADA 0.4 mg/kg and by 15/37 (40.5%) given MTX.</w:t>
      </w:r>
      <w:r w:rsidR="00184B82">
        <w:rPr>
          <w:rFonts w:asciiTheme="minorHAnsi" w:hAnsiTheme="minorHAnsi"/>
        </w:rPr>
        <w:t xml:space="preserve"> </w:t>
      </w:r>
      <w:r>
        <w:rPr>
          <w:rFonts w:asciiTheme="minorHAnsi" w:hAnsiTheme="minorHAnsi"/>
        </w:rPr>
        <w:t>The difference between ADA 0.8 mg/kg and MTX was not statistically significant (p=0.83).</w:t>
      </w:r>
    </w:p>
    <w:p w:rsidR="00D24962" w:rsidRDefault="00796DB0" w:rsidP="008D0767">
      <w:pPr>
        <w:rPr>
          <w:rFonts w:asciiTheme="minorHAnsi" w:hAnsiTheme="minorHAnsi"/>
        </w:rPr>
      </w:pPr>
      <w:r w:rsidRPr="00445129">
        <w:rPr>
          <w:rFonts w:asciiTheme="minorHAnsi" w:hAnsiTheme="minorHAnsi"/>
        </w:rPr>
        <w:t>Subgroup analyses by demographic factors and prior etanercept use were performed and suggested that older subjects and overweight</w:t>
      </w:r>
      <w:r w:rsidR="00184B82">
        <w:rPr>
          <w:rFonts w:asciiTheme="minorHAnsi" w:hAnsiTheme="minorHAnsi"/>
        </w:rPr>
        <w:t xml:space="preserve"> </w:t>
      </w:r>
      <w:r w:rsidRPr="00445129">
        <w:rPr>
          <w:rFonts w:asciiTheme="minorHAnsi" w:hAnsiTheme="minorHAnsi"/>
        </w:rPr>
        <w:t>subjects had larger treatment differences from MTX.</w:t>
      </w:r>
      <w:r w:rsidR="00184B82">
        <w:rPr>
          <w:rFonts w:asciiTheme="minorHAnsi" w:hAnsiTheme="minorHAnsi"/>
        </w:rPr>
        <w:t xml:space="preserve"> </w:t>
      </w:r>
      <w:r>
        <w:rPr>
          <w:rFonts w:asciiTheme="minorHAnsi" w:hAnsiTheme="minorHAnsi"/>
        </w:rPr>
        <w:t xml:space="preserve">Additional efficacy endpoints are discussed in the CER </w:t>
      </w:r>
      <w:r w:rsidR="008D0767">
        <w:rPr>
          <w:rFonts w:asciiTheme="minorHAnsi" w:hAnsiTheme="minorHAnsi"/>
        </w:rPr>
        <w:t xml:space="preserve">(Attachment 2) </w:t>
      </w:r>
      <w:r>
        <w:rPr>
          <w:rFonts w:asciiTheme="minorHAnsi" w:hAnsiTheme="minorHAnsi"/>
        </w:rPr>
        <w:t>however, given the lack of statistical significance for the PGA endpoint none of these subsequent endpoints can be considered as statistically significant</w:t>
      </w:r>
      <w:r w:rsidR="00D24962">
        <w:rPr>
          <w:rFonts w:asciiTheme="minorHAnsi" w:hAnsiTheme="minorHAnsi"/>
        </w:rPr>
        <w:t>.</w:t>
      </w:r>
    </w:p>
    <w:p w:rsidR="00D24962" w:rsidRDefault="00796DB0" w:rsidP="008D0767">
      <w:pPr>
        <w:rPr>
          <w:rFonts w:asciiTheme="minorHAnsi" w:hAnsiTheme="minorHAnsi"/>
        </w:rPr>
      </w:pPr>
      <w:r w:rsidRPr="00C94753">
        <w:rPr>
          <w:rFonts w:asciiTheme="minorHAnsi" w:hAnsiTheme="minorHAnsi"/>
        </w:rPr>
        <w:t xml:space="preserve">Subjects were classified as responders at Week 16 if they had a ≥ PASI 75 </w:t>
      </w:r>
      <w:r w:rsidR="008D0767" w:rsidRPr="008D0767">
        <w:rPr>
          <w:rFonts w:asciiTheme="minorHAnsi" w:hAnsiTheme="minorHAnsi"/>
          <w:i/>
          <w:u w:val="single"/>
        </w:rPr>
        <w:t>or</w:t>
      </w:r>
      <w:r w:rsidRPr="00C94753">
        <w:rPr>
          <w:rFonts w:asciiTheme="minorHAnsi" w:hAnsiTheme="minorHAnsi"/>
        </w:rPr>
        <w:t xml:space="preserve"> a PGA</w:t>
      </w:r>
      <w:r>
        <w:rPr>
          <w:rFonts w:asciiTheme="minorHAnsi" w:hAnsiTheme="minorHAnsi"/>
        </w:rPr>
        <w:t xml:space="preserve"> </w:t>
      </w:r>
      <w:r w:rsidRPr="00C94753">
        <w:rPr>
          <w:rFonts w:asciiTheme="minorHAnsi" w:hAnsiTheme="minorHAnsi"/>
        </w:rPr>
        <w:t>of 0 or 1 (cleared or minimal). This was achieved by 23/38 (60.5%) of subjects given</w:t>
      </w:r>
    </w:p>
    <w:p w:rsidR="00796DB0" w:rsidRDefault="00796DB0" w:rsidP="008D0767">
      <w:pPr>
        <w:rPr>
          <w:rFonts w:asciiTheme="minorHAnsi" w:hAnsiTheme="minorHAnsi"/>
          <w:b/>
        </w:rPr>
      </w:pPr>
      <w:r w:rsidRPr="00C94753">
        <w:rPr>
          <w:rFonts w:asciiTheme="minorHAnsi" w:hAnsiTheme="minorHAnsi"/>
        </w:rPr>
        <w:t>ADA 0.8 mg/</w:t>
      </w:r>
      <w:r w:rsidR="00054259" w:rsidRPr="00C94753">
        <w:rPr>
          <w:rFonts w:asciiTheme="minorHAnsi" w:hAnsiTheme="minorHAnsi"/>
        </w:rPr>
        <w:t>kg,</w:t>
      </w:r>
      <w:r w:rsidRPr="00C94753">
        <w:rPr>
          <w:rFonts w:asciiTheme="minorHAnsi" w:hAnsiTheme="minorHAnsi"/>
        </w:rPr>
        <w:t xml:space="preserve"> 16/39 (41.0%) given ADA 0.4mg/kg and 15/37 (40.5%) given MTX.</w:t>
      </w:r>
      <w:r w:rsidR="00184B82">
        <w:rPr>
          <w:rFonts w:asciiTheme="minorHAnsi" w:hAnsiTheme="minorHAnsi"/>
        </w:rPr>
        <w:t xml:space="preserve"> </w:t>
      </w:r>
      <w:r>
        <w:rPr>
          <w:rFonts w:asciiTheme="minorHAnsi" w:hAnsiTheme="minorHAnsi"/>
        </w:rPr>
        <w:t>A total of 54 subjects were considered to be responders and entered Period B for assessment of loss of disease control,</w:t>
      </w:r>
      <w:r w:rsidRPr="00445129">
        <w:rPr>
          <w:rFonts w:asciiTheme="minorHAnsi" w:hAnsiTheme="minorHAnsi"/>
        </w:rPr>
        <w:t xml:space="preserve"> defined as a worsening of PGA score by at least 2 grades after treatment withdrawal (after week 16 of Period A)</w:t>
      </w:r>
      <w:r>
        <w:rPr>
          <w:rFonts w:asciiTheme="minorHAnsi" w:hAnsiTheme="minorHAnsi"/>
        </w:rPr>
        <w:t>.</w:t>
      </w:r>
      <w:r w:rsidR="00184B82">
        <w:rPr>
          <w:rFonts w:asciiTheme="minorHAnsi" w:hAnsiTheme="minorHAnsi"/>
        </w:rPr>
        <w:t xml:space="preserve"> </w:t>
      </w:r>
      <w:r>
        <w:rPr>
          <w:rFonts w:asciiTheme="minorHAnsi" w:hAnsiTheme="minorHAnsi"/>
        </w:rPr>
        <w:t xml:space="preserve">Loss of disease control in Period B was seen in </w:t>
      </w:r>
      <w:r w:rsidRPr="00445129">
        <w:rPr>
          <w:rFonts w:asciiTheme="minorHAnsi" w:hAnsiTheme="minorHAnsi"/>
        </w:rPr>
        <w:t>19/23 (82.6%) subjects given ADA 0.8 mg/kg in Period A,</w:t>
      </w:r>
      <w:r w:rsidR="00184B82">
        <w:rPr>
          <w:rFonts w:asciiTheme="minorHAnsi" w:hAnsiTheme="minorHAnsi"/>
        </w:rPr>
        <w:t xml:space="preserve"> </w:t>
      </w:r>
      <w:r w:rsidRPr="00445129">
        <w:rPr>
          <w:rFonts w:asciiTheme="minorHAnsi" w:hAnsiTheme="minorHAnsi"/>
        </w:rPr>
        <w:t>12/18 (66.6%) given ADA 0.4 mg/kg in Period A</w:t>
      </w:r>
      <w:r>
        <w:rPr>
          <w:rFonts w:asciiTheme="minorHAnsi" w:hAnsiTheme="minorHAnsi"/>
        </w:rPr>
        <w:t xml:space="preserve"> and 5/8 (62.5%) given MTX in Period A. (</w:t>
      </w:r>
      <w:r w:rsidR="008D0767">
        <w:rPr>
          <w:rFonts w:asciiTheme="minorHAnsi" w:hAnsiTheme="minorHAnsi"/>
        </w:rPr>
        <w:t>see Attachment 2</w:t>
      </w:r>
      <w:r>
        <w:rPr>
          <w:rFonts w:asciiTheme="minorHAnsi" w:hAnsiTheme="minorHAnsi"/>
        </w:rPr>
        <w:t>).</w:t>
      </w:r>
      <w:r w:rsidR="00184B82">
        <w:rPr>
          <w:rFonts w:asciiTheme="minorHAnsi" w:hAnsiTheme="minorHAnsi"/>
        </w:rPr>
        <w:t xml:space="preserve"> </w:t>
      </w:r>
      <w:r>
        <w:rPr>
          <w:rFonts w:asciiTheme="minorHAnsi" w:hAnsiTheme="minorHAnsi"/>
        </w:rPr>
        <w:t>The mean time to loss of disease control following treatment withdrawal was 118 days for subjects given ADA 0.8 mg/kg and 217 days for subjects given ADA 0.4 mg/kg, based on data from 12 subjects given ADA 0.4 mg/kg and 19 subjects given ADA 0.8 mg/kg who had loss of disease control during Period B.</w:t>
      </w:r>
    </w:p>
    <w:p w:rsidR="00D24962" w:rsidRDefault="00796DB0" w:rsidP="008D0767">
      <w:r w:rsidRPr="000D1472">
        <w:t xml:space="preserve">Subjects who experienced a loss of disease control in Period B were to enter Period C for re-treatment. In Period C using the ITT cohort and NRI, 52.6% (10/19) of subjects initially randomised to ADA 0.8 mg/kg </w:t>
      </w:r>
      <w:r w:rsidR="008D0767">
        <w:t>regained a PGA score of 0-1 at W</w:t>
      </w:r>
      <w:r w:rsidRPr="000D1472">
        <w:t>eek 16 in Period C (upon re-treatment with ADA 0.8 mg/kg). This was numerically higher than that observed with re-treatment with ADA 0.4 mg/kg (27.3%; 3/11) but the 28.3% difference in PGA response between the 2 ADA treatment groups did not reach statistical significance (p=0.113)</w:t>
      </w:r>
      <w:r w:rsidR="008D0767">
        <w:t xml:space="preserve"> (Attachment 2)</w:t>
      </w:r>
      <w:r w:rsidRPr="000D1472">
        <w:t>.</w:t>
      </w:r>
      <w:r w:rsidR="00184B82">
        <w:t xml:space="preserve"> </w:t>
      </w:r>
      <w:r w:rsidRPr="000D1472">
        <w:t xml:space="preserve">Of subjects initially randomised to MTX, 5/8 (62.5%) achieved PGA response at </w:t>
      </w:r>
      <w:r w:rsidR="008D0767">
        <w:t>W</w:t>
      </w:r>
      <w:r w:rsidRPr="000D1472">
        <w:t>eek 16 in Period C.</w:t>
      </w:r>
      <w:r w:rsidR="00184B82">
        <w:t xml:space="preserve"> </w:t>
      </w:r>
      <w:r w:rsidRPr="000D1472">
        <w:t>These subjects were re-treated with ADA 0.8 mg/kg in Period C</w:t>
      </w:r>
      <w:r w:rsidR="00D24962">
        <w:t>.</w:t>
      </w:r>
    </w:p>
    <w:p w:rsidR="00D24962" w:rsidRDefault="00796DB0" w:rsidP="008D0767">
      <w:r>
        <w:t xml:space="preserve">Differences in the proportion of subjects achieving a PGA response (0 or 1) were seen within the first 4 weeks of Period A and </w:t>
      </w:r>
      <w:r w:rsidR="008D0767">
        <w:t>were</w:t>
      </w:r>
      <w:r>
        <w:t xml:space="preserve"> presented by </w:t>
      </w:r>
      <w:r w:rsidR="008D0767">
        <w:t>W</w:t>
      </w:r>
      <w:r>
        <w:t xml:space="preserve">eek </w:t>
      </w:r>
      <w:r w:rsidR="008D0767">
        <w:t>(Attachment 2)</w:t>
      </w:r>
      <w:r>
        <w:t>.</w:t>
      </w:r>
      <w:r w:rsidR="00184B82">
        <w:t xml:space="preserve"> </w:t>
      </w:r>
      <w:r>
        <w:t>Given the PGA primary endpoint did not reach statistical significance for the ADA 0.8 mg/kg v</w:t>
      </w:r>
      <w:r w:rsidR="008D0767">
        <w:t>ersu</w:t>
      </w:r>
      <w:r>
        <w:t>s MTX comparison at Week 16 these differences cannot be considered statistically significant</w:t>
      </w:r>
      <w:r w:rsidR="00D24962">
        <w:t>.</w:t>
      </w:r>
    </w:p>
    <w:p w:rsidR="00796DB0" w:rsidRDefault="00796DB0" w:rsidP="008D0767">
      <w:pPr>
        <w:pStyle w:val="Heading5"/>
      </w:pPr>
      <w:r w:rsidRPr="003F08CF">
        <w:t>Discussion</w:t>
      </w:r>
    </w:p>
    <w:p w:rsidR="00796DB0" w:rsidRDefault="00796DB0" w:rsidP="008D0767">
      <w:r w:rsidRPr="000D1472">
        <w:t>The TGA adopted guideline of relevance</w:t>
      </w:r>
      <w:r>
        <w:t xml:space="preserve"> is </w:t>
      </w:r>
      <w:r w:rsidRPr="000D1472">
        <w:t>CHMP/EWP/2454/2004</w:t>
      </w:r>
      <w:r>
        <w:t xml:space="preserve"> </w:t>
      </w:r>
      <w:r w:rsidRPr="000D1472">
        <w:rPr>
          <w:i/>
        </w:rPr>
        <w:t>Guideline on Clinical Investigation of Medicinal Products for the Treatment of Psoriasis</w:t>
      </w:r>
      <w:r>
        <w:t>.</w:t>
      </w:r>
      <w:r w:rsidR="00184B82">
        <w:t xml:space="preserve"> </w:t>
      </w:r>
      <w:r>
        <w:t>The design of Study</w:t>
      </w:r>
      <w:r w:rsidR="00184B82">
        <w:t xml:space="preserve"> </w:t>
      </w:r>
      <w:r w:rsidRPr="000D1472">
        <w:t xml:space="preserve">M04-717 </w:t>
      </w:r>
      <w:r>
        <w:t>was consistent with recommendations in that guideline.</w:t>
      </w:r>
      <w:r w:rsidR="00184B82">
        <w:t xml:space="preserve"> </w:t>
      </w:r>
      <w:r>
        <w:t>While there was no placebo group that would not have been appropriate for severe psoriasis in children.</w:t>
      </w:r>
      <w:r w:rsidR="00184B82">
        <w:t xml:space="preserve"> </w:t>
      </w:r>
      <w:r>
        <w:t>Methotrexate does not have an indication for treatment of psoriasis in children but has been used in adults with severe disease in Australia.</w:t>
      </w:r>
      <w:r w:rsidR="00184B82">
        <w:t xml:space="preserve"> </w:t>
      </w:r>
      <w:r>
        <w:t>Given the lack of alternative systemic treatments for severe disease in children methotrexate is an appropriate comparator, though ideally etanercept would have been used.</w:t>
      </w:r>
    </w:p>
    <w:p w:rsidR="00796DB0" w:rsidRPr="000D1472" w:rsidRDefault="00796DB0" w:rsidP="008D0767">
      <w:r>
        <w:t xml:space="preserve">A clinically and statistically significant difference between oral methotrexate </w:t>
      </w:r>
      <w:r w:rsidRPr="00644A69">
        <w:t>0.4 mg/kg (up to a maximum of 25 mg/week</w:t>
      </w:r>
      <w:r>
        <w:t>)</w:t>
      </w:r>
      <w:r w:rsidRPr="00644A69">
        <w:t xml:space="preserve"> </w:t>
      </w:r>
      <w:r>
        <w:t>and adalimumab 0.8 mg/kg SC fortnightly was demonstrated.</w:t>
      </w:r>
      <w:r w:rsidR="00184B82">
        <w:t xml:space="preserve"> </w:t>
      </w:r>
      <w:r>
        <w:t>The difference between the two treatments became apparent at</w:t>
      </w:r>
      <w:r w:rsidR="00184B82">
        <w:t xml:space="preserve"> </w:t>
      </w:r>
      <w:r>
        <w:t>the first efficacy assessment in Week 4.</w:t>
      </w:r>
    </w:p>
    <w:p w:rsidR="00796DB0" w:rsidRDefault="00796DB0" w:rsidP="008D0767">
      <w:r w:rsidRPr="000D1472">
        <w:t xml:space="preserve">The proportion of subjects achieving a </w:t>
      </w:r>
      <w:r w:rsidR="008D0767">
        <w:t>≥</w:t>
      </w:r>
      <w:r w:rsidRPr="000D1472">
        <w:t xml:space="preserve"> PASI 75 response was the primary efficacy parameter in the adult psoriasis studies for adalimumab and etanercept and is a robust measure of response.</w:t>
      </w:r>
      <w:r w:rsidR="00184B82">
        <w:t xml:space="preserve"> </w:t>
      </w:r>
      <w:r w:rsidRPr="000D1472">
        <w:t xml:space="preserve">The second primary endpoint </w:t>
      </w:r>
      <w:r>
        <w:t xml:space="preserve">in Study M04-717 </w:t>
      </w:r>
      <w:r w:rsidRPr="000D1472">
        <w:t>of clear</w:t>
      </w:r>
      <w:r>
        <w:t xml:space="preserve">ed or minimal </w:t>
      </w:r>
      <w:r w:rsidRPr="000D1472">
        <w:t xml:space="preserve">plaques </w:t>
      </w:r>
      <w:r>
        <w:t>wa</w:t>
      </w:r>
      <w:r w:rsidRPr="000D1472">
        <w:t>s more difficult to achieve</w:t>
      </w:r>
      <w:r>
        <w:t xml:space="preserve"> and statistical significance between ADA</w:t>
      </w:r>
      <w:r w:rsidR="00184B82">
        <w:t xml:space="preserve"> </w:t>
      </w:r>
      <w:r>
        <w:t xml:space="preserve">0.8 </w:t>
      </w:r>
      <w:r>
        <w:lastRenderedPageBreak/>
        <w:t>mg/kg and MTX at 16 weeks was not achieved.</w:t>
      </w:r>
      <w:r w:rsidR="00184B82">
        <w:t xml:space="preserve"> </w:t>
      </w:r>
      <w:r>
        <w:t>From this study it can be anticipated that of children and adolescents with severe plaque psoriasis given ADA 0.8 mg/kg as per the initially proposed dose regimen that about 60% will respond to the extent they will have no or minimal evidence of psoriasis after 16 weeks of fortnightly treatment.</w:t>
      </w:r>
      <w:r w:rsidR="00184B82">
        <w:t xml:space="preserve"> </w:t>
      </w:r>
      <w:r>
        <w:t>On ceasing treatment if relapse occurs within 36 weeks then on re-treatment around half of these relapsed patients are likely to respond to re-treatment.</w:t>
      </w:r>
      <w:r w:rsidR="00184B82">
        <w:t xml:space="preserve"> </w:t>
      </w:r>
      <w:r>
        <w:t>On that basis it is reasonable to approve ADA for the treatment of severe plaque psoriasis in children.</w:t>
      </w:r>
      <w:r w:rsidR="00184B82">
        <w:t xml:space="preserve"> </w:t>
      </w:r>
      <w:r>
        <w:t>It is important that individuals who do not adequately respond or who respond initially but then relapse on treatment do not continue to receive treatment with ADA.</w:t>
      </w:r>
      <w:r w:rsidR="00184B82">
        <w:t xml:space="preserve"> </w:t>
      </w:r>
      <w:r>
        <w:t>A number of individuals will experience worsening of psoriasis on ADA.</w:t>
      </w:r>
      <w:r w:rsidR="00184B82">
        <w:t xml:space="preserve"> </w:t>
      </w:r>
      <w:r>
        <w:t>This is also known to occur in adults.</w:t>
      </w:r>
    </w:p>
    <w:p w:rsidR="00796DB0" w:rsidRDefault="00796DB0" w:rsidP="008D0767">
      <w:r w:rsidRPr="00827978">
        <w:t xml:space="preserve">The sponsor has proposed to align all paediatric treatment indications (pJIA, ERA, PSOR and Crohn’s disease) for ADA with weight based dosing regimens, which is primarily justified on the basis of population PK modelling and simulation, with support from the clinical efficacy and safety data collected in each of the treatment indications. The </w:t>
      </w:r>
      <w:r>
        <w:t xml:space="preserve">clinical evaluator noted that the </w:t>
      </w:r>
      <w:r w:rsidRPr="00827978">
        <w:t>proposal to have a consistent posology across paediatric treatment indications would be advantageous for minimising the risk of dosing errors.</w:t>
      </w:r>
    </w:p>
    <w:p w:rsidR="00796DB0" w:rsidRDefault="00796DB0" w:rsidP="008D0767">
      <w:r>
        <w:t>T</w:t>
      </w:r>
      <w:r w:rsidRPr="00827978">
        <w:t xml:space="preserve">he population PK modelling indicated that the PK of ADA in paediatric subjects over an age range of 4 to 18 years, using weight-based dosing, was similar to that observed in Study M04-717. The simulation results </w:t>
      </w:r>
      <w:r>
        <w:t>suggest</w:t>
      </w:r>
      <w:r w:rsidRPr="00827978">
        <w:t xml:space="preserve"> that the exposure of ADA following weight-based dosing (0.8 mg/kg, up to 40 mg was similar between paediatric subjects of &lt;</w:t>
      </w:r>
      <w:r w:rsidR="002322D9">
        <w:t xml:space="preserve"> </w:t>
      </w:r>
      <w:r w:rsidRPr="00827978">
        <w:t>6 years of age and &gt;</w:t>
      </w:r>
      <w:r w:rsidR="002322D9">
        <w:t xml:space="preserve"> </w:t>
      </w:r>
      <w:r w:rsidRPr="00827978">
        <w:t>6 years of age.</w:t>
      </w:r>
      <w:r w:rsidR="00184B82">
        <w:t xml:space="preserve"> </w:t>
      </w:r>
      <w:r>
        <w:t>There is no objection to this amendment to the dose regimen and it will allow for consistency of paediatric dosing.</w:t>
      </w:r>
    </w:p>
    <w:p w:rsidR="00796DB0" w:rsidRPr="00796DB0" w:rsidRDefault="00796DB0" w:rsidP="008D0767">
      <w:r w:rsidRPr="00A15361">
        <w:t>The clinical evaluator had re</w:t>
      </w:r>
      <w:r>
        <w:t xml:space="preserve">commended </w:t>
      </w:r>
      <w:r w:rsidRPr="00A15361">
        <w:t xml:space="preserve">increasing the age of eligibility of adalimumab for the treatment of plaque psoriasis from 4 years to 6 years due to the absence of assessment of efficacy or safety of </w:t>
      </w:r>
      <w:r>
        <w:t>ADA at the 0.8 mg/kg dose range in the clinical trial.</w:t>
      </w:r>
      <w:r w:rsidR="00184B82">
        <w:t xml:space="preserve"> </w:t>
      </w:r>
      <w:r>
        <w:t>Given this absence of evidence agree that ADA should not be approved for younger children without evidence of safety and efficacy in this patient group.</w:t>
      </w:r>
      <w:r w:rsidR="00184B82">
        <w:t xml:space="preserve"> </w:t>
      </w:r>
      <w:r>
        <w:t>The only other indication in children younger than 6 years that is approved is p</w:t>
      </w:r>
      <w:r w:rsidRPr="00BD5449">
        <w:t xml:space="preserve">olyarticular </w:t>
      </w:r>
      <w:r w:rsidR="002322D9">
        <w:t>JIA</w:t>
      </w:r>
      <w:r>
        <w:t>.</w:t>
      </w:r>
      <w:r w:rsidR="00184B82">
        <w:t xml:space="preserve"> </w:t>
      </w:r>
      <w:r>
        <w:t>ADA has significant risks associated with its use and very limited data in children younger than 6 years of age, all obtained in children with another indication for use.</w:t>
      </w:r>
      <w:r w:rsidR="00184B82">
        <w:t xml:space="preserve"> </w:t>
      </w:r>
      <w:r>
        <w:t>Psoriasis is not a life-threatening condition.</w:t>
      </w:r>
      <w:r w:rsidR="00184B82">
        <w:t xml:space="preserve"> </w:t>
      </w:r>
      <w:r>
        <w:t>ADA in psoriasis should be limited to the population group in which safety and efficacy have been demonstrated.</w:t>
      </w:r>
    </w:p>
    <w:p w:rsidR="00796DB0" w:rsidRDefault="002322D9" w:rsidP="002322D9">
      <w:pPr>
        <w:pStyle w:val="Heading5"/>
      </w:pPr>
      <w:r w:rsidRPr="00C80339">
        <w:t xml:space="preserve">Summary of </w:t>
      </w:r>
      <w:r w:rsidR="00CF74B3">
        <w:t>i</w:t>
      </w:r>
      <w:r w:rsidRPr="00C80339">
        <w:t>ssues</w:t>
      </w:r>
    </w:p>
    <w:p w:rsidR="002322D9" w:rsidRPr="00E00620" w:rsidRDefault="002322D9" w:rsidP="002322D9">
      <w:pPr>
        <w:pStyle w:val="ListBullet"/>
      </w:pPr>
      <w:r w:rsidRPr="00E00620">
        <w:t>The proposed indication includes children aged between 4 and 6 years though no children in this age group with plaque psoriasis received the proposed dose regimen of adalimumab in clinical trials.</w:t>
      </w:r>
    </w:p>
    <w:p w:rsidR="002322D9" w:rsidRPr="00E00620" w:rsidRDefault="002322D9" w:rsidP="002322D9">
      <w:pPr>
        <w:pStyle w:val="ListBullet"/>
      </w:pPr>
      <w:r w:rsidRPr="00E00620">
        <w:t xml:space="preserve">The proposed indication does not limit adalimumab to children and adolescents with severe </w:t>
      </w:r>
      <w:r w:rsidR="00054259" w:rsidRPr="00E00620">
        <w:t>disease;</w:t>
      </w:r>
      <w:r w:rsidRPr="00E00620">
        <w:t xml:space="preserve"> the proposed</w:t>
      </w:r>
      <w:r>
        <w:t xml:space="preserve"> </w:t>
      </w:r>
      <w:r w:rsidRPr="00E00620">
        <w:t xml:space="preserve">limit to patients who are </w:t>
      </w:r>
      <w:r>
        <w:t>‘</w:t>
      </w:r>
      <w:r w:rsidRPr="002322D9">
        <w:rPr>
          <w:i/>
        </w:rPr>
        <w:t>inappropriate candidates for topical therapy and phototherapy</w:t>
      </w:r>
      <w:r>
        <w:t>’</w:t>
      </w:r>
      <w:r w:rsidRPr="00E00620">
        <w:t xml:space="preserve"> is vague and could potentially be very permissively interpreted.</w:t>
      </w:r>
    </w:p>
    <w:p w:rsidR="002322D9" w:rsidRPr="00767DDC" w:rsidRDefault="002322D9" w:rsidP="002322D9">
      <w:pPr>
        <w:pStyle w:val="ListBullet"/>
      </w:pPr>
      <w:r w:rsidRPr="00E00620">
        <w:t>There is no maximum</w:t>
      </w:r>
      <w:r>
        <w:t xml:space="preserve"> </w:t>
      </w:r>
      <w:r w:rsidRPr="00E00620">
        <w:t xml:space="preserve">duration of treatment with adalimumab specified for children </w:t>
      </w:r>
      <w:r w:rsidRPr="00767DDC">
        <w:t>with plaque psoriasis.</w:t>
      </w:r>
    </w:p>
    <w:p w:rsidR="002322D9" w:rsidRPr="00767DDC" w:rsidRDefault="002322D9" w:rsidP="007D2AF6">
      <w:pPr>
        <w:pStyle w:val="Heading4"/>
      </w:pPr>
      <w:r w:rsidRPr="00767DDC">
        <w:t>Advice sought</w:t>
      </w:r>
    </w:p>
    <w:p w:rsidR="002322D9" w:rsidRPr="00767DDC" w:rsidRDefault="002322D9" w:rsidP="002322D9">
      <w:pPr>
        <w:rPr>
          <w:rFonts w:asciiTheme="minorHAnsi" w:hAnsiTheme="minorHAnsi"/>
        </w:rPr>
      </w:pPr>
      <w:r w:rsidRPr="00767DDC">
        <w:t>T</w:t>
      </w:r>
      <w:r w:rsidRPr="00767DDC">
        <w:rPr>
          <w:rFonts w:asciiTheme="minorHAnsi" w:hAnsiTheme="minorHAnsi"/>
        </w:rPr>
        <w:t>he committee is requested to provide advice on the following specific issues:</w:t>
      </w:r>
    </w:p>
    <w:p w:rsidR="002322D9" w:rsidRPr="00767DDC" w:rsidRDefault="002322D9" w:rsidP="002322D9">
      <w:pPr>
        <w:pStyle w:val="Numberbullet0"/>
        <w:numPr>
          <w:ilvl w:val="0"/>
          <w:numId w:val="35"/>
        </w:numPr>
      </w:pPr>
      <w:r w:rsidRPr="00767DDC">
        <w:t>Would it be appropriate to limit the indication to severe plaque psoriasis in children, as defined in the clinical trial supporting this indication?</w:t>
      </w:r>
    </w:p>
    <w:p w:rsidR="002322D9" w:rsidRPr="00767DDC" w:rsidRDefault="002322D9" w:rsidP="002322D9">
      <w:pPr>
        <w:pStyle w:val="Numberbullet0"/>
        <w:numPr>
          <w:ilvl w:val="0"/>
          <w:numId w:val="35"/>
        </w:numPr>
      </w:pPr>
      <w:r w:rsidRPr="00767DDC">
        <w:lastRenderedPageBreak/>
        <w:t>Is it appropriate to increase the age of eligibility for treatment of adalimumab for plaque psoriasis from the proposed 4 years to 6 years based on the patients assessed in the clinical trial supporting this indication?</w:t>
      </w:r>
      <w:r w:rsidRPr="00767DDC">
        <w:tab/>
      </w:r>
    </w:p>
    <w:p w:rsidR="00D24962" w:rsidRDefault="002322D9" w:rsidP="002322D9">
      <w:pPr>
        <w:pStyle w:val="Numberbullet0"/>
        <w:numPr>
          <w:ilvl w:val="0"/>
          <w:numId w:val="35"/>
        </w:numPr>
      </w:pPr>
      <w:r w:rsidRPr="00767DDC">
        <w:t xml:space="preserve">Please comment on the proposed amended indication, which is modelled on that of </w:t>
      </w:r>
      <w:proofErr w:type="spellStart"/>
      <w:r w:rsidRPr="00767DDC">
        <w:t>etanercept</w:t>
      </w:r>
      <w:proofErr w:type="spellEnd"/>
      <w:r w:rsidRPr="00767DDC">
        <w:t xml:space="preserve"> for paediatric psoriasis:</w:t>
      </w:r>
    </w:p>
    <w:p w:rsidR="002322D9" w:rsidRPr="00767DDC" w:rsidRDefault="002322D9" w:rsidP="002322D9">
      <w:pPr>
        <w:ind w:left="567"/>
        <w:rPr>
          <w:i/>
        </w:rPr>
      </w:pPr>
      <w:proofErr w:type="gramStart"/>
      <w:r w:rsidRPr="00767DDC">
        <w:rPr>
          <w:i/>
        </w:rPr>
        <w:t>Chronic, severe plaque psoriasis in children and adolescents from 6 to 17 years, who are inadequately controlled by, or are intolerant to, other systemic therapies or phototherapies.</w:t>
      </w:r>
      <w:proofErr w:type="gramEnd"/>
      <w:r w:rsidRPr="00767DDC">
        <w:rPr>
          <w:i/>
        </w:rPr>
        <w:t xml:space="preserve"> </w:t>
      </w:r>
      <w:proofErr w:type="gramStart"/>
      <w:r w:rsidRPr="00767DDC">
        <w:rPr>
          <w:i/>
        </w:rPr>
        <w:t>Duration of therapy to be no longer than 52 weeks and treatment to be ceased after 16 weeks if a significant PASI response is not achieved.</w:t>
      </w:r>
      <w:proofErr w:type="gramEnd"/>
    </w:p>
    <w:p w:rsidR="002322D9" w:rsidRPr="00767DDC" w:rsidRDefault="002322D9" w:rsidP="002322D9">
      <w:pPr>
        <w:pStyle w:val="Numberbullet0"/>
      </w:pPr>
      <w:r w:rsidRPr="00767DDC">
        <w:t>The committee is also requested to provide advice on any other issues that it thinks may be relevant to a decision on whether or not to approve this application</w:t>
      </w:r>
    </w:p>
    <w:p w:rsidR="002322D9" w:rsidRDefault="002322D9" w:rsidP="00DE278C">
      <w:pPr>
        <w:pStyle w:val="Heading4"/>
      </w:pPr>
      <w:r w:rsidRPr="00767DDC">
        <w:t>Pre ACPM preliminary assessment</w:t>
      </w:r>
    </w:p>
    <w:p w:rsidR="002322D9" w:rsidRPr="002322D9" w:rsidRDefault="002322D9" w:rsidP="002322D9">
      <w:pPr>
        <w:pStyle w:val="ListBullet"/>
        <w:numPr>
          <w:ilvl w:val="0"/>
          <w:numId w:val="0"/>
        </w:numPr>
      </w:pPr>
      <w:r>
        <w:rPr>
          <w:rFonts w:asciiTheme="minorHAnsi" w:hAnsiTheme="minorHAnsi"/>
          <w:bCs/>
        </w:rPr>
        <w:t>The Delegate had</w:t>
      </w:r>
      <w:r w:rsidRPr="00C80339">
        <w:rPr>
          <w:rFonts w:asciiTheme="minorHAnsi" w:hAnsiTheme="minorHAnsi"/>
          <w:bCs/>
        </w:rPr>
        <w:t xml:space="preserve"> no reason to say, at this time, that the application for </w:t>
      </w:r>
      <w:r>
        <w:rPr>
          <w:rFonts w:asciiTheme="minorHAnsi" w:hAnsiTheme="minorHAnsi"/>
          <w:bCs/>
        </w:rPr>
        <w:t>Humira (adalimumab)</w:t>
      </w:r>
      <w:r w:rsidRPr="00C80339">
        <w:rPr>
          <w:rFonts w:asciiTheme="minorHAnsi" w:hAnsiTheme="minorHAnsi"/>
          <w:bCs/>
        </w:rPr>
        <w:t xml:space="preserve"> should not be approved for </w:t>
      </w:r>
      <w:r>
        <w:rPr>
          <w:rFonts w:asciiTheme="minorHAnsi" w:hAnsiTheme="minorHAnsi"/>
          <w:bCs/>
        </w:rPr>
        <w:t>paediatric plaque psoriasis, subject to satisfactory negotiation of the PI.</w:t>
      </w:r>
    </w:p>
    <w:p w:rsidR="00D24962" w:rsidRDefault="00D23139" w:rsidP="00D23139">
      <w:pPr>
        <w:pStyle w:val="Heading4"/>
      </w:pPr>
      <w:r w:rsidRPr="00D23139">
        <w:t xml:space="preserve">Response from </w:t>
      </w:r>
      <w:r w:rsidR="00CF74B3">
        <w:t>s</w:t>
      </w:r>
      <w:r w:rsidRPr="00D23139">
        <w:t>ponsor</w:t>
      </w:r>
    </w:p>
    <w:p w:rsidR="00560B79" w:rsidRDefault="00560B79" w:rsidP="002322D9">
      <w:r>
        <w:t xml:space="preserve">Each </w:t>
      </w:r>
      <w:r w:rsidR="002322D9">
        <w:t>TGA</w:t>
      </w:r>
      <w:r>
        <w:t xml:space="preserve"> question is presented (in </w:t>
      </w:r>
      <w:r>
        <w:rPr>
          <w:b/>
        </w:rPr>
        <w:t>bold</w:t>
      </w:r>
      <w:r>
        <w:t xml:space="preserve">) followed by the response from </w:t>
      </w:r>
      <w:r w:rsidR="002322D9">
        <w:t>the sponsor</w:t>
      </w:r>
      <w:r>
        <w:t xml:space="preserve"> (in regular font).</w:t>
      </w:r>
    </w:p>
    <w:p w:rsidR="00560B79" w:rsidRDefault="00560B79" w:rsidP="002322D9">
      <w:pPr>
        <w:pStyle w:val="Heading4"/>
      </w:pPr>
      <w:r>
        <w:t xml:space="preserve">Paediatric </w:t>
      </w:r>
      <w:proofErr w:type="spellStart"/>
      <w:r w:rsidR="00985004">
        <w:t>enthesitis</w:t>
      </w:r>
      <w:proofErr w:type="spellEnd"/>
      <w:r w:rsidR="00985004">
        <w:t xml:space="preserve">-related arthritis question </w:t>
      </w:r>
      <w:r>
        <w:t>1</w:t>
      </w:r>
    </w:p>
    <w:p w:rsidR="00560B79" w:rsidRDefault="00560B79" w:rsidP="002322D9">
      <w:pPr>
        <w:pStyle w:val="Heading5"/>
      </w:pPr>
      <w:r>
        <w:t>Should there be a stopping rule for patients who do not respond?</w:t>
      </w:r>
    </w:p>
    <w:p w:rsidR="00560B79" w:rsidRDefault="002322D9" w:rsidP="002322D9">
      <w:pPr>
        <w:pStyle w:val="Heading6"/>
      </w:pPr>
      <w:r>
        <w:t xml:space="preserve">Sponsor </w:t>
      </w:r>
      <w:r w:rsidR="00985004">
        <w:t>r</w:t>
      </w:r>
      <w:r>
        <w:t>esponse</w:t>
      </w:r>
    </w:p>
    <w:p w:rsidR="00560B79" w:rsidRDefault="00560B79" w:rsidP="002322D9">
      <w:r>
        <w:t xml:space="preserve">When starting any new therapy for treatment of a chronic rheumatic disease it is standard practice to reassess treatment response after an approximately 3-month period, thus </w:t>
      </w:r>
      <w:r w:rsidR="002322D9">
        <w:t>the sponsor</w:t>
      </w:r>
      <w:r>
        <w:t xml:space="preserve"> supports label</w:t>
      </w:r>
      <w:r w:rsidR="002322D9">
        <w:t>l</w:t>
      </w:r>
      <w:r>
        <w:t>ing language stating that continued therapy should be carefully considered in children with juvenile idiopathic arthritis (JIA) who are not responding by Week 12.</w:t>
      </w:r>
    </w:p>
    <w:p w:rsidR="00560B79" w:rsidRDefault="00560B79" w:rsidP="002322D9">
      <w:r>
        <w:t>In ERA there is no universally accepted definition of remission and no evidence that a break in therapy after any predefined treatment duration would be beneficial to children with this chronic disease and could possibly result in harm. Paediatric ERA is a chronic and debilitating disease with remission occurring in less than 20% of children 5 years after diagnosis and in less than 45% after 15 years. Additionally, the disease course for ERA is usually characterised by worsening and improvements in disease activity of variable degrees and durations, making it difficult to determine if children who attain a state of remission will remain in this state long-term. As a result, decisions regarding treatment duration should be made only in the setting of deliberations and discussions between a treating physician and their patient and/or patient's family which take into consideration factors such as pre-treatment functional level, current disease control status, persistence of disease control, and impact of potential disease flare on the child and their family. Forced drug withdrawal may adversely affect children with ERA with potential to cause pain, abnormalities in growth and development, structural damage, functional impairment, and disability later in life.</w:t>
      </w:r>
    </w:p>
    <w:p w:rsidR="00560B79" w:rsidRDefault="00560B79" w:rsidP="002322D9">
      <w:pPr>
        <w:pStyle w:val="Heading4"/>
      </w:pPr>
      <w:r>
        <w:lastRenderedPageBreak/>
        <w:t>Question 2</w:t>
      </w:r>
    </w:p>
    <w:p w:rsidR="00560B79" w:rsidRDefault="00560B79" w:rsidP="002322D9">
      <w:pPr>
        <w:pStyle w:val="Heading5"/>
      </w:pPr>
      <w:r>
        <w:t>Should prescription be limited to paediatric rheumatologists or immunologists to ensure patients are accurately diagnosed and monitored?</w:t>
      </w:r>
    </w:p>
    <w:p w:rsidR="00560B79" w:rsidRPr="002322D9" w:rsidRDefault="002322D9" w:rsidP="002322D9">
      <w:pPr>
        <w:pStyle w:val="Heading6"/>
      </w:pPr>
      <w:r w:rsidRPr="002322D9">
        <w:rPr>
          <w:sz w:val="21"/>
        </w:rPr>
        <w:t>Sponsor</w:t>
      </w:r>
      <w:r w:rsidRPr="002322D9">
        <w:t xml:space="preserve"> </w:t>
      </w:r>
      <w:r w:rsidR="00985004">
        <w:t>r</w:t>
      </w:r>
      <w:r w:rsidRPr="002322D9">
        <w:t>esponse</w:t>
      </w:r>
    </w:p>
    <w:p w:rsidR="00560B79" w:rsidRDefault="00560B79" w:rsidP="002322D9">
      <w:r>
        <w:t>While it is standard medical practice for children with arthritis to be evaluated and treated by specialist physicians, there is no restriction to a specific specialty for prescription of adalimumab in children with polyarticular JIA. To require restrictive wording related to treating physician specialty for ERA would create inconsistency in label</w:t>
      </w:r>
      <w:r w:rsidR="002322D9">
        <w:t>l</w:t>
      </w:r>
      <w:r>
        <w:t xml:space="preserve">ing for the JIA indications and has potential to create confusion for providers. Additionally, </w:t>
      </w:r>
      <w:r w:rsidR="002322D9">
        <w:t>the sponsor</w:t>
      </w:r>
      <w:r>
        <w:t xml:space="preserve"> has no reason to expect non-specialist physicians will prescribe adalimumab for the treatment of ERA.</w:t>
      </w:r>
    </w:p>
    <w:p w:rsidR="00560B79" w:rsidRDefault="00560B79" w:rsidP="002322D9">
      <w:pPr>
        <w:pStyle w:val="Heading4"/>
      </w:pPr>
      <w:r>
        <w:t>Question 3</w:t>
      </w:r>
    </w:p>
    <w:p w:rsidR="00560B79" w:rsidRDefault="00560B79" w:rsidP="002322D9">
      <w:pPr>
        <w:pStyle w:val="Heading5"/>
      </w:pPr>
      <w:r>
        <w:t>Does there need to be different age restrictions for different indications?</w:t>
      </w:r>
    </w:p>
    <w:p w:rsidR="00560B79" w:rsidRDefault="002322D9" w:rsidP="002322D9">
      <w:pPr>
        <w:pStyle w:val="Heading6"/>
      </w:pPr>
      <w:r>
        <w:t>Sponsor</w:t>
      </w:r>
      <w:r w:rsidRPr="002322D9">
        <w:t xml:space="preserve"> </w:t>
      </w:r>
      <w:r w:rsidR="00985004">
        <w:t>r</w:t>
      </w:r>
      <w:r w:rsidRPr="002322D9">
        <w:t>esponse</w:t>
      </w:r>
    </w:p>
    <w:p w:rsidR="00D23139" w:rsidRDefault="00560B79" w:rsidP="002322D9">
      <w:r>
        <w:t>Very few children are diagnosed with ERA prior to 6 years of age, making the under</w:t>
      </w:r>
      <w:r w:rsidR="002322D9">
        <w:t xml:space="preserve"> </w:t>
      </w:r>
      <w:r>
        <w:t>6</w:t>
      </w:r>
      <w:r w:rsidR="002322D9">
        <w:t xml:space="preserve"> </w:t>
      </w:r>
      <w:r>
        <w:t>year</w:t>
      </w:r>
      <w:r w:rsidR="002322D9">
        <w:t xml:space="preserve"> </w:t>
      </w:r>
      <w:r>
        <w:t xml:space="preserve">old population infeasible to study in clinical trials. The safety profile observed for adalimumab in patients with ERA (Study </w:t>
      </w:r>
      <w:r>
        <w:rPr>
          <w:spacing w:val="2"/>
        </w:rPr>
        <w:t xml:space="preserve">M11-328 </w:t>
      </w:r>
      <w:r>
        <w:t>[6</w:t>
      </w:r>
      <w:r w:rsidR="002322D9">
        <w:t xml:space="preserve"> to</w:t>
      </w:r>
      <w:r>
        <w:t xml:space="preserve"> 17 years of age]) is consistent with studies of polyarticular JIA across the age range of 2 </w:t>
      </w:r>
      <w:r w:rsidR="002322D9">
        <w:t>to</w:t>
      </w:r>
      <w:r>
        <w:t xml:space="preserve"> 17 years (Studies DE038 [polyarticular JIA patients 4 </w:t>
      </w:r>
      <w:r w:rsidR="002322D9">
        <w:t>to</w:t>
      </w:r>
      <w:r>
        <w:t xml:space="preserve"> 17 years of age] and M10-444 [polyarticular </w:t>
      </w:r>
      <w:r>
        <w:rPr>
          <w:spacing w:val="-3"/>
        </w:rPr>
        <w:t xml:space="preserve">JIA </w:t>
      </w:r>
      <w:r>
        <w:t xml:space="preserve">patients 2 </w:t>
      </w:r>
      <w:r w:rsidR="002322D9">
        <w:t>to</w:t>
      </w:r>
      <w:r>
        <w:t xml:space="preserve"> &lt; 4 years of</w:t>
      </w:r>
      <w:r>
        <w:rPr>
          <w:spacing w:val="-13"/>
        </w:rPr>
        <w:t xml:space="preserve"> </w:t>
      </w:r>
      <w:r>
        <w:t>age]).</w:t>
      </w:r>
    </w:p>
    <w:p w:rsidR="00560B79" w:rsidRDefault="00560B79" w:rsidP="002322D9">
      <w:r>
        <w:t xml:space="preserve">As noted by the TGA </w:t>
      </w:r>
      <w:r w:rsidR="002322D9">
        <w:t>D</w:t>
      </w:r>
      <w:r>
        <w:t xml:space="preserve">elegate and discussed in detail in the response to Paediatric Psoriasis Question 2 below, </w:t>
      </w:r>
      <w:r w:rsidR="002322D9">
        <w:t>the sponsor</w:t>
      </w:r>
      <w:r>
        <w:t xml:space="preserve"> has conducted analyses showing the similarity of adalimumab PK across different indications and across the age range of 2 </w:t>
      </w:r>
      <w:r w:rsidR="002322D9">
        <w:t>to</w:t>
      </w:r>
      <w:r>
        <w:t xml:space="preserve"> 17 years. Please refer to the response to Paediatric Psoriasis Question 2 for more details.</w:t>
      </w:r>
    </w:p>
    <w:p w:rsidR="00560B79" w:rsidRDefault="00560B79" w:rsidP="002322D9">
      <w:r>
        <w:t xml:space="preserve">Given the consistent safety profile observed in children with polyarticular JIA and ERA and across the age range of 2 </w:t>
      </w:r>
      <w:r w:rsidR="002322D9">
        <w:t>to</w:t>
      </w:r>
      <w:r>
        <w:t xml:space="preserve"> 17 years, the similarities in PK observed in older and younger children and the unmet medical need for paediatric patients with ERA under</w:t>
      </w:r>
      <w:r w:rsidR="002322D9">
        <w:t xml:space="preserve"> </w:t>
      </w:r>
      <w:r>
        <w:t xml:space="preserve">6 years of age, </w:t>
      </w:r>
      <w:r w:rsidR="002322D9">
        <w:t>the sponsor agrees with the TGA D</w:t>
      </w:r>
      <w:r>
        <w:t>elegate that the age limit for treatment of patients with ERA with adalimumab can be extended to the age of 2, consistent with the approved polyarticular JIA indication.</w:t>
      </w:r>
    </w:p>
    <w:p w:rsidR="00560B79" w:rsidRDefault="00560B79" w:rsidP="002322D9">
      <w:pPr>
        <w:pStyle w:val="Heading4"/>
      </w:pPr>
      <w:r>
        <w:t xml:space="preserve">Paediatric </w:t>
      </w:r>
      <w:r w:rsidR="00985004">
        <w:t>psoriasis q</w:t>
      </w:r>
      <w:r>
        <w:t>uestion 1</w:t>
      </w:r>
    </w:p>
    <w:p w:rsidR="00560B79" w:rsidRDefault="00560B79" w:rsidP="002322D9">
      <w:pPr>
        <w:pStyle w:val="Heading5"/>
      </w:pPr>
      <w:r>
        <w:t>Would it be appropriate to limit the indication to severe plaque psoriasis in children, as defined in the clinical trial supporting this indication?</w:t>
      </w:r>
    </w:p>
    <w:p w:rsidR="00560B79" w:rsidRDefault="002322D9" w:rsidP="002322D9">
      <w:pPr>
        <w:pStyle w:val="Heading6"/>
      </w:pPr>
      <w:r>
        <w:t>Sponsor</w:t>
      </w:r>
      <w:r w:rsidRPr="002322D9">
        <w:t xml:space="preserve"> </w:t>
      </w:r>
      <w:r w:rsidR="00985004">
        <w:t>r</w:t>
      </w:r>
      <w:r w:rsidRPr="002322D9">
        <w:t>esponse</w:t>
      </w:r>
    </w:p>
    <w:p w:rsidR="00560B79" w:rsidRDefault="002322D9" w:rsidP="002322D9">
      <w:r>
        <w:t>The sponsor</w:t>
      </w:r>
      <w:r w:rsidR="00560B79">
        <w:t xml:space="preserve"> agrees that the indication should be for the treatment of severe plaque psoriasis, also based on the population of patients enrolled in Study M04 -717.</w:t>
      </w:r>
    </w:p>
    <w:p w:rsidR="00560B79" w:rsidRDefault="00560B79" w:rsidP="002322D9">
      <w:pPr>
        <w:pStyle w:val="Heading4"/>
      </w:pPr>
      <w:r>
        <w:t>Question 2</w:t>
      </w:r>
    </w:p>
    <w:p w:rsidR="00560B79" w:rsidRDefault="00560B79" w:rsidP="002322D9">
      <w:pPr>
        <w:pStyle w:val="Heading5"/>
      </w:pPr>
      <w:r>
        <w:t>Is it appropriate to increase the age of eligibility for treatment of adalimumab for plaque psoriasis from the proposed 4 years to 6 years based on the patients assessed in the clinical trial supporting this indication?</w:t>
      </w:r>
    </w:p>
    <w:p w:rsidR="00560B79" w:rsidRDefault="002322D9" w:rsidP="002322D9">
      <w:pPr>
        <w:pStyle w:val="Heading6"/>
      </w:pPr>
      <w:r>
        <w:t>Sponsor</w:t>
      </w:r>
      <w:r w:rsidRPr="002322D9">
        <w:t xml:space="preserve"> </w:t>
      </w:r>
      <w:r w:rsidR="00985004">
        <w:t>r</w:t>
      </w:r>
      <w:r w:rsidRPr="002322D9">
        <w:t>esponse</w:t>
      </w:r>
    </w:p>
    <w:p w:rsidR="00560B79" w:rsidRDefault="00560B79" w:rsidP="002322D9">
      <w:r>
        <w:t xml:space="preserve">Although few patients below the age of 6 years were recruited in Study M04 -717, </w:t>
      </w:r>
      <w:r w:rsidR="002322D9">
        <w:t>the sponsor</w:t>
      </w:r>
      <w:r>
        <w:t xml:space="preserve"> believes a need still exists for additional effective treatment options for patients &lt;6 years of age with severe plaque psoriasis and that there are adequate data from studies </w:t>
      </w:r>
      <w:r>
        <w:lastRenderedPageBreak/>
        <w:t>in paediatric psoriasis as well as other paediatric populations to support extrapolation of the indication to include paediatric patients from 4 years of age based on similarity of adalimumab PK, safety, and efficacy in this population compared to older paediatric psoriasis patients (≥ 6 years).</w:t>
      </w:r>
    </w:p>
    <w:p w:rsidR="00560B79" w:rsidRDefault="002322D9" w:rsidP="002322D9">
      <w:r>
        <w:t>The sponsor</w:t>
      </w:r>
      <w:r w:rsidR="00560B79">
        <w:t xml:space="preserve"> conducted PK </w:t>
      </w:r>
      <w:r w:rsidR="00054259">
        <w:t>modelling</w:t>
      </w:r>
      <w:r w:rsidR="00560B79">
        <w:t xml:space="preserve"> analyses across several paediatric indications, including psoriasis, polyarticular JIA, ERA and Crohn's disease to assess differences between populations and to extrapolate the PK of paediatric patients with plaque psoriasis down to 4 years of age. Results of those analyses show that adalimumab PK is similar between the different disease indications. Furthermore, simulations performed to assess adalimumab PK and exposure in paediatric patients from 2 to 17 years of age who were given a dose of</w:t>
      </w:r>
      <w:r>
        <w:t xml:space="preserve"> </w:t>
      </w:r>
      <w:r w:rsidR="00560B79">
        <w:t>mg/kg or 20/40 mg based on a 40</w:t>
      </w:r>
      <w:r>
        <w:t xml:space="preserve"> </w:t>
      </w:r>
      <w:r w:rsidR="00560B79">
        <w:t>kg body weight cut</w:t>
      </w:r>
      <w:r>
        <w:t>-</w:t>
      </w:r>
      <w:r w:rsidR="00560B79">
        <w:t>off demonstrate that adalimumab PK and exposure are similar between patients 2 to 6 years of age and 6 to 17 years of age. This indicates that the exposure of adalimumab will be similar in paediatric patients with severe plaque psoriasis receiving adalimumab 20 or 40 mg (based on a 40</w:t>
      </w:r>
      <w:r>
        <w:t xml:space="preserve"> </w:t>
      </w:r>
      <w:r w:rsidR="00560B79">
        <w:t>kg body weight cut</w:t>
      </w:r>
      <w:r>
        <w:t>-</w:t>
      </w:r>
      <w:r w:rsidR="00560B79">
        <w:t xml:space="preserve">off) </w:t>
      </w:r>
      <w:r w:rsidR="00054259">
        <w:t>fortnightly</w:t>
      </w:r>
      <w:r w:rsidR="00054259">
        <w:rPr>
          <w:spacing w:val="-42"/>
        </w:rPr>
        <w:t xml:space="preserve"> over</w:t>
      </w:r>
      <w:r w:rsidR="00560B79">
        <w:t xml:space="preserve"> the proposed age range of 4 to 17 years.</w:t>
      </w:r>
    </w:p>
    <w:p w:rsidR="00560B79" w:rsidRDefault="00560B79" w:rsidP="002322D9">
      <w:r>
        <w:t>In addition to similar serum adalimumab exposure, the clinical features of plaque psoriasis</w:t>
      </w:r>
      <w:r w:rsidR="002322D9">
        <w:t>,</w:t>
      </w:r>
      <w:r>
        <w:t xml:space="preserve"> </w:t>
      </w:r>
      <w:r w:rsidR="002322D9">
        <w:t>is</w:t>
      </w:r>
      <w:r>
        <w:t xml:space="preserve"> also similar among younger and older patients within the paediatric population and there appears to be no difference in aetiology, pathophysiology, and progression of the disease across the paediatric population. Therefore, efficacy and safety of adalimumab in patients at the lower end of the proposed age range would be expected to be similar to that observed in older children with severe plaque psoriasis.</w:t>
      </w:r>
    </w:p>
    <w:p w:rsidR="00560B79" w:rsidRDefault="00560B79" w:rsidP="002322D9">
      <w:r>
        <w:t xml:space="preserve">Further support of the safety of adalimumab in the younger psoriasis patients can be drawn from Studies DE038 (polyarticular JIA patients 4 </w:t>
      </w:r>
      <w:r w:rsidR="002322D9">
        <w:t>to</w:t>
      </w:r>
      <w:r>
        <w:t xml:space="preserve"> 17 years of age) and M10-444 (polyarticular JIA patients 2 </w:t>
      </w:r>
      <w:r w:rsidR="002322D9">
        <w:t>to</w:t>
      </w:r>
      <w:r>
        <w:t xml:space="preserve"> &lt; 4 years of age). The safety profiles of adalimumab were comparable in these 2 studies, despite the differences in the age groups receiving treatment. The safety profile observed in Study M04-717 in paediatric psoriasis patients is consistent with the safety profile in these polyarticular JIA studies. Given the similar steady-state serum adalimumab concentrations observed between paediatric psoriasis</w:t>
      </w:r>
      <w:r w:rsidR="002322D9">
        <w:t xml:space="preserve"> </w:t>
      </w:r>
      <w:r>
        <w:t xml:space="preserve">patients (7.42 ± 5.84) and polyarticular JIA patients (6.13 ± 6.41) receiving the recommended dosing regimens, it would be expected that the safety profile in younger patients with plaque psoriasis (4 </w:t>
      </w:r>
      <w:r w:rsidR="002322D9">
        <w:t>to</w:t>
      </w:r>
      <w:r>
        <w:t xml:space="preserve"> &lt;</w:t>
      </w:r>
      <w:r w:rsidR="002322D9">
        <w:t xml:space="preserve"> </w:t>
      </w:r>
      <w:r>
        <w:t>6 years) would be consistent with the safety profile in younger patients with polyarticular JIA.</w:t>
      </w:r>
    </w:p>
    <w:p w:rsidR="00560B79" w:rsidRDefault="00560B79" w:rsidP="002322D9">
      <w:pPr>
        <w:pStyle w:val="Heading4"/>
      </w:pPr>
      <w:r>
        <w:t>Question 3</w:t>
      </w:r>
    </w:p>
    <w:p w:rsidR="00560B79" w:rsidRDefault="00560B79" w:rsidP="002322D9">
      <w:pPr>
        <w:pStyle w:val="Heading5"/>
      </w:pPr>
      <w:r>
        <w:t>Please comment on the proposed amended indication, which is modelled on that of etanercept for paediatric psoriasis:</w:t>
      </w:r>
    </w:p>
    <w:p w:rsidR="00560B79" w:rsidRDefault="00560B79" w:rsidP="002322D9">
      <w:pPr>
        <w:pStyle w:val="Heading5"/>
        <w:ind w:left="153"/>
      </w:pPr>
      <w:proofErr w:type="gramStart"/>
      <w:r>
        <w:t>Chronic, severe plaque psoriasis in children and adolescents from 6 to 17 years, who are inadequately controlled by, or are intolerant to, other systemic therapies or phototherapies.</w:t>
      </w:r>
      <w:proofErr w:type="gramEnd"/>
      <w:r>
        <w:t xml:space="preserve"> </w:t>
      </w:r>
      <w:proofErr w:type="gramStart"/>
      <w:r>
        <w:t>Duration of therapy to be no longer than 52 weeks and treatment to be ceased after 16 weeks if a significant PASI response is not achieved.</w:t>
      </w:r>
      <w:proofErr w:type="gramEnd"/>
    </w:p>
    <w:p w:rsidR="00560B79" w:rsidRDefault="002322D9" w:rsidP="002322D9">
      <w:pPr>
        <w:pStyle w:val="Heading6"/>
      </w:pPr>
      <w:r>
        <w:t xml:space="preserve">Sponsor </w:t>
      </w:r>
      <w:r w:rsidR="00985004">
        <w:t>r</w:t>
      </w:r>
      <w:r w:rsidRPr="002322D9">
        <w:t>esponse</w:t>
      </w:r>
    </w:p>
    <w:p w:rsidR="00560B79" w:rsidRDefault="00560B79" w:rsidP="002322D9">
      <w:r>
        <w:t xml:space="preserve">Based on the following points, </w:t>
      </w:r>
      <w:r w:rsidR="002322D9">
        <w:t>the sponsor</w:t>
      </w:r>
      <w:r>
        <w:t xml:space="preserve"> believes it would not be appropriate for the Humira indication for paediatric psoriasis to mirror the etanercept indication:</w:t>
      </w:r>
    </w:p>
    <w:p w:rsidR="00560B79" w:rsidRDefault="00560B79" w:rsidP="002322D9">
      <w:pPr>
        <w:pStyle w:val="Numberbullet0"/>
        <w:numPr>
          <w:ilvl w:val="0"/>
          <w:numId w:val="36"/>
        </w:numPr>
      </w:pPr>
      <w:r>
        <w:t>Study M04-717 did not require failure of prior systemic therapy but included methotrexate (MTX) as an active comparator, and, therefore, positively</w:t>
      </w:r>
      <w:r w:rsidRPr="002322D9">
        <w:rPr>
          <w:spacing w:val="-45"/>
        </w:rPr>
        <w:t xml:space="preserve"> </w:t>
      </w:r>
      <w:r>
        <w:t>excluded patients who had previously not responded to, or did not tolerate,</w:t>
      </w:r>
      <w:r w:rsidRPr="002322D9">
        <w:rPr>
          <w:spacing w:val="-33"/>
        </w:rPr>
        <w:t xml:space="preserve"> </w:t>
      </w:r>
      <w:r>
        <w:t>MTX.</w:t>
      </w:r>
    </w:p>
    <w:p w:rsidR="00560B79" w:rsidRDefault="00560B79" w:rsidP="002322D9">
      <w:pPr>
        <w:pStyle w:val="Numberbullet0"/>
        <w:numPr>
          <w:ilvl w:val="0"/>
          <w:numId w:val="36"/>
        </w:numPr>
      </w:pPr>
      <w:r>
        <w:t>Results from Study M04-717 demonstrated superiority of adalimumab over</w:t>
      </w:r>
      <w:r w:rsidRPr="002322D9">
        <w:rPr>
          <w:spacing w:val="-37"/>
        </w:rPr>
        <w:t xml:space="preserve"> </w:t>
      </w:r>
      <w:r>
        <w:t>MTX.</w:t>
      </w:r>
    </w:p>
    <w:p w:rsidR="00560B79" w:rsidRDefault="00560B79" w:rsidP="002322D9">
      <w:pPr>
        <w:pStyle w:val="Numberbullet0"/>
        <w:numPr>
          <w:ilvl w:val="0"/>
          <w:numId w:val="36"/>
        </w:numPr>
      </w:pPr>
      <w:r>
        <w:t>Neither MTX nor cyclosporine are authorised for use in paediatric patients with psoriasis and their safety and efficacy in the treatment of paediatric patients</w:t>
      </w:r>
      <w:r w:rsidRPr="002322D9">
        <w:rPr>
          <w:spacing w:val="-29"/>
        </w:rPr>
        <w:t xml:space="preserve"> </w:t>
      </w:r>
      <w:r>
        <w:t xml:space="preserve">with </w:t>
      </w:r>
      <w:r>
        <w:lastRenderedPageBreak/>
        <w:t>severe plaque psoriasis have not been formally established in randomised, controlled clinical</w:t>
      </w:r>
      <w:r w:rsidRPr="002322D9">
        <w:rPr>
          <w:spacing w:val="-11"/>
        </w:rPr>
        <w:t xml:space="preserve"> </w:t>
      </w:r>
      <w:r>
        <w:t>trials.</w:t>
      </w:r>
    </w:p>
    <w:p w:rsidR="00560B79" w:rsidRDefault="00560B79" w:rsidP="002322D9">
      <w:pPr>
        <w:pStyle w:val="Numberbullet0"/>
        <w:numPr>
          <w:ilvl w:val="0"/>
          <w:numId w:val="36"/>
        </w:numPr>
      </w:pPr>
      <w:r>
        <w:t>There is no consensus on the appropriateness of the use of Psoralen ultra violet</w:t>
      </w:r>
      <w:r w:rsidRPr="002322D9">
        <w:rPr>
          <w:spacing w:val="-27"/>
        </w:rPr>
        <w:t xml:space="preserve"> </w:t>
      </w:r>
      <w:proofErr w:type="gramStart"/>
      <w:r>
        <w:t>A</w:t>
      </w:r>
      <w:proofErr w:type="gramEnd"/>
      <w:r>
        <w:t xml:space="preserve"> in children and there are concerns over its long-term</w:t>
      </w:r>
      <w:r w:rsidRPr="002322D9">
        <w:rPr>
          <w:spacing w:val="-12"/>
        </w:rPr>
        <w:t xml:space="preserve"> </w:t>
      </w:r>
      <w:r>
        <w:t>use.</w:t>
      </w:r>
    </w:p>
    <w:p w:rsidR="00560B79" w:rsidRDefault="00560B79" w:rsidP="009B33FA">
      <w:r>
        <w:t>The proposed Humira indication in paediatric patients will be only for those</w:t>
      </w:r>
      <w:r>
        <w:rPr>
          <w:spacing w:val="-27"/>
        </w:rPr>
        <w:t xml:space="preserve"> </w:t>
      </w:r>
      <w:r>
        <w:t>with severe plaque</w:t>
      </w:r>
      <w:r>
        <w:rPr>
          <w:spacing w:val="-11"/>
        </w:rPr>
        <w:t xml:space="preserve"> </w:t>
      </w:r>
      <w:r>
        <w:t>psoriasis.</w:t>
      </w:r>
    </w:p>
    <w:p w:rsidR="00560B79" w:rsidRDefault="009B33FA" w:rsidP="009B33FA">
      <w:r>
        <w:t>The sponsor</w:t>
      </w:r>
      <w:r w:rsidR="00560B79">
        <w:t xml:space="preserve"> believes it would be clinically inappropriate to recommend prior therapy with unauthorised, unproven, or inferior therapies in its prescribing information. Therefore, </w:t>
      </w:r>
      <w:r>
        <w:t>the sponsor</w:t>
      </w:r>
      <w:r w:rsidR="00560B79">
        <w:t xml:space="preserve"> maintains that the appropriate indication for Humira in plaque psoriasis should be as follows:</w:t>
      </w:r>
    </w:p>
    <w:p w:rsidR="00560B79" w:rsidRPr="009B33FA" w:rsidRDefault="00560B79" w:rsidP="009B33FA">
      <w:pPr>
        <w:ind w:left="720"/>
        <w:rPr>
          <w:i/>
        </w:rPr>
      </w:pPr>
      <w:r w:rsidRPr="009B33FA">
        <w:rPr>
          <w:i/>
        </w:rPr>
        <w:t>Humira is indicated for the treatment of severe chronic plaque psoriasis in children and adolescent patients from 4 years of age who have had an inadequate response to</w:t>
      </w:r>
      <w:r w:rsidRPr="009B33FA">
        <w:rPr>
          <w:i/>
          <w:spacing w:val="-40"/>
        </w:rPr>
        <w:t xml:space="preserve"> </w:t>
      </w:r>
      <w:r w:rsidRPr="009B33FA">
        <w:rPr>
          <w:i/>
        </w:rPr>
        <w:t>or are</w:t>
      </w:r>
      <w:r w:rsidRPr="009B33FA">
        <w:rPr>
          <w:i/>
          <w:spacing w:val="-7"/>
        </w:rPr>
        <w:t xml:space="preserve"> </w:t>
      </w:r>
      <w:r w:rsidRPr="009B33FA">
        <w:rPr>
          <w:i/>
        </w:rPr>
        <w:t>inappropriate</w:t>
      </w:r>
      <w:r w:rsidRPr="009B33FA">
        <w:rPr>
          <w:i/>
          <w:spacing w:val="-7"/>
        </w:rPr>
        <w:t xml:space="preserve"> </w:t>
      </w:r>
      <w:r w:rsidRPr="009B33FA">
        <w:rPr>
          <w:i/>
        </w:rPr>
        <w:t>candidates</w:t>
      </w:r>
      <w:r w:rsidRPr="009B33FA">
        <w:rPr>
          <w:i/>
          <w:spacing w:val="-7"/>
        </w:rPr>
        <w:t xml:space="preserve"> </w:t>
      </w:r>
      <w:r w:rsidRPr="009B33FA">
        <w:rPr>
          <w:i/>
        </w:rPr>
        <w:t>for</w:t>
      </w:r>
      <w:r w:rsidRPr="009B33FA">
        <w:rPr>
          <w:i/>
          <w:spacing w:val="-7"/>
        </w:rPr>
        <w:t xml:space="preserve"> </w:t>
      </w:r>
      <w:r w:rsidRPr="009B33FA">
        <w:rPr>
          <w:i/>
        </w:rPr>
        <w:t>topical</w:t>
      </w:r>
      <w:r w:rsidRPr="009B33FA">
        <w:rPr>
          <w:i/>
          <w:spacing w:val="-7"/>
        </w:rPr>
        <w:t xml:space="preserve"> </w:t>
      </w:r>
      <w:r w:rsidRPr="009B33FA">
        <w:rPr>
          <w:i/>
        </w:rPr>
        <w:t>therapy</w:t>
      </w:r>
      <w:r w:rsidRPr="009B33FA">
        <w:rPr>
          <w:i/>
          <w:spacing w:val="-8"/>
        </w:rPr>
        <w:t xml:space="preserve"> </w:t>
      </w:r>
      <w:r w:rsidRPr="009B33FA">
        <w:rPr>
          <w:i/>
        </w:rPr>
        <w:t>and</w:t>
      </w:r>
      <w:r w:rsidRPr="009B33FA">
        <w:rPr>
          <w:i/>
          <w:spacing w:val="-8"/>
        </w:rPr>
        <w:t xml:space="preserve"> </w:t>
      </w:r>
      <w:r w:rsidRPr="009B33FA">
        <w:rPr>
          <w:i/>
        </w:rPr>
        <w:t>phototherapy.</w:t>
      </w:r>
    </w:p>
    <w:p w:rsidR="00560B79" w:rsidRDefault="009B33FA" w:rsidP="009B33FA">
      <w:r>
        <w:t>The sponsor</w:t>
      </w:r>
      <w:r w:rsidR="00560B79">
        <w:t xml:space="preserve"> agrees that prescribers should be advised to reassess treatment for any patient who does not show improvement after 16 weeks of therapy. This is already stated in the dosing section which states that </w:t>
      </w:r>
      <w:r w:rsidR="0031116A">
        <w:t>‘</w:t>
      </w:r>
      <w:r w:rsidR="00560B79" w:rsidRPr="00B961E4">
        <w:rPr>
          <w:i/>
        </w:rPr>
        <w:t>Continued therapy beyond 16 weeks should be carefully considered in a patient not responding within this time period</w:t>
      </w:r>
      <w:r w:rsidR="00560B79">
        <w:t>.</w:t>
      </w:r>
      <w:r w:rsidR="0031116A">
        <w:t>’</w:t>
      </w:r>
    </w:p>
    <w:p w:rsidR="00560B79" w:rsidRDefault="00B961E4" w:rsidP="00B961E4">
      <w:r>
        <w:t>The sponsor</w:t>
      </w:r>
      <w:r w:rsidR="00560B79">
        <w:t xml:space="preserve"> recommends that the label does not include a statement regarding discontinuation of therapy after some specified period of time (52 weeks suggested above). Severe paediatric psoriasis is a chronic condition that requires therapy. It is recognised that upon discontinuation/withdrawal of effective therapy, disease typically flares with patient morbidity and need to reinstitute treatment. In fact, typical registration trials in patients with psoriasis, including </w:t>
      </w:r>
      <w:r>
        <w:t>the sponsor’s</w:t>
      </w:r>
      <w:r w:rsidR="00560B79">
        <w:t xml:space="preserve"> pivotal study in paediatric psoriasis (Study M04 -717) include a withdrawal/retreatment design. This design demonstrates that during the withdrawal phase skin worsens and then benefits from reinstitution of active treatment.</w:t>
      </w:r>
    </w:p>
    <w:p w:rsidR="00560B79" w:rsidRPr="00FC1FCA" w:rsidRDefault="00B961E4" w:rsidP="009B33FA">
      <w:pPr>
        <w:rPr>
          <w:b/>
          <w:bCs/>
        </w:rPr>
      </w:pPr>
      <w:r>
        <w:t>The sponsor</w:t>
      </w:r>
      <w:r w:rsidR="00560B79">
        <w:t xml:space="preserve"> recogni</w:t>
      </w:r>
      <w:r>
        <w:t>s</w:t>
      </w:r>
      <w:r w:rsidR="00560B79">
        <w:t>es that during the course of a patient's psoriasis it may be appropriate to adjust treatment (including stopping/starting medicines and/or adjusting dose). These decisions are most appropriately made by the treating physician, based on the patient's history, clinical condition and considering the overall benefit</w:t>
      </w:r>
      <w:r>
        <w:t>-</w:t>
      </w:r>
      <w:r w:rsidR="00560B79">
        <w:t>risk profile of therapeutic options available. Including label direction requiring discontinuation of adalimumab therapy after a specific period of time is not supported by data and is not in the best interests of patients with psoriasis.</w:t>
      </w:r>
    </w:p>
    <w:p w:rsidR="008E7846" w:rsidRDefault="008E7846" w:rsidP="008E7846">
      <w:pPr>
        <w:pStyle w:val="Heading4"/>
      </w:pPr>
      <w:r>
        <w:t xml:space="preserve">Advisory </w:t>
      </w:r>
      <w:r w:rsidR="00985004">
        <w:t>committee considerations</w:t>
      </w:r>
    </w:p>
    <w:p w:rsidR="00846F7D" w:rsidRPr="00B450E7" w:rsidRDefault="00846F7D" w:rsidP="00846F7D">
      <w:pPr>
        <w:rPr>
          <w:rFonts w:eastAsia="Times New Roman" w:cs="Arial"/>
          <w:lang w:eastAsia="en-AU"/>
        </w:rPr>
      </w:pPr>
      <w:r w:rsidRPr="00B450E7">
        <w:rPr>
          <w:rFonts w:eastAsia="Times New Roman" w:cs="Arial"/>
          <w:lang w:eastAsia="en-AU"/>
        </w:rPr>
        <w:t xml:space="preserve">The </w:t>
      </w:r>
      <w:r w:rsidR="00B961E4" w:rsidRPr="00B450E7">
        <w:rPr>
          <w:rFonts w:eastAsia="Times New Roman" w:cs="Arial"/>
          <w:lang w:eastAsia="en-AU"/>
        </w:rPr>
        <w:t>Advisory Committee on Prescription Medicines (</w:t>
      </w:r>
      <w:r w:rsidRPr="00B450E7">
        <w:rPr>
          <w:rFonts w:eastAsia="Times New Roman" w:cs="Arial"/>
          <w:lang w:eastAsia="en-AU"/>
        </w:rPr>
        <w:t>ACPM</w:t>
      </w:r>
      <w:r w:rsidR="00B961E4" w:rsidRPr="00B450E7">
        <w:rPr>
          <w:rFonts w:eastAsia="Times New Roman" w:cs="Arial"/>
          <w:lang w:eastAsia="en-AU"/>
        </w:rPr>
        <w:t>)</w:t>
      </w:r>
      <w:r w:rsidRPr="00B450E7">
        <w:rPr>
          <w:rFonts w:eastAsia="Times New Roman" w:cs="Arial"/>
          <w:lang w:eastAsia="en-AU"/>
        </w:rPr>
        <w:t xml:space="preserve"> resolved to recommend to the TGA delegate of the Secretary that:</w:t>
      </w:r>
    </w:p>
    <w:p w:rsidR="00846F7D" w:rsidRPr="00B450E7" w:rsidRDefault="00846F7D" w:rsidP="00846F7D">
      <w:pPr>
        <w:rPr>
          <w:rFonts w:cs="Calibri"/>
          <w:b/>
        </w:rPr>
      </w:pPr>
      <w:r w:rsidRPr="00B450E7">
        <w:rPr>
          <w:rFonts w:cs="Calibri"/>
        </w:rPr>
        <w:t xml:space="preserve">The ACPM, taking into account the submitted evidence of efficacy, safety and quality, agreed with the </w:t>
      </w:r>
      <w:r w:rsidR="00AA3603" w:rsidRPr="00B450E7">
        <w:rPr>
          <w:rFonts w:cs="Calibri"/>
        </w:rPr>
        <w:t>D</w:t>
      </w:r>
      <w:r w:rsidRPr="00B450E7">
        <w:rPr>
          <w:rFonts w:cs="Calibri"/>
        </w:rPr>
        <w:t xml:space="preserve">elegate and considered </w:t>
      </w:r>
      <w:r w:rsidR="00AA3603" w:rsidRPr="00B450E7">
        <w:rPr>
          <w:bCs/>
          <w:noProof/>
        </w:rPr>
        <w:t>Humira</w:t>
      </w:r>
      <w:r w:rsidRPr="00B450E7">
        <w:t xml:space="preserve"> </w:t>
      </w:r>
      <w:r w:rsidRPr="00B450E7">
        <w:rPr>
          <w:bCs/>
          <w:noProof/>
        </w:rPr>
        <w:t>solution for injection using a pre-filled syringe or autoinjector pen</w:t>
      </w:r>
      <w:r w:rsidRPr="00B450E7">
        <w:rPr>
          <w:bCs/>
        </w:rPr>
        <w:t xml:space="preserve"> containing </w:t>
      </w:r>
      <w:r w:rsidRPr="00B450E7">
        <w:rPr>
          <w:bCs/>
          <w:noProof/>
        </w:rPr>
        <w:t>10 mg, 20 mg and 40 mg</w:t>
      </w:r>
      <w:r w:rsidRPr="00B450E7">
        <w:rPr>
          <w:bCs/>
        </w:rPr>
        <w:t xml:space="preserve"> of </w:t>
      </w:r>
      <w:r w:rsidRPr="00B450E7">
        <w:rPr>
          <w:bCs/>
          <w:noProof/>
        </w:rPr>
        <w:t>adalimumab (rch)</w:t>
      </w:r>
      <w:r w:rsidRPr="00B450E7">
        <w:rPr>
          <w:b/>
          <w:bCs/>
        </w:rPr>
        <w:t xml:space="preserve"> </w:t>
      </w:r>
      <w:r w:rsidRPr="00B450E7">
        <w:rPr>
          <w:rFonts w:cs="Calibri"/>
        </w:rPr>
        <w:t>to have an overall positive benefit–risk profile for the proposed indication</w:t>
      </w:r>
      <w:r w:rsidRPr="00B450E7">
        <w:rPr>
          <w:rFonts w:cs="Calibri"/>
          <w:b/>
        </w:rPr>
        <w:t>;</w:t>
      </w:r>
    </w:p>
    <w:p w:rsidR="00846F7D" w:rsidRPr="00B450E7" w:rsidRDefault="00846F7D" w:rsidP="00846F7D">
      <w:pPr>
        <w:ind w:left="567"/>
        <w:rPr>
          <w:rFonts w:cs="Calibri"/>
          <w:i/>
          <w:noProof/>
        </w:rPr>
      </w:pPr>
      <w:r w:rsidRPr="00B450E7">
        <w:rPr>
          <w:rFonts w:cs="Calibri"/>
          <w:i/>
          <w:noProof/>
        </w:rPr>
        <w:t>H</w:t>
      </w:r>
      <w:r w:rsidR="00AA3603" w:rsidRPr="00B450E7">
        <w:rPr>
          <w:rFonts w:cs="Calibri"/>
          <w:i/>
          <w:noProof/>
        </w:rPr>
        <w:t>umira</w:t>
      </w:r>
      <w:r w:rsidRPr="00B450E7">
        <w:rPr>
          <w:rFonts w:cs="Calibri"/>
          <w:i/>
          <w:noProof/>
        </w:rPr>
        <w:t xml:space="preserve"> is indicated for the treatment of enthesitis-related arthritis in children who have had an inadequate response to, or who are intolerant to, conventional therapy.</w:t>
      </w:r>
    </w:p>
    <w:p w:rsidR="00846F7D" w:rsidRPr="00B450E7" w:rsidRDefault="00846F7D" w:rsidP="00846F7D">
      <w:pPr>
        <w:rPr>
          <w:rFonts w:cs="Calibri"/>
          <w:b/>
        </w:rPr>
      </w:pPr>
      <w:r w:rsidRPr="00B450E7">
        <w:rPr>
          <w:rFonts w:cs="Calibri"/>
        </w:rPr>
        <w:t xml:space="preserve">The ACPM, taking into account the submitted evidence of efficacy, safety and quality, agreed with the </w:t>
      </w:r>
      <w:r w:rsidR="00AA3603" w:rsidRPr="00B450E7">
        <w:rPr>
          <w:rFonts w:cs="Calibri"/>
        </w:rPr>
        <w:t>D</w:t>
      </w:r>
      <w:r w:rsidRPr="00B450E7">
        <w:rPr>
          <w:rFonts w:cs="Calibri"/>
        </w:rPr>
        <w:t xml:space="preserve">elegate and considered </w:t>
      </w:r>
      <w:r w:rsidR="00AA3603" w:rsidRPr="00B450E7">
        <w:rPr>
          <w:bCs/>
          <w:noProof/>
        </w:rPr>
        <w:t>Humira</w:t>
      </w:r>
      <w:r w:rsidRPr="00B450E7">
        <w:t xml:space="preserve"> </w:t>
      </w:r>
      <w:r w:rsidRPr="00B450E7">
        <w:rPr>
          <w:bCs/>
          <w:noProof/>
        </w:rPr>
        <w:t>solution for injection using a pre-filled syringe or autoinjector pen</w:t>
      </w:r>
      <w:r w:rsidRPr="00B450E7">
        <w:rPr>
          <w:bCs/>
        </w:rPr>
        <w:t xml:space="preserve"> containing </w:t>
      </w:r>
      <w:r w:rsidRPr="00B450E7">
        <w:rPr>
          <w:bCs/>
          <w:noProof/>
        </w:rPr>
        <w:t>10 mg, 20 mg and 40 mg</w:t>
      </w:r>
      <w:r w:rsidRPr="00B450E7">
        <w:rPr>
          <w:bCs/>
        </w:rPr>
        <w:t xml:space="preserve"> of </w:t>
      </w:r>
      <w:r w:rsidRPr="00B450E7">
        <w:rPr>
          <w:bCs/>
          <w:noProof/>
        </w:rPr>
        <w:t>adalimumab (rch)</w:t>
      </w:r>
      <w:r w:rsidRPr="00B450E7">
        <w:rPr>
          <w:b/>
          <w:bCs/>
        </w:rPr>
        <w:t xml:space="preserve"> </w:t>
      </w:r>
      <w:r w:rsidRPr="00B450E7">
        <w:rPr>
          <w:rFonts w:cs="Calibri"/>
        </w:rPr>
        <w:t>to have an overall positive benefit–risk profile for the amended indication</w:t>
      </w:r>
      <w:r w:rsidRPr="00B450E7">
        <w:rPr>
          <w:rFonts w:cs="Calibri"/>
          <w:b/>
        </w:rPr>
        <w:t>;</w:t>
      </w:r>
    </w:p>
    <w:p w:rsidR="00D24962" w:rsidRDefault="00846F7D" w:rsidP="00846F7D">
      <w:pPr>
        <w:ind w:left="567"/>
        <w:rPr>
          <w:rFonts w:cs="Calibri"/>
          <w:i/>
          <w:noProof/>
        </w:rPr>
      </w:pPr>
      <w:r w:rsidRPr="002174B2">
        <w:rPr>
          <w:rFonts w:cs="Calibri"/>
          <w:i/>
          <w:noProof/>
        </w:rPr>
        <w:lastRenderedPageBreak/>
        <w:t>H</w:t>
      </w:r>
      <w:r w:rsidR="002174B2" w:rsidRPr="002174B2">
        <w:rPr>
          <w:rFonts w:cs="Calibri"/>
          <w:i/>
          <w:noProof/>
        </w:rPr>
        <w:t>umira</w:t>
      </w:r>
      <w:r w:rsidRPr="002174B2">
        <w:rPr>
          <w:rFonts w:cs="Calibri"/>
          <w:i/>
          <w:noProof/>
        </w:rPr>
        <w:t xml:space="preserve"> is indicated for the treatment of severe chronic plaque psoriasis in children and adolescent patients from 4 years of age who have had an inadequate response to or are inappropriate candidates for topical therapy and phototherapy</w:t>
      </w:r>
      <w:r w:rsidR="00D24962">
        <w:rPr>
          <w:rFonts w:cs="Calibri"/>
          <w:i/>
          <w:noProof/>
        </w:rPr>
        <w:t>.</w:t>
      </w:r>
    </w:p>
    <w:p w:rsidR="00D24962" w:rsidRDefault="00846F7D" w:rsidP="00AA3603">
      <w:r w:rsidRPr="00B450E7">
        <w:t>In making this recommendation the ACPM</w:t>
      </w:r>
    </w:p>
    <w:p w:rsidR="00D24962" w:rsidRDefault="00846F7D" w:rsidP="00AA3603">
      <w:pPr>
        <w:pStyle w:val="ListBullet"/>
      </w:pPr>
      <w:r w:rsidRPr="00B450E7">
        <w:t>Noted that the pharmacokinetics in children aged 2 to 10 years of age has been established and the population pharmacokinetic analysis highlighted that there was no difference by indication</w:t>
      </w:r>
      <w:r w:rsidR="00D24962">
        <w:t>.</w:t>
      </w:r>
    </w:p>
    <w:p w:rsidR="00846F7D" w:rsidRDefault="00846F7D" w:rsidP="00AA3603">
      <w:pPr>
        <w:pStyle w:val="ListBullet"/>
      </w:pPr>
      <w:r w:rsidRPr="00B450E7">
        <w:t>Advised that on this basis weight based</w:t>
      </w:r>
      <w:r>
        <w:t xml:space="preserve"> dosing may be preferred rather than limiting each indication by age.</w:t>
      </w:r>
    </w:p>
    <w:p w:rsidR="00846F7D" w:rsidRPr="00410933" w:rsidRDefault="00846F7D" w:rsidP="00AA3603">
      <w:pPr>
        <w:pStyle w:val="ListBullet"/>
      </w:pPr>
      <w:r>
        <w:t>Advised that the duration of therapy for the chronic plaque psoriasis should not be restricted to 52 weeks if responding.</w:t>
      </w:r>
    </w:p>
    <w:p w:rsidR="00846F7D" w:rsidRDefault="00846F7D" w:rsidP="00AA3603">
      <w:pPr>
        <w:pStyle w:val="Heading5"/>
      </w:pPr>
      <w:r>
        <w:t xml:space="preserve">ERA and </w:t>
      </w:r>
      <w:r w:rsidR="00985004">
        <w:t>p</w:t>
      </w:r>
      <w:r>
        <w:t>soriasis</w:t>
      </w:r>
    </w:p>
    <w:p w:rsidR="00846F7D" w:rsidRPr="00D724FC" w:rsidRDefault="00846F7D" w:rsidP="00AA3603">
      <w:pPr>
        <w:pStyle w:val="Heading6"/>
      </w:pPr>
      <w:r w:rsidRPr="00D724FC">
        <w:t>Proposed conditions of registration</w:t>
      </w:r>
    </w:p>
    <w:p w:rsidR="00846F7D" w:rsidRPr="002848CC" w:rsidRDefault="00AA3603" w:rsidP="00846F7D">
      <w:pPr>
        <w:rPr>
          <w:bCs/>
        </w:rPr>
      </w:pPr>
      <w:r>
        <w:rPr>
          <w:bCs/>
        </w:rPr>
        <w:t>The ACPM agreed with the D</w:t>
      </w:r>
      <w:r w:rsidR="00846F7D" w:rsidRPr="002848CC">
        <w:rPr>
          <w:bCs/>
        </w:rPr>
        <w:t>elegate on the propo</w:t>
      </w:r>
      <w:r w:rsidR="00846F7D">
        <w:rPr>
          <w:bCs/>
        </w:rPr>
        <w:t>sed conditions of registration.</w:t>
      </w:r>
    </w:p>
    <w:p w:rsidR="00846F7D" w:rsidRPr="00D724FC" w:rsidRDefault="00846F7D" w:rsidP="00AA3603">
      <w:pPr>
        <w:pStyle w:val="Heading6"/>
        <w:rPr>
          <w:u w:val="single"/>
        </w:rPr>
      </w:pPr>
      <w:r w:rsidRPr="00D724FC">
        <w:t>Proposed Product Information (PI)/Consumer Medicine Information (CMI) amendments</w:t>
      </w:r>
    </w:p>
    <w:p w:rsidR="00846F7D" w:rsidRPr="002848CC" w:rsidRDefault="00846F7D" w:rsidP="00846F7D">
      <w:pPr>
        <w:rPr>
          <w:bCs/>
        </w:rPr>
      </w:pPr>
      <w:r w:rsidRPr="002848CC">
        <w:rPr>
          <w:bCs/>
        </w:rPr>
        <w:t xml:space="preserve">The ACPM agreed with the </w:t>
      </w:r>
      <w:r w:rsidR="00AA3603">
        <w:rPr>
          <w:bCs/>
        </w:rPr>
        <w:t>D</w:t>
      </w:r>
      <w:r w:rsidRPr="002848CC">
        <w:rPr>
          <w:bCs/>
        </w:rPr>
        <w:t>elegate to the proposed amendments to the Product Information (PI) and Consumer Medicine Information (CMI).</w:t>
      </w:r>
    </w:p>
    <w:p w:rsidR="00846F7D" w:rsidRPr="00D724FC" w:rsidRDefault="00846F7D" w:rsidP="00AA3603">
      <w:pPr>
        <w:pStyle w:val="Heading5"/>
        <w:rPr>
          <w:szCs w:val="22"/>
          <w:highlight w:val="yellow"/>
        </w:rPr>
      </w:pPr>
      <w:r w:rsidRPr="00D724FC">
        <w:t xml:space="preserve">Specific </w:t>
      </w:r>
      <w:r w:rsidR="00985004">
        <w:t>a</w:t>
      </w:r>
      <w:r w:rsidRPr="00D724FC">
        <w:t>dvice</w:t>
      </w:r>
    </w:p>
    <w:p w:rsidR="00846F7D" w:rsidRDefault="00846F7D" w:rsidP="00846F7D">
      <w:pPr>
        <w:rPr>
          <w:rFonts w:cs="Arial"/>
        </w:rPr>
      </w:pPr>
      <w:r w:rsidRPr="001E711E">
        <w:rPr>
          <w:rFonts w:cs="Arial"/>
        </w:rPr>
        <w:t>The ACPM advi</w:t>
      </w:r>
      <w:r>
        <w:rPr>
          <w:rFonts w:cs="Arial"/>
        </w:rPr>
        <w:t>s</w:t>
      </w:r>
      <w:r w:rsidRPr="001E711E">
        <w:rPr>
          <w:rFonts w:cs="Arial"/>
        </w:rPr>
        <w:t xml:space="preserve">ed the following in response to the </w:t>
      </w:r>
      <w:r w:rsidR="00AA3603">
        <w:rPr>
          <w:rFonts w:cs="Arial"/>
        </w:rPr>
        <w:t>D</w:t>
      </w:r>
      <w:r w:rsidRPr="001E711E">
        <w:rPr>
          <w:rFonts w:cs="Arial"/>
        </w:rPr>
        <w:t>elegate’s specific questions on this submission:</w:t>
      </w:r>
    </w:p>
    <w:p w:rsidR="00846F7D" w:rsidRPr="0076534F" w:rsidRDefault="00846F7D" w:rsidP="00AA3603">
      <w:pPr>
        <w:pStyle w:val="Heading6"/>
        <w:rPr>
          <w:iCs/>
          <w:highlight w:val="yellow"/>
        </w:rPr>
      </w:pPr>
      <w:r w:rsidRPr="0076534F">
        <w:t xml:space="preserve">For the </w:t>
      </w:r>
      <w:proofErr w:type="spellStart"/>
      <w:r w:rsidR="00985004" w:rsidRPr="0076534F">
        <w:t>enthesitis</w:t>
      </w:r>
      <w:proofErr w:type="spellEnd"/>
      <w:r w:rsidR="00985004" w:rsidRPr="0076534F">
        <w:t xml:space="preserve"> related arthritis indication</w:t>
      </w:r>
    </w:p>
    <w:p w:rsidR="00846F7D" w:rsidRPr="00E57B80" w:rsidRDefault="00846F7D" w:rsidP="00846F7D">
      <w:pPr>
        <w:rPr>
          <w:bCs/>
          <w:i/>
          <w:iCs/>
          <w:noProof/>
        </w:rPr>
      </w:pPr>
      <w:r>
        <w:rPr>
          <w:bCs/>
          <w:i/>
          <w:iCs/>
          <w:noProof/>
        </w:rPr>
        <w:tab/>
      </w:r>
      <w:r w:rsidRPr="00E57B80">
        <w:rPr>
          <w:bCs/>
          <w:i/>
          <w:iCs/>
          <w:noProof/>
        </w:rPr>
        <w:t>Should there be a stopping rule for patients who do not respond?</w:t>
      </w:r>
    </w:p>
    <w:p w:rsidR="00846F7D" w:rsidRPr="00E57B80" w:rsidRDefault="00846F7D" w:rsidP="00846F7D">
      <w:pPr>
        <w:rPr>
          <w:bCs/>
          <w:iCs/>
          <w:noProof/>
        </w:rPr>
      </w:pPr>
      <w:r w:rsidRPr="00E57B80">
        <w:rPr>
          <w:bCs/>
          <w:iCs/>
          <w:noProof/>
        </w:rPr>
        <w:t xml:space="preserve">The ACPM was of the view that it is not appropriate to continue therapy </w:t>
      </w:r>
      <w:r>
        <w:rPr>
          <w:bCs/>
          <w:iCs/>
          <w:noProof/>
        </w:rPr>
        <w:t>in patients</w:t>
      </w:r>
      <w:r w:rsidRPr="00E57B80">
        <w:rPr>
          <w:bCs/>
          <w:iCs/>
          <w:noProof/>
        </w:rPr>
        <w:t xml:space="preserve"> who are not responding. The ACPM</w:t>
      </w:r>
      <w:r>
        <w:rPr>
          <w:bCs/>
          <w:iCs/>
          <w:noProof/>
        </w:rPr>
        <w:t xml:space="preserve"> noted that the sponsor in its pre-ACPM response agreed that the PI should highlight that </w:t>
      </w:r>
      <w:r w:rsidRPr="00627B3F">
        <w:rPr>
          <w:bCs/>
          <w:iCs/>
          <w:noProof/>
        </w:rPr>
        <w:t>contin</w:t>
      </w:r>
      <w:r>
        <w:rPr>
          <w:bCs/>
          <w:iCs/>
          <w:noProof/>
        </w:rPr>
        <w:t xml:space="preserve">ued therapy should be carefully </w:t>
      </w:r>
      <w:r w:rsidRPr="00627B3F">
        <w:rPr>
          <w:bCs/>
          <w:iCs/>
          <w:noProof/>
        </w:rPr>
        <w:t xml:space="preserve">considered in children with juvenile idiopathic arthritis </w:t>
      </w:r>
      <w:r>
        <w:rPr>
          <w:bCs/>
          <w:iCs/>
          <w:noProof/>
        </w:rPr>
        <w:t>(JIA) who are not responding by Week 12</w:t>
      </w:r>
      <w:r w:rsidRPr="00E57B80">
        <w:rPr>
          <w:bCs/>
          <w:iCs/>
          <w:noProof/>
        </w:rPr>
        <w:t>.</w:t>
      </w:r>
    </w:p>
    <w:p w:rsidR="00846F7D" w:rsidRPr="00AA3603" w:rsidRDefault="00846F7D" w:rsidP="00AA3603">
      <w:pPr>
        <w:ind w:left="720"/>
        <w:rPr>
          <w:i/>
          <w:noProof/>
        </w:rPr>
      </w:pPr>
      <w:r w:rsidRPr="00AA3603">
        <w:rPr>
          <w:i/>
          <w:noProof/>
        </w:rPr>
        <w:t>Should prescription be limited to paediatric rheumatologists or immunologists to ensure patients are accurately diagnosed and monitored?</w:t>
      </w:r>
    </w:p>
    <w:p w:rsidR="00846F7D" w:rsidRPr="00E57B80" w:rsidRDefault="00846F7D" w:rsidP="00846F7D">
      <w:pPr>
        <w:rPr>
          <w:bCs/>
          <w:iCs/>
          <w:noProof/>
        </w:rPr>
      </w:pPr>
      <w:r w:rsidRPr="00E57B80">
        <w:rPr>
          <w:bCs/>
          <w:iCs/>
          <w:noProof/>
        </w:rPr>
        <w:t>The ACPM</w:t>
      </w:r>
      <w:r>
        <w:rPr>
          <w:bCs/>
          <w:iCs/>
          <w:noProof/>
        </w:rPr>
        <w:t xml:space="preserve"> not</w:t>
      </w:r>
      <w:r w:rsidRPr="00E57B80">
        <w:rPr>
          <w:bCs/>
          <w:iCs/>
          <w:noProof/>
        </w:rPr>
        <w:t xml:space="preserve">ed that treatment with this drug </w:t>
      </w:r>
      <w:r>
        <w:rPr>
          <w:bCs/>
          <w:iCs/>
          <w:noProof/>
        </w:rPr>
        <w:t xml:space="preserve">is generally </w:t>
      </w:r>
      <w:r w:rsidRPr="00E57B80">
        <w:rPr>
          <w:bCs/>
          <w:iCs/>
          <w:noProof/>
        </w:rPr>
        <w:t xml:space="preserve">initiated and supervised by a </w:t>
      </w:r>
      <w:r>
        <w:rPr>
          <w:bCs/>
          <w:iCs/>
          <w:noProof/>
        </w:rPr>
        <w:t>expert physicians and therefore use outside the indication is unlikely</w:t>
      </w:r>
      <w:r w:rsidRPr="00E57B80">
        <w:rPr>
          <w:bCs/>
          <w:iCs/>
          <w:noProof/>
        </w:rPr>
        <w:t>.</w:t>
      </w:r>
    </w:p>
    <w:p w:rsidR="00846F7D" w:rsidRPr="00AA3603" w:rsidRDefault="00846F7D" w:rsidP="00AA3603">
      <w:pPr>
        <w:ind w:firstLine="720"/>
        <w:rPr>
          <w:i/>
          <w:noProof/>
        </w:rPr>
      </w:pPr>
      <w:r w:rsidRPr="00AA3603">
        <w:rPr>
          <w:i/>
          <w:noProof/>
        </w:rPr>
        <w:t>Does there need to be different age restrictions for different indications?</w:t>
      </w:r>
    </w:p>
    <w:p w:rsidR="00D24962" w:rsidRDefault="00846F7D" w:rsidP="00846F7D">
      <w:pPr>
        <w:rPr>
          <w:bCs/>
          <w:iCs/>
          <w:noProof/>
        </w:rPr>
      </w:pPr>
      <w:r w:rsidRPr="00E57B80">
        <w:rPr>
          <w:bCs/>
          <w:iCs/>
          <w:noProof/>
        </w:rPr>
        <w:t>The ACPM advised that there is no need for different age restrictions for different indications.The ACPM noted that the pharmacokinetics in children aged 4 to 10 years of age has been established and the adalimumab population pharmacokinetic analysis highlighted that there was no difference by indication. The ACPM advised that on this basis weight based dosing may be preferred rather than limiting each indication by age.</w:t>
      </w:r>
      <w:r>
        <w:rPr>
          <w:bCs/>
          <w:iCs/>
          <w:noProof/>
        </w:rPr>
        <w:t xml:space="preserve"> </w:t>
      </w:r>
      <w:r w:rsidRPr="00E57B80">
        <w:rPr>
          <w:bCs/>
          <w:iCs/>
          <w:noProof/>
        </w:rPr>
        <w:t>The ACPM also advised that the lower age limit of adalimumab</w:t>
      </w:r>
      <w:r>
        <w:rPr>
          <w:bCs/>
          <w:iCs/>
          <w:noProof/>
        </w:rPr>
        <w:t xml:space="preserve"> </w:t>
      </w:r>
      <w:r w:rsidRPr="00E57B80">
        <w:rPr>
          <w:bCs/>
          <w:iCs/>
          <w:noProof/>
        </w:rPr>
        <w:t xml:space="preserve">to below 2 years </w:t>
      </w:r>
      <w:r>
        <w:rPr>
          <w:bCs/>
          <w:iCs/>
          <w:noProof/>
        </w:rPr>
        <w:t>should not be reduced as there is insufficient</w:t>
      </w:r>
      <w:r w:rsidRPr="00E57B80">
        <w:rPr>
          <w:bCs/>
          <w:iCs/>
          <w:noProof/>
        </w:rPr>
        <w:t xml:space="preserve"> evidence to support this</w:t>
      </w:r>
      <w:r w:rsidR="00D24962">
        <w:rPr>
          <w:bCs/>
          <w:iCs/>
          <w:noProof/>
        </w:rPr>
        <w:t>.</w:t>
      </w:r>
    </w:p>
    <w:p w:rsidR="00846F7D" w:rsidRPr="00E57B80" w:rsidRDefault="00846F7D" w:rsidP="00AA3603">
      <w:pPr>
        <w:pStyle w:val="Heading5"/>
        <w:rPr>
          <w:noProof/>
        </w:rPr>
      </w:pPr>
      <w:r w:rsidRPr="00E57B80">
        <w:rPr>
          <w:noProof/>
        </w:rPr>
        <w:t xml:space="preserve">For the </w:t>
      </w:r>
      <w:r w:rsidR="00985004">
        <w:rPr>
          <w:noProof/>
        </w:rPr>
        <w:t>p</w:t>
      </w:r>
      <w:r w:rsidRPr="00E57B80">
        <w:rPr>
          <w:noProof/>
        </w:rPr>
        <w:t>laque psoriasis indication:</w:t>
      </w:r>
    </w:p>
    <w:p w:rsidR="00846F7D" w:rsidRPr="00AA3603" w:rsidRDefault="00846F7D" w:rsidP="00AA3603">
      <w:pPr>
        <w:ind w:left="720"/>
        <w:rPr>
          <w:i/>
          <w:noProof/>
        </w:rPr>
      </w:pPr>
      <w:r w:rsidRPr="00AA3603">
        <w:rPr>
          <w:i/>
          <w:noProof/>
        </w:rPr>
        <w:t>Would it be appropriate to limit the indication to severe plaque psoriasis in children, as defined in the clinical trial supporting this indication?</w:t>
      </w:r>
    </w:p>
    <w:p w:rsidR="00846F7D" w:rsidRPr="00E57B80" w:rsidRDefault="00846F7D" w:rsidP="00846F7D">
      <w:pPr>
        <w:rPr>
          <w:bCs/>
          <w:iCs/>
          <w:noProof/>
        </w:rPr>
      </w:pPr>
      <w:r w:rsidRPr="00E57B80">
        <w:rPr>
          <w:bCs/>
          <w:iCs/>
          <w:noProof/>
        </w:rPr>
        <w:t>The ACPM advised that it would be appropriate to limit the psoriasis indication in children to severe plaque psoriasis reflecting the clinical trial data.</w:t>
      </w:r>
    </w:p>
    <w:p w:rsidR="00846F7D" w:rsidRPr="00AA3603" w:rsidRDefault="00846F7D" w:rsidP="00AA3603">
      <w:pPr>
        <w:ind w:left="720"/>
        <w:rPr>
          <w:i/>
          <w:noProof/>
        </w:rPr>
      </w:pPr>
      <w:r w:rsidRPr="00AA3603">
        <w:rPr>
          <w:i/>
          <w:noProof/>
        </w:rPr>
        <w:lastRenderedPageBreak/>
        <w:t>Is it appropriate to increase the age of eligibility for treatment of adalimumab for plaque psoriasis from the proposed 4 years to 6 years based on the patients assessed in the clinical trial supporting this indication?</w:t>
      </w:r>
    </w:p>
    <w:p w:rsidR="00846F7D" w:rsidRPr="00E57B80" w:rsidRDefault="00846F7D" w:rsidP="00846F7D">
      <w:pPr>
        <w:rPr>
          <w:bCs/>
          <w:iCs/>
          <w:noProof/>
        </w:rPr>
      </w:pPr>
      <w:r w:rsidRPr="00E57B80">
        <w:rPr>
          <w:bCs/>
          <w:iCs/>
          <w:noProof/>
        </w:rPr>
        <w:t>The ACPM noted that the PSOR trial recruited from age 4, although no subject below 6 years was enrolled in the higher dose arm. The ACPM also noted that it is difficult to recruit children under the age of 6. Therefore</w:t>
      </w:r>
      <w:r>
        <w:rPr>
          <w:bCs/>
          <w:iCs/>
          <w:noProof/>
        </w:rPr>
        <w:t>,</w:t>
      </w:r>
      <w:r w:rsidRPr="00E57B80">
        <w:rPr>
          <w:bCs/>
          <w:iCs/>
          <w:noProof/>
        </w:rPr>
        <w:t xml:space="preserve"> the ACPM advised trial design should be followed and eligibility for treatment should be from 4 years of age.</w:t>
      </w:r>
    </w:p>
    <w:p w:rsidR="00D24962" w:rsidRDefault="00846F7D" w:rsidP="00AA3603">
      <w:pPr>
        <w:ind w:left="720"/>
        <w:rPr>
          <w:i/>
          <w:noProof/>
        </w:rPr>
      </w:pPr>
      <w:r w:rsidRPr="00AA3603">
        <w:rPr>
          <w:i/>
          <w:noProof/>
        </w:rPr>
        <w:t>Please comment on the proposed amended indication, which is modelled on that of etanercept for paediatric psoriasis:</w:t>
      </w:r>
    </w:p>
    <w:p w:rsidR="00846F7D" w:rsidRPr="00B82E78" w:rsidRDefault="00846F7D" w:rsidP="00AA3603">
      <w:pPr>
        <w:ind w:left="720"/>
        <w:rPr>
          <w:noProof/>
        </w:rPr>
      </w:pPr>
      <w:r w:rsidRPr="00AA3603">
        <w:rPr>
          <w:i/>
          <w:noProof/>
        </w:rPr>
        <w:t>̕Chronic, severe plaque psoriasis in children and adolescents from 6 to 17 years, who are inadequately controlled by, or are intolerant to, other systemic therapies or phototherapies. Duration of therapy to be no longer than 52 weeks and treatment to be ceased after 16 weeks if a significant PASI response is not achieved.̕</w:t>
      </w:r>
    </w:p>
    <w:p w:rsidR="00846F7D" w:rsidRPr="00E57B80" w:rsidRDefault="00846F7D" w:rsidP="00846F7D">
      <w:pPr>
        <w:rPr>
          <w:bCs/>
          <w:iCs/>
          <w:noProof/>
        </w:rPr>
      </w:pPr>
      <w:r w:rsidRPr="00E57B80">
        <w:rPr>
          <w:bCs/>
          <w:iCs/>
          <w:noProof/>
        </w:rPr>
        <w:t>The ACPM</w:t>
      </w:r>
      <w:r>
        <w:rPr>
          <w:bCs/>
          <w:iCs/>
          <w:noProof/>
        </w:rPr>
        <w:t xml:space="preserve"> advised</w:t>
      </w:r>
      <w:r w:rsidRPr="00E57B80">
        <w:rPr>
          <w:bCs/>
          <w:iCs/>
          <w:noProof/>
        </w:rPr>
        <w:t xml:space="preserve"> that the indication should be for severe plaque psoriasis </w:t>
      </w:r>
      <w:r>
        <w:rPr>
          <w:bCs/>
          <w:iCs/>
          <w:noProof/>
        </w:rPr>
        <w:t>in</w:t>
      </w:r>
      <w:r w:rsidRPr="00E57B80">
        <w:rPr>
          <w:bCs/>
          <w:iCs/>
          <w:noProof/>
        </w:rPr>
        <w:t xml:space="preserve"> children and adolescents aged from 4 years of age. The ACPM also advised that it is appropriate to </w:t>
      </w:r>
      <w:r>
        <w:rPr>
          <w:bCs/>
          <w:iCs/>
          <w:noProof/>
        </w:rPr>
        <w:t>cease</w:t>
      </w:r>
      <w:r w:rsidRPr="00E57B80">
        <w:rPr>
          <w:bCs/>
          <w:iCs/>
          <w:noProof/>
        </w:rPr>
        <w:t xml:space="preserve"> therapy at 16 weeks if the patient is not responding but effective therapy should not necessarily be ceased at 52 weeks and that this should a clincial decision.</w:t>
      </w:r>
    </w:p>
    <w:p w:rsidR="00D24962" w:rsidRDefault="00846F7D" w:rsidP="00846F7D">
      <w:pPr>
        <w:rPr>
          <w:bCs/>
        </w:rPr>
      </w:pPr>
      <w:r w:rsidRPr="002848CC">
        <w:rPr>
          <w:bCs/>
        </w:rPr>
        <w:t>The ACPM advised that implementation by the sponsor of the recommendations outlined above to the satisfaction of the TGA, in addition to the evidence of efficacy and safety provided would support the safe and effective use of these produ</w:t>
      </w:r>
      <w:r w:rsidRPr="0076534F">
        <w:rPr>
          <w:bCs/>
        </w:rPr>
        <w:t>cts</w:t>
      </w:r>
      <w:r w:rsidR="00D24962">
        <w:rPr>
          <w:bCs/>
        </w:rPr>
        <w:t>.</w:t>
      </w:r>
    </w:p>
    <w:p w:rsidR="008E7846" w:rsidRPr="002E238E" w:rsidRDefault="008E7846" w:rsidP="008E7846">
      <w:pPr>
        <w:pStyle w:val="Heading3"/>
      </w:pPr>
      <w:bookmarkStart w:id="155" w:name="_Toc247691532"/>
      <w:bookmarkStart w:id="156" w:name="_Toc314842516"/>
      <w:bookmarkStart w:id="157" w:name="_Toc479772070"/>
      <w:bookmarkEnd w:id="78"/>
      <w:bookmarkEnd w:id="152"/>
      <w:bookmarkEnd w:id="153"/>
      <w:r>
        <w:t>Outcome</w:t>
      </w:r>
      <w:bookmarkEnd w:id="155"/>
      <w:bookmarkEnd w:id="156"/>
      <w:bookmarkEnd w:id="157"/>
    </w:p>
    <w:p w:rsidR="00D23139" w:rsidRPr="00D23139" w:rsidRDefault="00D23139" w:rsidP="00D23139">
      <w:bookmarkStart w:id="158" w:name="_Toc247691533"/>
      <w:bookmarkStart w:id="159" w:name="_Toc314842517"/>
      <w:r w:rsidRPr="00D23139">
        <w:t xml:space="preserve">Based on a review of quality, safety and efficacy, TGA approved the registration of </w:t>
      </w:r>
      <w:r w:rsidR="00E07240" w:rsidRPr="00E07240">
        <w:t>H</w:t>
      </w:r>
      <w:r w:rsidR="00E07240">
        <w:t>umira</w:t>
      </w:r>
      <w:r w:rsidR="00E07240" w:rsidRPr="00E07240">
        <w:t xml:space="preserve"> containing adalimumab</w:t>
      </w:r>
      <w:r w:rsidRPr="00D23139">
        <w:t xml:space="preserve"> for </w:t>
      </w:r>
      <w:r w:rsidR="009322BC">
        <w:t>subcutaneous injection</w:t>
      </w:r>
      <w:r w:rsidRPr="00D23139">
        <w:t>, indicated for:</w:t>
      </w:r>
    </w:p>
    <w:p w:rsidR="00C448E4" w:rsidRPr="00985004" w:rsidRDefault="00C448E4" w:rsidP="00C448E4">
      <w:pPr>
        <w:ind w:left="720"/>
        <w:rPr>
          <w:i/>
        </w:rPr>
      </w:pPr>
      <w:r w:rsidRPr="00985004">
        <w:rPr>
          <w:i/>
        </w:rPr>
        <w:t>Enthesitis-Related Arthritis</w:t>
      </w:r>
    </w:p>
    <w:p w:rsidR="00C448E4" w:rsidRPr="00C448E4" w:rsidRDefault="00C448E4" w:rsidP="00C448E4">
      <w:pPr>
        <w:ind w:left="720"/>
        <w:rPr>
          <w:i/>
        </w:rPr>
      </w:pPr>
      <w:r w:rsidRPr="00C448E4">
        <w:rPr>
          <w:i/>
        </w:rPr>
        <w:t>Humira is indicated for the treatment of enthesitis-related arthritis in children, who have had an inadequate response to, or who are intolerant to, conventional therapy.</w:t>
      </w:r>
    </w:p>
    <w:p w:rsidR="00C448E4" w:rsidRPr="00985004" w:rsidRDefault="00C448E4" w:rsidP="00C448E4">
      <w:pPr>
        <w:ind w:left="720"/>
        <w:rPr>
          <w:i/>
        </w:rPr>
      </w:pPr>
      <w:r w:rsidRPr="00985004">
        <w:rPr>
          <w:i/>
        </w:rPr>
        <w:t>Psoriasis in Adults and Children</w:t>
      </w:r>
    </w:p>
    <w:p w:rsidR="00C448E4" w:rsidRPr="00C448E4" w:rsidRDefault="00C448E4" w:rsidP="00C448E4">
      <w:pPr>
        <w:ind w:left="720"/>
        <w:rPr>
          <w:i/>
        </w:rPr>
      </w:pPr>
      <w:r w:rsidRPr="00C448E4">
        <w:rPr>
          <w:i/>
        </w:rPr>
        <w:t>Humira is indicated for the treatment of moderate to severe chronic plaque psoriasis in adult patients who are candidates for systemic therapy or phototherapy.</w:t>
      </w:r>
    </w:p>
    <w:p w:rsidR="00D23139" w:rsidRPr="00C448E4" w:rsidRDefault="00C448E4" w:rsidP="00C448E4">
      <w:pPr>
        <w:ind w:left="720"/>
        <w:rPr>
          <w:i/>
        </w:rPr>
      </w:pPr>
      <w:r w:rsidRPr="00C448E4">
        <w:rPr>
          <w:i/>
        </w:rPr>
        <w:t>Humira is indicated for the treatment of severe chronic plaque psoriasis in children and adolescent patients from 4 years of age who have had an inadequate response to or are inappropriate candidates for topical therapy and phototherapy</w:t>
      </w:r>
    </w:p>
    <w:p w:rsidR="00D23139" w:rsidRPr="00D23139" w:rsidRDefault="00D23139" w:rsidP="00D23139">
      <w:pPr>
        <w:pStyle w:val="Heading4"/>
      </w:pPr>
      <w:r w:rsidRPr="00D23139">
        <w:t>Specific conditions of registration applying to these goods</w:t>
      </w:r>
    </w:p>
    <w:p w:rsidR="00D23139" w:rsidRPr="00274D9C" w:rsidRDefault="00C448E4" w:rsidP="00274D9C">
      <w:pPr>
        <w:pStyle w:val="Numberbullet0"/>
        <w:numPr>
          <w:ilvl w:val="0"/>
          <w:numId w:val="37"/>
        </w:numPr>
      </w:pPr>
      <w:r w:rsidRPr="00274D9C">
        <w:t>The European Risk Management Plan for HUMIRA EU-Risk Management Plan (EURMP), version 12.0, dated August 2015 (data lock point 31 December 2014), as qualified by the Australian Specific Annex (Version 5.1, dated December 2015), included with submission PM-2015-01149-1-3, and any subsequent revisions, as agreed with the TGA will be implemented in Australia.</w:t>
      </w:r>
    </w:p>
    <w:p w:rsidR="00D24962" w:rsidRDefault="00C448E4" w:rsidP="00274D9C">
      <w:pPr>
        <w:pStyle w:val="Numberbullet0"/>
        <w:numPr>
          <w:ilvl w:val="0"/>
          <w:numId w:val="37"/>
        </w:numPr>
        <w:rPr>
          <w:rFonts w:eastAsiaTheme="minorHAnsi" w:cs="Cambria"/>
        </w:rPr>
      </w:pPr>
      <w:r w:rsidRPr="00274D9C">
        <w:t>The final study reports for the following studies must be submitted to the TGA, as soon as possible after completion, for evaluation as a Category 1 submissions(s)</w:t>
      </w:r>
      <w:r w:rsidRPr="00274D9C">
        <w:rPr>
          <w:rFonts w:eastAsiaTheme="minorHAnsi" w:cs="Cambria"/>
        </w:rPr>
        <w:t>:</w:t>
      </w:r>
    </w:p>
    <w:p w:rsidR="00C448E4" w:rsidRDefault="00C448E4" w:rsidP="00274D9C">
      <w:pPr>
        <w:pStyle w:val="Numberbullet2"/>
      </w:pPr>
      <w:r>
        <w:t xml:space="preserve">Study M11-328- </w:t>
      </w:r>
      <w:r w:rsidR="0031116A">
        <w:t>‘</w:t>
      </w:r>
      <w:r>
        <w:t>Long-term</w:t>
      </w:r>
      <w:r w:rsidR="0031116A">
        <w:t>’</w:t>
      </w:r>
      <w:r>
        <w:t xml:space="preserve"> </w:t>
      </w:r>
      <w:proofErr w:type="spellStart"/>
      <w:r>
        <w:t>PedERA</w:t>
      </w:r>
      <w:proofErr w:type="spellEnd"/>
      <w:r>
        <w:t xml:space="preserve"> extension study with exposure up to 204 weeks</w:t>
      </w:r>
    </w:p>
    <w:p w:rsidR="00C448E4" w:rsidRDefault="00C448E4" w:rsidP="00274D9C">
      <w:pPr>
        <w:pStyle w:val="Numberbullet2"/>
      </w:pPr>
      <w:r>
        <w:t>Study P11-292 - Paediatric Crohn’s Disease registry</w:t>
      </w:r>
    </w:p>
    <w:p w:rsidR="00C448E4" w:rsidRPr="00D23139" w:rsidRDefault="00C448E4" w:rsidP="00274D9C">
      <w:pPr>
        <w:pStyle w:val="Numberbullet2"/>
      </w:pPr>
      <w:r>
        <w:lastRenderedPageBreak/>
        <w:t>Study P10-262 STRIVE- A 10 year multicentre, longitudinal post-marketing observational study of adalimumab in children with active juvenile idiopathic arthritis</w:t>
      </w:r>
    </w:p>
    <w:p w:rsidR="008E7846" w:rsidRDefault="00A80B5B" w:rsidP="00D23139">
      <w:pPr>
        <w:pStyle w:val="Heading2"/>
      </w:pPr>
      <w:bookmarkStart w:id="160" w:name="_Toc479772071"/>
      <w:proofErr w:type="gramStart"/>
      <w:r>
        <w:t>Attachment 1.</w:t>
      </w:r>
      <w:proofErr w:type="gramEnd"/>
      <w:r>
        <w:t xml:space="preserve"> </w:t>
      </w:r>
      <w:r w:rsidR="008E7846">
        <w:t xml:space="preserve">Product </w:t>
      </w:r>
      <w:r w:rsidR="00AA0ED0">
        <w:t>I</w:t>
      </w:r>
      <w:r w:rsidR="008E7846">
        <w:t>nformation</w:t>
      </w:r>
      <w:bookmarkEnd w:id="158"/>
      <w:bookmarkEnd w:id="159"/>
      <w:bookmarkEnd w:id="160"/>
    </w:p>
    <w:p w:rsidR="00C80137" w:rsidRDefault="006136D7" w:rsidP="00C80137">
      <w:pPr>
        <w:rPr>
          <w:color w:val="000000"/>
          <w:lang w:eastAsia="en-AU"/>
        </w:rPr>
      </w:pPr>
      <w:r w:rsidRPr="002B3624">
        <w:t xml:space="preserve">The </w:t>
      </w:r>
      <w:r>
        <w:t>PI</w:t>
      </w:r>
      <w:r w:rsidRPr="002B3624">
        <w:t xml:space="preserve"> for </w:t>
      </w:r>
      <w:r w:rsidR="00C448E4">
        <w:t>Humira</w:t>
      </w:r>
      <w:r w:rsidRPr="002B3624">
        <w:t xml:space="preserve"> </w:t>
      </w:r>
      <w:r>
        <w:t xml:space="preserve">approved with the submission which is described in </w:t>
      </w:r>
      <w:r w:rsidRPr="002B3624">
        <w:t xml:space="preserve">this AusPAR is at Attachment 1. For the most recent </w:t>
      </w:r>
      <w:r>
        <w:t>PI,</w:t>
      </w:r>
      <w:r w:rsidRPr="002B3624">
        <w:t xml:space="preserve"> please refer to the </w:t>
      </w:r>
      <w:r w:rsidRPr="007C6B9B">
        <w:t xml:space="preserve">TGA website at </w:t>
      </w:r>
      <w:r w:rsidR="007C6B9B" w:rsidRPr="007C6B9B">
        <w:t>&lt;</w:t>
      </w:r>
      <w:hyperlink r:id="rId26" w:history="1">
        <w:r w:rsidR="007C6B9B" w:rsidRPr="007C6B9B">
          <w:rPr>
            <w:rStyle w:val="Hyperlink"/>
          </w:rPr>
          <w:t>https://www.tga.gov.au/product-information-pi</w:t>
        </w:r>
      </w:hyperlink>
      <w:r w:rsidR="00C448E4">
        <w:t>&gt;.</w:t>
      </w:r>
    </w:p>
    <w:p w:rsidR="00C80137" w:rsidRDefault="00C80137" w:rsidP="00C80137">
      <w:pPr>
        <w:pStyle w:val="Heading2"/>
        <w:rPr>
          <w:lang w:eastAsia="en-AU"/>
        </w:rPr>
      </w:pPr>
      <w:bookmarkStart w:id="161" w:name="_Toc479772072"/>
      <w:proofErr w:type="gramStart"/>
      <w:r>
        <w:rPr>
          <w:lang w:eastAsia="en-AU"/>
        </w:rPr>
        <w:t>Attachment 2.</w:t>
      </w:r>
      <w:proofErr w:type="gramEnd"/>
      <w:r w:rsidR="00A80B5B">
        <w:rPr>
          <w:lang w:eastAsia="en-AU"/>
        </w:rPr>
        <w:t xml:space="preserve"> </w:t>
      </w:r>
      <w:r>
        <w:rPr>
          <w:lang w:eastAsia="en-AU"/>
        </w:rPr>
        <w:t>Extract from the Clinical Evaluation Report</w:t>
      </w:r>
      <w:bookmarkEnd w:id="161"/>
    </w:p>
    <w:p w:rsidR="00291957" w:rsidRDefault="00291957" w:rsidP="00291957">
      <w:pPr>
        <w:rPr>
          <w:lang w:eastAsia="ja-JP"/>
        </w:rPr>
      </w:pPr>
    </w:p>
    <w:p w:rsidR="00C80137" w:rsidRPr="001D043B" w:rsidRDefault="00C80137" w:rsidP="003A7F6C">
      <w:pPr>
        <w:pStyle w:val="TableTitle"/>
        <w:sectPr w:rsidR="00C80137" w:rsidRPr="001D043B" w:rsidSect="00B452CE">
          <w:headerReference w:type="even" r:id="rId27"/>
          <w:headerReference w:type="default" r:id="rId28"/>
          <w:headerReference w:type="first" r:id="rId29"/>
          <w:footerReference w:type="first" r:id="rId30"/>
          <w:pgSz w:w="11906" w:h="16838" w:code="9"/>
          <w:pgMar w:top="834" w:right="1701" w:bottom="1191" w:left="1701" w:header="907" w:footer="216" w:gutter="0"/>
          <w:cols w:space="708"/>
          <w:docGrid w:linePitch="360"/>
        </w:sectPr>
      </w:pP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1C32CD" w:rsidRPr="00487162" w:rsidTr="00A05FA4">
        <w:trPr>
          <w:trHeight w:hRule="exact" w:val="704"/>
        </w:trPr>
        <w:tc>
          <w:tcPr>
            <w:tcW w:w="9175" w:type="dxa"/>
          </w:tcPr>
          <w:p w:rsidR="001C32CD" w:rsidRPr="00487162" w:rsidRDefault="001C32CD" w:rsidP="00A05FA4">
            <w:pPr>
              <w:pStyle w:val="TGASignoff"/>
            </w:pPr>
            <w:r w:rsidRPr="00487162">
              <w:lastRenderedPageBreak/>
              <w:t>Therapeutic Goods Administration</w:t>
            </w:r>
          </w:p>
        </w:tc>
      </w:tr>
      <w:tr w:rsidR="001C32CD" w:rsidRPr="004C239D" w:rsidTr="00A05FA4">
        <w:trPr>
          <w:trHeight w:val="1221"/>
        </w:trPr>
        <w:tc>
          <w:tcPr>
            <w:tcW w:w="9175" w:type="dxa"/>
            <w:tcMar>
              <w:top w:w="28" w:type="dxa"/>
            </w:tcMar>
          </w:tcPr>
          <w:p w:rsidR="001C32CD" w:rsidRPr="00487162" w:rsidRDefault="001C32CD" w:rsidP="00A05FA4">
            <w:pPr>
              <w:pStyle w:val="Address"/>
            </w:pPr>
            <w:r w:rsidRPr="00487162">
              <w:t>PO Box 100 Woden ACT 2606 Australia</w:t>
            </w:r>
          </w:p>
          <w:p w:rsidR="001C32CD" w:rsidRPr="00487162" w:rsidRDefault="001C32CD" w:rsidP="00A05FA4">
            <w:pPr>
              <w:pStyle w:val="Address"/>
            </w:pPr>
            <w:r w:rsidRPr="00487162">
              <w:t xml:space="preserve">Email: </w:t>
            </w:r>
            <w:hyperlink r:id="rId31" w:history="1">
              <w:r w:rsidRPr="004C239D">
                <w:rPr>
                  <w:rStyle w:val="Hyperlink"/>
                </w:rPr>
                <w:t>info@tga.gov.au</w:t>
              </w:r>
            </w:hyperlink>
            <w:r w:rsidR="00184B82">
              <w:t xml:space="preserve"> </w:t>
            </w:r>
            <w:r w:rsidRPr="00487162">
              <w:t>Phone: 1800 020 653</w:t>
            </w:r>
            <w:r w:rsidR="00184B82">
              <w:t xml:space="preserve"> </w:t>
            </w:r>
            <w:r w:rsidRPr="00487162">
              <w:t>Fax: 02 6232 8605</w:t>
            </w:r>
          </w:p>
          <w:p w:rsidR="001C32CD" w:rsidRPr="004C239D" w:rsidRDefault="00E8585E" w:rsidP="00A05FA4">
            <w:pPr>
              <w:pStyle w:val="Address"/>
              <w:spacing w:line="260" w:lineRule="atLeast"/>
              <w:rPr>
                <w:b/>
                <w:color w:val="0000FF"/>
                <w:u w:val="single"/>
              </w:rPr>
            </w:pPr>
            <w:hyperlink r:id="rId32" w:history="1">
              <w:r w:rsidR="007C6B9B" w:rsidRPr="007C6B9B">
                <w:rPr>
                  <w:rStyle w:val="Hyperlink"/>
                  <w:b/>
                </w:rPr>
                <w:t>https://www.tga.gov.au</w:t>
              </w:r>
            </w:hyperlink>
          </w:p>
        </w:tc>
      </w:tr>
    </w:tbl>
    <w:p w:rsidR="00774E1D" w:rsidRPr="008A5E0B" w:rsidRDefault="00774E1D" w:rsidP="004C239D"/>
    <w:sectPr w:rsidR="00774E1D" w:rsidRPr="008A5E0B" w:rsidSect="001C32CD">
      <w:headerReference w:type="even" r:id="rId33"/>
      <w:headerReference w:type="default" r:id="rId34"/>
      <w:footerReference w:type="default" r:id="rId35"/>
      <w:headerReference w:type="first" r:id="rId36"/>
      <w:footerReference w:type="first" r:id="rId37"/>
      <w:pgSz w:w="11906" w:h="16838" w:code="9"/>
      <w:pgMar w:top="13467" w:right="1701" w:bottom="426" w:left="1701" w:header="907"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8585E" w:rsidRDefault="00E8585E" w:rsidP="00C40A36">
      <w:pPr>
        <w:spacing w:after="0"/>
      </w:pPr>
      <w:r>
        <w:separator/>
      </w:r>
    </w:p>
  </w:endnote>
  <w:endnote w:type="continuationSeparator" w:id="0">
    <w:p w:rsidR="00E8585E" w:rsidRDefault="00E8585E"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MingLiU">
    <w:altName w:val="細明體"/>
    <w:panose1 w:val="02020509000000000000"/>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TimesNewRoman">
    <w:altName w:val="MS Mincho"/>
    <w:panose1 w:val="00000000000000000000"/>
    <w:charset w:val="00"/>
    <w:family w:val="roman"/>
    <w:notTrueType/>
    <w:pitch w:val="default"/>
    <w:sig w:usb0="00000003" w:usb1="08070000" w:usb2="00000010" w:usb3="00000000" w:csb0="00020001" w:csb1="00000000"/>
  </w:font>
  <w:font w:name="SymbolMT">
    <w:altName w:val="Arial Unicode MS"/>
    <w:panose1 w:val="00000000000000000000"/>
    <w:charset w:val="80"/>
    <w:family w:val="auto"/>
    <w:notTrueType/>
    <w:pitch w:val="default"/>
    <w:sig w:usb0="00000001" w:usb1="08070000" w:usb2="00000010" w:usb3="00000000" w:csb0="00020000" w:csb1="00000000"/>
  </w:font>
  <w:font w:name="TimesNewRomanPSMT">
    <w:altName w:val="Arial Unicode MS"/>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371"/>
      <w:gridCol w:w="1490"/>
    </w:tblGrid>
    <w:tr w:rsidR="00E8585E" w:rsidRPr="00487162" w:rsidTr="00DB750B">
      <w:trPr>
        <w:trHeight w:val="269"/>
      </w:trPr>
      <w:tc>
        <w:tcPr>
          <w:tcW w:w="7371" w:type="dxa"/>
          <w:tcMar>
            <w:top w:w="142" w:type="dxa"/>
            <w:bottom w:w="0" w:type="dxa"/>
          </w:tcMar>
        </w:tcPr>
        <w:p w:rsidR="00E8585E" w:rsidRPr="00487162" w:rsidRDefault="00E8585E" w:rsidP="00C95F30">
          <w:pPr>
            <w:pStyle w:val="Footer"/>
          </w:pPr>
          <w:r w:rsidRPr="00487162">
            <w:t>AusPA</w:t>
          </w:r>
          <w:r>
            <w:t xml:space="preserve">R Humira </w:t>
          </w:r>
          <w:r w:rsidRPr="00D51439">
            <w:t xml:space="preserve">Adalimumab Abbvie Pty Ltd </w:t>
          </w:r>
          <w:r>
            <w:t>PM-2015</w:t>
          </w:r>
          <w:r w:rsidRPr="00487162">
            <w:t>-</w:t>
          </w:r>
          <w:r>
            <w:t>01149-1-3</w:t>
          </w:r>
          <w:r>
            <w:br/>
            <w:t>Final 20 March 2017</w:t>
          </w:r>
        </w:p>
      </w:tc>
      <w:tc>
        <w:tcPr>
          <w:tcW w:w="1490" w:type="dxa"/>
          <w:tcMar>
            <w:top w:w="142" w:type="dxa"/>
            <w:bottom w:w="0" w:type="dxa"/>
          </w:tcMar>
        </w:tcPr>
        <w:p w:rsidR="00E8585E" w:rsidRPr="00487162" w:rsidRDefault="00E8585E" w:rsidP="00DB750B">
          <w:pPr>
            <w:pStyle w:val="Footer"/>
            <w:jc w:val="right"/>
          </w:pPr>
          <w:r w:rsidRPr="00487162">
            <w:t xml:space="preserve">Page </w:t>
          </w:r>
          <w:r>
            <w:fldChar w:fldCharType="begin"/>
          </w:r>
          <w:r>
            <w:instrText xml:space="preserve"> PAGE  \* Arabic </w:instrText>
          </w:r>
          <w:r>
            <w:fldChar w:fldCharType="separate"/>
          </w:r>
          <w:r w:rsidR="00985004">
            <w:rPr>
              <w:noProof/>
            </w:rPr>
            <w:t>2</w:t>
          </w:r>
          <w:r>
            <w:fldChar w:fldCharType="end"/>
          </w:r>
          <w:r w:rsidRPr="00487162">
            <w:t xml:space="preserve"> of </w:t>
          </w:r>
          <w:r>
            <w:fldChar w:fldCharType="begin"/>
          </w:r>
          <w:r>
            <w:instrText xml:space="preserve"> NUMPAGES  \* Arabic </w:instrText>
          </w:r>
          <w:r>
            <w:fldChar w:fldCharType="separate"/>
          </w:r>
          <w:r w:rsidR="00985004">
            <w:rPr>
              <w:noProof/>
            </w:rPr>
            <w:t>59</w:t>
          </w:r>
          <w:r>
            <w:rPr>
              <w:noProof/>
            </w:rPr>
            <w:fldChar w:fldCharType="end"/>
          </w:r>
        </w:p>
      </w:tc>
    </w:tr>
  </w:tbl>
  <w:p w:rsidR="00E8585E" w:rsidRDefault="00E8585E" w:rsidP="003D1E6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E8585E" w:rsidRPr="00487162" w:rsidTr="00E45619">
      <w:trPr>
        <w:trHeight w:val="269"/>
      </w:trPr>
      <w:tc>
        <w:tcPr>
          <w:tcW w:w="4519" w:type="dxa"/>
          <w:tcBorders>
            <w:top w:val="single" w:sz="4" w:space="0" w:color="auto"/>
          </w:tcBorders>
          <w:tcMar>
            <w:top w:w="142" w:type="dxa"/>
            <w:bottom w:w="0" w:type="dxa"/>
          </w:tcMar>
        </w:tcPr>
        <w:p w:rsidR="00E8585E" w:rsidRPr="00487162" w:rsidRDefault="00E8585E" w:rsidP="00FE1DEE">
          <w:pPr>
            <w:pStyle w:val="Footer"/>
          </w:pPr>
          <w:r w:rsidRPr="00487162">
            <w:t>Document title, Part #, Section # - Section title</w:t>
          </w:r>
        </w:p>
        <w:p w:rsidR="00E8585E" w:rsidRPr="00487162" w:rsidRDefault="00E8585E" w:rsidP="00FE1DEE">
          <w:pPr>
            <w:pStyle w:val="Footer"/>
          </w:pPr>
          <w:r w:rsidRPr="00487162">
            <w:t>V1.0 October 2010</w:t>
          </w:r>
        </w:p>
      </w:tc>
      <w:tc>
        <w:tcPr>
          <w:tcW w:w="4342" w:type="dxa"/>
          <w:tcBorders>
            <w:top w:val="single" w:sz="4" w:space="0" w:color="auto"/>
          </w:tcBorders>
          <w:tcMar>
            <w:top w:w="142" w:type="dxa"/>
            <w:bottom w:w="0" w:type="dxa"/>
          </w:tcMar>
        </w:tcPr>
        <w:p w:rsidR="00E8585E" w:rsidRPr="00487162" w:rsidRDefault="00E8585E"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r>
            <w:fldChar w:fldCharType="begin"/>
          </w:r>
          <w:r>
            <w:instrText xml:space="preserve"> NUMPAGES  </w:instrText>
          </w:r>
          <w:r>
            <w:fldChar w:fldCharType="separate"/>
          </w:r>
          <w:r>
            <w:rPr>
              <w:noProof/>
            </w:rPr>
            <w:t>58</w:t>
          </w:r>
          <w:r>
            <w:rPr>
              <w:noProof/>
            </w:rPr>
            <w:fldChar w:fldCharType="end"/>
          </w:r>
        </w:p>
      </w:tc>
    </w:tr>
  </w:tbl>
  <w:p w:rsidR="00E8585E" w:rsidRDefault="00E8585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585E" w:rsidRPr="001C32CD" w:rsidRDefault="00E8585E" w:rsidP="001C32CD">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E8585E" w:rsidTr="0010601F">
      <w:trPr>
        <w:trHeight w:val="108"/>
      </w:trPr>
      <w:tc>
        <w:tcPr>
          <w:tcW w:w="8875" w:type="dxa"/>
          <w:gridSpan w:val="2"/>
          <w:tcBorders>
            <w:bottom w:val="single" w:sz="4" w:space="0" w:color="auto"/>
          </w:tcBorders>
          <w:tcMar>
            <w:right w:w="284" w:type="dxa"/>
          </w:tcMar>
        </w:tcPr>
        <w:p w:rsidR="00E8585E" w:rsidRDefault="00E8585E" w:rsidP="006E08B3">
          <w:pPr>
            <w:pStyle w:val="Heading3"/>
          </w:pPr>
          <w:r>
            <w:t>Copyright</w:t>
          </w:r>
        </w:p>
        <w:p w:rsidR="00E8585E" w:rsidRDefault="00E8585E" w:rsidP="006E08B3">
          <w:r>
            <w:rPr>
              <w:rFonts w:cs="Arial"/>
            </w:rPr>
            <w:t>©</w:t>
          </w:r>
          <w:r>
            <w:t xml:space="preserve"> Commonwealth of Australia [add year]</w:t>
          </w:r>
        </w:p>
        <w:p w:rsidR="00E8585E" w:rsidRDefault="00E8585E" w:rsidP="006E08B3"/>
        <w:p w:rsidR="00E8585E" w:rsidRDefault="00E8585E"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E8585E" w:rsidRDefault="00E8585E" w:rsidP="006E08B3"/>
        <w:p w:rsidR="00E8585E" w:rsidRDefault="00E8585E" w:rsidP="006E08B3">
          <w:pPr>
            <w:pStyle w:val="Heading3"/>
          </w:pPr>
          <w:r>
            <w:t>Confidentiality</w:t>
          </w:r>
        </w:p>
        <w:p w:rsidR="00E8585E" w:rsidRDefault="00E8585E"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E8585E" w:rsidRDefault="00E8585E" w:rsidP="006E08B3"/>
        <w:p w:rsidR="00E8585E" w:rsidRDefault="00E8585E" w:rsidP="006E08B3">
          <w:r>
            <w:t>For submission made by individuals, all personal details, other than your name, will be removed from your submission before it is published on the TGA’s Internet site.</w:t>
          </w:r>
        </w:p>
        <w:p w:rsidR="00E8585E" w:rsidRDefault="00E8585E" w:rsidP="006E08B3"/>
        <w:p w:rsidR="00E8585E" w:rsidRDefault="00E8585E" w:rsidP="006E08B3">
          <w:r>
            <w:t>In addition, a list of parties making submissions will be published. If you do not wish to be identified with your submission you must specifically request this in the space provided ib the submission coversheet.</w:t>
          </w:r>
        </w:p>
      </w:tc>
    </w:tr>
    <w:tr w:rsidR="00E8585E" w:rsidTr="0010601F">
      <w:trPr>
        <w:trHeight w:val="417"/>
      </w:trPr>
      <w:tc>
        <w:tcPr>
          <w:tcW w:w="4519" w:type="dxa"/>
          <w:tcBorders>
            <w:top w:val="single" w:sz="4" w:space="0" w:color="auto"/>
          </w:tcBorders>
          <w:tcMar>
            <w:top w:w="142" w:type="dxa"/>
            <w:bottom w:w="0" w:type="dxa"/>
          </w:tcMar>
        </w:tcPr>
        <w:p w:rsidR="00E8585E" w:rsidRDefault="00E8585E" w:rsidP="006E08B3">
          <w:r>
            <w:t>Document title, Part #, Section # - Section title</w:t>
          </w:r>
        </w:p>
        <w:p w:rsidR="00E8585E" w:rsidRDefault="00E8585E" w:rsidP="006E08B3">
          <w:r>
            <w:t>V1.0 October 2010</w:t>
          </w:r>
        </w:p>
      </w:tc>
      <w:tc>
        <w:tcPr>
          <w:tcW w:w="4356" w:type="dxa"/>
          <w:tcBorders>
            <w:top w:val="single" w:sz="4" w:space="0" w:color="auto"/>
          </w:tcBorders>
          <w:tcMar>
            <w:top w:w="142" w:type="dxa"/>
            <w:bottom w:w="0" w:type="dxa"/>
          </w:tcMar>
        </w:tcPr>
        <w:p w:rsidR="00E8585E" w:rsidRDefault="00E8585E"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r>
            <w:fldChar w:fldCharType="begin"/>
          </w:r>
          <w:r>
            <w:instrText xml:space="preserve"> NUMPAGES  \* Arabic </w:instrText>
          </w:r>
          <w:r>
            <w:fldChar w:fldCharType="separate"/>
          </w:r>
          <w:r>
            <w:rPr>
              <w:noProof/>
            </w:rPr>
            <w:t>58</w:t>
          </w:r>
          <w:r>
            <w:rPr>
              <w:noProof/>
            </w:rPr>
            <w:fldChar w:fldCharType="end"/>
          </w:r>
          <w:r>
            <w:t xml:space="preserve"> </w:t>
          </w:r>
        </w:p>
      </w:tc>
    </w:tr>
  </w:tbl>
  <w:p w:rsidR="00E8585E" w:rsidRDefault="00E8585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8585E" w:rsidRDefault="00E8585E" w:rsidP="00C40A36">
      <w:pPr>
        <w:spacing w:after="0"/>
      </w:pPr>
      <w:r>
        <w:separator/>
      </w:r>
    </w:p>
  </w:footnote>
  <w:footnote w:type="continuationSeparator" w:id="0">
    <w:p w:rsidR="00E8585E" w:rsidRDefault="00E8585E" w:rsidP="00C40A36">
      <w:pPr>
        <w:spacing w:after="0"/>
      </w:pPr>
      <w:r>
        <w:continuationSeparator/>
      </w:r>
    </w:p>
  </w:footnote>
  <w:footnote w:id="1">
    <w:p w:rsidR="00E8585E" w:rsidRDefault="00E8585E" w:rsidP="00D55960">
      <w:pPr>
        <w:pStyle w:val="FootnoteText"/>
      </w:pPr>
      <w:r>
        <w:rPr>
          <w:rStyle w:val="FootnoteReference"/>
        </w:rPr>
        <w:footnoteRef/>
      </w:r>
      <w:r>
        <w:t xml:space="preserve"> </w:t>
      </w:r>
      <w:r w:rsidRPr="004F2054">
        <w:t>The dose recommended in the EMA is based on 24</w:t>
      </w:r>
      <w:r>
        <w:t xml:space="preserve"> </w:t>
      </w:r>
      <w:r w:rsidRPr="004F2054">
        <w:t>mg/m</w:t>
      </w:r>
      <w:r w:rsidRPr="004F2054">
        <w:rPr>
          <w:vertAlign w:val="superscript"/>
        </w:rPr>
        <w:t>2</w:t>
      </w:r>
      <w:r w:rsidRPr="004F2054">
        <w:t>. The following table is included to assist with dosing.</w:t>
      </w:r>
    </w:p>
    <w:p w:rsidR="00E8585E" w:rsidRPr="004F2054" w:rsidRDefault="00E8585E">
      <w:pPr>
        <w:pStyle w:val="FootnoteText"/>
        <w:rPr>
          <w:lang w:val="en-US"/>
        </w:rPr>
      </w:pPr>
      <w:r>
        <w:t xml:space="preserve"> </w:t>
      </w:r>
      <w:r>
        <w:rPr>
          <w:noProof/>
          <w:lang w:eastAsia="en-AU"/>
        </w:rPr>
        <w:drawing>
          <wp:inline distT="0" distB="0" distL="0" distR="0" wp14:anchorId="38B3D372" wp14:editId="65C38983">
            <wp:extent cx="2801721" cy="1038758"/>
            <wp:effectExtent l="0" t="0" r="0" b="9525"/>
            <wp:docPr id="6" name="Picture 6" descr="The dose recommended in the EMA is based on 24 mg/m2. The following table is included to assist with dosing"/>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lum bright="-20000" contrast="40000"/>
                      <a:extLst>
                        <a:ext uri="{28A0092B-C50C-407E-A947-70E740481C1C}">
                          <a14:useLocalDpi xmlns:a14="http://schemas.microsoft.com/office/drawing/2010/main" val="0"/>
                        </a:ext>
                      </a:extLst>
                    </a:blip>
                    <a:srcRect/>
                    <a:stretch>
                      <a:fillRect/>
                    </a:stretch>
                  </pic:blipFill>
                  <pic:spPr bwMode="auto">
                    <a:xfrm>
                      <a:off x="0" y="0"/>
                      <a:ext cx="2802459" cy="1039032"/>
                    </a:xfrm>
                    <a:prstGeom prst="rect">
                      <a:avLst/>
                    </a:prstGeom>
                    <a:noFill/>
                    <a:ln>
                      <a:noFill/>
                    </a:ln>
                  </pic:spPr>
                </pic:pic>
              </a:graphicData>
            </a:graphic>
          </wp:inline>
        </w:drawing>
      </w:r>
    </w:p>
  </w:footnote>
  <w:footnote w:id="2">
    <w:p w:rsidR="00E8585E" w:rsidRPr="00C2251D" w:rsidRDefault="00E8585E">
      <w:pPr>
        <w:pStyle w:val="FootnoteText"/>
        <w:rPr>
          <w:lang w:val="en-US"/>
        </w:rPr>
      </w:pPr>
      <w:r>
        <w:rPr>
          <w:rStyle w:val="FootnoteReference"/>
        </w:rPr>
        <w:footnoteRef/>
      </w:r>
      <w:r>
        <w:t xml:space="preserve"> </w:t>
      </w:r>
      <w:r w:rsidRPr="00C2251D">
        <w:t xml:space="preserve">Petty RE, </w:t>
      </w:r>
      <w:proofErr w:type="spellStart"/>
      <w:r w:rsidRPr="00C2251D">
        <w:t>Southwood</w:t>
      </w:r>
      <w:proofErr w:type="spellEnd"/>
      <w:r w:rsidRPr="00C2251D">
        <w:t xml:space="preserve"> TR, </w:t>
      </w:r>
      <w:proofErr w:type="gramStart"/>
      <w:r w:rsidRPr="00C2251D">
        <w:t>Manners</w:t>
      </w:r>
      <w:proofErr w:type="gramEnd"/>
      <w:r w:rsidRPr="00C2251D">
        <w:t xml:space="preserve"> P, et al. International League of Associations for Rheumatology (ILAR): ILAR classification of juvenile idiopathic arthritis: second version. J Rheumatol 2004; 31: 390-392</w:t>
      </w:r>
    </w:p>
  </w:footnote>
  <w:footnote w:id="3">
    <w:p w:rsidR="00E8585E" w:rsidRPr="008414E2" w:rsidRDefault="00E8585E">
      <w:pPr>
        <w:pStyle w:val="FootnoteText"/>
        <w:rPr>
          <w:lang w:val="en-US"/>
        </w:rPr>
      </w:pPr>
      <w:r>
        <w:rPr>
          <w:rStyle w:val="FootnoteReference"/>
        </w:rPr>
        <w:footnoteRef/>
      </w:r>
      <w:r>
        <w:t xml:space="preserve"> </w:t>
      </w:r>
      <w:r w:rsidRPr="008414E2">
        <w:t>A 75% reduction in the Psoriasis Area and Severity Inde</w:t>
      </w:r>
      <w:r>
        <w:t xml:space="preserve">x (PASI) score (PASI 75) is a </w:t>
      </w:r>
      <w:r w:rsidRPr="008414E2">
        <w:t>primary endpoint for most clinical trials of psoriasis.</w:t>
      </w:r>
    </w:p>
  </w:footnote>
  <w:footnote w:id="4">
    <w:p w:rsidR="00E8585E" w:rsidRPr="003C3B4F" w:rsidRDefault="00E8585E" w:rsidP="00D55960">
      <w:pPr>
        <w:pStyle w:val="FootnoteText"/>
        <w:rPr>
          <w:lang w:val="en-US"/>
        </w:rPr>
      </w:pPr>
      <w:r>
        <w:rPr>
          <w:rStyle w:val="FootnoteReference"/>
        </w:rPr>
        <w:footnoteRef/>
      </w:r>
      <w:r>
        <w:t xml:space="preserve"> The ACR Pediatric 30 criteria are a set of criteria that are used as a primary outcome measure for trials. Defined as a minimum of 30% improvement in at least 3 of the core set criteria and no more than one component worsening by &gt;30%. The ACR Pediatric 20, 50, 70 and 90 are also defined as 20%, 50%, 70%, and 90% improvement respectively in a minimum of three core set criteria with worsening of one variable by no more than 30%.</w:t>
      </w:r>
    </w:p>
  </w:footnote>
  <w:footnote w:id="5">
    <w:p w:rsidR="00E8585E" w:rsidRDefault="00E8585E" w:rsidP="00D55960">
      <w:pPr>
        <w:pStyle w:val="FootnoteText"/>
      </w:pPr>
      <w:r>
        <w:rPr>
          <w:rStyle w:val="FootnoteReference"/>
        </w:rPr>
        <w:footnoteRef/>
      </w:r>
      <w:r>
        <w:t xml:space="preserve"> The BASDAI consists of a one through 10 scale (one being no problem and 10 being the worst problem) which is used to answer 6 questions pertaining to the 5 major symptoms of AS:</w:t>
      </w:r>
    </w:p>
    <w:p w:rsidR="00D24962" w:rsidRDefault="00E8585E" w:rsidP="00D55960">
      <w:pPr>
        <w:pStyle w:val="FootnoteText"/>
        <w:rPr>
          <w:szCs w:val="18"/>
        </w:rPr>
      </w:pPr>
      <w:r w:rsidRPr="005C1766">
        <w:rPr>
          <w:szCs w:val="18"/>
        </w:rPr>
        <w:t>Fatigue</w:t>
      </w:r>
    </w:p>
    <w:p w:rsidR="00D24962" w:rsidRDefault="00E8585E" w:rsidP="00D55960">
      <w:pPr>
        <w:pStyle w:val="FootnoteText"/>
        <w:rPr>
          <w:szCs w:val="18"/>
        </w:rPr>
      </w:pPr>
      <w:r w:rsidRPr="005C1766">
        <w:rPr>
          <w:szCs w:val="18"/>
        </w:rPr>
        <w:t>Spinal pain</w:t>
      </w:r>
    </w:p>
    <w:p w:rsidR="00D24962" w:rsidRDefault="00E8585E" w:rsidP="00D55960">
      <w:pPr>
        <w:pStyle w:val="FootnoteText"/>
        <w:rPr>
          <w:szCs w:val="18"/>
        </w:rPr>
      </w:pPr>
      <w:r w:rsidRPr="005C1766">
        <w:rPr>
          <w:szCs w:val="18"/>
        </w:rPr>
        <w:t>Joint pain/swelling</w:t>
      </w:r>
    </w:p>
    <w:p w:rsidR="00D24962" w:rsidRDefault="00E8585E" w:rsidP="00D55960">
      <w:pPr>
        <w:pStyle w:val="FootnoteText"/>
        <w:rPr>
          <w:szCs w:val="18"/>
        </w:rPr>
      </w:pPr>
      <w:r w:rsidRPr="005C1766">
        <w:rPr>
          <w:szCs w:val="18"/>
        </w:rPr>
        <w:t>Areas of localized tenderness (also called enthesitis, or inflammation of tendons and ligaments)</w:t>
      </w:r>
    </w:p>
    <w:p w:rsidR="00D24962" w:rsidRDefault="00E8585E" w:rsidP="00D55960">
      <w:pPr>
        <w:pStyle w:val="FootnoteText"/>
        <w:rPr>
          <w:szCs w:val="18"/>
        </w:rPr>
      </w:pPr>
      <w:r w:rsidRPr="005C1766">
        <w:rPr>
          <w:szCs w:val="18"/>
        </w:rPr>
        <w:t>Morning stiffness duration</w:t>
      </w:r>
    </w:p>
    <w:p w:rsidR="00E8585E" w:rsidRPr="005C1766" w:rsidRDefault="00E8585E" w:rsidP="00D55960">
      <w:pPr>
        <w:pStyle w:val="FootnoteText"/>
        <w:rPr>
          <w:lang w:val="en-US"/>
        </w:rPr>
      </w:pPr>
      <w:r w:rsidRPr="005C1766">
        <w:rPr>
          <w:szCs w:val="18"/>
        </w:rPr>
        <w:t>Morning stiffness severity</w:t>
      </w:r>
    </w:p>
  </w:footnote>
  <w:footnote w:id="6">
    <w:p w:rsidR="00E8585E" w:rsidRPr="00F918CB" w:rsidRDefault="00E8585E">
      <w:pPr>
        <w:pStyle w:val="FootnoteText"/>
        <w:rPr>
          <w:lang w:val="en-US"/>
        </w:rPr>
      </w:pPr>
      <w:r>
        <w:rPr>
          <w:rStyle w:val="FootnoteReference"/>
        </w:rPr>
        <w:footnoteRef/>
      </w:r>
      <w:r>
        <w:t xml:space="preserve"> </w:t>
      </w:r>
      <w:r w:rsidRPr="00F918CB">
        <w:t>E</w:t>
      </w:r>
      <w:r>
        <w:t>U</w:t>
      </w:r>
      <w:r w:rsidRPr="00F918CB">
        <w:t xml:space="preserve"> guideline CPMP/EWP/438/04 ‘Guideline on Clinical Investigation of Medicinal Products for the Treatment of Psoriasis’ (effective June 2004)</w:t>
      </w:r>
    </w:p>
  </w:footnote>
  <w:footnote w:id="7">
    <w:p w:rsidR="00E8585E" w:rsidRPr="00647E97" w:rsidRDefault="00E8585E">
      <w:pPr>
        <w:pStyle w:val="FootnoteText"/>
        <w:rPr>
          <w:lang w:val="en-US"/>
        </w:rPr>
      </w:pPr>
      <w:r>
        <w:rPr>
          <w:rStyle w:val="FootnoteReference"/>
        </w:rPr>
        <w:footnoteRef/>
      </w:r>
      <w:r>
        <w:t xml:space="preserve"> </w:t>
      </w:r>
      <w:r w:rsidRPr="00647E97">
        <w:t>The QuantiFERON®-TB Gold In-Tube (QFT-G) is a blood test for use as an aid in diagnosing Mycobacterium tuberculosis infection (both latent tuberculosis infection and active tuberculosis disease).</w:t>
      </w:r>
    </w:p>
  </w:footnote>
  <w:footnote w:id="8">
    <w:p w:rsidR="00E8585E" w:rsidRPr="000A16BB" w:rsidRDefault="00E8585E">
      <w:pPr>
        <w:pStyle w:val="FootnoteText"/>
        <w:rPr>
          <w:lang w:val="en-US"/>
        </w:rPr>
      </w:pPr>
      <w:r>
        <w:rPr>
          <w:rStyle w:val="FootnoteReference"/>
        </w:rPr>
        <w:footnoteRef/>
      </w:r>
      <w:r>
        <w:t xml:space="preserve"> </w:t>
      </w:r>
      <w:r w:rsidRPr="00023F43">
        <w:t>In Study M11-328, there was 1 event of herpes zoster and 2 events of oral herpes reported in the open-label period.</w:t>
      </w:r>
    </w:p>
  </w:footnote>
  <w:footnote w:id="9">
    <w:p w:rsidR="00E8585E" w:rsidRPr="00A83FB4" w:rsidRDefault="00E8585E" w:rsidP="00CF74B3">
      <w:pPr>
        <w:pStyle w:val="FootnoteText"/>
        <w:rPr>
          <w:lang w:val="en-US"/>
        </w:rPr>
      </w:pPr>
      <w:r>
        <w:rPr>
          <w:rStyle w:val="FootnoteReference"/>
        </w:rPr>
        <w:footnoteRef/>
      </w:r>
      <w:r>
        <w:t xml:space="preserve"> </w:t>
      </w:r>
      <w:r w:rsidRPr="00A83FB4">
        <w:t>For subjects who completed the blinded period, the OL period began at the Week 12 visit. For subjects who met the criteria for EE, the OL period began at the Week 4 or 8 visit (depending on when they met the criteria). During the OL period, each subject received OL ADA fortnightly for a maximum of 144 weeks. The OL period continues until Week 156 or until a subject has completed 108 weeks of treatment (from baseline)</w:t>
      </w:r>
      <w:r>
        <w:t xml:space="preserve"> or until adalimumab received country and local (if applicable) regulatory approval for ERA and all applicable local reimbursement procedures were completed</w:t>
      </w:r>
      <w:r w:rsidRPr="00A83FB4">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585E" w:rsidRDefault="00E8585E" w:rsidP="00E45619">
    <w:pPr>
      <w:pStyle w:val="Header"/>
    </w:pPr>
    <w:r>
      <w:t>Therapeutic Goods Administration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585E" w:rsidRDefault="00E8585E">
    <w:pPr>
      <w:rPr>
        <w:noProof/>
        <w:lang w:eastAsia="en-AU"/>
      </w:rPr>
    </w:pPr>
    <w:r w:rsidRPr="00347824">
      <w:rPr>
        <w:noProof/>
        <w:lang w:eastAsia="en-AU"/>
      </w:rPr>
      <w:drawing>
        <wp:anchor distT="0" distB="0" distL="114300" distR="114300" simplePos="0" relativeHeight="251659264" behindDoc="1" locked="0" layoutInCell="1" allowOverlap="1" wp14:anchorId="7A744EE4" wp14:editId="5B0379C3">
          <wp:simplePos x="0" y="0"/>
          <wp:positionH relativeFrom="column">
            <wp:posOffset>-1089660</wp:posOffset>
          </wp:positionH>
          <wp:positionV relativeFrom="paragraph">
            <wp:posOffset>-585470</wp:posOffset>
          </wp:positionV>
          <wp:extent cx="7572375" cy="10706100"/>
          <wp:effectExtent l="19050" t="0" r="0" b="0"/>
          <wp:wrapNone/>
          <wp:docPr id="21"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rsidR="00E8585E" w:rsidRDefault="00E8585E" w:rsidP="00593AD1">
    <w:pPr>
      <w:pStyle w:val="HeaderNoLine"/>
    </w:pPr>
    <w:r>
      <w:rPr>
        <w:noProof/>
        <w:lang w:eastAsia="en-AU"/>
      </w:rPr>
      <w:drawing>
        <wp:inline distT="0" distB="0" distL="0" distR="0" wp14:anchorId="2F630E20" wp14:editId="0621A4C4">
          <wp:extent cx="5400675" cy="7639050"/>
          <wp:effectExtent l="0" t="0" r="9525" b="0"/>
          <wp:docPr id="22" name="Picture 22"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blu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0675" cy="763905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585E" w:rsidRDefault="00E8585E">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585E" w:rsidRDefault="00E8585E">
    <w:pPr>
      <w:pStyle w:val="Header"/>
    </w:pPr>
    <w:r>
      <w:t>Therapeutic Goods Administration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585E" w:rsidRDefault="00E8585E">
    <w:pPr>
      <w:pStyle w:val="Header"/>
    </w:pPr>
    <w:r>
      <w:t>Therapeutic Goods Administration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585E" w:rsidRDefault="00E8585E">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585E" w:rsidRDefault="00E8585E" w:rsidP="004C239D">
    <w:pPr>
      <w:pStyle w:val="HeaderNoLin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585E" w:rsidRDefault="00E8585E" w:rsidP="006E08B3">
    <w:r>
      <w:t>Therapeutic Goods Administration</w:t>
    </w:r>
  </w:p>
  <w:p w:rsidR="00E8585E" w:rsidRDefault="00E8585E" w:rsidP="006D03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101C6E5E"/>
    <w:lvl w:ilvl="0">
      <w:start w:val="1"/>
      <w:numFmt w:val="bullet"/>
      <w:lvlText w:val=""/>
      <w:lvlJc w:val="left"/>
      <w:pPr>
        <w:tabs>
          <w:tab w:val="num" w:pos="360"/>
        </w:tabs>
        <w:ind w:left="360" w:hanging="360"/>
      </w:pPr>
      <w:rPr>
        <w:rFonts w:ascii="Symbol" w:hAnsi="Symbol" w:hint="default"/>
      </w:rPr>
    </w:lvl>
  </w:abstractNum>
  <w:abstractNum w:abstractNumId="1">
    <w:nsid w:val="090B0B22"/>
    <w:multiLevelType w:val="hybridMultilevel"/>
    <w:tmpl w:val="A4327D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CF964AF"/>
    <w:multiLevelType w:val="hybridMultilevel"/>
    <w:tmpl w:val="1074B926"/>
    <w:lvl w:ilvl="0" w:tplc="64E2A5B8">
      <w:start w:val="8"/>
      <w:numFmt w:val="bullet"/>
      <w:lvlText w:val="-"/>
      <w:lvlJc w:val="left"/>
      <w:pPr>
        <w:ind w:left="720" w:hanging="360"/>
      </w:pPr>
      <w:rPr>
        <w:rFonts w:ascii="Times New Roman" w:eastAsia="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10053F11"/>
    <w:multiLevelType w:val="multilevel"/>
    <w:tmpl w:val="575CEDBE"/>
    <w:styleLink w:val="NumberBullet"/>
    <w:lvl w:ilvl="0">
      <w:start w:val="1"/>
      <w:numFmt w:val="decimal"/>
      <w:pStyle w:val="Numberbullet0"/>
      <w:lvlText w:val="%1."/>
      <w:lvlJc w:val="left"/>
      <w:pPr>
        <w:ind w:left="567"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4">
    <w:nsid w:val="133C19A7"/>
    <w:multiLevelType w:val="hybridMultilevel"/>
    <w:tmpl w:val="C9068A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3DA4004"/>
    <w:multiLevelType w:val="hybridMultilevel"/>
    <w:tmpl w:val="E31A0986"/>
    <w:lvl w:ilvl="0" w:tplc="AA006AE8">
      <w:numFmt w:val="bullet"/>
      <w:lvlText w:val="-"/>
      <w:lvlJc w:val="left"/>
      <w:pPr>
        <w:ind w:left="720" w:hanging="360"/>
      </w:pPr>
      <w:rPr>
        <w:rFonts w:ascii="Cambria" w:eastAsia="MS Mincho" w:hAnsi="Cambria"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153831AD"/>
    <w:multiLevelType w:val="hybridMultilevel"/>
    <w:tmpl w:val="10829DB2"/>
    <w:lvl w:ilvl="0" w:tplc="8E6C6256">
      <w:numFmt w:val="bullet"/>
      <w:lvlText w:val="-"/>
      <w:lvlJc w:val="left"/>
      <w:pPr>
        <w:ind w:left="720" w:hanging="360"/>
      </w:pPr>
      <w:rPr>
        <w:rFonts w:ascii="Cambria" w:eastAsia="MS Mincho" w:hAnsi="Cambria"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8">
    <w:nsid w:val="2BCF57AC"/>
    <w:multiLevelType w:val="hybridMultilevel"/>
    <w:tmpl w:val="02C8EC1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58483C12">
      <w:numFmt w:val="bullet"/>
      <w:lvlText w:val="•"/>
      <w:lvlJc w:val="left"/>
      <w:pPr>
        <w:ind w:left="2160" w:hanging="360"/>
      </w:pPr>
      <w:rPr>
        <w:rFonts w:ascii="Cambria" w:eastAsia="Cambria" w:hAnsi="Cambria" w:cs="Arial"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2E2A35C1"/>
    <w:multiLevelType w:val="hybridMultilevel"/>
    <w:tmpl w:val="5E1CE522"/>
    <w:lvl w:ilvl="0" w:tplc="0C09000F">
      <w:start w:val="1"/>
      <w:numFmt w:val="decimal"/>
      <w:lvlText w:val="%1."/>
      <w:lvlJc w:val="left"/>
      <w:pPr>
        <w:ind w:left="750" w:hanging="360"/>
      </w:pPr>
    </w:lvl>
    <w:lvl w:ilvl="1" w:tplc="0C090019" w:tentative="1">
      <w:start w:val="1"/>
      <w:numFmt w:val="lowerLetter"/>
      <w:lvlText w:val="%2."/>
      <w:lvlJc w:val="left"/>
      <w:pPr>
        <w:ind w:left="1470" w:hanging="360"/>
      </w:pPr>
    </w:lvl>
    <w:lvl w:ilvl="2" w:tplc="0C09001B" w:tentative="1">
      <w:start w:val="1"/>
      <w:numFmt w:val="lowerRoman"/>
      <w:lvlText w:val="%3."/>
      <w:lvlJc w:val="right"/>
      <w:pPr>
        <w:ind w:left="2190" w:hanging="180"/>
      </w:pPr>
    </w:lvl>
    <w:lvl w:ilvl="3" w:tplc="0C09000F" w:tentative="1">
      <w:start w:val="1"/>
      <w:numFmt w:val="decimal"/>
      <w:lvlText w:val="%4."/>
      <w:lvlJc w:val="left"/>
      <w:pPr>
        <w:ind w:left="2910" w:hanging="360"/>
      </w:pPr>
    </w:lvl>
    <w:lvl w:ilvl="4" w:tplc="0C090019" w:tentative="1">
      <w:start w:val="1"/>
      <w:numFmt w:val="lowerLetter"/>
      <w:lvlText w:val="%5."/>
      <w:lvlJc w:val="left"/>
      <w:pPr>
        <w:ind w:left="3630" w:hanging="360"/>
      </w:pPr>
    </w:lvl>
    <w:lvl w:ilvl="5" w:tplc="0C09001B" w:tentative="1">
      <w:start w:val="1"/>
      <w:numFmt w:val="lowerRoman"/>
      <w:lvlText w:val="%6."/>
      <w:lvlJc w:val="right"/>
      <w:pPr>
        <w:ind w:left="4350" w:hanging="180"/>
      </w:pPr>
    </w:lvl>
    <w:lvl w:ilvl="6" w:tplc="0C09000F" w:tentative="1">
      <w:start w:val="1"/>
      <w:numFmt w:val="decimal"/>
      <w:lvlText w:val="%7."/>
      <w:lvlJc w:val="left"/>
      <w:pPr>
        <w:ind w:left="5070" w:hanging="360"/>
      </w:pPr>
    </w:lvl>
    <w:lvl w:ilvl="7" w:tplc="0C090019" w:tentative="1">
      <w:start w:val="1"/>
      <w:numFmt w:val="lowerLetter"/>
      <w:lvlText w:val="%8."/>
      <w:lvlJc w:val="left"/>
      <w:pPr>
        <w:ind w:left="5790" w:hanging="360"/>
      </w:pPr>
    </w:lvl>
    <w:lvl w:ilvl="8" w:tplc="0C09001B" w:tentative="1">
      <w:start w:val="1"/>
      <w:numFmt w:val="lowerRoman"/>
      <w:lvlText w:val="%9."/>
      <w:lvlJc w:val="right"/>
      <w:pPr>
        <w:ind w:left="6510" w:hanging="180"/>
      </w:pPr>
    </w:lvl>
  </w:abstractNum>
  <w:abstractNum w:abstractNumId="10">
    <w:nsid w:val="2E830A9F"/>
    <w:multiLevelType w:val="hybridMultilevel"/>
    <w:tmpl w:val="5FCED7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2FC85631"/>
    <w:multiLevelType w:val="hybridMultilevel"/>
    <w:tmpl w:val="E2BE2062"/>
    <w:lvl w:ilvl="0" w:tplc="F038590E">
      <w:start w:val="1"/>
      <w:numFmt w:val="bullet"/>
      <w:lvlText w:val="-"/>
      <w:lvlJc w:val="left"/>
      <w:pPr>
        <w:ind w:left="1080" w:hanging="360"/>
      </w:pPr>
      <w:rPr>
        <w:rFonts w:ascii="Cambria" w:eastAsia="MS Mincho" w:hAnsi="Cambria" w:cs="Times New Roman"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2">
    <w:nsid w:val="3066740A"/>
    <w:multiLevelType w:val="hybridMultilevel"/>
    <w:tmpl w:val="4AC4A154"/>
    <w:lvl w:ilvl="0" w:tplc="AAAE3F22">
      <w:start w:val="1"/>
      <w:numFmt w:val="bullet"/>
      <w:pStyle w:val="Bullet1"/>
      <w:lvlText w:val="•"/>
      <w:lvlJc w:val="left"/>
      <w:pPr>
        <w:tabs>
          <w:tab w:val="num" w:pos="284"/>
        </w:tabs>
        <w:ind w:left="284" w:hanging="284"/>
      </w:pPr>
      <w:rPr>
        <w:rFonts w:ascii="Times New Roman" w:hAnsi="Times New Roman" w:hint="default"/>
      </w:rPr>
    </w:lvl>
    <w:lvl w:ilvl="1" w:tplc="0C090003" w:tentative="1">
      <w:start w:val="1"/>
      <w:numFmt w:val="bullet"/>
      <w:lvlText w:val="o"/>
      <w:lvlJc w:val="left"/>
      <w:pPr>
        <w:tabs>
          <w:tab w:val="num" w:pos="1724"/>
        </w:tabs>
        <w:ind w:left="1724" w:hanging="360"/>
      </w:pPr>
      <w:rPr>
        <w:rFonts w:ascii="Courier New" w:hAnsi="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13">
    <w:nsid w:val="360767AD"/>
    <w:multiLevelType w:val="hybridMultilevel"/>
    <w:tmpl w:val="04EC3C2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nsid w:val="3AC02909"/>
    <w:multiLevelType w:val="hybridMultilevel"/>
    <w:tmpl w:val="0BF2B618"/>
    <w:lvl w:ilvl="0" w:tplc="3B76980A">
      <w:start w:val="1"/>
      <w:numFmt w:val="bullet"/>
      <w:pStyle w:val="Bullet2"/>
      <w:lvlText w:val="-"/>
      <w:lvlJc w:val="left"/>
      <w:pPr>
        <w:tabs>
          <w:tab w:val="num" w:pos="567"/>
        </w:tabs>
        <w:ind w:left="567" w:hanging="283"/>
      </w:pPr>
      <w:rPr>
        <w:rFonts w:ascii="Arial" w:hAnsi="Arial" w:hint="default"/>
      </w:rPr>
    </w:lvl>
    <w:lvl w:ilvl="1" w:tplc="0C090003" w:tentative="1">
      <w:start w:val="1"/>
      <w:numFmt w:val="bullet"/>
      <w:lvlText w:val="o"/>
      <w:lvlJc w:val="left"/>
      <w:pPr>
        <w:tabs>
          <w:tab w:val="num" w:pos="1724"/>
        </w:tabs>
        <w:ind w:left="1724" w:hanging="360"/>
      </w:pPr>
      <w:rPr>
        <w:rFonts w:ascii="Courier New" w:hAnsi="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15">
    <w:nsid w:val="47694CE2"/>
    <w:multiLevelType w:val="hybridMultilevel"/>
    <w:tmpl w:val="9856AE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480E776B"/>
    <w:multiLevelType w:val="hybridMultilevel"/>
    <w:tmpl w:val="F5C4E77C"/>
    <w:lvl w:ilvl="0" w:tplc="3E942432">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nsid w:val="49DC5425"/>
    <w:multiLevelType w:val="hybridMultilevel"/>
    <w:tmpl w:val="5BD8DE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4AC0774A"/>
    <w:multiLevelType w:val="hybridMultilevel"/>
    <w:tmpl w:val="2E2A4B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51706F0A"/>
    <w:multiLevelType w:val="hybridMultilevel"/>
    <w:tmpl w:val="5A4EDF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54C95DF8"/>
    <w:multiLevelType w:val="hybridMultilevel"/>
    <w:tmpl w:val="67F22304"/>
    <w:lvl w:ilvl="0" w:tplc="04090001">
      <w:start w:val="1"/>
      <w:numFmt w:val="bullet"/>
      <w:lvlText w:val=""/>
      <w:lvlJc w:val="left"/>
      <w:pPr>
        <w:ind w:left="2428" w:hanging="360"/>
      </w:pPr>
      <w:rPr>
        <w:rFonts w:ascii="Symbol" w:hAnsi="Symbol" w:hint="default"/>
      </w:rPr>
    </w:lvl>
    <w:lvl w:ilvl="1" w:tplc="0C090019" w:tentative="1">
      <w:start w:val="1"/>
      <w:numFmt w:val="lowerLetter"/>
      <w:lvlText w:val="%2."/>
      <w:lvlJc w:val="left"/>
      <w:pPr>
        <w:tabs>
          <w:tab w:val="num" w:pos="3148"/>
        </w:tabs>
        <w:ind w:left="3148" w:hanging="360"/>
      </w:pPr>
      <w:rPr>
        <w:rFonts w:cs="Times New Roman"/>
      </w:rPr>
    </w:lvl>
    <w:lvl w:ilvl="2" w:tplc="0C09001B" w:tentative="1">
      <w:start w:val="1"/>
      <w:numFmt w:val="lowerRoman"/>
      <w:lvlText w:val="%3."/>
      <w:lvlJc w:val="right"/>
      <w:pPr>
        <w:tabs>
          <w:tab w:val="num" w:pos="3868"/>
        </w:tabs>
        <w:ind w:left="3868" w:hanging="180"/>
      </w:pPr>
      <w:rPr>
        <w:rFonts w:cs="Times New Roman"/>
      </w:rPr>
    </w:lvl>
    <w:lvl w:ilvl="3" w:tplc="0C09000F" w:tentative="1">
      <w:start w:val="1"/>
      <w:numFmt w:val="decimal"/>
      <w:lvlText w:val="%4."/>
      <w:lvlJc w:val="left"/>
      <w:pPr>
        <w:tabs>
          <w:tab w:val="num" w:pos="4588"/>
        </w:tabs>
        <w:ind w:left="4588" w:hanging="360"/>
      </w:pPr>
      <w:rPr>
        <w:rFonts w:cs="Times New Roman"/>
      </w:rPr>
    </w:lvl>
    <w:lvl w:ilvl="4" w:tplc="0C090019" w:tentative="1">
      <w:start w:val="1"/>
      <w:numFmt w:val="lowerLetter"/>
      <w:lvlText w:val="%5."/>
      <w:lvlJc w:val="left"/>
      <w:pPr>
        <w:tabs>
          <w:tab w:val="num" w:pos="5308"/>
        </w:tabs>
        <w:ind w:left="5308" w:hanging="360"/>
      </w:pPr>
      <w:rPr>
        <w:rFonts w:cs="Times New Roman"/>
      </w:rPr>
    </w:lvl>
    <w:lvl w:ilvl="5" w:tplc="0C09001B" w:tentative="1">
      <w:start w:val="1"/>
      <w:numFmt w:val="lowerRoman"/>
      <w:lvlText w:val="%6."/>
      <w:lvlJc w:val="right"/>
      <w:pPr>
        <w:tabs>
          <w:tab w:val="num" w:pos="6028"/>
        </w:tabs>
        <w:ind w:left="6028" w:hanging="180"/>
      </w:pPr>
      <w:rPr>
        <w:rFonts w:cs="Times New Roman"/>
      </w:rPr>
    </w:lvl>
    <w:lvl w:ilvl="6" w:tplc="0C09000F" w:tentative="1">
      <w:start w:val="1"/>
      <w:numFmt w:val="decimal"/>
      <w:lvlText w:val="%7."/>
      <w:lvlJc w:val="left"/>
      <w:pPr>
        <w:tabs>
          <w:tab w:val="num" w:pos="6748"/>
        </w:tabs>
        <w:ind w:left="6748" w:hanging="360"/>
      </w:pPr>
      <w:rPr>
        <w:rFonts w:cs="Times New Roman"/>
      </w:rPr>
    </w:lvl>
    <w:lvl w:ilvl="7" w:tplc="0C090019" w:tentative="1">
      <w:start w:val="1"/>
      <w:numFmt w:val="lowerLetter"/>
      <w:lvlText w:val="%8."/>
      <w:lvlJc w:val="left"/>
      <w:pPr>
        <w:tabs>
          <w:tab w:val="num" w:pos="7468"/>
        </w:tabs>
        <w:ind w:left="7468" w:hanging="360"/>
      </w:pPr>
      <w:rPr>
        <w:rFonts w:cs="Times New Roman"/>
      </w:rPr>
    </w:lvl>
    <w:lvl w:ilvl="8" w:tplc="0C09001B" w:tentative="1">
      <w:start w:val="1"/>
      <w:numFmt w:val="lowerRoman"/>
      <w:lvlText w:val="%9."/>
      <w:lvlJc w:val="right"/>
      <w:pPr>
        <w:tabs>
          <w:tab w:val="num" w:pos="8188"/>
        </w:tabs>
        <w:ind w:left="8188" w:hanging="180"/>
      </w:pPr>
      <w:rPr>
        <w:rFonts w:cs="Times New Roman"/>
      </w:rPr>
    </w:lvl>
  </w:abstractNum>
  <w:abstractNum w:abstractNumId="21">
    <w:nsid w:val="6379744E"/>
    <w:multiLevelType w:val="hybridMultilevel"/>
    <w:tmpl w:val="403A805C"/>
    <w:lvl w:ilvl="0" w:tplc="AA006AE8">
      <w:numFmt w:val="bullet"/>
      <w:lvlText w:val="-"/>
      <w:lvlJc w:val="left"/>
      <w:pPr>
        <w:ind w:left="720" w:hanging="360"/>
      </w:pPr>
      <w:rPr>
        <w:rFonts w:ascii="Cambria" w:eastAsia="MS Mincho" w:hAnsi="Cambria"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6CA723AB"/>
    <w:multiLevelType w:val="hybridMultilevel"/>
    <w:tmpl w:val="5798C28C"/>
    <w:lvl w:ilvl="0" w:tplc="1938B940">
      <w:start w:val="1"/>
      <w:numFmt w:val="decimal"/>
      <w:lvlText w:val="%1."/>
      <w:lvlJc w:val="left"/>
      <w:pPr>
        <w:ind w:left="1800" w:hanging="360"/>
      </w:pPr>
      <w:rPr>
        <w:rFonts w:asciiTheme="minorHAnsi" w:eastAsia="MS Mincho" w:hAnsiTheme="minorHAnsi" w:cs="Times New Roman"/>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3">
    <w:nsid w:val="733748EA"/>
    <w:multiLevelType w:val="hybridMultilevel"/>
    <w:tmpl w:val="08F02230"/>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4">
    <w:nsid w:val="73E5562D"/>
    <w:multiLevelType w:val="hybridMultilevel"/>
    <w:tmpl w:val="89C24F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7509358F"/>
    <w:multiLevelType w:val="multilevel"/>
    <w:tmpl w:val="5ADAC404"/>
    <w:lvl w:ilvl="0">
      <w:numFmt w:val="decimal"/>
      <w:lvlText w:val="%1"/>
      <w:lvlJc w:val="left"/>
      <w:pPr>
        <w:ind w:left="153" w:hanging="360"/>
      </w:pPr>
      <w:rPr>
        <w:rFonts w:hint="default"/>
      </w:rPr>
    </w:lvl>
    <w:lvl w:ilvl="1">
      <w:start w:val="8"/>
      <w:numFmt w:val="decimal"/>
      <w:lvlText w:val="%1.%2"/>
      <w:lvlJc w:val="left"/>
      <w:pPr>
        <w:ind w:left="153" w:hanging="360"/>
      </w:pPr>
      <w:rPr>
        <w:rFonts w:ascii="Times New Roman" w:eastAsia="Times New Roman" w:hAnsi="Times New Roman" w:cs="Times New Roman" w:hint="default"/>
        <w:w w:val="99"/>
        <w:sz w:val="24"/>
        <w:szCs w:val="24"/>
      </w:rPr>
    </w:lvl>
    <w:lvl w:ilvl="2">
      <w:start w:val="1"/>
      <w:numFmt w:val="decimal"/>
      <w:lvlText w:val="%3."/>
      <w:lvlJc w:val="left"/>
      <w:pPr>
        <w:ind w:left="801" w:hanging="540"/>
      </w:pPr>
      <w:rPr>
        <w:rFonts w:ascii="Times New Roman" w:eastAsia="Times New Roman" w:hAnsi="Times New Roman" w:cs="Times New Roman" w:hint="default"/>
        <w:w w:val="99"/>
        <w:sz w:val="24"/>
        <w:szCs w:val="24"/>
      </w:rPr>
    </w:lvl>
    <w:lvl w:ilvl="3">
      <w:numFmt w:val="bullet"/>
      <w:lvlText w:val="•"/>
      <w:lvlJc w:val="left"/>
      <w:pPr>
        <w:ind w:left="2622" w:hanging="540"/>
      </w:pPr>
      <w:rPr>
        <w:rFonts w:hint="default"/>
      </w:rPr>
    </w:lvl>
    <w:lvl w:ilvl="4">
      <w:numFmt w:val="bullet"/>
      <w:lvlText w:val="•"/>
      <w:lvlJc w:val="left"/>
      <w:pPr>
        <w:ind w:left="3533" w:hanging="540"/>
      </w:pPr>
      <w:rPr>
        <w:rFonts w:hint="default"/>
      </w:rPr>
    </w:lvl>
    <w:lvl w:ilvl="5">
      <w:numFmt w:val="bullet"/>
      <w:lvlText w:val="•"/>
      <w:lvlJc w:val="left"/>
      <w:pPr>
        <w:ind w:left="4444" w:hanging="540"/>
      </w:pPr>
      <w:rPr>
        <w:rFonts w:hint="default"/>
      </w:rPr>
    </w:lvl>
    <w:lvl w:ilvl="6">
      <w:numFmt w:val="bullet"/>
      <w:lvlText w:val="•"/>
      <w:lvlJc w:val="left"/>
      <w:pPr>
        <w:ind w:left="5355" w:hanging="540"/>
      </w:pPr>
      <w:rPr>
        <w:rFonts w:hint="default"/>
      </w:rPr>
    </w:lvl>
    <w:lvl w:ilvl="7">
      <w:numFmt w:val="bullet"/>
      <w:lvlText w:val="•"/>
      <w:lvlJc w:val="left"/>
      <w:pPr>
        <w:ind w:left="6266" w:hanging="540"/>
      </w:pPr>
      <w:rPr>
        <w:rFonts w:hint="default"/>
      </w:rPr>
    </w:lvl>
    <w:lvl w:ilvl="8">
      <w:numFmt w:val="bullet"/>
      <w:lvlText w:val="•"/>
      <w:lvlJc w:val="left"/>
      <w:pPr>
        <w:ind w:left="7177" w:hanging="540"/>
      </w:pPr>
      <w:rPr>
        <w:rFonts w:hint="default"/>
      </w:rPr>
    </w:lvl>
  </w:abstractNum>
  <w:abstractNum w:abstractNumId="26">
    <w:nsid w:val="774B5520"/>
    <w:multiLevelType w:val="hybridMultilevel"/>
    <w:tmpl w:val="0E1C9E06"/>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7">
    <w:nsid w:val="7B703D1F"/>
    <w:multiLevelType w:val="hybridMultilevel"/>
    <w:tmpl w:val="FE84CFB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7"/>
  </w:num>
  <w:num w:numId="2">
    <w:abstractNumId w:val="3"/>
  </w:num>
  <w:num w:numId="3">
    <w:abstractNumId w:val="7"/>
  </w:num>
  <w:num w:numId="4">
    <w:abstractNumId w:val="3"/>
  </w:num>
  <w:num w:numId="5">
    <w:abstractNumId w:val="3"/>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6">
    <w:abstractNumId w:val="12"/>
  </w:num>
  <w:num w:numId="7">
    <w:abstractNumId w:val="14"/>
  </w:num>
  <w:num w:numId="8">
    <w:abstractNumId w:val="23"/>
  </w:num>
  <w:num w:numId="9">
    <w:abstractNumId w:val="26"/>
  </w:num>
  <w:num w:numId="10">
    <w:abstractNumId w:val="4"/>
  </w:num>
  <w:num w:numId="11">
    <w:abstractNumId w:val="2"/>
  </w:num>
  <w:num w:numId="12">
    <w:abstractNumId w:val="24"/>
  </w:num>
  <w:num w:numId="13">
    <w:abstractNumId w:val="1"/>
  </w:num>
  <w:num w:numId="14">
    <w:abstractNumId w:val="18"/>
  </w:num>
  <w:num w:numId="15">
    <w:abstractNumId w:val="8"/>
  </w:num>
  <w:num w:numId="16">
    <w:abstractNumId w:val="27"/>
  </w:num>
  <w:num w:numId="17">
    <w:abstractNumId w:val="15"/>
  </w:num>
  <w:num w:numId="18">
    <w:abstractNumId w:val="9"/>
  </w:num>
  <w:num w:numId="19">
    <w:abstractNumId w:val="5"/>
  </w:num>
  <w:num w:numId="20">
    <w:abstractNumId w:val="10"/>
  </w:num>
  <w:num w:numId="21">
    <w:abstractNumId w:val="6"/>
  </w:num>
  <w:num w:numId="22">
    <w:abstractNumId w:val="13"/>
  </w:num>
  <w:num w:numId="23">
    <w:abstractNumId w:val="20"/>
  </w:num>
  <w:num w:numId="24">
    <w:abstractNumId w:val="11"/>
  </w:num>
  <w:num w:numId="25">
    <w:abstractNumId w:val="21"/>
  </w:num>
  <w:num w:numId="26">
    <w:abstractNumId w:val="22"/>
  </w:num>
  <w:num w:numId="27">
    <w:abstractNumId w:val="17"/>
  </w:num>
  <w:num w:numId="28">
    <w:abstractNumId w:val="25"/>
  </w:num>
  <w:num w:numId="29">
    <w:abstractNumId w:val="19"/>
  </w:num>
  <w:num w:numId="30">
    <w:abstractNumId w:val="16"/>
  </w:num>
  <w:num w:numId="3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0"/>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isplayBackgroundShape/>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1439"/>
    <w:rsid w:val="00002031"/>
    <w:rsid w:val="00004734"/>
    <w:rsid w:val="00006B22"/>
    <w:rsid w:val="0001276A"/>
    <w:rsid w:val="0002219E"/>
    <w:rsid w:val="000246AE"/>
    <w:rsid w:val="00025C67"/>
    <w:rsid w:val="00041E58"/>
    <w:rsid w:val="00044772"/>
    <w:rsid w:val="00054259"/>
    <w:rsid w:val="0005559E"/>
    <w:rsid w:val="000604D6"/>
    <w:rsid w:val="000734D8"/>
    <w:rsid w:val="000755CD"/>
    <w:rsid w:val="00077775"/>
    <w:rsid w:val="00090471"/>
    <w:rsid w:val="00096AA7"/>
    <w:rsid w:val="000A16BB"/>
    <w:rsid w:val="000A3AED"/>
    <w:rsid w:val="000B3532"/>
    <w:rsid w:val="000B3A75"/>
    <w:rsid w:val="000C00C2"/>
    <w:rsid w:val="000C690F"/>
    <w:rsid w:val="000D1295"/>
    <w:rsid w:val="000D391B"/>
    <w:rsid w:val="000D3D6D"/>
    <w:rsid w:val="000D4FC7"/>
    <w:rsid w:val="000E6196"/>
    <w:rsid w:val="000E6D21"/>
    <w:rsid w:val="000F4869"/>
    <w:rsid w:val="000F5B42"/>
    <w:rsid w:val="000F6E6F"/>
    <w:rsid w:val="0010601F"/>
    <w:rsid w:val="0010788A"/>
    <w:rsid w:val="00107A31"/>
    <w:rsid w:val="00110EA5"/>
    <w:rsid w:val="00112F56"/>
    <w:rsid w:val="00125318"/>
    <w:rsid w:val="001258FC"/>
    <w:rsid w:val="001305A2"/>
    <w:rsid w:val="00133238"/>
    <w:rsid w:val="00133A1B"/>
    <w:rsid w:val="0014197B"/>
    <w:rsid w:val="001447CD"/>
    <w:rsid w:val="001516B1"/>
    <w:rsid w:val="00154EBB"/>
    <w:rsid w:val="00156316"/>
    <w:rsid w:val="00161181"/>
    <w:rsid w:val="00162D14"/>
    <w:rsid w:val="00165389"/>
    <w:rsid w:val="0017693F"/>
    <w:rsid w:val="0018110E"/>
    <w:rsid w:val="00181684"/>
    <w:rsid w:val="001843C6"/>
    <w:rsid w:val="00184B82"/>
    <w:rsid w:val="001850E0"/>
    <w:rsid w:val="001A2158"/>
    <w:rsid w:val="001A525F"/>
    <w:rsid w:val="001B09F9"/>
    <w:rsid w:val="001B5C90"/>
    <w:rsid w:val="001B6448"/>
    <w:rsid w:val="001C32CD"/>
    <w:rsid w:val="001D2984"/>
    <w:rsid w:val="001E07CF"/>
    <w:rsid w:val="001E59F1"/>
    <w:rsid w:val="001F2661"/>
    <w:rsid w:val="001F2CEE"/>
    <w:rsid w:val="001F49EB"/>
    <w:rsid w:val="001F53E8"/>
    <w:rsid w:val="001F6CBA"/>
    <w:rsid w:val="00201D4E"/>
    <w:rsid w:val="002076C9"/>
    <w:rsid w:val="002174B2"/>
    <w:rsid w:val="00220B8A"/>
    <w:rsid w:val="0022309F"/>
    <w:rsid w:val="002257F3"/>
    <w:rsid w:val="002322D9"/>
    <w:rsid w:val="00233456"/>
    <w:rsid w:val="002339A5"/>
    <w:rsid w:val="002560A9"/>
    <w:rsid w:val="00257848"/>
    <w:rsid w:val="0027084A"/>
    <w:rsid w:val="00274D9C"/>
    <w:rsid w:val="002820CA"/>
    <w:rsid w:val="00286434"/>
    <w:rsid w:val="00286C59"/>
    <w:rsid w:val="00291957"/>
    <w:rsid w:val="002942D1"/>
    <w:rsid w:val="0029501A"/>
    <w:rsid w:val="00295ED7"/>
    <w:rsid w:val="002A3721"/>
    <w:rsid w:val="002B1638"/>
    <w:rsid w:val="002B3624"/>
    <w:rsid w:val="002D0952"/>
    <w:rsid w:val="002E40B3"/>
    <w:rsid w:val="002E4C9A"/>
    <w:rsid w:val="002F11F8"/>
    <w:rsid w:val="002F3F56"/>
    <w:rsid w:val="002F44B5"/>
    <w:rsid w:val="0031116A"/>
    <w:rsid w:val="00311AC0"/>
    <w:rsid w:val="00314B62"/>
    <w:rsid w:val="003176FC"/>
    <w:rsid w:val="0032583B"/>
    <w:rsid w:val="00327883"/>
    <w:rsid w:val="00335504"/>
    <w:rsid w:val="00340C18"/>
    <w:rsid w:val="003442FD"/>
    <w:rsid w:val="00347824"/>
    <w:rsid w:val="00350567"/>
    <w:rsid w:val="003521E8"/>
    <w:rsid w:val="0036531C"/>
    <w:rsid w:val="00370CE3"/>
    <w:rsid w:val="003728F3"/>
    <w:rsid w:val="0037496E"/>
    <w:rsid w:val="00383221"/>
    <w:rsid w:val="00386150"/>
    <w:rsid w:val="003874CE"/>
    <w:rsid w:val="00390900"/>
    <w:rsid w:val="003A7F6C"/>
    <w:rsid w:val="003B4590"/>
    <w:rsid w:val="003B4D60"/>
    <w:rsid w:val="003B61A0"/>
    <w:rsid w:val="003B7E39"/>
    <w:rsid w:val="003C3B4F"/>
    <w:rsid w:val="003C58DC"/>
    <w:rsid w:val="003D1E62"/>
    <w:rsid w:val="003E0B99"/>
    <w:rsid w:val="003E2486"/>
    <w:rsid w:val="003E3208"/>
    <w:rsid w:val="003F0B04"/>
    <w:rsid w:val="0040134E"/>
    <w:rsid w:val="00403295"/>
    <w:rsid w:val="004041A9"/>
    <w:rsid w:val="0040772A"/>
    <w:rsid w:val="0041505C"/>
    <w:rsid w:val="004334C7"/>
    <w:rsid w:val="00440A2D"/>
    <w:rsid w:val="00441C3F"/>
    <w:rsid w:val="004564A7"/>
    <w:rsid w:val="004617BF"/>
    <w:rsid w:val="00463658"/>
    <w:rsid w:val="004637A0"/>
    <w:rsid w:val="004722CC"/>
    <w:rsid w:val="00482715"/>
    <w:rsid w:val="004936E4"/>
    <w:rsid w:val="00494E60"/>
    <w:rsid w:val="00497487"/>
    <w:rsid w:val="004A6189"/>
    <w:rsid w:val="004A7390"/>
    <w:rsid w:val="004B35C7"/>
    <w:rsid w:val="004B7B76"/>
    <w:rsid w:val="004C239D"/>
    <w:rsid w:val="004C2DCA"/>
    <w:rsid w:val="004C541B"/>
    <w:rsid w:val="004C61D2"/>
    <w:rsid w:val="004E451E"/>
    <w:rsid w:val="004F0C4A"/>
    <w:rsid w:val="004F0F38"/>
    <w:rsid w:val="004F2054"/>
    <w:rsid w:val="004F47D6"/>
    <w:rsid w:val="00501921"/>
    <w:rsid w:val="005061A2"/>
    <w:rsid w:val="00530354"/>
    <w:rsid w:val="0053625B"/>
    <w:rsid w:val="005434C6"/>
    <w:rsid w:val="00543B39"/>
    <w:rsid w:val="00543B7D"/>
    <w:rsid w:val="00546154"/>
    <w:rsid w:val="00550096"/>
    <w:rsid w:val="00554DD2"/>
    <w:rsid w:val="00555280"/>
    <w:rsid w:val="00557FF9"/>
    <w:rsid w:val="00560B79"/>
    <w:rsid w:val="00562327"/>
    <w:rsid w:val="00563899"/>
    <w:rsid w:val="005711D5"/>
    <w:rsid w:val="00576378"/>
    <w:rsid w:val="00577130"/>
    <w:rsid w:val="00577945"/>
    <w:rsid w:val="00577E38"/>
    <w:rsid w:val="00585322"/>
    <w:rsid w:val="005857C6"/>
    <w:rsid w:val="00592F6E"/>
    <w:rsid w:val="00593AD1"/>
    <w:rsid w:val="005A68B6"/>
    <w:rsid w:val="005C1766"/>
    <w:rsid w:val="005C5570"/>
    <w:rsid w:val="005C79A4"/>
    <w:rsid w:val="005D5442"/>
    <w:rsid w:val="005E110B"/>
    <w:rsid w:val="00603F32"/>
    <w:rsid w:val="00605AD4"/>
    <w:rsid w:val="006136D7"/>
    <w:rsid w:val="00625A6E"/>
    <w:rsid w:val="00632398"/>
    <w:rsid w:val="00640FC3"/>
    <w:rsid w:val="00642020"/>
    <w:rsid w:val="00647E97"/>
    <w:rsid w:val="00652D0F"/>
    <w:rsid w:val="0065337B"/>
    <w:rsid w:val="0065419D"/>
    <w:rsid w:val="0065491F"/>
    <w:rsid w:val="006604D8"/>
    <w:rsid w:val="00664A5B"/>
    <w:rsid w:val="0066735C"/>
    <w:rsid w:val="006674AB"/>
    <w:rsid w:val="006763D2"/>
    <w:rsid w:val="00680C08"/>
    <w:rsid w:val="006916A0"/>
    <w:rsid w:val="006931B1"/>
    <w:rsid w:val="006A15C0"/>
    <w:rsid w:val="006C3E2A"/>
    <w:rsid w:val="006C642F"/>
    <w:rsid w:val="006D03E5"/>
    <w:rsid w:val="006D5D3E"/>
    <w:rsid w:val="006E08B3"/>
    <w:rsid w:val="006E5EC5"/>
    <w:rsid w:val="006E6517"/>
    <w:rsid w:val="006F17AC"/>
    <w:rsid w:val="006F25B8"/>
    <w:rsid w:val="006F572E"/>
    <w:rsid w:val="007046D6"/>
    <w:rsid w:val="00705DB0"/>
    <w:rsid w:val="00722B57"/>
    <w:rsid w:val="0072747B"/>
    <w:rsid w:val="00730F8A"/>
    <w:rsid w:val="007329AC"/>
    <w:rsid w:val="00732A6A"/>
    <w:rsid w:val="00735A8C"/>
    <w:rsid w:val="00736586"/>
    <w:rsid w:val="00737373"/>
    <w:rsid w:val="0074253D"/>
    <w:rsid w:val="0074429B"/>
    <w:rsid w:val="00760EF6"/>
    <w:rsid w:val="007615BC"/>
    <w:rsid w:val="007615ED"/>
    <w:rsid w:val="00762F05"/>
    <w:rsid w:val="007652FF"/>
    <w:rsid w:val="00767DDC"/>
    <w:rsid w:val="00770CAC"/>
    <w:rsid w:val="00770EF1"/>
    <w:rsid w:val="00773EF7"/>
    <w:rsid w:val="00774E1D"/>
    <w:rsid w:val="007765D8"/>
    <w:rsid w:val="0077675A"/>
    <w:rsid w:val="00780355"/>
    <w:rsid w:val="007819FD"/>
    <w:rsid w:val="00785717"/>
    <w:rsid w:val="00785721"/>
    <w:rsid w:val="00793A59"/>
    <w:rsid w:val="00796DB0"/>
    <w:rsid w:val="007A1783"/>
    <w:rsid w:val="007B6132"/>
    <w:rsid w:val="007B6E9F"/>
    <w:rsid w:val="007C1216"/>
    <w:rsid w:val="007C1AF7"/>
    <w:rsid w:val="007C6B9B"/>
    <w:rsid w:val="007D2AF6"/>
    <w:rsid w:val="00805D27"/>
    <w:rsid w:val="00806DCB"/>
    <w:rsid w:val="00821776"/>
    <w:rsid w:val="008321F5"/>
    <w:rsid w:val="00832369"/>
    <w:rsid w:val="00834660"/>
    <w:rsid w:val="00836BC2"/>
    <w:rsid w:val="008414E2"/>
    <w:rsid w:val="00846F7D"/>
    <w:rsid w:val="0085156D"/>
    <w:rsid w:val="0085641B"/>
    <w:rsid w:val="00857136"/>
    <w:rsid w:val="00875A6B"/>
    <w:rsid w:val="00885B11"/>
    <w:rsid w:val="00886D15"/>
    <w:rsid w:val="00887DD8"/>
    <w:rsid w:val="00891BA9"/>
    <w:rsid w:val="00894045"/>
    <w:rsid w:val="00896018"/>
    <w:rsid w:val="008960DD"/>
    <w:rsid w:val="0089635C"/>
    <w:rsid w:val="008A2B9D"/>
    <w:rsid w:val="008A3D9F"/>
    <w:rsid w:val="008A5E0B"/>
    <w:rsid w:val="008A6D59"/>
    <w:rsid w:val="008B4B03"/>
    <w:rsid w:val="008B596F"/>
    <w:rsid w:val="008C159F"/>
    <w:rsid w:val="008C1623"/>
    <w:rsid w:val="008C1850"/>
    <w:rsid w:val="008C51A9"/>
    <w:rsid w:val="008D0767"/>
    <w:rsid w:val="008E7846"/>
    <w:rsid w:val="008F02E5"/>
    <w:rsid w:val="008F1CCC"/>
    <w:rsid w:val="008F2967"/>
    <w:rsid w:val="008F6943"/>
    <w:rsid w:val="00902A21"/>
    <w:rsid w:val="00920330"/>
    <w:rsid w:val="009219D7"/>
    <w:rsid w:val="00922D53"/>
    <w:rsid w:val="00923B70"/>
    <w:rsid w:val="00924482"/>
    <w:rsid w:val="00930237"/>
    <w:rsid w:val="009322BC"/>
    <w:rsid w:val="00937C17"/>
    <w:rsid w:val="00940A89"/>
    <w:rsid w:val="00946EA5"/>
    <w:rsid w:val="00963C08"/>
    <w:rsid w:val="009752A5"/>
    <w:rsid w:val="00985004"/>
    <w:rsid w:val="0098585A"/>
    <w:rsid w:val="009A4CED"/>
    <w:rsid w:val="009A690D"/>
    <w:rsid w:val="009B1D12"/>
    <w:rsid w:val="009B33FA"/>
    <w:rsid w:val="009B416B"/>
    <w:rsid w:val="009C4BD5"/>
    <w:rsid w:val="009D7B77"/>
    <w:rsid w:val="009E0BB0"/>
    <w:rsid w:val="009E3D47"/>
    <w:rsid w:val="009E3FBB"/>
    <w:rsid w:val="009E5527"/>
    <w:rsid w:val="009F7353"/>
    <w:rsid w:val="00A00816"/>
    <w:rsid w:val="00A04F85"/>
    <w:rsid w:val="00A05FA4"/>
    <w:rsid w:val="00A102E4"/>
    <w:rsid w:val="00A12C42"/>
    <w:rsid w:val="00A134B0"/>
    <w:rsid w:val="00A13FFC"/>
    <w:rsid w:val="00A14DF7"/>
    <w:rsid w:val="00A3246D"/>
    <w:rsid w:val="00A36FA7"/>
    <w:rsid w:val="00A3710C"/>
    <w:rsid w:val="00A44DDB"/>
    <w:rsid w:val="00A475B7"/>
    <w:rsid w:val="00A47AF7"/>
    <w:rsid w:val="00A47C3E"/>
    <w:rsid w:val="00A50226"/>
    <w:rsid w:val="00A60BAD"/>
    <w:rsid w:val="00A71E55"/>
    <w:rsid w:val="00A77B00"/>
    <w:rsid w:val="00A80B5B"/>
    <w:rsid w:val="00A83FB4"/>
    <w:rsid w:val="00A84E36"/>
    <w:rsid w:val="00A964D1"/>
    <w:rsid w:val="00AA0ED0"/>
    <w:rsid w:val="00AA3603"/>
    <w:rsid w:val="00AC2B40"/>
    <w:rsid w:val="00AC2BB2"/>
    <w:rsid w:val="00AC2C3C"/>
    <w:rsid w:val="00AC512D"/>
    <w:rsid w:val="00AD0083"/>
    <w:rsid w:val="00AD3935"/>
    <w:rsid w:val="00AE304E"/>
    <w:rsid w:val="00AE65EB"/>
    <w:rsid w:val="00AE67A7"/>
    <w:rsid w:val="00AF1D94"/>
    <w:rsid w:val="00AF60C5"/>
    <w:rsid w:val="00B009C6"/>
    <w:rsid w:val="00B01548"/>
    <w:rsid w:val="00B060A6"/>
    <w:rsid w:val="00B07DCE"/>
    <w:rsid w:val="00B13EBD"/>
    <w:rsid w:val="00B21D29"/>
    <w:rsid w:val="00B25034"/>
    <w:rsid w:val="00B33588"/>
    <w:rsid w:val="00B33863"/>
    <w:rsid w:val="00B37D17"/>
    <w:rsid w:val="00B4175E"/>
    <w:rsid w:val="00B450E7"/>
    <w:rsid w:val="00B452CE"/>
    <w:rsid w:val="00B54C25"/>
    <w:rsid w:val="00B76B91"/>
    <w:rsid w:val="00B77EB1"/>
    <w:rsid w:val="00B811C6"/>
    <w:rsid w:val="00B855B0"/>
    <w:rsid w:val="00B91256"/>
    <w:rsid w:val="00B92E08"/>
    <w:rsid w:val="00B94E13"/>
    <w:rsid w:val="00B961E4"/>
    <w:rsid w:val="00BB1E5B"/>
    <w:rsid w:val="00BC622A"/>
    <w:rsid w:val="00BE0115"/>
    <w:rsid w:val="00BE0A78"/>
    <w:rsid w:val="00BE79F0"/>
    <w:rsid w:val="00BF046D"/>
    <w:rsid w:val="00BF0935"/>
    <w:rsid w:val="00BF1190"/>
    <w:rsid w:val="00BF5D04"/>
    <w:rsid w:val="00BF682A"/>
    <w:rsid w:val="00C009AA"/>
    <w:rsid w:val="00C00F97"/>
    <w:rsid w:val="00C114B9"/>
    <w:rsid w:val="00C1164D"/>
    <w:rsid w:val="00C16861"/>
    <w:rsid w:val="00C2251D"/>
    <w:rsid w:val="00C346AB"/>
    <w:rsid w:val="00C404A6"/>
    <w:rsid w:val="00C40A36"/>
    <w:rsid w:val="00C44419"/>
    <w:rsid w:val="00C448E4"/>
    <w:rsid w:val="00C4490D"/>
    <w:rsid w:val="00C45E7B"/>
    <w:rsid w:val="00C471B1"/>
    <w:rsid w:val="00C6316B"/>
    <w:rsid w:val="00C634A9"/>
    <w:rsid w:val="00C64586"/>
    <w:rsid w:val="00C70D53"/>
    <w:rsid w:val="00C73D0B"/>
    <w:rsid w:val="00C772FF"/>
    <w:rsid w:val="00C80137"/>
    <w:rsid w:val="00C801AF"/>
    <w:rsid w:val="00C80256"/>
    <w:rsid w:val="00C87725"/>
    <w:rsid w:val="00C94CD4"/>
    <w:rsid w:val="00C95F30"/>
    <w:rsid w:val="00C9747E"/>
    <w:rsid w:val="00CA6D87"/>
    <w:rsid w:val="00CB6BC0"/>
    <w:rsid w:val="00CC0C9B"/>
    <w:rsid w:val="00CC1B7C"/>
    <w:rsid w:val="00CC727F"/>
    <w:rsid w:val="00CF15C3"/>
    <w:rsid w:val="00CF2B6F"/>
    <w:rsid w:val="00CF2F3E"/>
    <w:rsid w:val="00CF58B6"/>
    <w:rsid w:val="00CF74B3"/>
    <w:rsid w:val="00D0062D"/>
    <w:rsid w:val="00D017ED"/>
    <w:rsid w:val="00D040D3"/>
    <w:rsid w:val="00D04C65"/>
    <w:rsid w:val="00D201D2"/>
    <w:rsid w:val="00D21E9C"/>
    <w:rsid w:val="00D224FE"/>
    <w:rsid w:val="00D23139"/>
    <w:rsid w:val="00D24962"/>
    <w:rsid w:val="00D250EE"/>
    <w:rsid w:val="00D425BB"/>
    <w:rsid w:val="00D50FB6"/>
    <w:rsid w:val="00D51439"/>
    <w:rsid w:val="00D55960"/>
    <w:rsid w:val="00D6493E"/>
    <w:rsid w:val="00D7195D"/>
    <w:rsid w:val="00D7301E"/>
    <w:rsid w:val="00D83AE1"/>
    <w:rsid w:val="00D855D4"/>
    <w:rsid w:val="00D902C9"/>
    <w:rsid w:val="00D93466"/>
    <w:rsid w:val="00DA1124"/>
    <w:rsid w:val="00DB26F9"/>
    <w:rsid w:val="00DB323B"/>
    <w:rsid w:val="00DB6124"/>
    <w:rsid w:val="00DB750B"/>
    <w:rsid w:val="00DB75B7"/>
    <w:rsid w:val="00DC6E02"/>
    <w:rsid w:val="00DD28CD"/>
    <w:rsid w:val="00DE02AE"/>
    <w:rsid w:val="00DE278C"/>
    <w:rsid w:val="00DF1D7F"/>
    <w:rsid w:val="00DF4BE4"/>
    <w:rsid w:val="00E02FB4"/>
    <w:rsid w:val="00E07240"/>
    <w:rsid w:val="00E13FC7"/>
    <w:rsid w:val="00E20571"/>
    <w:rsid w:val="00E229FD"/>
    <w:rsid w:val="00E235F7"/>
    <w:rsid w:val="00E23659"/>
    <w:rsid w:val="00E239D4"/>
    <w:rsid w:val="00E26130"/>
    <w:rsid w:val="00E40B22"/>
    <w:rsid w:val="00E44ED1"/>
    <w:rsid w:val="00E45619"/>
    <w:rsid w:val="00E4588F"/>
    <w:rsid w:val="00E46DA3"/>
    <w:rsid w:val="00E51BB1"/>
    <w:rsid w:val="00E624A5"/>
    <w:rsid w:val="00E64BA4"/>
    <w:rsid w:val="00E7344E"/>
    <w:rsid w:val="00E82665"/>
    <w:rsid w:val="00E8585E"/>
    <w:rsid w:val="00EB0798"/>
    <w:rsid w:val="00EB40AD"/>
    <w:rsid w:val="00EB586E"/>
    <w:rsid w:val="00EB5FC8"/>
    <w:rsid w:val="00EC1954"/>
    <w:rsid w:val="00EC463D"/>
    <w:rsid w:val="00EC7A85"/>
    <w:rsid w:val="00ED2922"/>
    <w:rsid w:val="00ED3CAD"/>
    <w:rsid w:val="00ED5A41"/>
    <w:rsid w:val="00EE1DE8"/>
    <w:rsid w:val="00EE27C2"/>
    <w:rsid w:val="00EF4BAD"/>
    <w:rsid w:val="00EF59DC"/>
    <w:rsid w:val="00F033EC"/>
    <w:rsid w:val="00F04F68"/>
    <w:rsid w:val="00F12670"/>
    <w:rsid w:val="00F14B27"/>
    <w:rsid w:val="00F3148D"/>
    <w:rsid w:val="00F325C5"/>
    <w:rsid w:val="00F32FE0"/>
    <w:rsid w:val="00F35298"/>
    <w:rsid w:val="00F47333"/>
    <w:rsid w:val="00F47E37"/>
    <w:rsid w:val="00F53C07"/>
    <w:rsid w:val="00F54B65"/>
    <w:rsid w:val="00F61CAD"/>
    <w:rsid w:val="00F640B6"/>
    <w:rsid w:val="00F66DF2"/>
    <w:rsid w:val="00F80E40"/>
    <w:rsid w:val="00F848D9"/>
    <w:rsid w:val="00F918CB"/>
    <w:rsid w:val="00FA5B82"/>
    <w:rsid w:val="00FA639E"/>
    <w:rsid w:val="00FC1FCA"/>
    <w:rsid w:val="00FC25E4"/>
    <w:rsid w:val="00FC4EF7"/>
    <w:rsid w:val="00FC6BF6"/>
    <w:rsid w:val="00FD0824"/>
    <w:rsid w:val="00FD119B"/>
    <w:rsid w:val="00FD1EDC"/>
    <w:rsid w:val="00FD2373"/>
    <w:rsid w:val="00FE1DEE"/>
    <w:rsid w:val="00FF2126"/>
    <w:rsid w:val="00FF5755"/>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0" w:unhideWhenUsed="0"/>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35" w:unhideWhenUsed="0"/>
    <w:lsdException w:name="List Bullet" w:semiHidden="0" w:uiPriority="2" w:unhideWhenUsed="0" w:qFormat="1"/>
    <w:lsdException w:name="List Bullet 2" w:semiHidden="0" w:uiPriority="2" w:unhideWhenUsed="0" w:qFormat="1"/>
    <w:lsdException w:name="List Bullet 3" w:uiPriority="2" w:qFormat="1"/>
    <w:lsdException w:name="Title" w:semiHidden="0" w:uiPriority="10" w:unhideWhenUsed="0"/>
    <w:lsdException w:name="Default Paragraph Font" w:uiPriority="1"/>
    <w:lsdException w:name="Body Text" w:uiPriority="1" w:qFormat="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1"/>
    <w:qFormat/>
    <w:rsid w:val="00D55960"/>
    <w:pPr>
      <w:spacing w:before="120" w:after="120" w:line="240" w:lineRule="atLeast"/>
    </w:pPr>
    <w:rPr>
      <w:rFonts w:ascii="Cambria" w:eastAsia="Cambria" w:hAnsi="Cambria" w:cs="Times New Roman"/>
    </w:rPr>
  </w:style>
  <w:style w:type="paragraph" w:styleId="Heading1">
    <w:name w:val="heading 1"/>
    <w:basedOn w:val="Heading2"/>
    <w:next w:val="Normal"/>
    <w:link w:val="Heading1Char"/>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EF59DC"/>
    <w:pPr>
      <w:keepNext/>
      <w:keepLines/>
      <w:spacing w:before="480" w:after="0" w:line="220" w:lineRule="atLeast"/>
      <w:outlineLvl w:val="2"/>
    </w:pPr>
    <w:rPr>
      <w:rFonts w:ascii="Arial" w:eastAsia="Times New Roman" w:hAnsi="Arial"/>
      <w:b/>
      <w:bCs/>
      <w:sz w:val="26"/>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rsid w:val="00770CAC"/>
    <w:pPr>
      <w:keepNext/>
      <w:spacing w:after="60" w:line="180" w:lineRule="atLeast"/>
      <w:outlineLvl w:val="6"/>
    </w:pPr>
    <w:rPr>
      <w:rFonts w:eastAsia="Times New Roman"/>
      <w:bCs/>
      <w:sz w:val="20"/>
      <w:szCs w:val="24"/>
    </w:rPr>
  </w:style>
  <w:style w:type="paragraph" w:styleId="Heading8">
    <w:name w:val="heading 8"/>
    <w:basedOn w:val="Normal"/>
    <w:next w:val="Normal"/>
    <w:link w:val="Heading8Char"/>
    <w:uiPriority w:val="9"/>
    <w:semiHidden/>
    <w:unhideWhenUsed/>
    <w:qFormat/>
    <w:rsid w:val="00E229FD"/>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EF59DC"/>
    <w:rPr>
      <w:rFonts w:ascii="Arial" w:eastAsia="Times New Roman" w:hAnsi="Arial" w:cs="Times New Roman"/>
      <w:b/>
      <w:bCs/>
      <w:sz w:val="26"/>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CF74B3"/>
    <w:pPr>
      <w:keepNext/>
      <w:keepLines/>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70CAC"/>
    <w:rPr>
      <w:rFonts w:ascii="Cambria" w:eastAsia="Times New Roman" w:hAnsi="Cambria" w:cs="Times New Roman"/>
      <w:bCs/>
      <w:sz w:val="20"/>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4C2DCA"/>
    <w:pPr>
      <w:numPr>
        <w:numId w:val="3"/>
      </w:numPr>
    </w:pPr>
  </w:style>
  <w:style w:type="paragraph" w:styleId="ListBullet2">
    <w:name w:val="List Bullet 2"/>
    <w:basedOn w:val="Normal"/>
    <w:uiPriority w:val="2"/>
    <w:qFormat/>
    <w:rsid w:val="004C2DCA"/>
    <w:pPr>
      <w:numPr>
        <w:ilvl w:val="1"/>
        <w:numId w:val="3"/>
      </w:numPr>
    </w:pPr>
  </w:style>
  <w:style w:type="paragraph" w:styleId="ListBullet3">
    <w:name w:val="List Bullet 3"/>
    <w:basedOn w:val="Normal"/>
    <w:uiPriority w:val="2"/>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1B5C90"/>
    <w:pPr>
      <w:spacing w:before="0" w:line="240" w:lineRule="auto"/>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iPriority w:val="99"/>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uiPriority w:val="99"/>
    <w:rsid w:val="001B5C90"/>
    <w:rPr>
      <w:rFonts w:ascii="Cambria" w:eastAsia="Cambria" w:hAnsi="Cambria" w:cs="Times New Roman"/>
      <w:sz w:val="18"/>
      <w:szCs w:val="20"/>
    </w:rPr>
  </w:style>
  <w:style w:type="character" w:styleId="FootnoteReference">
    <w:name w:val="footnote reference"/>
    <w:basedOn w:val="DefaultParagraphFont"/>
    <w:uiPriority w:val="99"/>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DD28CD"/>
    <w:pPr>
      <w:ind w:left="992" w:hanging="992"/>
    </w:pPr>
  </w:style>
  <w:style w:type="paragraph" w:styleId="EndnoteText">
    <w:name w:val="endnote text"/>
    <w:basedOn w:val="Normal"/>
    <w:link w:val="EndnoteTextChar"/>
    <w:uiPriority w:val="99"/>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0E6196"/>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0E6196"/>
    <w:rPr>
      <w:vertAlign w:val="superscript"/>
    </w:rPr>
  </w:style>
  <w:style w:type="character" w:styleId="CommentReference">
    <w:name w:val="annotation reference"/>
    <w:basedOn w:val="DefaultParagraphFont"/>
    <w:uiPriority w:val="99"/>
    <w:semiHidden/>
    <w:unhideWhenUsed/>
    <w:rsid w:val="00EC463D"/>
    <w:rPr>
      <w:sz w:val="16"/>
      <w:szCs w:val="16"/>
    </w:rPr>
  </w:style>
  <w:style w:type="paragraph" w:styleId="CommentText">
    <w:name w:val="annotation text"/>
    <w:basedOn w:val="Normal"/>
    <w:link w:val="CommentTextChar"/>
    <w:uiPriority w:val="99"/>
    <w:semiHidden/>
    <w:unhideWhenUsed/>
    <w:rsid w:val="00EC463D"/>
    <w:pPr>
      <w:spacing w:line="240" w:lineRule="auto"/>
    </w:pPr>
    <w:rPr>
      <w:sz w:val="20"/>
      <w:szCs w:val="20"/>
    </w:rPr>
  </w:style>
  <w:style w:type="character" w:customStyle="1" w:styleId="CommentTextChar">
    <w:name w:val="Comment Text Char"/>
    <w:basedOn w:val="DefaultParagraphFont"/>
    <w:link w:val="CommentText"/>
    <w:uiPriority w:val="99"/>
    <w:semiHidden/>
    <w:rsid w:val="00EC463D"/>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EC463D"/>
    <w:rPr>
      <w:b/>
      <w:bCs/>
    </w:rPr>
  </w:style>
  <w:style w:type="character" w:customStyle="1" w:styleId="CommentSubjectChar">
    <w:name w:val="Comment Subject Char"/>
    <w:basedOn w:val="CommentTextChar"/>
    <w:link w:val="CommentSubject"/>
    <w:uiPriority w:val="99"/>
    <w:semiHidden/>
    <w:rsid w:val="00EC463D"/>
    <w:rPr>
      <w:rFonts w:ascii="Cambria" w:eastAsia="Cambria" w:hAnsi="Cambria" w:cs="Times New Roman"/>
      <w:b/>
      <w:bCs/>
      <w:sz w:val="20"/>
      <w:szCs w:val="20"/>
    </w:rPr>
  </w:style>
  <w:style w:type="paragraph" w:styleId="Revision">
    <w:name w:val="Revision"/>
    <w:hidden/>
    <w:uiPriority w:val="99"/>
    <w:semiHidden/>
    <w:rsid w:val="003442FD"/>
    <w:pPr>
      <w:spacing w:after="0" w:line="240" w:lineRule="auto"/>
    </w:pPr>
    <w:rPr>
      <w:rFonts w:ascii="Cambria" w:eastAsia="Cambria" w:hAnsi="Cambria" w:cs="Times New Roman"/>
    </w:rPr>
  </w:style>
  <w:style w:type="paragraph" w:customStyle="1" w:styleId="Instructions">
    <w:name w:val="Instructions"/>
    <w:basedOn w:val="Normal"/>
    <w:next w:val="Normal"/>
    <w:uiPriority w:val="1"/>
    <w:qFormat/>
    <w:rsid w:val="00EE27C2"/>
    <w:rPr>
      <w:i/>
      <w:color w:val="007099"/>
    </w:rPr>
  </w:style>
  <w:style w:type="paragraph" w:customStyle="1" w:styleId="Bullet1">
    <w:name w:val="Bullet 1"/>
    <w:basedOn w:val="Normal"/>
    <w:uiPriority w:val="99"/>
    <w:rsid w:val="00C114B9"/>
    <w:pPr>
      <w:numPr>
        <w:numId w:val="6"/>
      </w:numPr>
      <w:spacing w:after="0" w:line="240" w:lineRule="auto"/>
    </w:pPr>
    <w:rPr>
      <w:rFonts w:eastAsia="Times New Roman"/>
      <w:kern w:val="24"/>
      <w:szCs w:val="24"/>
      <w:lang w:eastAsia="en-AU"/>
    </w:rPr>
  </w:style>
  <w:style w:type="paragraph" w:customStyle="1" w:styleId="Bullet2">
    <w:name w:val="Bullet 2"/>
    <w:basedOn w:val="Bullet1"/>
    <w:uiPriority w:val="99"/>
    <w:rsid w:val="00C114B9"/>
    <w:pPr>
      <w:numPr>
        <w:numId w:val="7"/>
      </w:numPr>
    </w:pPr>
  </w:style>
  <w:style w:type="character" w:customStyle="1" w:styleId="Heading8Char">
    <w:name w:val="Heading 8 Char"/>
    <w:basedOn w:val="DefaultParagraphFont"/>
    <w:link w:val="Heading8"/>
    <w:uiPriority w:val="9"/>
    <w:semiHidden/>
    <w:rsid w:val="00E229FD"/>
    <w:rPr>
      <w:rFonts w:asciiTheme="majorHAnsi" w:eastAsiaTheme="majorEastAsia" w:hAnsiTheme="majorHAnsi" w:cstheme="majorBidi"/>
      <w:color w:val="404040" w:themeColor="text1" w:themeTint="BF"/>
      <w:sz w:val="20"/>
      <w:szCs w:val="20"/>
    </w:rPr>
  </w:style>
  <w:style w:type="paragraph" w:styleId="ListParagraph">
    <w:name w:val="List Paragraph"/>
    <w:basedOn w:val="Normal"/>
    <w:uiPriority w:val="34"/>
    <w:qFormat/>
    <w:rsid w:val="00BF682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720"/>
      <w:contextualSpacing/>
    </w:pPr>
    <w:rPr>
      <w:rFonts w:ascii="Times New Roman" w:eastAsia="Times New Roman" w:hAnsi="Times New Roman"/>
      <w:kern w:val="16"/>
      <w:sz w:val="24"/>
      <w:szCs w:val="24"/>
      <w:lang w:eastAsia="en-AU"/>
    </w:rPr>
  </w:style>
  <w:style w:type="character" w:customStyle="1" w:styleId="st1">
    <w:name w:val="st1"/>
    <w:basedOn w:val="DefaultParagraphFont"/>
    <w:rsid w:val="00736586"/>
  </w:style>
  <w:style w:type="table" w:customStyle="1" w:styleId="TableTGAblue1">
    <w:name w:val="Table TGA blue1"/>
    <w:basedOn w:val="TableNormal"/>
    <w:uiPriority w:val="99"/>
    <w:qFormat/>
    <w:rsid w:val="00736586"/>
    <w:pPr>
      <w:spacing w:after="0" w:line="240" w:lineRule="auto"/>
    </w:pPr>
    <w:rPr>
      <w:rFonts w:ascii="Cambria" w:hAnsi="Cambria" w:cs="Times New Roman"/>
      <w:color w:val="000000"/>
      <w:szCs w:val="21"/>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wordWrap/>
      </w:pPr>
      <w:rPr>
        <w:rFonts w:ascii="Cambria" w:hAnsi="Cambria" w:hint="default"/>
        <w:b/>
        <w:color w:val="FFFFFF"/>
        <w:sz w:val="22"/>
        <w:szCs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paragraph" w:styleId="BodyText">
    <w:name w:val="Body Text"/>
    <w:basedOn w:val="Normal"/>
    <w:link w:val="BodyTextChar"/>
    <w:uiPriority w:val="1"/>
    <w:qFormat/>
    <w:rsid w:val="00560B79"/>
    <w:pPr>
      <w:widowControl w:val="0"/>
      <w:autoSpaceDE w:val="0"/>
      <w:autoSpaceDN w:val="0"/>
      <w:spacing w:before="0" w:after="0" w:line="240" w:lineRule="auto"/>
    </w:pPr>
    <w:rPr>
      <w:rFonts w:ascii="Times New Roman" w:eastAsia="Times New Roman" w:hAnsi="Times New Roman"/>
      <w:sz w:val="24"/>
      <w:szCs w:val="24"/>
      <w:lang w:val="en-US"/>
    </w:rPr>
  </w:style>
  <w:style w:type="character" w:customStyle="1" w:styleId="BodyTextChar">
    <w:name w:val="Body Text Char"/>
    <w:basedOn w:val="DefaultParagraphFont"/>
    <w:link w:val="BodyText"/>
    <w:uiPriority w:val="1"/>
    <w:rsid w:val="00560B79"/>
    <w:rPr>
      <w:rFonts w:ascii="Times New Roman" w:eastAsia="Times New Roman" w:hAnsi="Times New Roman" w:cs="Times New Roman"/>
      <w:sz w:val="24"/>
      <w:szCs w:val="24"/>
      <w:lang w:val="en-US"/>
    </w:rPr>
  </w:style>
  <w:style w:type="paragraph" w:customStyle="1" w:styleId="Default">
    <w:name w:val="Default"/>
    <w:rsid w:val="00760EF6"/>
    <w:pPr>
      <w:autoSpaceDE w:val="0"/>
      <w:autoSpaceDN w:val="0"/>
      <w:adjustRightInd w:val="0"/>
      <w:spacing w:after="0" w:line="240" w:lineRule="auto"/>
    </w:pPr>
    <w:rPr>
      <w:rFonts w:ascii="Cambria" w:hAnsi="Cambria" w:cs="Cambria"/>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0" w:unhideWhenUsed="0"/>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35" w:unhideWhenUsed="0"/>
    <w:lsdException w:name="List Bullet" w:semiHidden="0" w:uiPriority="2" w:unhideWhenUsed="0" w:qFormat="1"/>
    <w:lsdException w:name="List Bullet 2" w:semiHidden="0" w:uiPriority="2" w:unhideWhenUsed="0" w:qFormat="1"/>
    <w:lsdException w:name="List Bullet 3" w:uiPriority="2" w:qFormat="1"/>
    <w:lsdException w:name="Title" w:semiHidden="0" w:uiPriority="10" w:unhideWhenUsed="0"/>
    <w:lsdException w:name="Default Paragraph Font" w:uiPriority="1"/>
    <w:lsdException w:name="Body Text" w:uiPriority="1" w:qFormat="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1"/>
    <w:qFormat/>
    <w:rsid w:val="00D55960"/>
    <w:pPr>
      <w:spacing w:before="120" w:after="120" w:line="240" w:lineRule="atLeast"/>
    </w:pPr>
    <w:rPr>
      <w:rFonts w:ascii="Cambria" w:eastAsia="Cambria" w:hAnsi="Cambria" w:cs="Times New Roman"/>
    </w:rPr>
  </w:style>
  <w:style w:type="paragraph" w:styleId="Heading1">
    <w:name w:val="heading 1"/>
    <w:basedOn w:val="Heading2"/>
    <w:next w:val="Normal"/>
    <w:link w:val="Heading1Char"/>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EF59DC"/>
    <w:pPr>
      <w:keepNext/>
      <w:keepLines/>
      <w:spacing w:before="480" w:after="0" w:line="220" w:lineRule="atLeast"/>
      <w:outlineLvl w:val="2"/>
    </w:pPr>
    <w:rPr>
      <w:rFonts w:ascii="Arial" w:eastAsia="Times New Roman" w:hAnsi="Arial"/>
      <w:b/>
      <w:bCs/>
      <w:sz w:val="26"/>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rsid w:val="00770CAC"/>
    <w:pPr>
      <w:keepNext/>
      <w:spacing w:after="60" w:line="180" w:lineRule="atLeast"/>
      <w:outlineLvl w:val="6"/>
    </w:pPr>
    <w:rPr>
      <w:rFonts w:eastAsia="Times New Roman"/>
      <w:bCs/>
      <w:sz w:val="20"/>
      <w:szCs w:val="24"/>
    </w:rPr>
  </w:style>
  <w:style w:type="paragraph" w:styleId="Heading8">
    <w:name w:val="heading 8"/>
    <w:basedOn w:val="Normal"/>
    <w:next w:val="Normal"/>
    <w:link w:val="Heading8Char"/>
    <w:uiPriority w:val="9"/>
    <w:semiHidden/>
    <w:unhideWhenUsed/>
    <w:qFormat/>
    <w:rsid w:val="00E229FD"/>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EF59DC"/>
    <w:rPr>
      <w:rFonts w:ascii="Arial" w:eastAsia="Times New Roman" w:hAnsi="Arial" w:cs="Times New Roman"/>
      <w:b/>
      <w:bCs/>
      <w:sz w:val="26"/>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CF74B3"/>
    <w:pPr>
      <w:keepNext/>
      <w:keepLines/>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70CAC"/>
    <w:rPr>
      <w:rFonts w:ascii="Cambria" w:eastAsia="Times New Roman" w:hAnsi="Cambria" w:cs="Times New Roman"/>
      <w:bCs/>
      <w:sz w:val="20"/>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4C2DCA"/>
    <w:pPr>
      <w:numPr>
        <w:numId w:val="3"/>
      </w:numPr>
    </w:pPr>
  </w:style>
  <w:style w:type="paragraph" w:styleId="ListBullet2">
    <w:name w:val="List Bullet 2"/>
    <w:basedOn w:val="Normal"/>
    <w:uiPriority w:val="2"/>
    <w:qFormat/>
    <w:rsid w:val="004C2DCA"/>
    <w:pPr>
      <w:numPr>
        <w:ilvl w:val="1"/>
        <w:numId w:val="3"/>
      </w:numPr>
    </w:pPr>
  </w:style>
  <w:style w:type="paragraph" w:styleId="ListBullet3">
    <w:name w:val="List Bullet 3"/>
    <w:basedOn w:val="Normal"/>
    <w:uiPriority w:val="2"/>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1B5C90"/>
    <w:pPr>
      <w:spacing w:before="0" w:line="240" w:lineRule="auto"/>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iPriority w:val="99"/>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uiPriority w:val="99"/>
    <w:rsid w:val="001B5C90"/>
    <w:rPr>
      <w:rFonts w:ascii="Cambria" w:eastAsia="Cambria" w:hAnsi="Cambria" w:cs="Times New Roman"/>
      <w:sz w:val="18"/>
      <w:szCs w:val="20"/>
    </w:rPr>
  </w:style>
  <w:style w:type="character" w:styleId="FootnoteReference">
    <w:name w:val="footnote reference"/>
    <w:basedOn w:val="DefaultParagraphFont"/>
    <w:uiPriority w:val="99"/>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DD28CD"/>
    <w:pPr>
      <w:ind w:left="992" w:hanging="992"/>
    </w:pPr>
  </w:style>
  <w:style w:type="paragraph" w:styleId="EndnoteText">
    <w:name w:val="endnote text"/>
    <w:basedOn w:val="Normal"/>
    <w:link w:val="EndnoteTextChar"/>
    <w:uiPriority w:val="99"/>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0E6196"/>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0E6196"/>
    <w:rPr>
      <w:vertAlign w:val="superscript"/>
    </w:rPr>
  </w:style>
  <w:style w:type="character" w:styleId="CommentReference">
    <w:name w:val="annotation reference"/>
    <w:basedOn w:val="DefaultParagraphFont"/>
    <w:uiPriority w:val="99"/>
    <w:semiHidden/>
    <w:unhideWhenUsed/>
    <w:rsid w:val="00EC463D"/>
    <w:rPr>
      <w:sz w:val="16"/>
      <w:szCs w:val="16"/>
    </w:rPr>
  </w:style>
  <w:style w:type="paragraph" w:styleId="CommentText">
    <w:name w:val="annotation text"/>
    <w:basedOn w:val="Normal"/>
    <w:link w:val="CommentTextChar"/>
    <w:uiPriority w:val="99"/>
    <w:semiHidden/>
    <w:unhideWhenUsed/>
    <w:rsid w:val="00EC463D"/>
    <w:pPr>
      <w:spacing w:line="240" w:lineRule="auto"/>
    </w:pPr>
    <w:rPr>
      <w:sz w:val="20"/>
      <w:szCs w:val="20"/>
    </w:rPr>
  </w:style>
  <w:style w:type="character" w:customStyle="1" w:styleId="CommentTextChar">
    <w:name w:val="Comment Text Char"/>
    <w:basedOn w:val="DefaultParagraphFont"/>
    <w:link w:val="CommentText"/>
    <w:uiPriority w:val="99"/>
    <w:semiHidden/>
    <w:rsid w:val="00EC463D"/>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EC463D"/>
    <w:rPr>
      <w:b/>
      <w:bCs/>
    </w:rPr>
  </w:style>
  <w:style w:type="character" w:customStyle="1" w:styleId="CommentSubjectChar">
    <w:name w:val="Comment Subject Char"/>
    <w:basedOn w:val="CommentTextChar"/>
    <w:link w:val="CommentSubject"/>
    <w:uiPriority w:val="99"/>
    <w:semiHidden/>
    <w:rsid w:val="00EC463D"/>
    <w:rPr>
      <w:rFonts w:ascii="Cambria" w:eastAsia="Cambria" w:hAnsi="Cambria" w:cs="Times New Roman"/>
      <w:b/>
      <w:bCs/>
      <w:sz w:val="20"/>
      <w:szCs w:val="20"/>
    </w:rPr>
  </w:style>
  <w:style w:type="paragraph" w:styleId="Revision">
    <w:name w:val="Revision"/>
    <w:hidden/>
    <w:uiPriority w:val="99"/>
    <w:semiHidden/>
    <w:rsid w:val="003442FD"/>
    <w:pPr>
      <w:spacing w:after="0" w:line="240" w:lineRule="auto"/>
    </w:pPr>
    <w:rPr>
      <w:rFonts w:ascii="Cambria" w:eastAsia="Cambria" w:hAnsi="Cambria" w:cs="Times New Roman"/>
    </w:rPr>
  </w:style>
  <w:style w:type="paragraph" w:customStyle="1" w:styleId="Instructions">
    <w:name w:val="Instructions"/>
    <w:basedOn w:val="Normal"/>
    <w:next w:val="Normal"/>
    <w:uiPriority w:val="1"/>
    <w:qFormat/>
    <w:rsid w:val="00EE27C2"/>
    <w:rPr>
      <w:i/>
      <w:color w:val="007099"/>
    </w:rPr>
  </w:style>
  <w:style w:type="paragraph" w:customStyle="1" w:styleId="Bullet1">
    <w:name w:val="Bullet 1"/>
    <w:basedOn w:val="Normal"/>
    <w:uiPriority w:val="99"/>
    <w:rsid w:val="00C114B9"/>
    <w:pPr>
      <w:numPr>
        <w:numId w:val="6"/>
      </w:numPr>
      <w:spacing w:after="0" w:line="240" w:lineRule="auto"/>
    </w:pPr>
    <w:rPr>
      <w:rFonts w:eastAsia="Times New Roman"/>
      <w:kern w:val="24"/>
      <w:szCs w:val="24"/>
      <w:lang w:eastAsia="en-AU"/>
    </w:rPr>
  </w:style>
  <w:style w:type="paragraph" w:customStyle="1" w:styleId="Bullet2">
    <w:name w:val="Bullet 2"/>
    <w:basedOn w:val="Bullet1"/>
    <w:uiPriority w:val="99"/>
    <w:rsid w:val="00C114B9"/>
    <w:pPr>
      <w:numPr>
        <w:numId w:val="7"/>
      </w:numPr>
    </w:pPr>
  </w:style>
  <w:style w:type="character" w:customStyle="1" w:styleId="Heading8Char">
    <w:name w:val="Heading 8 Char"/>
    <w:basedOn w:val="DefaultParagraphFont"/>
    <w:link w:val="Heading8"/>
    <w:uiPriority w:val="9"/>
    <w:semiHidden/>
    <w:rsid w:val="00E229FD"/>
    <w:rPr>
      <w:rFonts w:asciiTheme="majorHAnsi" w:eastAsiaTheme="majorEastAsia" w:hAnsiTheme="majorHAnsi" w:cstheme="majorBidi"/>
      <w:color w:val="404040" w:themeColor="text1" w:themeTint="BF"/>
      <w:sz w:val="20"/>
      <w:szCs w:val="20"/>
    </w:rPr>
  </w:style>
  <w:style w:type="paragraph" w:styleId="ListParagraph">
    <w:name w:val="List Paragraph"/>
    <w:basedOn w:val="Normal"/>
    <w:uiPriority w:val="34"/>
    <w:qFormat/>
    <w:rsid w:val="00BF682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720"/>
      <w:contextualSpacing/>
    </w:pPr>
    <w:rPr>
      <w:rFonts w:ascii="Times New Roman" w:eastAsia="Times New Roman" w:hAnsi="Times New Roman"/>
      <w:kern w:val="16"/>
      <w:sz w:val="24"/>
      <w:szCs w:val="24"/>
      <w:lang w:eastAsia="en-AU"/>
    </w:rPr>
  </w:style>
  <w:style w:type="character" w:customStyle="1" w:styleId="st1">
    <w:name w:val="st1"/>
    <w:basedOn w:val="DefaultParagraphFont"/>
    <w:rsid w:val="00736586"/>
  </w:style>
  <w:style w:type="table" w:customStyle="1" w:styleId="TableTGAblue1">
    <w:name w:val="Table TGA blue1"/>
    <w:basedOn w:val="TableNormal"/>
    <w:uiPriority w:val="99"/>
    <w:qFormat/>
    <w:rsid w:val="00736586"/>
    <w:pPr>
      <w:spacing w:after="0" w:line="240" w:lineRule="auto"/>
    </w:pPr>
    <w:rPr>
      <w:rFonts w:ascii="Cambria" w:hAnsi="Cambria" w:cs="Times New Roman"/>
      <w:color w:val="000000"/>
      <w:szCs w:val="21"/>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wordWrap/>
      </w:pPr>
      <w:rPr>
        <w:rFonts w:ascii="Cambria" w:hAnsi="Cambria" w:hint="default"/>
        <w:b/>
        <w:color w:val="FFFFFF"/>
        <w:sz w:val="22"/>
        <w:szCs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paragraph" w:styleId="BodyText">
    <w:name w:val="Body Text"/>
    <w:basedOn w:val="Normal"/>
    <w:link w:val="BodyTextChar"/>
    <w:uiPriority w:val="1"/>
    <w:qFormat/>
    <w:rsid w:val="00560B79"/>
    <w:pPr>
      <w:widowControl w:val="0"/>
      <w:autoSpaceDE w:val="0"/>
      <w:autoSpaceDN w:val="0"/>
      <w:spacing w:before="0" w:after="0" w:line="240" w:lineRule="auto"/>
    </w:pPr>
    <w:rPr>
      <w:rFonts w:ascii="Times New Roman" w:eastAsia="Times New Roman" w:hAnsi="Times New Roman"/>
      <w:sz w:val="24"/>
      <w:szCs w:val="24"/>
      <w:lang w:val="en-US"/>
    </w:rPr>
  </w:style>
  <w:style w:type="character" w:customStyle="1" w:styleId="BodyTextChar">
    <w:name w:val="Body Text Char"/>
    <w:basedOn w:val="DefaultParagraphFont"/>
    <w:link w:val="BodyText"/>
    <w:uiPriority w:val="1"/>
    <w:rsid w:val="00560B79"/>
    <w:rPr>
      <w:rFonts w:ascii="Times New Roman" w:eastAsia="Times New Roman" w:hAnsi="Times New Roman" w:cs="Times New Roman"/>
      <w:sz w:val="24"/>
      <w:szCs w:val="24"/>
      <w:lang w:val="en-US"/>
    </w:rPr>
  </w:style>
  <w:style w:type="paragraph" w:customStyle="1" w:styleId="Default">
    <w:name w:val="Default"/>
    <w:rsid w:val="00760EF6"/>
    <w:pPr>
      <w:autoSpaceDE w:val="0"/>
      <w:autoSpaceDN w:val="0"/>
      <w:adjustRightInd w:val="0"/>
      <w:spacing w:after="0" w:line="240" w:lineRule="auto"/>
    </w:pPr>
    <w:rPr>
      <w:rFonts w:ascii="Cambria" w:hAnsi="Cambria" w:cs="Cambri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6825067">
      <w:bodyDiv w:val="1"/>
      <w:marLeft w:val="0"/>
      <w:marRight w:val="0"/>
      <w:marTop w:val="0"/>
      <w:marBottom w:val="0"/>
      <w:divBdr>
        <w:top w:val="none" w:sz="0" w:space="0" w:color="auto"/>
        <w:left w:val="none" w:sz="0" w:space="0" w:color="auto"/>
        <w:bottom w:val="none" w:sz="0" w:space="0" w:color="auto"/>
        <w:right w:val="none" w:sz="0" w:space="0" w:color="auto"/>
      </w:divBdr>
    </w:div>
    <w:div w:id="327564059">
      <w:bodyDiv w:val="1"/>
      <w:marLeft w:val="0"/>
      <w:marRight w:val="0"/>
      <w:marTop w:val="0"/>
      <w:marBottom w:val="0"/>
      <w:divBdr>
        <w:top w:val="none" w:sz="0" w:space="0" w:color="auto"/>
        <w:left w:val="none" w:sz="0" w:space="0" w:color="auto"/>
        <w:bottom w:val="none" w:sz="0" w:space="0" w:color="auto"/>
        <w:right w:val="none" w:sz="0" w:space="0" w:color="auto"/>
      </w:divBdr>
    </w:div>
    <w:div w:id="382142053">
      <w:bodyDiv w:val="1"/>
      <w:marLeft w:val="0"/>
      <w:marRight w:val="0"/>
      <w:marTop w:val="0"/>
      <w:marBottom w:val="0"/>
      <w:divBdr>
        <w:top w:val="none" w:sz="0" w:space="0" w:color="auto"/>
        <w:left w:val="none" w:sz="0" w:space="0" w:color="auto"/>
        <w:bottom w:val="none" w:sz="0" w:space="0" w:color="auto"/>
        <w:right w:val="none" w:sz="0" w:space="0" w:color="auto"/>
      </w:divBdr>
    </w:div>
    <w:div w:id="625934858">
      <w:bodyDiv w:val="1"/>
      <w:marLeft w:val="0"/>
      <w:marRight w:val="0"/>
      <w:marTop w:val="0"/>
      <w:marBottom w:val="0"/>
      <w:divBdr>
        <w:top w:val="none" w:sz="0" w:space="0" w:color="auto"/>
        <w:left w:val="none" w:sz="0" w:space="0" w:color="auto"/>
        <w:bottom w:val="none" w:sz="0" w:space="0" w:color="auto"/>
        <w:right w:val="none" w:sz="0" w:space="0" w:color="auto"/>
      </w:divBdr>
    </w:div>
    <w:div w:id="1782528209">
      <w:bodyDiv w:val="1"/>
      <w:marLeft w:val="0"/>
      <w:marRight w:val="0"/>
      <w:marTop w:val="0"/>
      <w:marBottom w:val="0"/>
      <w:divBdr>
        <w:top w:val="none" w:sz="0" w:space="0" w:color="auto"/>
        <w:left w:val="none" w:sz="0" w:space="0" w:color="auto"/>
        <w:bottom w:val="none" w:sz="0" w:space="0" w:color="auto"/>
        <w:right w:val="none" w:sz="0" w:space="0" w:color="auto"/>
      </w:divBdr>
    </w:div>
    <w:div w:id="1824472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7.png"/><Relationship Id="rId26" Type="http://schemas.openxmlformats.org/officeDocument/2006/relationships/hyperlink" Target="https://www.tga.gov.au/product-information-pi"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header" Target="header7.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6.png"/><Relationship Id="rId25" Type="http://schemas.microsoft.com/office/2007/relationships/hdphoto" Target="media/hdphoto1.wdp"/><Relationship Id="rId33" Type="http://schemas.openxmlformats.org/officeDocument/2006/relationships/header" Target="header6.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tga.gov.au/product-information-pi" TargetMode="External"/><Relationship Id="rId20" Type="http://schemas.openxmlformats.org/officeDocument/2006/relationships/image" Target="media/image9.png"/><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3.png"/><Relationship Id="rId32" Type="http://schemas.openxmlformats.org/officeDocument/2006/relationships/hyperlink" Target="https://www.tga.gov.au" TargetMode="External"/><Relationship Id="rId37" Type="http://schemas.openxmlformats.org/officeDocument/2006/relationships/footer" Target="footer4.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header" Target="header4.xml"/><Relationship Id="rId36" Type="http://schemas.openxmlformats.org/officeDocument/2006/relationships/header" Target="header8.xml"/><Relationship Id="rId10" Type="http://schemas.openxmlformats.org/officeDocument/2006/relationships/hyperlink" Target="mailto:tga.copyright@tga.gov.au" TargetMode="External"/><Relationship Id="rId19" Type="http://schemas.openxmlformats.org/officeDocument/2006/relationships/image" Target="media/image8.png"/><Relationship Id="rId31" Type="http://schemas.openxmlformats.org/officeDocument/2006/relationships/hyperlink" Target="mailto:info@tga.gov.au" TargetMode="External"/><Relationship Id="rId4" Type="http://schemas.microsoft.com/office/2007/relationships/stylesWithEffects" Target="stylesWithEffects.xml"/><Relationship Id="rId9" Type="http://schemas.openxmlformats.org/officeDocument/2006/relationships/hyperlink" Target="https://www.tga.gov.au" TargetMode="Externa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header" Target="header3.xml"/><Relationship Id="rId30" Type="http://schemas.openxmlformats.org/officeDocument/2006/relationships/footer" Target="footer2.xml"/><Relationship Id="rId35" Type="http://schemas.openxmlformats.org/officeDocument/2006/relationships/footer" Target="footer3.xml"/></Relationships>
</file>

<file path=word/_rels/footnotes.xml.rels><?xml version="1.0" encoding="UTF-8" standalone="yes"?>
<Relationships xmlns="http://schemas.openxmlformats.org/package/2006/relationships"><Relationship Id="rId1" Type="http://schemas.openxmlformats.org/officeDocument/2006/relationships/image" Target="media/image5.emf"/></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rann\AppData\Local\Hewlett-Packard\HP%20TRIM\TEMP\HPTRIM.3928\R12%20926607%20%20AusPAR%20-%20template.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F8C0F6-0629-41EC-B25D-A39A04B4C4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R12 926607  AusPAR - template</Template>
  <TotalTime>0</TotalTime>
  <Pages>59</Pages>
  <Words>22578</Words>
  <Characters>124859</Characters>
  <Application>Microsoft Office Word</Application>
  <DocSecurity>4</DocSecurity>
  <Lines>3783</Lines>
  <Paragraphs>2200</Paragraphs>
  <ScaleCrop>false</ScaleCrop>
  <HeadingPairs>
    <vt:vector size="2" baseType="variant">
      <vt:variant>
        <vt:lpstr>Title</vt:lpstr>
      </vt:variant>
      <vt:variant>
        <vt:i4>1</vt:i4>
      </vt:variant>
    </vt:vector>
  </HeadingPairs>
  <TitlesOfParts>
    <vt:vector size="1" baseType="lpstr">
      <vt:lpstr>Australian Public Assessment Report for Adalimumab</vt:lpstr>
    </vt:vector>
  </TitlesOfParts>
  <Company>Department of Health</Company>
  <LinksUpToDate>false</LinksUpToDate>
  <CharactersWithSpaces>145237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Adalimumab</dc:title>
  <dc:subject>prescription medicines</dc:subject>
  <dc:creator>Therapeutic Goods Administration</dc:creator>
  <cp:keywords>AusPARs</cp:keywords>
  <cp:lastModifiedBy>LACK, Janet</cp:lastModifiedBy>
  <cp:revision>2</cp:revision>
  <cp:lastPrinted>2017-02-15T00:01:00Z</cp:lastPrinted>
  <dcterms:created xsi:type="dcterms:W3CDTF">2017-04-12T04:52:00Z</dcterms:created>
  <dcterms:modified xsi:type="dcterms:W3CDTF">2017-04-12T04:52:00Z</dcterms:modified>
</cp:coreProperties>
</file>