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5E4EC3B" w14:textId="77777777" w:rsidTr="00BF1190">
        <w:trPr>
          <w:trHeight w:val="1863"/>
        </w:trPr>
        <w:tc>
          <w:tcPr>
            <w:tcW w:w="3652" w:type="dxa"/>
            <w:tcBorders>
              <w:top w:val="nil"/>
              <w:left w:val="nil"/>
              <w:bottom w:val="nil"/>
              <w:right w:val="nil"/>
            </w:tcBorders>
          </w:tcPr>
          <w:p w14:paraId="38C4184C" w14:textId="01066AEE" w:rsidR="008E7846" w:rsidRPr="00096AA7" w:rsidRDefault="000C0656" w:rsidP="00984B83">
            <w:pPr>
              <w:rPr>
                <w:rFonts w:ascii="Arial" w:hAnsi="Arial" w:cs="Arial"/>
                <w:b/>
                <w:color w:val="002C47"/>
                <w:sz w:val="36"/>
                <w:szCs w:val="36"/>
              </w:rPr>
            </w:pPr>
            <w:r>
              <w:rPr>
                <w:rFonts w:ascii="Arial" w:hAnsi="Arial" w:cs="Arial"/>
                <w:b/>
                <w:color w:val="002C47"/>
                <w:sz w:val="36"/>
                <w:szCs w:val="36"/>
              </w:rPr>
              <w:t xml:space="preserve">June </w:t>
            </w:r>
            <w:r w:rsidR="00984B83">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3C74A9E" w14:textId="77777777" w:rsidTr="0032583B">
        <w:trPr>
          <w:trHeight w:val="868"/>
        </w:trPr>
        <w:tc>
          <w:tcPr>
            <w:tcW w:w="9079" w:type="dxa"/>
          </w:tcPr>
          <w:p w14:paraId="4A477E5B" w14:textId="77777777" w:rsidR="0032583B" w:rsidRPr="00A964D1" w:rsidRDefault="0032583B" w:rsidP="00984B83">
            <w:pPr>
              <w:pStyle w:val="Title"/>
              <w:rPr>
                <w:color w:val="FFFFFF" w:themeColor="background1"/>
              </w:rPr>
            </w:pPr>
            <w:r w:rsidRPr="00A964D1">
              <w:rPr>
                <w:color w:val="FFFFFF" w:themeColor="background1"/>
              </w:rPr>
              <w:t>Australia</w:t>
            </w:r>
            <w:r w:rsidR="00984B83">
              <w:rPr>
                <w:color w:val="FFFFFF" w:themeColor="background1"/>
              </w:rPr>
              <w:t xml:space="preserve">n Public Assessment Report for </w:t>
            </w:r>
            <w:r w:rsidR="00984B83" w:rsidRPr="00984B83">
              <w:rPr>
                <w:color w:val="FFFFFF" w:themeColor="background1"/>
              </w:rPr>
              <w:t>Ad26.COV2.S</w:t>
            </w:r>
          </w:p>
        </w:tc>
      </w:tr>
      <w:tr w:rsidR="0032583B" w:rsidRPr="00B64760" w14:paraId="5F9A7C32" w14:textId="77777777" w:rsidTr="0032583B">
        <w:tc>
          <w:tcPr>
            <w:tcW w:w="9079" w:type="dxa"/>
          </w:tcPr>
          <w:p w14:paraId="7F8655E7" w14:textId="77777777" w:rsidR="0032583B" w:rsidRPr="008E7846" w:rsidRDefault="00984B83" w:rsidP="00984B83">
            <w:pPr>
              <w:pStyle w:val="Subtitle"/>
              <w:rPr>
                <w:color w:val="FFFFFF" w:themeColor="background1"/>
              </w:rPr>
            </w:pPr>
            <w:r>
              <w:rPr>
                <w:color w:val="FFFFFF" w:themeColor="background1"/>
              </w:rPr>
              <w:t>Proprietary Product Name:</w:t>
            </w:r>
            <w:r w:rsidRPr="00984B83">
              <w:rPr>
                <w:color w:val="FFFFFF" w:themeColor="background1"/>
              </w:rPr>
              <w:t xml:space="preserve"> COVID-19 Vaccine Janssen</w:t>
            </w:r>
          </w:p>
        </w:tc>
      </w:tr>
      <w:tr w:rsidR="0032583B" w:rsidRPr="00B64760" w14:paraId="1C631D7B" w14:textId="77777777" w:rsidTr="0032583B">
        <w:trPr>
          <w:trHeight w:val="486"/>
        </w:trPr>
        <w:tc>
          <w:tcPr>
            <w:tcW w:w="9079" w:type="dxa"/>
          </w:tcPr>
          <w:p w14:paraId="449B7EFA" w14:textId="77777777" w:rsidR="0032583B" w:rsidRPr="008E7846" w:rsidRDefault="00984B83" w:rsidP="00984B83">
            <w:pPr>
              <w:pStyle w:val="Subtitle"/>
              <w:rPr>
                <w:color w:val="FFFFFF" w:themeColor="background1"/>
              </w:rPr>
            </w:pPr>
            <w:r>
              <w:rPr>
                <w:color w:val="FFFFFF" w:themeColor="background1"/>
              </w:rPr>
              <w:t>Sponsor: Janssen-</w:t>
            </w:r>
            <w:proofErr w:type="spellStart"/>
            <w:r>
              <w:rPr>
                <w:color w:val="FFFFFF" w:themeColor="background1"/>
              </w:rPr>
              <w:t>Cilag</w:t>
            </w:r>
            <w:proofErr w:type="spellEnd"/>
            <w:r>
              <w:rPr>
                <w:color w:val="FFFFFF" w:themeColor="background1"/>
              </w:rPr>
              <w:t xml:space="preserve"> Pty Ltd</w:t>
            </w:r>
          </w:p>
        </w:tc>
      </w:tr>
    </w:tbl>
    <w:p w14:paraId="216EB74D" w14:textId="77777777" w:rsidR="008E7846" w:rsidRPr="0085156D" w:rsidRDefault="008E7846" w:rsidP="0085156D">
      <w:r w:rsidRPr="0085156D">
        <w:br w:type="page"/>
      </w:r>
    </w:p>
    <w:p w14:paraId="2F7AC09E" w14:textId="77777777" w:rsidR="008E7846" w:rsidRPr="001F6CBA" w:rsidRDefault="008E7846" w:rsidP="008E7846">
      <w:pPr>
        <w:pStyle w:val="NonTOCHeading2"/>
      </w:pPr>
      <w:r w:rsidRPr="001F6CBA">
        <w:lastRenderedPageBreak/>
        <w:t>About the Therapeutic Goods Administration (TGA)</w:t>
      </w:r>
    </w:p>
    <w:p w14:paraId="133C375B"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8245C41"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5F3D3F2"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616DCC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621A845" w14:textId="5CB82942"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4414C4F" w14:textId="77777777" w:rsidR="008E7846" w:rsidRDefault="008E7846" w:rsidP="00875A6B">
      <w:pPr>
        <w:pStyle w:val="NonTOCHeading2"/>
      </w:pPr>
      <w:r>
        <w:t xml:space="preserve">About </w:t>
      </w:r>
      <w:proofErr w:type="spellStart"/>
      <w:r>
        <w:t>AusPARs</w:t>
      </w:r>
      <w:proofErr w:type="spellEnd"/>
    </w:p>
    <w:p w14:paraId="38196C75"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4262A4B6"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5D55BCA5"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3D3300AD"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68ADB48D"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6AF47EE7" w14:textId="77777777" w:rsidR="00924482" w:rsidRPr="00DF1D7F" w:rsidRDefault="00924482" w:rsidP="00F54B65">
      <w:pPr>
        <w:pStyle w:val="LegalSubheading"/>
        <w:spacing w:before="3120"/>
      </w:pPr>
      <w:r w:rsidRPr="00DF1D7F">
        <w:t>Copyright</w:t>
      </w:r>
    </w:p>
    <w:p w14:paraId="40B56385" w14:textId="2013A238"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09B7CC0C"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B1B9CF5" w14:textId="77777777" w:rsidR="0089635C" w:rsidRPr="0089635C" w:rsidRDefault="0089635C" w:rsidP="0010788A">
          <w:pPr>
            <w:pStyle w:val="Contents"/>
          </w:pPr>
          <w:r w:rsidRPr="0010788A">
            <w:t>Contents</w:t>
          </w:r>
        </w:p>
        <w:p w14:paraId="2562C5D7" w14:textId="3FB1ADD5" w:rsidR="00F204A2"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75438451" w:history="1">
            <w:r w:rsidR="00F204A2" w:rsidRPr="00D703CF">
              <w:rPr>
                <w:rStyle w:val="Hyperlink"/>
                <w:noProof/>
              </w:rPr>
              <w:t>List of abbreviations</w:t>
            </w:r>
            <w:r w:rsidR="00F204A2">
              <w:rPr>
                <w:noProof/>
                <w:webHidden/>
              </w:rPr>
              <w:tab/>
            </w:r>
            <w:r w:rsidR="00F204A2">
              <w:rPr>
                <w:noProof/>
                <w:webHidden/>
              </w:rPr>
              <w:fldChar w:fldCharType="begin"/>
            </w:r>
            <w:r w:rsidR="00F204A2">
              <w:rPr>
                <w:noProof/>
                <w:webHidden/>
              </w:rPr>
              <w:instrText xml:space="preserve"> PAGEREF _Toc75438451 \h </w:instrText>
            </w:r>
            <w:r w:rsidR="00F204A2">
              <w:rPr>
                <w:noProof/>
                <w:webHidden/>
              </w:rPr>
            </w:r>
            <w:r w:rsidR="00F204A2">
              <w:rPr>
                <w:noProof/>
                <w:webHidden/>
              </w:rPr>
              <w:fldChar w:fldCharType="separate"/>
            </w:r>
            <w:r w:rsidR="00F204A2">
              <w:rPr>
                <w:noProof/>
                <w:webHidden/>
              </w:rPr>
              <w:t>4</w:t>
            </w:r>
            <w:r w:rsidR="00F204A2">
              <w:rPr>
                <w:noProof/>
                <w:webHidden/>
              </w:rPr>
              <w:fldChar w:fldCharType="end"/>
            </w:r>
          </w:hyperlink>
        </w:p>
        <w:p w14:paraId="594C912F" w14:textId="4B5247B6" w:rsidR="00F204A2" w:rsidRDefault="00655033">
          <w:pPr>
            <w:pStyle w:val="TOC1"/>
            <w:rPr>
              <w:rFonts w:asciiTheme="minorHAnsi" w:eastAsiaTheme="minorEastAsia" w:hAnsiTheme="minorHAnsi" w:cstheme="minorBidi"/>
              <w:b w:val="0"/>
              <w:noProof/>
              <w:sz w:val="22"/>
              <w:lang w:eastAsia="en-AU"/>
            </w:rPr>
          </w:pPr>
          <w:hyperlink w:anchor="_Toc75438452" w:history="1">
            <w:r w:rsidR="00F204A2" w:rsidRPr="00D703CF">
              <w:rPr>
                <w:rStyle w:val="Hyperlink"/>
                <w:noProof/>
              </w:rPr>
              <w:t>I. Introduction to product submission</w:t>
            </w:r>
            <w:r w:rsidR="00F204A2">
              <w:rPr>
                <w:noProof/>
                <w:webHidden/>
              </w:rPr>
              <w:tab/>
            </w:r>
            <w:r w:rsidR="00F204A2">
              <w:rPr>
                <w:noProof/>
                <w:webHidden/>
              </w:rPr>
              <w:fldChar w:fldCharType="begin"/>
            </w:r>
            <w:r w:rsidR="00F204A2">
              <w:rPr>
                <w:noProof/>
                <w:webHidden/>
              </w:rPr>
              <w:instrText xml:space="preserve"> PAGEREF _Toc75438452 \h </w:instrText>
            </w:r>
            <w:r w:rsidR="00F204A2">
              <w:rPr>
                <w:noProof/>
                <w:webHidden/>
              </w:rPr>
            </w:r>
            <w:r w:rsidR="00F204A2">
              <w:rPr>
                <w:noProof/>
                <w:webHidden/>
              </w:rPr>
              <w:fldChar w:fldCharType="separate"/>
            </w:r>
            <w:r w:rsidR="00F204A2">
              <w:rPr>
                <w:noProof/>
                <w:webHidden/>
              </w:rPr>
              <w:t>7</w:t>
            </w:r>
            <w:r w:rsidR="00F204A2">
              <w:rPr>
                <w:noProof/>
                <w:webHidden/>
              </w:rPr>
              <w:fldChar w:fldCharType="end"/>
            </w:r>
          </w:hyperlink>
        </w:p>
        <w:p w14:paraId="696AAE3C" w14:textId="16CBC42C" w:rsidR="00F204A2" w:rsidRDefault="00655033">
          <w:pPr>
            <w:pStyle w:val="TOC2"/>
            <w:rPr>
              <w:rFonts w:asciiTheme="minorHAnsi" w:eastAsiaTheme="minorEastAsia" w:hAnsiTheme="minorHAnsi" w:cstheme="minorBidi"/>
              <w:b w:val="0"/>
              <w:noProof/>
              <w:sz w:val="22"/>
              <w:lang w:eastAsia="en-AU"/>
            </w:rPr>
          </w:pPr>
          <w:hyperlink w:anchor="_Toc75438453" w:history="1">
            <w:r w:rsidR="00F204A2" w:rsidRPr="00D703CF">
              <w:rPr>
                <w:rStyle w:val="Hyperlink"/>
                <w:noProof/>
                <w:lang w:eastAsia="en-AU"/>
              </w:rPr>
              <w:t>Submission details</w:t>
            </w:r>
            <w:r w:rsidR="00F204A2">
              <w:rPr>
                <w:noProof/>
                <w:webHidden/>
              </w:rPr>
              <w:tab/>
            </w:r>
            <w:r w:rsidR="00F204A2">
              <w:rPr>
                <w:noProof/>
                <w:webHidden/>
              </w:rPr>
              <w:fldChar w:fldCharType="begin"/>
            </w:r>
            <w:r w:rsidR="00F204A2">
              <w:rPr>
                <w:noProof/>
                <w:webHidden/>
              </w:rPr>
              <w:instrText xml:space="preserve"> PAGEREF _Toc75438453 \h </w:instrText>
            </w:r>
            <w:r w:rsidR="00F204A2">
              <w:rPr>
                <w:noProof/>
                <w:webHidden/>
              </w:rPr>
            </w:r>
            <w:r w:rsidR="00F204A2">
              <w:rPr>
                <w:noProof/>
                <w:webHidden/>
              </w:rPr>
              <w:fldChar w:fldCharType="separate"/>
            </w:r>
            <w:r w:rsidR="00F204A2">
              <w:rPr>
                <w:noProof/>
                <w:webHidden/>
              </w:rPr>
              <w:t>7</w:t>
            </w:r>
            <w:r w:rsidR="00F204A2">
              <w:rPr>
                <w:noProof/>
                <w:webHidden/>
              </w:rPr>
              <w:fldChar w:fldCharType="end"/>
            </w:r>
          </w:hyperlink>
        </w:p>
        <w:p w14:paraId="3CAB1ECC" w14:textId="4F087613" w:rsidR="00F204A2" w:rsidRDefault="00655033">
          <w:pPr>
            <w:pStyle w:val="TOC2"/>
            <w:rPr>
              <w:rFonts w:asciiTheme="minorHAnsi" w:eastAsiaTheme="minorEastAsia" w:hAnsiTheme="minorHAnsi" w:cstheme="minorBidi"/>
              <w:b w:val="0"/>
              <w:noProof/>
              <w:sz w:val="22"/>
              <w:lang w:eastAsia="en-AU"/>
            </w:rPr>
          </w:pPr>
          <w:hyperlink w:anchor="_Toc75438454" w:history="1">
            <w:r w:rsidR="00F204A2" w:rsidRPr="00D703CF">
              <w:rPr>
                <w:rStyle w:val="Hyperlink"/>
                <w:noProof/>
              </w:rPr>
              <w:t>Product background</w:t>
            </w:r>
            <w:r w:rsidR="00F204A2">
              <w:rPr>
                <w:noProof/>
                <w:webHidden/>
              </w:rPr>
              <w:tab/>
            </w:r>
            <w:r w:rsidR="00F204A2">
              <w:rPr>
                <w:noProof/>
                <w:webHidden/>
              </w:rPr>
              <w:fldChar w:fldCharType="begin"/>
            </w:r>
            <w:r w:rsidR="00F204A2">
              <w:rPr>
                <w:noProof/>
                <w:webHidden/>
              </w:rPr>
              <w:instrText xml:space="preserve"> PAGEREF _Toc75438454 \h </w:instrText>
            </w:r>
            <w:r w:rsidR="00F204A2">
              <w:rPr>
                <w:noProof/>
                <w:webHidden/>
              </w:rPr>
            </w:r>
            <w:r w:rsidR="00F204A2">
              <w:rPr>
                <w:noProof/>
                <w:webHidden/>
              </w:rPr>
              <w:fldChar w:fldCharType="separate"/>
            </w:r>
            <w:r w:rsidR="00F204A2">
              <w:rPr>
                <w:noProof/>
                <w:webHidden/>
              </w:rPr>
              <w:t>8</w:t>
            </w:r>
            <w:r w:rsidR="00F204A2">
              <w:rPr>
                <w:noProof/>
                <w:webHidden/>
              </w:rPr>
              <w:fldChar w:fldCharType="end"/>
            </w:r>
          </w:hyperlink>
        </w:p>
        <w:p w14:paraId="0BC93A46" w14:textId="103BF887" w:rsidR="00F204A2" w:rsidRDefault="00655033">
          <w:pPr>
            <w:pStyle w:val="TOC2"/>
            <w:rPr>
              <w:rFonts w:asciiTheme="minorHAnsi" w:eastAsiaTheme="minorEastAsia" w:hAnsiTheme="minorHAnsi" w:cstheme="minorBidi"/>
              <w:b w:val="0"/>
              <w:noProof/>
              <w:sz w:val="22"/>
              <w:lang w:eastAsia="en-AU"/>
            </w:rPr>
          </w:pPr>
          <w:hyperlink w:anchor="_Toc75438455" w:history="1">
            <w:r w:rsidR="00F204A2" w:rsidRPr="00D703CF">
              <w:rPr>
                <w:rStyle w:val="Hyperlink"/>
                <w:noProof/>
              </w:rPr>
              <w:t>Regulatory status</w:t>
            </w:r>
            <w:r w:rsidR="00F204A2">
              <w:rPr>
                <w:noProof/>
                <w:webHidden/>
              </w:rPr>
              <w:tab/>
            </w:r>
            <w:r w:rsidR="00F204A2">
              <w:rPr>
                <w:noProof/>
                <w:webHidden/>
              </w:rPr>
              <w:fldChar w:fldCharType="begin"/>
            </w:r>
            <w:r w:rsidR="00F204A2">
              <w:rPr>
                <w:noProof/>
                <w:webHidden/>
              </w:rPr>
              <w:instrText xml:space="preserve"> PAGEREF _Toc75438455 \h </w:instrText>
            </w:r>
            <w:r w:rsidR="00F204A2">
              <w:rPr>
                <w:noProof/>
                <w:webHidden/>
              </w:rPr>
            </w:r>
            <w:r w:rsidR="00F204A2">
              <w:rPr>
                <w:noProof/>
                <w:webHidden/>
              </w:rPr>
              <w:fldChar w:fldCharType="separate"/>
            </w:r>
            <w:r w:rsidR="00F204A2">
              <w:rPr>
                <w:noProof/>
                <w:webHidden/>
              </w:rPr>
              <w:t>11</w:t>
            </w:r>
            <w:r w:rsidR="00F204A2">
              <w:rPr>
                <w:noProof/>
                <w:webHidden/>
              </w:rPr>
              <w:fldChar w:fldCharType="end"/>
            </w:r>
          </w:hyperlink>
        </w:p>
        <w:p w14:paraId="41CD51D1" w14:textId="41634034" w:rsidR="00F204A2" w:rsidRDefault="00655033">
          <w:pPr>
            <w:pStyle w:val="TOC2"/>
            <w:rPr>
              <w:rFonts w:asciiTheme="minorHAnsi" w:eastAsiaTheme="minorEastAsia" w:hAnsiTheme="minorHAnsi" w:cstheme="minorBidi"/>
              <w:b w:val="0"/>
              <w:noProof/>
              <w:sz w:val="22"/>
              <w:lang w:eastAsia="en-AU"/>
            </w:rPr>
          </w:pPr>
          <w:hyperlink w:anchor="_Toc75438456" w:history="1">
            <w:r w:rsidR="00F204A2" w:rsidRPr="00D703CF">
              <w:rPr>
                <w:rStyle w:val="Hyperlink"/>
                <w:noProof/>
              </w:rPr>
              <w:t>Product Information</w:t>
            </w:r>
            <w:r w:rsidR="00F204A2">
              <w:rPr>
                <w:noProof/>
                <w:webHidden/>
              </w:rPr>
              <w:tab/>
            </w:r>
            <w:r w:rsidR="00F204A2">
              <w:rPr>
                <w:noProof/>
                <w:webHidden/>
              </w:rPr>
              <w:fldChar w:fldCharType="begin"/>
            </w:r>
            <w:r w:rsidR="00F204A2">
              <w:rPr>
                <w:noProof/>
                <w:webHidden/>
              </w:rPr>
              <w:instrText xml:space="preserve"> PAGEREF _Toc75438456 \h </w:instrText>
            </w:r>
            <w:r w:rsidR="00F204A2">
              <w:rPr>
                <w:noProof/>
                <w:webHidden/>
              </w:rPr>
            </w:r>
            <w:r w:rsidR="00F204A2">
              <w:rPr>
                <w:noProof/>
                <w:webHidden/>
              </w:rPr>
              <w:fldChar w:fldCharType="separate"/>
            </w:r>
            <w:r w:rsidR="00F204A2">
              <w:rPr>
                <w:noProof/>
                <w:webHidden/>
              </w:rPr>
              <w:t>12</w:t>
            </w:r>
            <w:r w:rsidR="00F204A2">
              <w:rPr>
                <w:noProof/>
                <w:webHidden/>
              </w:rPr>
              <w:fldChar w:fldCharType="end"/>
            </w:r>
          </w:hyperlink>
        </w:p>
        <w:p w14:paraId="7CC89637" w14:textId="6F184063" w:rsidR="00F204A2" w:rsidRDefault="00655033">
          <w:pPr>
            <w:pStyle w:val="TOC1"/>
            <w:rPr>
              <w:rFonts w:asciiTheme="minorHAnsi" w:eastAsiaTheme="minorEastAsia" w:hAnsiTheme="minorHAnsi" w:cstheme="minorBidi"/>
              <w:b w:val="0"/>
              <w:noProof/>
              <w:sz w:val="22"/>
              <w:lang w:eastAsia="en-AU"/>
            </w:rPr>
          </w:pPr>
          <w:hyperlink w:anchor="_Toc75438457" w:history="1">
            <w:r w:rsidR="00F204A2" w:rsidRPr="00D703CF">
              <w:rPr>
                <w:rStyle w:val="Hyperlink"/>
                <w:noProof/>
              </w:rPr>
              <w:t>II. Registration timeline</w:t>
            </w:r>
            <w:r w:rsidR="00F204A2">
              <w:rPr>
                <w:noProof/>
                <w:webHidden/>
              </w:rPr>
              <w:tab/>
            </w:r>
            <w:r w:rsidR="00F204A2">
              <w:rPr>
                <w:noProof/>
                <w:webHidden/>
              </w:rPr>
              <w:fldChar w:fldCharType="begin"/>
            </w:r>
            <w:r w:rsidR="00F204A2">
              <w:rPr>
                <w:noProof/>
                <w:webHidden/>
              </w:rPr>
              <w:instrText xml:space="preserve"> PAGEREF _Toc75438457 \h </w:instrText>
            </w:r>
            <w:r w:rsidR="00F204A2">
              <w:rPr>
                <w:noProof/>
                <w:webHidden/>
              </w:rPr>
            </w:r>
            <w:r w:rsidR="00F204A2">
              <w:rPr>
                <w:noProof/>
                <w:webHidden/>
              </w:rPr>
              <w:fldChar w:fldCharType="separate"/>
            </w:r>
            <w:r w:rsidR="00F204A2">
              <w:rPr>
                <w:noProof/>
                <w:webHidden/>
              </w:rPr>
              <w:t>12</w:t>
            </w:r>
            <w:r w:rsidR="00F204A2">
              <w:rPr>
                <w:noProof/>
                <w:webHidden/>
              </w:rPr>
              <w:fldChar w:fldCharType="end"/>
            </w:r>
          </w:hyperlink>
        </w:p>
        <w:p w14:paraId="3637AD46" w14:textId="466625CB" w:rsidR="00F204A2" w:rsidRDefault="00655033">
          <w:pPr>
            <w:pStyle w:val="TOC1"/>
            <w:rPr>
              <w:rFonts w:asciiTheme="minorHAnsi" w:eastAsiaTheme="minorEastAsia" w:hAnsiTheme="minorHAnsi" w:cstheme="minorBidi"/>
              <w:b w:val="0"/>
              <w:noProof/>
              <w:sz w:val="22"/>
              <w:lang w:eastAsia="en-AU"/>
            </w:rPr>
          </w:pPr>
          <w:hyperlink w:anchor="_Toc75438458" w:history="1">
            <w:r w:rsidR="00F204A2" w:rsidRPr="00D703CF">
              <w:rPr>
                <w:rStyle w:val="Hyperlink"/>
                <w:noProof/>
              </w:rPr>
              <w:t>III. Submission overview and risk/benefit assessment</w:t>
            </w:r>
            <w:r w:rsidR="00F204A2">
              <w:rPr>
                <w:noProof/>
                <w:webHidden/>
              </w:rPr>
              <w:tab/>
            </w:r>
            <w:r w:rsidR="00F204A2">
              <w:rPr>
                <w:noProof/>
                <w:webHidden/>
              </w:rPr>
              <w:fldChar w:fldCharType="begin"/>
            </w:r>
            <w:r w:rsidR="00F204A2">
              <w:rPr>
                <w:noProof/>
                <w:webHidden/>
              </w:rPr>
              <w:instrText xml:space="preserve"> PAGEREF _Toc75438458 \h </w:instrText>
            </w:r>
            <w:r w:rsidR="00F204A2">
              <w:rPr>
                <w:noProof/>
                <w:webHidden/>
              </w:rPr>
            </w:r>
            <w:r w:rsidR="00F204A2">
              <w:rPr>
                <w:noProof/>
                <w:webHidden/>
              </w:rPr>
              <w:fldChar w:fldCharType="separate"/>
            </w:r>
            <w:r w:rsidR="00F204A2">
              <w:rPr>
                <w:noProof/>
                <w:webHidden/>
              </w:rPr>
              <w:t>13</w:t>
            </w:r>
            <w:r w:rsidR="00F204A2">
              <w:rPr>
                <w:noProof/>
                <w:webHidden/>
              </w:rPr>
              <w:fldChar w:fldCharType="end"/>
            </w:r>
          </w:hyperlink>
        </w:p>
        <w:p w14:paraId="10FF227C" w14:textId="10AFB059" w:rsidR="00F204A2" w:rsidRDefault="00655033">
          <w:pPr>
            <w:pStyle w:val="TOC2"/>
            <w:rPr>
              <w:rFonts w:asciiTheme="minorHAnsi" w:eastAsiaTheme="minorEastAsia" w:hAnsiTheme="minorHAnsi" w:cstheme="minorBidi"/>
              <w:b w:val="0"/>
              <w:noProof/>
              <w:sz w:val="22"/>
              <w:lang w:eastAsia="en-AU"/>
            </w:rPr>
          </w:pPr>
          <w:hyperlink w:anchor="_Toc75438459" w:history="1">
            <w:r w:rsidR="00F204A2" w:rsidRPr="00D703CF">
              <w:rPr>
                <w:rStyle w:val="Hyperlink"/>
                <w:noProof/>
              </w:rPr>
              <w:t>Quality</w:t>
            </w:r>
            <w:r w:rsidR="00F204A2">
              <w:rPr>
                <w:noProof/>
                <w:webHidden/>
              </w:rPr>
              <w:tab/>
            </w:r>
            <w:r w:rsidR="00F204A2">
              <w:rPr>
                <w:noProof/>
                <w:webHidden/>
              </w:rPr>
              <w:fldChar w:fldCharType="begin"/>
            </w:r>
            <w:r w:rsidR="00F204A2">
              <w:rPr>
                <w:noProof/>
                <w:webHidden/>
              </w:rPr>
              <w:instrText xml:space="preserve"> PAGEREF _Toc75438459 \h </w:instrText>
            </w:r>
            <w:r w:rsidR="00F204A2">
              <w:rPr>
                <w:noProof/>
                <w:webHidden/>
              </w:rPr>
            </w:r>
            <w:r w:rsidR="00F204A2">
              <w:rPr>
                <w:noProof/>
                <w:webHidden/>
              </w:rPr>
              <w:fldChar w:fldCharType="separate"/>
            </w:r>
            <w:r w:rsidR="00F204A2">
              <w:rPr>
                <w:noProof/>
                <w:webHidden/>
              </w:rPr>
              <w:t>13</w:t>
            </w:r>
            <w:r w:rsidR="00F204A2">
              <w:rPr>
                <w:noProof/>
                <w:webHidden/>
              </w:rPr>
              <w:fldChar w:fldCharType="end"/>
            </w:r>
          </w:hyperlink>
        </w:p>
        <w:p w14:paraId="26DAB089" w14:textId="2239DB3C" w:rsidR="00F204A2" w:rsidRDefault="00655033">
          <w:pPr>
            <w:pStyle w:val="TOC2"/>
            <w:rPr>
              <w:rFonts w:asciiTheme="minorHAnsi" w:eastAsiaTheme="minorEastAsia" w:hAnsiTheme="minorHAnsi" w:cstheme="minorBidi"/>
              <w:b w:val="0"/>
              <w:noProof/>
              <w:sz w:val="22"/>
              <w:lang w:eastAsia="en-AU"/>
            </w:rPr>
          </w:pPr>
          <w:hyperlink w:anchor="_Toc75438460" w:history="1">
            <w:r w:rsidR="00F204A2" w:rsidRPr="00D703CF">
              <w:rPr>
                <w:rStyle w:val="Hyperlink"/>
                <w:noProof/>
              </w:rPr>
              <w:t>Nonclinical</w:t>
            </w:r>
            <w:r w:rsidR="00F204A2">
              <w:rPr>
                <w:noProof/>
                <w:webHidden/>
              </w:rPr>
              <w:tab/>
            </w:r>
            <w:r w:rsidR="00F204A2">
              <w:rPr>
                <w:noProof/>
                <w:webHidden/>
              </w:rPr>
              <w:fldChar w:fldCharType="begin"/>
            </w:r>
            <w:r w:rsidR="00F204A2">
              <w:rPr>
                <w:noProof/>
                <w:webHidden/>
              </w:rPr>
              <w:instrText xml:space="preserve"> PAGEREF _Toc75438460 \h </w:instrText>
            </w:r>
            <w:r w:rsidR="00F204A2">
              <w:rPr>
                <w:noProof/>
                <w:webHidden/>
              </w:rPr>
            </w:r>
            <w:r w:rsidR="00F204A2">
              <w:rPr>
                <w:noProof/>
                <w:webHidden/>
              </w:rPr>
              <w:fldChar w:fldCharType="separate"/>
            </w:r>
            <w:r w:rsidR="00F204A2">
              <w:rPr>
                <w:noProof/>
                <w:webHidden/>
              </w:rPr>
              <w:t>16</w:t>
            </w:r>
            <w:r w:rsidR="00F204A2">
              <w:rPr>
                <w:noProof/>
                <w:webHidden/>
              </w:rPr>
              <w:fldChar w:fldCharType="end"/>
            </w:r>
          </w:hyperlink>
        </w:p>
        <w:p w14:paraId="2EB3482B" w14:textId="68F69997" w:rsidR="00F204A2" w:rsidRDefault="00655033">
          <w:pPr>
            <w:pStyle w:val="TOC2"/>
            <w:rPr>
              <w:rFonts w:asciiTheme="minorHAnsi" w:eastAsiaTheme="minorEastAsia" w:hAnsiTheme="minorHAnsi" w:cstheme="minorBidi"/>
              <w:b w:val="0"/>
              <w:noProof/>
              <w:sz w:val="22"/>
              <w:lang w:eastAsia="en-AU"/>
            </w:rPr>
          </w:pPr>
          <w:hyperlink w:anchor="_Toc75438461" w:history="1">
            <w:r w:rsidR="00F204A2" w:rsidRPr="00D703CF">
              <w:rPr>
                <w:rStyle w:val="Hyperlink"/>
                <w:noProof/>
              </w:rPr>
              <w:t>Clinical</w:t>
            </w:r>
            <w:r w:rsidR="00F204A2">
              <w:rPr>
                <w:noProof/>
                <w:webHidden/>
              </w:rPr>
              <w:tab/>
            </w:r>
            <w:r w:rsidR="00F204A2">
              <w:rPr>
                <w:noProof/>
                <w:webHidden/>
              </w:rPr>
              <w:fldChar w:fldCharType="begin"/>
            </w:r>
            <w:r w:rsidR="00F204A2">
              <w:rPr>
                <w:noProof/>
                <w:webHidden/>
              </w:rPr>
              <w:instrText xml:space="preserve"> PAGEREF _Toc75438461 \h </w:instrText>
            </w:r>
            <w:r w:rsidR="00F204A2">
              <w:rPr>
                <w:noProof/>
                <w:webHidden/>
              </w:rPr>
            </w:r>
            <w:r w:rsidR="00F204A2">
              <w:rPr>
                <w:noProof/>
                <w:webHidden/>
              </w:rPr>
              <w:fldChar w:fldCharType="separate"/>
            </w:r>
            <w:r w:rsidR="00F204A2">
              <w:rPr>
                <w:noProof/>
                <w:webHidden/>
              </w:rPr>
              <w:t>17</w:t>
            </w:r>
            <w:r w:rsidR="00F204A2">
              <w:rPr>
                <w:noProof/>
                <w:webHidden/>
              </w:rPr>
              <w:fldChar w:fldCharType="end"/>
            </w:r>
          </w:hyperlink>
        </w:p>
        <w:p w14:paraId="2EE46FA4" w14:textId="54CA81AD" w:rsidR="00F204A2" w:rsidRDefault="00655033">
          <w:pPr>
            <w:pStyle w:val="TOC2"/>
            <w:rPr>
              <w:rFonts w:asciiTheme="minorHAnsi" w:eastAsiaTheme="minorEastAsia" w:hAnsiTheme="minorHAnsi" w:cstheme="minorBidi"/>
              <w:b w:val="0"/>
              <w:noProof/>
              <w:sz w:val="22"/>
              <w:lang w:eastAsia="en-AU"/>
            </w:rPr>
          </w:pPr>
          <w:hyperlink w:anchor="_Toc75438462" w:history="1">
            <w:r w:rsidR="00F204A2" w:rsidRPr="00D703CF">
              <w:rPr>
                <w:rStyle w:val="Hyperlink"/>
                <w:noProof/>
                <w:lang w:eastAsia="en-AU"/>
              </w:rPr>
              <w:t>Risk management plan</w:t>
            </w:r>
            <w:r w:rsidR="00F204A2">
              <w:rPr>
                <w:noProof/>
                <w:webHidden/>
              </w:rPr>
              <w:tab/>
            </w:r>
            <w:r w:rsidR="00F204A2">
              <w:rPr>
                <w:noProof/>
                <w:webHidden/>
              </w:rPr>
              <w:fldChar w:fldCharType="begin"/>
            </w:r>
            <w:r w:rsidR="00F204A2">
              <w:rPr>
                <w:noProof/>
                <w:webHidden/>
              </w:rPr>
              <w:instrText xml:space="preserve"> PAGEREF _Toc75438462 \h </w:instrText>
            </w:r>
            <w:r w:rsidR="00F204A2">
              <w:rPr>
                <w:noProof/>
                <w:webHidden/>
              </w:rPr>
            </w:r>
            <w:r w:rsidR="00F204A2">
              <w:rPr>
                <w:noProof/>
                <w:webHidden/>
              </w:rPr>
              <w:fldChar w:fldCharType="separate"/>
            </w:r>
            <w:r w:rsidR="00F204A2">
              <w:rPr>
                <w:noProof/>
                <w:webHidden/>
              </w:rPr>
              <w:t>28</w:t>
            </w:r>
            <w:r w:rsidR="00F204A2">
              <w:rPr>
                <w:noProof/>
                <w:webHidden/>
              </w:rPr>
              <w:fldChar w:fldCharType="end"/>
            </w:r>
          </w:hyperlink>
        </w:p>
        <w:p w14:paraId="0C9BAE23" w14:textId="76B1F5FB" w:rsidR="00F204A2" w:rsidRDefault="00655033">
          <w:pPr>
            <w:pStyle w:val="TOC2"/>
            <w:rPr>
              <w:rFonts w:asciiTheme="minorHAnsi" w:eastAsiaTheme="minorEastAsia" w:hAnsiTheme="minorHAnsi" w:cstheme="minorBidi"/>
              <w:b w:val="0"/>
              <w:noProof/>
              <w:sz w:val="22"/>
              <w:lang w:eastAsia="en-AU"/>
            </w:rPr>
          </w:pPr>
          <w:hyperlink w:anchor="_Toc75438463" w:history="1">
            <w:r w:rsidR="00F204A2" w:rsidRPr="00D703CF">
              <w:rPr>
                <w:rStyle w:val="Hyperlink"/>
                <w:noProof/>
              </w:rPr>
              <w:t>Risk-benefit analysis</w:t>
            </w:r>
            <w:r w:rsidR="00F204A2">
              <w:rPr>
                <w:noProof/>
                <w:webHidden/>
              </w:rPr>
              <w:tab/>
            </w:r>
            <w:r w:rsidR="00F204A2">
              <w:rPr>
                <w:noProof/>
                <w:webHidden/>
              </w:rPr>
              <w:fldChar w:fldCharType="begin"/>
            </w:r>
            <w:r w:rsidR="00F204A2">
              <w:rPr>
                <w:noProof/>
                <w:webHidden/>
              </w:rPr>
              <w:instrText xml:space="preserve"> PAGEREF _Toc75438463 \h </w:instrText>
            </w:r>
            <w:r w:rsidR="00F204A2">
              <w:rPr>
                <w:noProof/>
                <w:webHidden/>
              </w:rPr>
            </w:r>
            <w:r w:rsidR="00F204A2">
              <w:rPr>
                <w:noProof/>
                <w:webHidden/>
              </w:rPr>
              <w:fldChar w:fldCharType="separate"/>
            </w:r>
            <w:r w:rsidR="00F204A2">
              <w:rPr>
                <w:noProof/>
                <w:webHidden/>
              </w:rPr>
              <w:t>34</w:t>
            </w:r>
            <w:r w:rsidR="00F204A2">
              <w:rPr>
                <w:noProof/>
                <w:webHidden/>
              </w:rPr>
              <w:fldChar w:fldCharType="end"/>
            </w:r>
          </w:hyperlink>
        </w:p>
        <w:p w14:paraId="4B743A19" w14:textId="2B4B6E0B" w:rsidR="00F204A2" w:rsidRDefault="00655033">
          <w:pPr>
            <w:pStyle w:val="TOC2"/>
            <w:rPr>
              <w:rFonts w:asciiTheme="minorHAnsi" w:eastAsiaTheme="minorEastAsia" w:hAnsiTheme="minorHAnsi" w:cstheme="minorBidi"/>
              <w:b w:val="0"/>
              <w:noProof/>
              <w:sz w:val="22"/>
              <w:lang w:eastAsia="en-AU"/>
            </w:rPr>
          </w:pPr>
          <w:hyperlink w:anchor="_Toc75438464" w:history="1">
            <w:r w:rsidR="00F204A2" w:rsidRPr="00D703CF">
              <w:rPr>
                <w:rStyle w:val="Hyperlink"/>
                <w:noProof/>
              </w:rPr>
              <w:t>Outcome</w:t>
            </w:r>
            <w:r w:rsidR="00F204A2">
              <w:rPr>
                <w:noProof/>
                <w:webHidden/>
              </w:rPr>
              <w:tab/>
            </w:r>
            <w:r w:rsidR="00F204A2">
              <w:rPr>
                <w:noProof/>
                <w:webHidden/>
              </w:rPr>
              <w:fldChar w:fldCharType="begin"/>
            </w:r>
            <w:r w:rsidR="00F204A2">
              <w:rPr>
                <w:noProof/>
                <w:webHidden/>
              </w:rPr>
              <w:instrText xml:space="preserve"> PAGEREF _Toc75438464 \h </w:instrText>
            </w:r>
            <w:r w:rsidR="00F204A2">
              <w:rPr>
                <w:noProof/>
                <w:webHidden/>
              </w:rPr>
            </w:r>
            <w:r w:rsidR="00F204A2">
              <w:rPr>
                <w:noProof/>
                <w:webHidden/>
              </w:rPr>
              <w:fldChar w:fldCharType="separate"/>
            </w:r>
            <w:r w:rsidR="00F204A2">
              <w:rPr>
                <w:noProof/>
                <w:webHidden/>
              </w:rPr>
              <w:t>38</w:t>
            </w:r>
            <w:r w:rsidR="00F204A2">
              <w:rPr>
                <w:noProof/>
                <w:webHidden/>
              </w:rPr>
              <w:fldChar w:fldCharType="end"/>
            </w:r>
          </w:hyperlink>
        </w:p>
        <w:p w14:paraId="44E5B290" w14:textId="7176FC25" w:rsidR="00F204A2" w:rsidRDefault="00655033">
          <w:pPr>
            <w:pStyle w:val="TOC1"/>
            <w:rPr>
              <w:rFonts w:asciiTheme="minorHAnsi" w:eastAsiaTheme="minorEastAsia" w:hAnsiTheme="minorHAnsi" w:cstheme="minorBidi"/>
              <w:b w:val="0"/>
              <w:noProof/>
              <w:sz w:val="22"/>
              <w:lang w:eastAsia="en-AU"/>
            </w:rPr>
          </w:pPr>
          <w:hyperlink w:anchor="_Toc75438465" w:history="1">
            <w:r w:rsidR="00F204A2" w:rsidRPr="00D703CF">
              <w:rPr>
                <w:rStyle w:val="Hyperlink"/>
                <w:noProof/>
              </w:rPr>
              <w:t>Attachment 1. Product Information</w:t>
            </w:r>
            <w:r w:rsidR="00F204A2">
              <w:rPr>
                <w:noProof/>
                <w:webHidden/>
              </w:rPr>
              <w:tab/>
            </w:r>
            <w:r w:rsidR="00F204A2">
              <w:rPr>
                <w:noProof/>
                <w:webHidden/>
              </w:rPr>
              <w:fldChar w:fldCharType="begin"/>
            </w:r>
            <w:r w:rsidR="00F204A2">
              <w:rPr>
                <w:noProof/>
                <w:webHidden/>
              </w:rPr>
              <w:instrText xml:space="preserve"> PAGEREF _Toc75438465 \h </w:instrText>
            </w:r>
            <w:r w:rsidR="00F204A2">
              <w:rPr>
                <w:noProof/>
                <w:webHidden/>
              </w:rPr>
            </w:r>
            <w:r w:rsidR="00F204A2">
              <w:rPr>
                <w:noProof/>
                <w:webHidden/>
              </w:rPr>
              <w:fldChar w:fldCharType="separate"/>
            </w:r>
            <w:r w:rsidR="00F204A2">
              <w:rPr>
                <w:noProof/>
                <w:webHidden/>
              </w:rPr>
              <w:t>41</w:t>
            </w:r>
            <w:r w:rsidR="00F204A2">
              <w:rPr>
                <w:noProof/>
                <w:webHidden/>
              </w:rPr>
              <w:fldChar w:fldCharType="end"/>
            </w:r>
          </w:hyperlink>
        </w:p>
        <w:p w14:paraId="02D745BD" w14:textId="67FE6482" w:rsidR="003A7F6C" w:rsidRPr="00B811C6" w:rsidRDefault="00C525A2" w:rsidP="00B811C6">
          <w:pPr>
            <w:pStyle w:val="TOC2"/>
          </w:pPr>
          <w:r>
            <w:fldChar w:fldCharType="end"/>
          </w:r>
        </w:p>
      </w:sdtContent>
    </w:sdt>
    <w:bookmarkStart w:id="2" w:name="_Toc314842482" w:displacedByCustomXml="prev"/>
    <w:p w14:paraId="179B241A" w14:textId="77777777" w:rsidR="00FD119B" w:rsidRDefault="00FD119B">
      <w:pPr>
        <w:spacing w:before="0" w:after="200" w:line="0" w:lineRule="auto"/>
      </w:pPr>
      <w:r>
        <w:br w:type="page"/>
      </w:r>
    </w:p>
    <w:p w14:paraId="35C4B504" w14:textId="77777777" w:rsidR="00C52E24" w:rsidRPr="00C52E24" w:rsidRDefault="00324E45" w:rsidP="00984B83">
      <w:pPr>
        <w:pStyle w:val="Heading2"/>
      </w:pPr>
      <w:bookmarkStart w:id="3" w:name="_Toc351716269"/>
      <w:bookmarkStart w:id="4" w:name="_Toc351718881"/>
      <w:bookmarkStart w:id="5" w:name="_Toc355338616"/>
      <w:bookmarkStart w:id="6" w:name="_Toc356306144"/>
      <w:bookmarkStart w:id="7" w:name="_Toc75438451"/>
      <w:r>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08"/>
        <w:gridCol w:w="6686"/>
      </w:tblGrid>
      <w:tr w:rsidR="00803BEE" w:rsidRPr="00FD119B" w14:paraId="65666768" w14:textId="77777777" w:rsidTr="00496882">
        <w:trPr>
          <w:cnfStyle w:val="100000000000" w:firstRow="1" w:lastRow="0" w:firstColumn="0" w:lastColumn="0" w:oddVBand="0" w:evenVBand="0" w:oddHBand="0" w:evenHBand="0" w:firstRowFirstColumn="0" w:firstRowLastColumn="0" w:lastRowFirstColumn="0" w:lastRowLastColumn="0"/>
        </w:trPr>
        <w:tc>
          <w:tcPr>
            <w:tcW w:w="1808" w:type="dxa"/>
            <w:tcBorders>
              <w:top w:val="single" w:sz="4" w:space="0" w:color="auto"/>
              <w:left w:val="single" w:sz="4" w:space="0" w:color="auto"/>
              <w:bottom w:val="single" w:sz="4" w:space="0" w:color="auto"/>
              <w:right w:val="single" w:sz="4" w:space="0" w:color="auto"/>
            </w:tcBorders>
          </w:tcPr>
          <w:p w14:paraId="2A8A6480" w14:textId="77777777" w:rsidR="00803BEE" w:rsidRPr="00FD119B" w:rsidRDefault="00803BEE" w:rsidP="0099191D">
            <w:pPr>
              <w:keepNext w:val="0"/>
              <w:ind w:left="0" w:right="0"/>
              <w:rPr>
                <w:szCs w:val="22"/>
                <w:lang w:eastAsia="en-US"/>
              </w:rPr>
            </w:pPr>
            <w:r w:rsidRPr="00FD119B">
              <w:rPr>
                <w:szCs w:val="22"/>
                <w:lang w:eastAsia="en-US"/>
              </w:rPr>
              <w:t>Abbreviation</w:t>
            </w:r>
          </w:p>
        </w:tc>
        <w:tc>
          <w:tcPr>
            <w:tcW w:w="6686" w:type="dxa"/>
            <w:tcBorders>
              <w:top w:val="single" w:sz="4" w:space="0" w:color="auto"/>
              <w:left w:val="single" w:sz="4" w:space="0" w:color="auto"/>
              <w:bottom w:val="single" w:sz="4" w:space="0" w:color="auto"/>
              <w:right w:val="single" w:sz="4" w:space="0" w:color="auto"/>
            </w:tcBorders>
          </w:tcPr>
          <w:p w14:paraId="1A3E5C44" w14:textId="77777777" w:rsidR="00803BEE" w:rsidRPr="00FD119B" w:rsidRDefault="00803BEE" w:rsidP="0099191D">
            <w:pPr>
              <w:keepNext w:val="0"/>
              <w:ind w:left="0" w:right="0"/>
              <w:rPr>
                <w:szCs w:val="22"/>
                <w:lang w:eastAsia="en-US"/>
              </w:rPr>
            </w:pPr>
            <w:r w:rsidRPr="00FD119B">
              <w:rPr>
                <w:szCs w:val="22"/>
                <w:lang w:eastAsia="en-US"/>
              </w:rPr>
              <w:t>Meaning</w:t>
            </w:r>
          </w:p>
        </w:tc>
      </w:tr>
      <w:tr w:rsidR="00803BEE" w:rsidRPr="00FD119B" w14:paraId="7C23DB5A" w14:textId="77777777" w:rsidTr="00496882">
        <w:tc>
          <w:tcPr>
            <w:tcW w:w="1808" w:type="dxa"/>
          </w:tcPr>
          <w:p w14:paraId="2499DE4B" w14:textId="77777777" w:rsidR="00803BEE" w:rsidRPr="00FD119B" w:rsidRDefault="00803BEE" w:rsidP="0099191D">
            <w:r>
              <w:t>ACV</w:t>
            </w:r>
          </w:p>
        </w:tc>
        <w:tc>
          <w:tcPr>
            <w:tcW w:w="6686" w:type="dxa"/>
          </w:tcPr>
          <w:p w14:paraId="3DF1B119" w14:textId="77777777" w:rsidR="00803BEE" w:rsidRPr="00FD119B" w:rsidRDefault="00803BEE" w:rsidP="0099191D">
            <w:r w:rsidRPr="00460036">
              <w:t>Advisory Committee on</w:t>
            </w:r>
            <w:r>
              <w:t xml:space="preserve"> Vaccines</w:t>
            </w:r>
          </w:p>
        </w:tc>
      </w:tr>
      <w:tr w:rsidR="00803BEE" w:rsidRPr="00FD119B" w14:paraId="0EFFCC7E" w14:textId="77777777" w:rsidTr="00496882">
        <w:tc>
          <w:tcPr>
            <w:tcW w:w="1808" w:type="dxa"/>
          </w:tcPr>
          <w:p w14:paraId="06A312A5" w14:textId="77777777" w:rsidR="00803BEE" w:rsidRDefault="00803BEE" w:rsidP="0099191D">
            <w:r>
              <w:t>Ad</w:t>
            </w:r>
          </w:p>
        </w:tc>
        <w:tc>
          <w:tcPr>
            <w:tcW w:w="6686" w:type="dxa"/>
          </w:tcPr>
          <w:p w14:paraId="390EFCAA" w14:textId="77777777" w:rsidR="00803BEE" w:rsidRDefault="00803BEE" w:rsidP="0099191D">
            <w:r>
              <w:t>Adenovirus</w:t>
            </w:r>
          </w:p>
        </w:tc>
      </w:tr>
      <w:tr w:rsidR="00803BEE" w:rsidRPr="00FD119B" w14:paraId="35F33DE2" w14:textId="77777777" w:rsidTr="00496882">
        <w:tc>
          <w:tcPr>
            <w:tcW w:w="1808" w:type="dxa"/>
          </w:tcPr>
          <w:p w14:paraId="0654C33C" w14:textId="77777777" w:rsidR="00803BEE" w:rsidRDefault="00803BEE" w:rsidP="0099191D">
            <w:r>
              <w:t>Ad26</w:t>
            </w:r>
          </w:p>
        </w:tc>
        <w:tc>
          <w:tcPr>
            <w:tcW w:w="6686" w:type="dxa"/>
          </w:tcPr>
          <w:p w14:paraId="7CD296E1" w14:textId="63A4BE46" w:rsidR="00803BEE" w:rsidRDefault="00803BEE" w:rsidP="0099191D">
            <w:r>
              <w:t>A</w:t>
            </w:r>
            <w:r w:rsidRPr="00400C7F">
              <w:t xml:space="preserve">denovirus </w:t>
            </w:r>
            <w:r w:rsidR="00CC5638">
              <w:t>sero</w:t>
            </w:r>
            <w:r>
              <w:t xml:space="preserve">type </w:t>
            </w:r>
            <w:r w:rsidRPr="00400C7F">
              <w:t>26</w:t>
            </w:r>
          </w:p>
        </w:tc>
      </w:tr>
      <w:tr w:rsidR="00803BEE" w:rsidRPr="00FD119B" w14:paraId="739430B0" w14:textId="77777777" w:rsidTr="00496882">
        <w:tc>
          <w:tcPr>
            <w:tcW w:w="1808" w:type="dxa"/>
          </w:tcPr>
          <w:p w14:paraId="4F99E297" w14:textId="77777777" w:rsidR="00803BEE" w:rsidRPr="00FD119B" w:rsidRDefault="00803BEE" w:rsidP="0099191D">
            <w:r>
              <w:t>Ad26.COV2.S</w:t>
            </w:r>
          </w:p>
        </w:tc>
        <w:tc>
          <w:tcPr>
            <w:tcW w:w="6686" w:type="dxa"/>
          </w:tcPr>
          <w:p w14:paraId="5D968C60" w14:textId="3EA076F6" w:rsidR="00803BEE" w:rsidRPr="00FD119B" w:rsidRDefault="00803BEE" w:rsidP="00360591">
            <w:r w:rsidRPr="00847859">
              <w:t xml:space="preserve">Adenovirus </w:t>
            </w:r>
            <w:r w:rsidR="00CC5638">
              <w:t>sero</w:t>
            </w:r>
            <w:r w:rsidRPr="00847859">
              <w:t>type 26 encoding the SARS-CoV-2 spike glycoprotein</w:t>
            </w:r>
            <w:r>
              <w:t xml:space="preserve"> (active substance of COVID-19 Vaccine Janssen)</w:t>
            </w:r>
          </w:p>
        </w:tc>
      </w:tr>
      <w:tr w:rsidR="00803BEE" w:rsidRPr="00FD119B" w14:paraId="5D9FAFCD" w14:textId="77777777" w:rsidTr="00496882">
        <w:tc>
          <w:tcPr>
            <w:tcW w:w="1808" w:type="dxa"/>
          </w:tcPr>
          <w:p w14:paraId="171CCCC5" w14:textId="77777777" w:rsidR="00803BEE" w:rsidRDefault="00803BEE" w:rsidP="0099191D">
            <w:r>
              <w:t>AE</w:t>
            </w:r>
          </w:p>
        </w:tc>
        <w:tc>
          <w:tcPr>
            <w:tcW w:w="6686" w:type="dxa"/>
          </w:tcPr>
          <w:p w14:paraId="46E86CB8" w14:textId="77777777" w:rsidR="00803BEE" w:rsidRDefault="00803BEE" w:rsidP="0099191D">
            <w:r>
              <w:t>Adverse event</w:t>
            </w:r>
          </w:p>
        </w:tc>
      </w:tr>
      <w:tr w:rsidR="00803BEE" w:rsidRPr="00FD119B" w14:paraId="5BA30248" w14:textId="77777777" w:rsidTr="00496882">
        <w:tc>
          <w:tcPr>
            <w:tcW w:w="1808" w:type="dxa"/>
          </w:tcPr>
          <w:p w14:paraId="522826F6" w14:textId="77777777" w:rsidR="00803BEE" w:rsidRDefault="00803BEE" w:rsidP="0099191D">
            <w:r>
              <w:t>ARGPM</w:t>
            </w:r>
          </w:p>
        </w:tc>
        <w:tc>
          <w:tcPr>
            <w:tcW w:w="6686" w:type="dxa"/>
          </w:tcPr>
          <w:p w14:paraId="696B7CE3" w14:textId="77777777" w:rsidR="00803BEE" w:rsidRDefault="00803BEE" w:rsidP="0099191D">
            <w:r w:rsidRPr="005136CA">
              <w:t>Australian Regulatory Guidelines for Prescription Medicines</w:t>
            </w:r>
          </w:p>
        </w:tc>
      </w:tr>
      <w:tr w:rsidR="00803BEE" w:rsidRPr="00FD119B" w14:paraId="4D170002" w14:textId="77777777" w:rsidTr="00496882">
        <w:tc>
          <w:tcPr>
            <w:tcW w:w="1808" w:type="dxa"/>
          </w:tcPr>
          <w:p w14:paraId="179B5AA0" w14:textId="77777777" w:rsidR="00803BEE" w:rsidRPr="00FD119B" w:rsidRDefault="00803BEE" w:rsidP="0099191D">
            <w:r>
              <w:t>ARTG</w:t>
            </w:r>
          </w:p>
        </w:tc>
        <w:tc>
          <w:tcPr>
            <w:tcW w:w="6686" w:type="dxa"/>
          </w:tcPr>
          <w:p w14:paraId="3DF07721" w14:textId="77777777" w:rsidR="00803BEE" w:rsidRPr="00FD119B" w:rsidRDefault="00803BEE" w:rsidP="0099191D">
            <w:r w:rsidRPr="00460036">
              <w:t>Australian Register of Therapeutic Goods</w:t>
            </w:r>
          </w:p>
        </w:tc>
      </w:tr>
      <w:tr w:rsidR="00803BEE" w:rsidRPr="00FD119B" w14:paraId="39917B4A" w14:textId="77777777" w:rsidTr="00496882">
        <w:tc>
          <w:tcPr>
            <w:tcW w:w="1808" w:type="dxa"/>
          </w:tcPr>
          <w:p w14:paraId="06683076" w14:textId="77777777" w:rsidR="00803BEE" w:rsidRDefault="00803BEE" w:rsidP="0099191D">
            <w:r>
              <w:t>ASA</w:t>
            </w:r>
          </w:p>
        </w:tc>
        <w:tc>
          <w:tcPr>
            <w:tcW w:w="6686" w:type="dxa"/>
          </w:tcPr>
          <w:p w14:paraId="6617C946" w14:textId="77777777" w:rsidR="00803BEE" w:rsidRDefault="00803BEE" w:rsidP="0099191D">
            <w:r>
              <w:t>Australian specific annex</w:t>
            </w:r>
          </w:p>
        </w:tc>
      </w:tr>
      <w:tr w:rsidR="00803BEE" w:rsidRPr="00FD119B" w14:paraId="2462A4E5" w14:textId="77777777" w:rsidTr="00496882">
        <w:tc>
          <w:tcPr>
            <w:tcW w:w="1808" w:type="dxa"/>
          </w:tcPr>
          <w:p w14:paraId="1D339F33" w14:textId="77777777" w:rsidR="00803BEE" w:rsidRDefault="00803BEE" w:rsidP="0099191D">
            <w:r>
              <w:t>ATAGI</w:t>
            </w:r>
          </w:p>
        </w:tc>
        <w:tc>
          <w:tcPr>
            <w:tcW w:w="6686" w:type="dxa"/>
          </w:tcPr>
          <w:p w14:paraId="606F2EC8" w14:textId="77777777" w:rsidR="00803BEE" w:rsidRDefault="00803BEE" w:rsidP="0099191D">
            <w:r w:rsidRPr="007A0806">
              <w:t>Australian Technical Advisory Group on Immunisation</w:t>
            </w:r>
          </w:p>
        </w:tc>
      </w:tr>
      <w:tr w:rsidR="00803BEE" w:rsidRPr="00FD119B" w14:paraId="5D64DAED" w14:textId="77777777" w:rsidTr="00496882">
        <w:tc>
          <w:tcPr>
            <w:tcW w:w="1808" w:type="dxa"/>
          </w:tcPr>
          <w:p w14:paraId="775CB0CA" w14:textId="77777777" w:rsidR="00803BEE" w:rsidRDefault="00803BEE" w:rsidP="0099191D">
            <w:r>
              <w:t>CI</w:t>
            </w:r>
          </w:p>
        </w:tc>
        <w:tc>
          <w:tcPr>
            <w:tcW w:w="6686" w:type="dxa"/>
          </w:tcPr>
          <w:p w14:paraId="39F74027" w14:textId="77777777" w:rsidR="00803BEE" w:rsidRDefault="00803BEE" w:rsidP="0099191D">
            <w:r>
              <w:t>Confidence interval</w:t>
            </w:r>
          </w:p>
        </w:tc>
      </w:tr>
      <w:tr w:rsidR="00803BEE" w:rsidRPr="00FD119B" w14:paraId="1E0D0731" w14:textId="77777777" w:rsidTr="00496882">
        <w:tc>
          <w:tcPr>
            <w:tcW w:w="1808" w:type="dxa"/>
          </w:tcPr>
          <w:p w14:paraId="012FB03C" w14:textId="77777777" w:rsidR="00803BEE" w:rsidRDefault="00803BEE" w:rsidP="0099191D">
            <w:r>
              <w:t>CMI</w:t>
            </w:r>
          </w:p>
        </w:tc>
        <w:tc>
          <w:tcPr>
            <w:tcW w:w="6686" w:type="dxa"/>
          </w:tcPr>
          <w:p w14:paraId="1D88A41F" w14:textId="77777777" w:rsidR="00803BEE" w:rsidRDefault="00803BEE" w:rsidP="0099191D">
            <w:r w:rsidRPr="00DD5570">
              <w:t>Consumer Medicines Information</w:t>
            </w:r>
          </w:p>
        </w:tc>
      </w:tr>
      <w:tr w:rsidR="00803BEE" w:rsidRPr="00FD119B" w14:paraId="2C9B9920" w14:textId="77777777" w:rsidTr="00496882">
        <w:tc>
          <w:tcPr>
            <w:tcW w:w="1808" w:type="dxa"/>
          </w:tcPr>
          <w:p w14:paraId="74D99E2E" w14:textId="77777777" w:rsidR="00803BEE" w:rsidRDefault="00803BEE" w:rsidP="0099191D">
            <w:r>
              <w:t>CNS</w:t>
            </w:r>
          </w:p>
        </w:tc>
        <w:tc>
          <w:tcPr>
            <w:tcW w:w="6686" w:type="dxa"/>
          </w:tcPr>
          <w:p w14:paraId="5B9635D2" w14:textId="77777777" w:rsidR="00803BEE" w:rsidRDefault="00803BEE" w:rsidP="0099191D">
            <w:r>
              <w:t>Central nervous system</w:t>
            </w:r>
          </w:p>
        </w:tc>
      </w:tr>
      <w:tr w:rsidR="00803BEE" w:rsidRPr="00FD119B" w14:paraId="1834F378" w14:textId="77777777" w:rsidTr="00496882">
        <w:tc>
          <w:tcPr>
            <w:tcW w:w="1808" w:type="dxa"/>
          </w:tcPr>
          <w:p w14:paraId="684E2050" w14:textId="77777777" w:rsidR="00803BEE" w:rsidRDefault="00803BEE" w:rsidP="0099191D">
            <w:r>
              <w:t>COVID-19</w:t>
            </w:r>
          </w:p>
        </w:tc>
        <w:tc>
          <w:tcPr>
            <w:tcW w:w="6686" w:type="dxa"/>
          </w:tcPr>
          <w:p w14:paraId="183A860A" w14:textId="77777777" w:rsidR="00803BEE" w:rsidRDefault="00803BEE" w:rsidP="0099191D">
            <w:r>
              <w:t>Coronavirus disease 2019</w:t>
            </w:r>
          </w:p>
        </w:tc>
      </w:tr>
      <w:tr w:rsidR="00803BEE" w:rsidRPr="00FD119B" w14:paraId="213042D4" w14:textId="77777777" w:rsidTr="00496882">
        <w:tc>
          <w:tcPr>
            <w:tcW w:w="1808" w:type="dxa"/>
          </w:tcPr>
          <w:p w14:paraId="426D0129" w14:textId="77777777" w:rsidR="00803BEE" w:rsidRDefault="00803BEE" w:rsidP="0099191D">
            <w:r>
              <w:t>CPD</w:t>
            </w:r>
          </w:p>
        </w:tc>
        <w:tc>
          <w:tcPr>
            <w:tcW w:w="6686" w:type="dxa"/>
          </w:tcPr>
          <w:p w14:paraId="6AD24F12" w14:textId="77777777" w:rsidR="00803BEE" w:rsidRDefault="00803BEE" w:rsidP="0099191D">
            <w:r w:rsidRPr="005136CA">
              <w:t>Certified Product Details</w:t>
            </w:r>
          </w:p>
        </w:tc>
      </w:tr>
      <w:tr w:rsidR="00803BEE" w:rsidRPr="00FD119B" w14:paraId="7C9213B6" w14:textId="77777777" w:rsidTr="00496882">
        <w:tc>
          <w:tcPr>
            <w:tcW w:w="1808" w:type="dxa"/>
          </w:tcPr>
          <w:p w14:paraId="53807809" w14:textId="77777777" w:rsidR="00803BEE" w:rsidRDefault="00803BEE" w:rsidP="0099191D">
            <w:r>
              <w:t>DIR</w:t>
            </w:r>
          </w:p>
        </w:tc>
        <w:tc>
          <w:tcPr>
            <w:tcW w:w="6686" w:type="dxa"/>
          </w:tcPr>
          <w:p w14:paraId="0289D3E1" w14:textId="77777777" w:rsidR="00803BEE" w:rsidRDefault="00803BEE" w:rsidP="0099191D">
            <w:r>
              <w:t>Dealing involving an Intentional R</w:t>
            </w:r>
            <w:r w:rsidRPr="008947C1">
              <w:t>elease</w:t>
            </w:r>
          </w:p>
        </w:tc>
      </w:tr>
      <w:tr w:rsidR="00803BEE" w:rsidRPr="00FD119B" w14:paraId="40032AE6" w14:textId="77777777" w:rsidTr="00496882">
        <w:tc>
          <w:tcPr>
            <w:tcW w:w="1808" w:type="dxa"/>
          </w:tcPr>
          <w:p w14:paraId="0B0B1712" w14:textId="77777777" w:rsidR="00803BEE" w:rsidRDefault="00803BEE" w:rsidP="0099191D">
            <w:r>
              <w:t>DLP</w:t>
            </w:r>
          </w:p>
        </w:tc>
        <w:tc>
          <w:tcPr>
            <w:tcW w:w="6686" w:type="dxa"/>
          </w:tcPr>
          <w:p w14:paraId="4380D1F3" w14:textId="77777777" w:rsidR="00803BEE" w:rsidRDefault="00803BEE" w:rsidP="0099191D">
            <w:r>
              <w:t>Data lock point</w:t>
            </w:r>
          </w:p>
        </w:tc>
      </w:tr>
      <w:tr w:rsidR="00803BEE" w:rsidRPr="00FD119B" w14:paraId="6698A05B" w14:textId="77777777" w:rsidTr="00496882">
        <w:tc>
          <w:tcPr>
            <w:tcW w:w="1808" w:type="dxa"/>
          </w:tcPr>
          <w:p w14:paraId="5491884E" w14:textId="77777777" w:rsidR="00803BEE" w:rsidRDefault="00803BEE" w:rsidP="0099191D">
            <w:r>
              <w:t>dsDNA</w:t>
            </w:r>
          </w:p>
        </w:tc>
        <w:tc>
          <w:tcPr>
            <w:tcW w:w="6686" w:type="dxa"/>
          </w:tcPr>
          <w:p w14:paraId="6E26EE80" w14:textId="77777777" w:rsidR="00803BEE" w:rsidRDefault="00803BEE" w:rsidP="0099191D">
            <w:r>
              <w:rPr>
                <w:snapToGrid w:val="0"/>
              </w:rPr>
              <w:t>Double stranded d</w:t>
            </w:r>
            <w:r w:rsidRPr="0065305E">
              <w:rPr>
                <w:snapToGrid w:val="0"/>
              </w:rPr>
              <w:t>eoxyribonucleic acid</w:t>
            </w:r>
          </w:p>
        </w:tc>
      </w:tr>
      <w:tr w:rsidR="00803BEE" w:rsidRPr="00FD119B" w14:paraId="772D513E" w14:textId="77777777" w:rsidTr="00496882">
        <w:tc>
          <w:tcPr>
            <w:tcW w:w="1808" w:type="dxa"/>
          </w:tcPr>
          <w:p w14:paraId="084CA6A4" w14:textId="77777777" w:rsidR="00803BEE" w:rsidRDefault="00803BEE" w:rsidP="0099191D">
            <w:r>
              <w:t>ELISA</w:t>
            </w:r>
          </w:p>
        </w:tc>
        <w:tc>
          <w:tcPr>
            <w:tcW w:w="6686" w:type="dxa"/>
          </w:tcPr>
          <w:p w14:paraId="7FA1A469" w14:textId="77777777" w:rsidR="00803BEE" w:rsidRDefault="00803BEE" w:rsidP="0099191D">
            <w:r>
              <w:t>Enzyme linked immunosorbent assay</w:t>
            </w:r>
          </w:p>
        </w:tc>
      </w:tr>
      <w:tr w:rsidR="00803BEE" w:rsidRPr="00FD119B" w14:paraId="0C0D6189" w14:textId="77777777" w:rsidTr="00496882">
        <w:tc>
          <w:tcPr>
            <w:tcW w:w="1808" w:type="dxa"/>
          </w:tcPr>
          <w:p w14:paraId="2092B687" w14:textId="77777777" w:rsidR="00803BEE" w:rsidRDefault="00803BEE" w:rsidP="0099191D">
            <w:r>
              <w:t>EMA</w:t>
            </w:r>
          </w:p>
        </w:tc>
        <w:tc>
          <w:tcPr>
            <w:tcW w:w="6686" w:type="dxa"/>
          </w:tcPr>
          <w:p w14:paraId="37712E63" w14:textId="77777777" w:rsidR="00803BEE" w:rsidRDefault="00803BEE" w:rsidP="0099191D">
            <w:r>
              <w:t>European Medicines Agency (European Union)</w:t>
            </w:r>
          </w:p>
        </w:tc>
      </w:tr>
      <w:tr w:rsidR="00803BEE" w:rsidRPr="00FD119B" w14:paraId="5EC54D10" w14:textId="77777777" w:rsidTr="00496882">
        <w:tc>
          <w:tcPr>
            <w:tcW w:w="1808" w:type="dxa"/>
          </w:tcPr>
          <w:p w14:paraId="786388E0" w14:textId="77777777" w:rsidR="00803BEE" w:rsidRDefault="00803BEE" w:rsidP="0099191D">
            <w:r>
              <w:t>EU</w:t>
            </w:r>
          </w:p>
        </w:tc>
        <w:tc>
          <w:tcPr>
            <w:tcW w:w="6686" w:type="dxa"/>
          </w:tcPr>
          <w:p w14:paraId="1D86FDDA" w14:textId="77777777" w:rsidR="00803BEE" w:rsidRDefault="00803BEE" w:rsidP="0099191D">
            <w:r>
              <w:t>European Union</w:t>
            </w:r>
          </w:p>
        </w:tc>
      </w:tr>
      <w:tr w:rsidR="00803BEE" w:rsidRPr="00FD119B" w14:paraId="6040908F" w14:textId="77777777" w:rsidTr="00496882">
        <w:tc>
          <w:tcPr>
            <w:tcW w:w="1808" w:type="dxa"/>
          </w:tcPr>
          <w:p w14:paraId="522A59D8" w14:textId="77777777" w:rsidR="00803BEE" w:rsidRDefault="00803BEE" w:rsidP="0099191D">
            <w:r>
              <w:t>GLP</w:t>
            </w:r>
          </w:p>
        </w:tc>
        <w:tc>
          <w:tcPr>
            <w:tcW w:w="6686" w:type="dxa"/>
          </w:tcPr>
          <w:p w14:paraId="3DC5970D" w14:textId="77777777" w:rsidR="00803BEE" w:rsidRDefault="00803BEE" w:rsidP="0099191D">
            <w:r>
              <w:t>Good Laboratory Practices</w:t>
            </w:r>
          </w:p>
        </w:tc>
      </w:tr>
      <w:tr w:rsidR="00803BEE" w:rsidRPr="00FD119B" w14:paraId="2184D32A" w14:textId="77777777" w:rsidTr="00496882">
        <w:tc>
          <w:tcPr>
            <w:tcW w:w="1808" w:type="dxa"/>
          </w:tcPr>
          <w:p w14:paraId="27F698B0" w14:textId="77777777" w:rsidR="00803BEE" w:rsidRDefault="00803BEE" w:rsidP="0099191D">
            <w:r>
              <w:t>GMC</w:t>
            </w:r>
          </w:p>
        </w:tc>
        <w:tc>
          <w:tcPr>
            <w:tcW w:w="6686" w:type="dxa"/>
          </w:tcPr>
          <w:p w14:paraId="3A4C7081" w14:textId="77777777" w:rsidR="00803BEE" w:rsidRDefault="00803BEE" w:rsidP="0099191D">
            <w:r>
              <w:t>G</w:t>
            </w:r>
            <w:r w:rsidRPr="00A84E11">
              <w:t>eometric mean concentration</w:t>
            </w:r>
          </w:p>
        </w:tc>
      </w:tr>
      <w:tr w:rsidR="00803BEE" w:rsidRPr="00FD119B" w14:paraId="4E35F5F7" w14:textId="77777777" w:rsidTr="00496882">
        <w:tc>
          <w:tcPr>
            <w:tcW w:w="1808" w:type="dxa"/>
          </w:tcPr>
          <w:p w14:paraId="7FA5C4FA" w14:textId="77777777" w:rsidR="00803BEE" w:rsidRDefault="00803BEE" w:rsidP="0099191D">
            <w:r>
              <w:t>GMO</w:t>
            </w:r>
          </w:p>
        </w:tc>
        <w:tc>
          <w:tcPr>
            <w:tcW w:w="6686" w:type="dxa"/>
          </w:tcPr>
          <w:p w14:paraId="1582990B" w14:textId="77777777" w:rsidR="00803BEE" w:rsidRDefault="00803BEE" w:rsidP="0099191D">
            <w:r>
              <w:t>G</w:t>
            </w:r>
            <w:r w:rsidRPr="00484135">
              <w:t>enetically modified organism</w:t>
            </w:r>
          </w:p>
        </w:tc>
      </w:tr>
      <w:tr w:rsidR="00803BEE" w:rsidRPr="00FD119B" w14:paraId="0313C03E" w14:textId="77777777" w:rsidTr="00496882">
        <w:tc>
          <w:tcPr>
            <w:tcW w:w="1808" w:type="dxa"/>
          </w:tcPr>
          <w:p w14:paraId="0729DCB3" w14:textId="77777777" w:rsidR="00803BEE" w:rsidRDefault="00803BEE" w:rsidP="0099191D">
            <w:r>
              <w:t>GMT</w:t>
            </w:r>
          </w:p>
        </w:tc>
        <w:tc>
          <w:tcPr>
            <w:tcW w:w="6686" w:type="dxa"/>
          </w:tcPr>
          <w:p w14:paraId="6C047BF1" w14:textId="77777777" w:rsidR="00803BEE" w:rsidRDefault="00803BEE" w:rsidP="0099191D">
            <w:r>
              <w:t>G</w:t>
            </w:r>
            <w:r w:rsidRPr="005845F4">
              <w:t xml:space="preserve">eometric mean </w:t>
            </w:r>
            <w:r>
              <w:t>titre</w:t>
            </w:r>
          </w:p>
        </w:tc>
      </w:tr>
      <w:tr w:rsidR="00803BEE" w:rsidRPr="00FD119B" w14:paraId="05D1C884" w14:textId="77777777" w:rsidTr="00496882">
        <w:tc>
          <w:tcPr>
            <w:tcW w:w="1808" w:type="dxa"/>
          </w:tcPr>
          <w:p w14:paraId="27C2CF62" w14:textId="77777777" w:rsidR="00803BEE" w:rsidRDefault="00803BEE" w:rsidP="0099191D">
            <w:r>
              <w:t>IC</w:t>
            </w:r>
            <w:r w:rsidRPr="00A95223">
              <w:rPr>
                <w:vertAlign w:val="subscript"/>
              </w:rPr>
              <w:t>50</w:t>
            </w:r>
          </w:p>
        </w:tc>
        <w:tc>
          <w:tcPr>
            <w:tcW w:w="6686" w:type="dxa"/>
          </w:tcPr>
          <w:p w14:paraId="779AB9AB" w14:textId="77777777" w:rsidR="00803BEE" w:rsidRDefault="00803BEE" w:rsidP="0099191D">
            <w:r w:rsidRPr="00A95223">
              <w:t xml:space="preserve">50% </w:t>
            </w:r>
            <w:r>
              <w:t xml:space="preserve">(half maximal) </w:t>
            </w:r>
            <w:r w:rsidRPr="00A95223">
              <w:t>inhibitory concentration</w:t>
            </w:r>
          </w:p>
        </w:tc>
      </w:tr>
      <w:tr w:rsidR="00803BEE" w:rsidRPr="00FD119B" w14:paraId="655EAB8C" w14:textId="77777777" w:rsidTr="00496882">
        <w:tc>
          <w:tcPr>
            <w:tcW w:w="1808" w:type="dxa"/>
          </w:tcPr>
          <w:p w14:paraId="5C0618F0" w14:textId="77777777" w:rsidR="00803BEE" w:rsidRDefault="00803BEE" w:rsidP="0099191D">
            <w:r>
              <w:t>ICS</w:t>
            </w:r>
          </w:p>
        </w:tc>
        <w:tc>
          <w:tcPr>
            <w:tcW w:w="6686" w:type="dxa"/>
          </w:tcPr>
          <w:p w14:paraId="70F796BC" w14:textId="77777777" w:rsidR="00803BEE" w:rsidRDefault="00803BEE" w:rsidP="0099191D">
            <w:r>
              <w:t>Intracellular cytokine staining</w:t>
            </w:r>
          </w:p>
        </w:tc>
      </w:tr>
      <w:tr w:rsidR="00803BEE" w:rsidRPr="00FD119B" w14:paraId="6A2D5CD4" w14:textId="77777777" w:rsidTr="00496882">
        <w:tc>
          <w:tcPr>
            <w:tcW w:w="1808" w:type="dxa"/>
          </w:tcPr>
          <w:p w14:paraId="7BE8006F" w14:textId="77777777" w:rsidR="00803BEE" w:rsidRDefault="00803BEE" w:rsidP="0099191D">
            <w:r>
              <w:t>ICU</w:t>
            </w:r>
          </w:p>
        </w:tc>
        <w:tc>
          <w:tcPr>
            <w:tcW w:w="6686" w:type="dxa"/>
          </w:tcPr>
          <w:p w14:paraId="0E6595B8" w14:textId="77777777" w:rsidR="00803BEE" w:rsidRDefault="00803BEE" w:rsidP="0099191D">
            <w:r>
              <w:t>I</w:t>
            </w:r>
            <w:r w:rsidRPr="00484135">
              <w:t>ntensive care unit</w:t>
            </w:r>
          </w:p>
        </w:tc>
      </w:tr>
      <w:tr w:rsidR="00803BEE" w:rsidRPr="00FD119B" w14:paraId="14A273D1" w14:textId="77777777" w:rsidTr="00496882">
        <w:tc>
          <w:tcPr>
            <w:tcW w:w="1808" w:type="dxa"/>
          </w:tcPr>
          <w:p w14:paraId="694F1890" w14:textId="77777777" w:rsidR="00803BEE" w:rsidRPr="00FD119B" w:rsidRDefault="00803BEE" w:rsidP="0099191D">
            <w:r>
              <w:t>IM</w:t>
            </w:r>
          </w:p>
        </w:tc>
        <w:tc>
          <w:tcPr>
            <w:tcW w:w="6686" w:type="dxa"/>
          </w:tcPr>
          <w:p w14:paraId="1A6E4D91" w14:textId="77777777" w:rsidR="00803BEE" w:rsidRPr="00FD119B" w:rsidRDefault="00803BEE" w:rsidP="0099191D">
            <w:r>
              <w:t>Intramuscular</w:t>
            </w:r>
          </w:p>
        </w:tc>
      </w:tr>
      <w:tr w:rsidR="00803BEE" w:rsidRPr="00FD119B" w14:paraId="2475A9A2" w14:textId="77777777" w:rsidTr="00496882">
        <w:tc>
          <w:tcPr>
            <w:tcW w:w="1808" w:type="dxa"/>
          </w:tcPr>
          <w:p w14:paraId="3741DEFC" w14:textId="77777777" w:rsidR="00803BEE" w:rsidRDefault="00803BEE" w:rsidP="0099191D">
            <w:proofErr w:type="spellStart"/>
            <w:r>
              <w:t>kbp</w:t>
            </w:r>
            <w:proofErr w:type="spellEnd"/>
          </w:p>
        </w:tc>
        <w:tc>
          <w:tcPr>
            <w:tcW w:w="6686" w:type="dxa"/>
          </w:tcPr>
          <w:p w14:paraId="75143D04" w14:textId="77777777" w:rsidR="00803BEE" w:rsidRDefault="00803BEE" w:rsidP="0099191D">
            <w:r>
              <w:t>Kilobase pairs</w:t>
            </w:r>
          </w:p>
        </w:tc>
      </w:tr>
      <w:tr w:rsidR="00803BEE" w:rsidRPr="00FD119B" w14:paraId="7DBB0F0B" w14:textId="77777777" w:rsidTr="00496882">
        <w:tc>
          <w:tcPr>
            <w:tcW w:w="1808" w:type="dxa"/>
          </w:tcPr>
          <w:p w14:paraId="50F963F9" w14:textId="77777777" w:rsidR="00803BEE" w:rsidRDefault="00803BEE" w:rsidP="0099191D">
            <w:proofErr w:type="spellStart"/>
            <w:r>
              <w:t>kDa</w:t>
            </w:r>
            <w:proofErr w:type="spellEnd"/>
          </w:p>
        </w:tc>
        <w:tc>
          <w:tcPr>
            <w:tcW w:w="6686" w:type="dxa"/>
          </w:tcPr>
          <w:p w14:paraId="0A7D232C" w14:textId="77777777" w:rsidR="00803BEE" w:rsidRDefault="00803BEE" w:rsidP="0099191D">
            <w:r>
              <w:t>Kilo Dalton</w:t>
            </w:r>
          </w:p>
        </w:tc>
      </w:tr>
      <w:tr w:rsidR="00803BEE" w:rsidRPr="00FD119B" w14:paraId="1E1CD9B7" w14:textId="77777777" w:rsidTr="00496882">
        <w:tc>
          <w:tcPr>
            <w:tcW w:w="1808" w:type="dxa"/>
          </w:tcPr>
          <w:p w14:paraId="0C3D24D1" w14:textId="77777777" w:rsidR="00803BEE" w:rsidRDefault="00803BEE" w:rsidP="0099191D">
            <w:r>
              <w:t>LLOQ</w:t>
            </w:r>
          </w:p>
        </w:tc>
        <w:tc>
          <w:tcPr>
            <w:tcW w:w="6686" w:type="dxa"/>
          </w:tcPr>
          <w:p w14:paraId="20BA174E" w14:textId="77777777" w:rsidR="00803BEE" w:rsidRDefault="00803BEE" w:rsidP="0099191D">
            <w:r>
              <w:t>L</w:t>
            </w:r>
            <w:r w:rsidRPr="00497FBF">
              <w:t>ower limit of quantitation</w:t>
            </w:r>
          </w:p>
        </w:tc>
      </w:tr>
      <w:tr w:rsidR="00803BEE" w:rsidRPr="00FD119B" w14:paraId="0743EE76" w14:textId="77777777" w:rsidTr="00496882">
        <w:tc>
          <w:tcPr>
            <w:tcW w:w="1808" w:type="dxa"/>
          </w:tcPr>
          <w:p w14:paraId="53D8F4CE" w14:textId="77777777" w:rsidR="00803BEE" w:rsidRDefault="00803BEE" w:rsidP="0099191D">
            <w:r>
              <w:t>MAAE</w:t>
            </w:r>
          </w:p>
        </w:tc>
        <w:tc>
          <w:tcPr>
            <w:tcW w:w="6686" w:type="dxa"/>
          </w:tcPr>
          <w:p w14:paraId="45346CEF" w14:textId="77777777" w:rsidR="00803BEE" w:rsidRDefault="00803BEE" w:rsidP="0099191D">
            <w:r>
              <w:t>M</w:t>
            </w:r>
            <w:r w:rsidRPr="00F473C6">
              <w:t>edically attended adverse event</w:t>
            </w:r>
          </w:p>
        </w:tc>
      </w:tr>
      <w:tr w:rsidR="00803BEE" w:rsidRPr="00FD119B" w14:paraId="73D42201" w14:textId="77777777" w:rsidTr="00496882">
        <w:tc>
          <w:tcPr>
            <w:tcW w:w="1808" w:type="dxa"/>
          </w:tcPr>
          <w:p w14:paraId="541FCBFB" w14:textId="77777777" w:rsidR="00803BEE" w:rsidRDefault="00803BEE" w:rsidP="0099191D">
            <w:proofErr w:type="spellStart"/>
            <w:r>
              <w:t>nAb</w:t>
            </w:r>
            <w:proofErr w:type="spellEnd"/>
          </w:p>
        </w:tc>
        <w:tc>
          <w:tcPr>
            <w:tcW w:w="6686" w:type="dxa"/>
          </w:tcPr>
          <w:p w14:paraId="62E12EFA" w14:textId="059AD485" w:rsidR="00803BEE" w:rsidRDefault="00803BEE" w:rsidP="0099191D">
            <w:r>
              <w:t>Neutralising antibod</w:t>
            </w:r>
            <w:r w:rsidR="00CC5638">
              <w:t>y</w:t>
            </w:r>
          </w:p>
        </w:tc>
      </w:tr>
      <w:tr w:rsidR="00803BEE" w:rsidRPr="00FD119B" w14:paraId="5BA19EC8" w14:textId="77777777" w:rsidTr="00496882">
        <w:tc>
          <w:tcPr>
            <w:tcW w:w="1808" w:type="dxa"/>
          </w:tcPr>
          <w:p w14:paraId="2C2983DD" w14:textId="77777777" w:rsidR="00803BEE" w:rsidRDefault="00803BEE" w:rsidP="0099191D">
            <w:r>
              <w:t>OCABR</w:t>
            </w:r>
          </w:p>
        </w:tc>
        <w:tc>
          <w:tcPr>
            <w:tcW w:w="6686" w:type="dxa"/>
          </w:tcPr>
          <w:p w14:paraId="4FB486BB" w14:textId="77777777" w:rsidR="00803BEE" w:rsidRDefault="00803BEE" w:rsidP="0099191D">
            <w:r>
              <w:t>Official Control Authority Batch Release</w:t>
            </w:r>
          </w:p>
        </w:tc>
      </w:tr>
      <w:tr w:rsidR="00803BEE" w:rsidRPr="00FD119B" w14:paraId="65F4CE7E" w14:textId="77777777" w:rsidTr="00496882">
        <w:tc>
          <w:tcPr>
            <w:tcW w:w="1808" w:type="dxa"/>
          </w:tcPr>
          <w:p w14:paraId="6255393E" w14:textId="77777777" w:rsidR="00803BEE" w:rsidRDefault="00803BEE" w:rsidP="0099191D">
            <w:r>
              <w:t>OGTR</w:t>
            </w:r>
          </w:p>
        </w:tc>
        <w:tc>
          <w:tcPr>
            <w:tcW w:w="6686" w:type="dxa"/>
          </w:tcPr>
          <w:p w14:paraId="7A81F083" w14:textId="77777777" w:rsidR="00803BEE" w:rsidRDefault="00803BEE" w:rsidP="0099191D">
            <w:r>
              <w:t xml:space="preserve">Office of the Gene </w:t>
            </w:r>
            <w:r w:rsidRPr="008947C1">
              <w:t>Technology Regulator</w:t>
            </w:r>
          </w:p>
        </w:tc>
      </w:tr>
      <w:tr w:rsidR="00803BEE" w:rsidRPr="00FD119B" w14:paraId="63558DAF" w14:textId="77777777" w:rsidTr="00496882">
        <w:tc>
          <w:tcPr>
            <w:tcW w:w="1808" w:type="dxa"/>
          </w:tcPr>
          <w:p w14:paraId="7BA2B02E" w14:textId="77777777" w:rsidR="00803BEE" w:rsidRPr="00FD119B" w:rsidRDefault="00803BEE" w:rsidP="0099191D">
            <w:r>
              <w:t>PI</w:t>
            </w:r>
          </w:p>
        </w:tc>
        <w:tc>
          <w:tcPr>
            <w:tcW w:w="6686" w:type="dxa"/>
          </w:tcPr>
          <w:p w14:paraId="2B4DD0F2" w14:textId="77777777" w:rsidR="00803BEE" w:rsidRPr="00FD119B" w:rsidRDefault="00803BEE" w:rsidP="0099191D">
            <w:r>
              <w:t>Product Information</w:t>
            </w:r>
          </w:p>
        </w:tc>
      </w:tr>
      <w:tr w:rsidR="00803BEE" w:rsidRPr="00FD119B" w14:paraId="75155195" w14:textId="77777777" w:rsidTr="00496882">
        <w:tc>
          <w:tcPr>
            <w:tcW w:w="1808" w:type="dxa"/>
          </w:tcPr>
          <w:p w14:paraId="64294E22" w14:textId="77777777" w:rsidR="00803BEE" w:rsidRDefault="00803BEE" w:rsidP="0099191D">
            <w:r>
              <w:t>RMP</w:t>
            </w:r>
          </w:p>
        </w:tc>
        <w:tc>
          <w:tcPr>
            <w:tcW w:w="6686" w:type="dxa"/>
          </w:tcPr>
          <w:p w14:paraId="1FA76D35" w14:textId="77777777" w:rsidR="00803BEE" w:rsidRDefault="00803BEE" w:rsidP="0099191D">
            <w:r>
              <w:t>Risk management plan</w:t>
            </w:r>
          </w:p>
        </w:tc>
      </w:tr>
      <w:tr w:rsidR="00803BEE" w:rsidRPr="00FD119B" w14:paraId="46F46DDB" w14:textId="77777777" w:rsidTr="00496882">
        <w:tc>
          <w:tcPr>
            <w:tcW w:w="1808" w:type="dxa"/>
          </w:tcPr>
          <w:p w14:paraId="4DE7BE55" w14:textId="77777777" w:rsidR="00803BEE" w:rsidRDefault="00803BEE" w:rsidP="0099191D">
            <w:r>
              <w:t>RNA</w:t>
            </w:r>
          </w:p>
        </w:tc>
        <w:tc>
          <w:tcPr>
            <w:tcW w:w="6686" w:type="dxa"/>
          </w:tcPr>
          <w:p w14:paraId="4E7DB0CC" w14:textId="77777777" w:rsidR="00803BEE" w:rsidRDefault="00803BEE" w:rsidP="0099191D">
            <w:r>
              <w:t>R</w:t>
            </w:r>
            <w:r w:rsidRPr="00BA4452">
              <w:t>ibonucleic acid</w:t>
            </w:r>
          </w:p>
        </w:tc>
      </w:tr>
      <w:tr w:rsidR="00803BEE" w:rsidRPr="00FD119B" w14:paraId="6250BFCE" w14:textId="77777777" w:rsidTr="00496882">
        <w:tc>
          <w:tcPr>
            <w:tcW w:w="1808" w:type="dxa"/>
          </w:tcPr>
          <w:p w14:paraId="2A274C0B" w14:textId="77777777" w:rsidR="00803BEE" w:rsidRDefault="00803BEE" w:rsidP="0099191D">
            <w:r>
              <w:t>RSV</w:t>
            </w:r>
          </w:p>
        </w:tc>
        <w:tc>
          <w:tcPr>
            <w:tcW w:w="6686" w:type="dxa"/>
          </w:tcPr>
          <w:p w14:paraId="409D0189" w14:textId="77777777" w:rsidR="00803BEE" w:rsidRDefault="00803BEE" w:rsidP="0099191D">
            <w:r>
              <w:t>Respiratory syncytial v</w:t>
            </w:r>
            <w:r w:rsidRPr="000C622C">
              <w:t>irus</w:t>
            </w:r>
          </w:p>
        </w:tc>
      </w:tr>
      <w:tr w:rsidR="00803BEE" w:rsidRPr="00FD119B" w14:paraId="7603D7E3" w14:textId="77777777" w:rsidTr="00496882">
        <w:tc>
          <w:tcPr>
            <w:tcW w:w="1808" w:type="dxa"/>
          </w:tcPr>
          <w:p w14:paraId="4EDB3646" w14:textId="77777777" w:rsidR="00803BEE" w:rsidRDefault="00803BEE" w:rsidP="0099191D">
            <w:r>
              <w:t>S</w:t>
            </w:r>
          </w:p>
        </w:tc>
        <w:tc>
          <w:tcPr>
            <w:tcW w:w="6686" w:type="dxa"/>
          </w:tcPr>
          <w:p w14:paraId="4ABDFF9C" w14:textId="77777777" w:rsidR="00803BEE" w:rsidRDefault="00803BEE" w:rsidP="0099191D">
            <w:r>
              <w:t>(SARS-CoV-2) spike glycoprotein</w:t>
            </w:r>
          </w:p>
        </w:tc>
      </w:tr>
      <w:tr w:rsidR="00803BEE" w:rsidRPr="00FD119B" w14:paraId="68EF47D2" w14:textId="77777777" w:rsidTr="00496882">
        <w:tc>
          <w:tcPr>
            <w:tcW w:w="1808" w:type="dxa"/>
          </w:tcPr>
          <w:p w14:paraId="0C7E25F7" w14:textId="77777777" w:rsidR="00803BEE" w:rsidRDefault="00803BEE" w:rsidP="0099191D">
            <w:r>
              <w:t>SARS-</w:t>
            </w:r>
            <w:proofErr w:type="spellStart"/>
            <w:r>
              <w:t>CoV</w:t>
            </w:r>
            <w:proofErr w:type="spellEnd"/>
          </w:p>
        </w:tc>
        <w:tc>
          <w:tcPr>
            <w:tcW w:w="6686" w:type="dxa"/>
          </w:tcPr>
          <w:p w14:paraId="5E832A01" w14:textId="77777777" w:rsidR="00803BEE" w:rsidRDefault="00803BEE" w:rsidP="0099191D">
            <w:r>
              <w:t>S</w:t>
            </w:r>
            <w:r w:rsidRPr="00484135">
              <w:t>evere acute respiratory syndrome coronavirus</w:t>
            </w:r>
          </w:p>
        </w:tc>
      </w:tr>
      <w:tr w:rsidR="00803BEE" w:rsidRPr="00FD119B" w14:paraId="46C9A5D3" w14:textId="77777777" w:rsidTr="00496882">
        <w:tc>
          <w:tcPr>
            <w:tcW w:w="1808" w:type="dxa"/>
          </w:tcPr>
          <w:p w14:paraId="3EA32CDD" w14:textId="77777777" w:rsidR="00803BEE" w:rsidRDefault="00803BEE" w:rsidP="0099191D">
            <w:r>
              <w:t>SARS-CoV-2</w:t>
            </w:r>
          </w:p>
        </w:tc>
        <w:tc>
          <w:tcPr>
            <w:tcW w:w="6686" w:type="dxa"/>
          </w:tcPr>
          <w:p w14:paraId="14FCF181" w14:textId="77777777" w:rsidR="00803BEE" w:rsidRDefault="00803BEE" w:rsidP="0099191D">
            <w:r w:rsidRPr="00E30787">
              <w:t>Severe acute respiratory syndrome coronavirus 2</w:t>
            </w:r>
          </w:p>
        </w:tc>
      </w:tr>
      <w:tr w:rsidR="00803BEE" w:rsidRPr="00FD119B" w14:paraId="35130AE9" w14:textId="77777777" w:rsidTr="00496882">
        <w:tc>
          <w:tcPr>
            <w:tcW w:w="1808" w:type="dxa"/>
          </w:tcPr>
          <w:p w14:paraId="40EB5FD3" w14:textId="77777777" w:rsidR="00803BEE" w:rsidRPr="00FD119B" w:rsidRDefault="00803BEE" w:rsidP="0099191D">
            <w:r>
              <w:t>TGA</w:t>
            </w:r>
          </w:p>
        </w:tc>
        <w:tc>
          <w:tcPr>
            <w:tcW w:w="6686" w:type="dxa"/>
          </w:tcPr>
          <w:p w14:paraId="20C80921" w14:textId="77777777" w:rsidR="00803BEE" w:rsidRPr="00FD119B" w:rsidRDefault="00803BEE" w:rsidP="0099191D">
            <w:r w:rsidRPr="008D1268">
              <w:t>Therapeutic Goods Administration</w:t>
            </w:r>
          </w:p>
        </w:tc>
      </w:tr>
      <w:tr w:rsidR="00803BEE" w:rsidRPr="00FD119B" w14:paraId="0EE16FBA" w14:textId="77777777" w:rsidTr="00496882">
        <w:tc>
          <w:tcPr>
            <w:tcW w:w="1808" w:type="dxa"/>
          </w:tcPr>
          <w:p w14:paraId="369650E8" w14:textId="77777777" w:rsidR="00803BEE" w:rsidRDefault="00803BEE" w:rsidP="0099191D">
            <w:r>
              <w:t>Th</w:t>
            </w:r>
          </w:p>
        </w:tc>
        <w:tc>
          <w:tcPr>
            <w:tcW w:w="6686" w:type="dxa"/>
          </w:tcPr>
          <w:p w14:paraId="3FAA99F7" w14:textId="77777777" w:rsidR="00803BEE" w:rsidRDefault="00803BEE" w:rsidP="0099191D">
            <w:r>
              <w:t>T helper</w:t>
            </w:r>
          </w:p>
        </w:tc>
      </w:tr>
      <w:tr w:rsidR="00803BEE" w:rsidRPr="00FD119B" w14:paraId="0B18A0D3" w14:textId="77777777" w:rsidTr="00496882">
        <w:tc>
          <w:tcPr>
            <w:tcW w:w="1808" w:type="dxa"/>
          </w:tcPr>
          <w:p w14:paraId="7987E19F" w14:textId="77777777" w:rsidR="00803BEE" w:rsidRDefault="00803BEE" w:rsidP="0099191D">
            <w:r>
              <w:t>UK</w:t>
            </w:r>
          </w:p>
        </w:tc>
        <w:tc>
          <w:tcPr>
            <w:tcW w:w="6686" w:type="dxa"/>
          </w:tcPr>
          <w:p w14:paraId="6CE793A9" w14:textId="77777777" w:rsidR="00803BEE" w:rsidRDefault="00803BEE" w:rsidP="0099191D">
            <w:r>
              <w:t>United Kingdom</w:t>
            </w:r>
          </w:p>
        </w:tc>
      </w:tr>
      <w:tr w:rsidR="00803BEE" w:rsidRPr="00FD119B" w14:paraId="57460CBA" w14:textId="77777777" w:rsidTr="00496882">
        <w:tc>
          <w:tcPr>
            <w:tcW w:w="1808" w:type="dxa"/>
          </w:tcPr>
          <w:p w14:paraId="4ADE7DD1" w14:textId="77777777" w:rsidR="00803BEE" w:rsidRDefault="00803BEE" w:rsidP="0099191D">
            <w:r>
              <w:t>US(A)</w:t>
            </w:r>
          </w:p>
        </w:tc>
        <w:tc>
          <w:tcPr>
            <w:tcW w:w="6686" w:type="dxa"/>
          </w:tcPr>
          <w:p w14:paraId="548D997C" w14:textId="77777777" w:rsidR="00803BEE" w:rsidRDefault="00803BEE" w:rsidP="0099191D">
            <w:r>
              <w:t>United States (of America)</w:t>
            </w:r>
          </w:p>
        </w:tc>
      </w:tr>
      <w:tr w:rsidR="00803BEE" w:rsidRPr="00FD119B" w14:paraId="1ADA9EF6" w14:textId="77777777" w:rsidTr="00496882">
        <w:tc>
          <w:tcPr>
            <w:tcW w:w="1808" w:type="dxa"/>
          </w:tcPr>
          <w:p w14:paraId="35631DE1" w14:textId="77777777" w:rsidR="00803BEE" w:rsidRDefault="00803BEE" w:rsidP="0099191D">
            <w:r>
              <w:t>VAERD</w:t>
            </w:r>
          </w:p>
        </w:tc>
        <w:tc>
          <w:tcPr>
            <w:tcW w:w="6686" w:type="dxa"/>
          </w:tcPr>
          <w:p w14:paraId="367E0034" w14:textId="77777777" w:rsidR="00803BEE" w:rsidRDefault="00803BEE" w:rsidP="0099191D">
            <w:r>
              <w:t>V</w:t>
            </w:r>
            <w:r w:rsidRPr="005A7F34">
              <w:t>accine associated enhanced respiratory disease</w:t>
            </w:r>
          </w:p>
        </w:tc>
      </w:tr>
      <w:tr w:rsidR="00803BEE" w:rsidRPr="00FD119B" w14:paraId="39516BA4" w14:textId="77777777" w:rsidTr="00496882">
        <w:tc>
          <w:tcPr>
            <w:tcW w:w="1808" w:type="dxa"/>
          </w:tcPr>
          <w:p w14:paraId="50111590" w14:textId="77777777" w:rsidR="00803BEE" w:rsidRDefault="00803BEE" w:rsidP="0099191D">
            <w:r>
              <w:t>VE</w:t>
            </w:r>
          </w:p>
        </w:tc>
        <w:tc>
          <w:tcPr>
            <w:tcW w:w="6686" w:type="dxa"/>
          </w:tcPr>
          <w:p w14:paraId="3A75191E" w14:textId="77777777" w:rsidR="00803BEE" w:rsidRDefault="00803BEE" w:rsidP="0099191D">
            <w:r>
              <w:t>Vaccine efficacy</w:t>
            </w:r>
          </w:p>
        </w:tc>
      </w:tr>
      <w:tr w:rsidR="00803BEE" w:rsidRPr="00FD119B" w14:paraId="04EE429E" w14:textId="77777777" w:rsidTr="00496882">
        <w:tc>
          <w:tcPr>
            <w:tcW w:w="1808" w:type="dxa"/>
          </w:tcPr>
          <w:p w14:paraId="039B40F5" w14:textId="77777777" w:rsidR="00803BEE" w:rsidRDefault="00803BEE" w:rsidP="0099191D">
            <w:r>
              <w:t>VNA</w:t>
            </w:r>
          </w:p>
        </w:tc>
        <w:tc>
          <w:tcPr>
            <w:tcW w:w="6686" w:type="dxa"/>
          </w:tcPr>
          <w:p w14:paraId="7617AA54" w14:textId="77777777" w:rsidR="00803BEE" w:rsidRDefault="00803BEE" w:rsidP="0099191D">
            <w:r>
              <w:t>Virus neutralisation assay</w:t>
            </w:r>
          </w:p>
        </w:tc>
      </w:tr>
      <w:tr w:rsidR="00803BEE" w:rsidRPr="00FD119B" w14:paraId="16DC4B61" w14:textId="77777777" w:rsidTr="00496882">
        <w:tc>
          <w:tcPr>
            <w:tcW w:w="1808" w:type="dxa"/>
          </w:tcPr>
          <w:p w14:paraId="437E62AB" w14:textId="77777777" w:rsidR="00803BEE" w:rsidRPr="00FD119B" w:rsidRDefault="00803BEE" w:rsidP="0099191D">
            <w:r>
              <w:t>VP</w:t>
            </w:r>
          </w:p>
        </w:tc>
        <w:tc>
          <w:tcPr>
            <w:tcW w:w="6686" w:type="dxa"/>
          </w:tcPr>
          <w:p w14:paraId="629C0798" w14:textId="77777777" w:rsidR="00803BEE" w:rsidRPr="00FD119B" w:rsidRDefault="00803BEE" w:rsidP="0099191D">
            <w:r>
              <w:t>Virus particles</w:t>
            </w:r>
          </w:p>
        </w:tc>
      </w:tr>
      <w:tr w:rsidR="00803BEE" w:rsidRPr="00FD119B" w14:paraId="31DDC4A7" w14:textId="77777777" w:rsidTr="00496882">
        <w:tc>
          <w:tcPr>
            <w:tcW w:w="1808" w:type="dxa"/>
          </w:tcPr>
          <w:p w14:paraId="1C449711" w14:textId="77777777" w:rsidR="00803BEE" w:rsidRDefault="00803BEE" w:rsidP="0099191D">
            <w:r>
              <w:t>WHO</w:t>
            </w:r>
          </w:p>
        </w:tc>
        <w:tc>
          <w:tcPr>
            <w:tcW w:w="6686" w:type="dxa"/>
          </w:tcPr>
          <w:p w14:paraId="0E641DF4" w14:textId="77777777" w:rsidR="00803BEE" w:rsidRDefault="00803BEE" w:rsidP="0099191D">
            <w:r>
              <w:t>World Health Organization</w:t>
            </w:r>
          </w:p>
        </w:tc>
      </w:tr>
      <w:tr w:rsidR="00803BEE" w:rsidRPr="00FD119B" w14:paraId="1ACC4647" w14:textId="77777777" w:rsidTr="00496882">
        <w:tc>
          <w:tcPr>
            <w:tcW w:w="1808" w:type="dxa"/>
          </w:tcPr>
          <w:p w14:paraId="23CDF830" w14:textId="77777777" w:rsidR="00803BEE" w:rsidRDefault="00803BEE" w:rsidP="0099191D">
            <w:proofErr w:type="spellStart"/>
            <w:r>
              <w:t>wtVNA</w:t>
            </w:r>
            <w:proofErr w:type="spellEnd"/>
          </w:p>
        </w:tc>
        <w:tc>
          <w:tcPr>
            <w:tcW w:w="6686" w:type="dxa"/>
          </w:tcPr>
          <w:p w14:paraId="2FB701C9" w14:textId="77777777" w:rsidR="00803BEE" w:rsidRDefault="00803BEE" w:rsidP="0099191D">
            <w:r>
              <w:t>Wild type virus neutralisation assay</w:t>
            </w:r>
          </w:p>
        </w:tc>
      </w:tr>
    </w:tbl>
    <w:p w14:paraId="6BFC4B36" w14:textId="77777777" w:rsidR="00FD119B" w:rsidRDefault="00FD119B" w:rsidP="00FD119B"/>
    <w:p w14:paraId="48DE36C0"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FE73F64" w14:textId="77777777" w:rsidR="008E7846" w:rsidRDefault="00F53C07" w:rsidP="008E7846">
      <w:pPr>
        <w:pStyle w:val="Heading2"/>
      </w:pPr>
      <w:bookmarkStart w:id="8" w:name="_Toc75438452"/>
      <w:r>
        <w:t>I.</w:t>
      </w:r>
      <w:r w:rsidR="008E7846">
        <w:t xml:space="preserve"> Introduction to product submission</w:t>
      </w:r>
      <w:bookmarkEnd w:id="0"/>
      <w:bookmarkEnd w:id="2"/>
      <w:bookmarkEnd w:id="8"/>
    </w:p>
    <w:p w14:paraId="3577986D" w14:textId="77777777" w:rsidR="008E7846" w:rsidRDefault="008E7846" w:rsidP="008E7846">
      <w:pPr>
        <w:pStyle w:val="Heading3"/>
        <w:rPr>
          <w:lang w:eastAsia="en-AU"/>
        </w:rPr>
      </w:pPr>
      <w:bookmarkStart w:id="9" w:name="_Toc247691502"/>
      <w:bookmarkStart w:id="10" w:name="_Toc314842483"/>
      <w:bookmarkStart w:id="11" w:name="_Toc75438453"/>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6B5988D4" w14:textId="77777777" w:rsidTr="003735BC">
        <w:tc>
          <w:tcPr>
            <w:tcW w:w="2907" w:type="dxa"/>
          </w:tcPr>
          <w:p w14:paraId="481F50CF"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746BEC6A" w14:textId="77777777" w:rsidR="008E7846" w:rsidRPr="003D1E62" w:rsidRDefault="008E7846" w:rsidP="00984B83">
            <w:r w:rsidRPr="003D1E62">
              <w:t xml:space="preserve">New </w:t>
            </w:r>
            <w:r w:rsidR="00984B83">
              <w:t>biological</w:t>
            </w:r>
            <w:r w:rsidRPr="003D1E62">
              <w:t xml:space="preserve"> </w:t>
            </w:r>
            <w:r w:rsidR="001B5C90">
              <w:t>e</w:t>
            </w:r>
            <w:r w:rsidR="00984B83">
              <w:t>ntity</w:t>
            </w:r>
          </w:p>
        </w:tc>
      </w:tr>
      <w:tr w:rsidR="00460036" w:rsidRPr="003D1E62" w14:paraId="762B53B5" w14:textId="77777777" w:rsidTr="003735BC">
        <w:tc>
          <w:tcPr>
            <w:tcW w:w="2907" w:type="dxa"/>
          </w:tcPr>
          <w:p w14:paraId="64E323A0" w14:textId="77777777" w:rsidR="00460036" w:rsidRPr="003D1E62" w:rsidRDefault="00460036" w:rsidP="003D1E62">
            <w:pPr>
              <w:rPr>
                <w:i/>
              </w:rPr>
            </w:pPr>
            <w:r w:rsidRPr="00460036">
              <w:rPr>
                <w:i/>
              </w:rPr>
              <w:t>Prod</w:t>
            </w:r>
            <w:r w:rsidR="00984B83">
              <w:rPr>
                <w:i/>
              </w:rPr>
              <w:t>uct name</w:t>
            </w:r>
            <w:r w:rsidRPr="00460036">
              <w:rPr>
                <w:i/>
              </w:rPr>
              <w:t>:</w:t>
            </w:r>
          </w:p>
        </w:tc>
        <w:tc>
          <w:tcPr>
            <w:tcW w:w="6307" w:type="dxa"/>
          </w:tcPr>
          <w:p w14:paraId="78DA9FA4" w14:textId="2AA18C1B" w:rsidR="00460036" w:rsidRPr="003D1E62" w:rsidRDefault="00984B83" w:rsidP="001B5C90">
            <w:r>
              <w:t xml:space="preserve">COVID-19 </w:t>
            </w:r>
            <w:r w:rsidR="00803BEE">
              <w:t>V</w:t>
            </w:r>
            <w:r w:rsidRPr="00984B83">
              <w:t>accine Janssen</w:t>
            </w:r>
          </w:p>
        </w:tc>
      </w:tr>
      <w:tr w:rsidR="00460036" w:rsidRPr="003D1E62" w14:paraId="3D0108EC" w14:textId="77777777" w:rsidTr="003735BC">
        <w:tc>
          <w:tcPr>
            <w:tcW w:w="2907" w:type="dxa"/>
          </w:tcPr>
          <w:p w14:paraId="77372DC7" w14:textId="77777777" w:rsidR="00460036" w:rsidRPr="003D1E62" w:rsidRDefault="00984B83" w:rsidP="003D1E62">
            <w:pPr>
              <w:rPr>
                <w:i/>
              </w:rPr>
            </w:pPr>
            <w:r>
              <w:rPr>
                <w:i/>
              </w:rPr>
              <w:t>Active ingredient</w:t>
            </w:r>
            <w:r w:rsidR="00460036" w:rsidRPr="00460036">
              <w:rPr>
                <w:i/>
              </w:rPr>
              <w:t>:</w:t>
            </w:r>
          </w:p>
        </w:tc>
        <w:tc>
          <w:tcPr>
            <w:tcW w:w="6307" w:type="dxa"/>
          </w:tcPr>
          <w:p w14:paraId="1AE42235" w14:textId="45F686E0" w:rsidR="00460036" w:rsidRPr="003D1E62" w:rsidRDefault="00847859" w:rsidP="001B5C90">
            <w:r w:rsidRPr="00847859">
              <w:t xml:space="preserve">Adenovirus </w:t>
            </w:r>
            <w:r w:rsidR="00CC5638">
              <w:t>sero</w:t>
            </w:r>
            <w:r w:rsidRPr="00847859">
              <w:t>type 26 encoding the SARS-CoV-2 spike glycoprotein</w:t>
            </w:r>
            <w:r>
              <w:t xml:space="preserve"> (Ad26.COV2.S)</w:t>
            </w:r>
          </w:p>
        </w:tc>
      </w:tr>
      <w:tr w:rsidR="008E7846" w:rsidRPr="003D1E62" w14:paraId="46DFE8E7" w14:textId="77777777" w:rsidTr="003735BC">
        <w:tc>
          <w:tcPr>
            <w:tcW w:w="2907" w:type="dxa"/>
          </w:tcPr>
          <w:p w14:paraId="6BC00C04" w14:textId="77777777" w:rsidR="008E7846" w:rsidRPr="003D1E62" w:rsidRDefault="008E7846" w:rsidP="003D1E62">
            <w:r w:rsidRPr="003D1E62">
              <w:rPr>
                <w:i/>
              </w:rPr>
              <w:t>Decision</w:t>
            </w:r>
            <w:r w:rsidRPr="003D1E62">
              <w:t>:</w:t>
            </w:r>
          </w:p>
        </w:tc>
        <w:tc>
          <w:tcPr>
            <w:tcW w:w="6307" w:type="dxa"/>
          </w:tcPr>
          <w:p w14:paraId="4199DDD4" w14:textId="128A2BAA" w:rsidR="008E7846" w:rsidRPr="003D1E62" w:rsidRDefault="00BC16F0" w:rsidP="00984B83">
            <w:r w:rsidRPr="00BC16F0">
              <w:t>Approved for provisional registration</w:t>
            </w:r>
          </w:p>
        </w:tc>
      </w:tr>
      <w:tr w:rsidR="008E7846" w:rsidRPr="003D1E62" w14:paraId="315D3DB8" w14:textId="77777777" w:rsidTr="003735BC">
        <w:tc>
          <w:tcPr>
            <w:tcW w:w="2907" w:type="dxa"/>
          </w:tcPr>
          <w:p w14:paraId="16F6CC6C" w14:textId="77777777" w:rsidR="008E7846" w:rsidRPr="00D41A9D" w:rsidRDefault="008E7846" w:rsidP="001B5C90">
            <w:pPr>
              <w:rPr>
                <w:i/>
              </w:rPr>
            </w:pPr>
            <w:r w:rsidRPr="00D41A9D">
              <w:rPr>
                <w:i/>
              </w:rPr>
              <w:t xml:space="preserve">Date of </w:t>
            </w:r>
            <w:r w:rsidR="001B5C90" w:rsidRPr="00D41A9D">
              <w:rPr>
                <w:i/>
              </w:rPr>
              <w:t>d</w:t>
            </w:r>
            <w:r w:rsidRPr="00D41A9D">
              <w:rPr>
                <w:i/>
              </w:rPr>
              <w:t>ecision:</w:t>
            </w:r>
          </w:p>
        </w:tc>
        <w:tc>
          <w:tcPr>
            <w:tcW w:w="6307" w:type="dxa"/>
          </w:tcPr>
          <w:p w14:paraId="150D114C" w14:textId="19F43BDD" w:rsidR="008E7846" w:rsidRPr="00D41A9D" w:rsidRDefault="0065766D" w:rsidP="001B5C90">
            <w:r>
              <w:t>25</w:t>
            </w:r>
            <w:r w:rsidR="00AB393B" w:rsidRPr="00D41A9D">
              <w:t xml:space="preserve"> June 2021</w:t>
            </w:r>
          </w:p>
        </w:tc>
      </w:tr>
      <w:tr w:rsidR="00ED2922" w:rsidRPr="003D1E62" w14:paraId="37FC1ECC" w14:textId="77777777" w:rsidTr="003735BC">
        <w:tc>
          <w:tcPr>
            <w:tcW w:w="2907" w:type="dxa"/>
          </w:tcPr>
          <w:p w14:paraId="61157CA8" w14:textId="77777777" w:rsidR="00ED2922" w:rsidRPr="00D41A9D" w:rsidRDefault="00ED2922" w:rsidP="001B5C90">
            <w:pPr>
              <w:rPr>
                <w:i/>
              </w:rPr>
            </w:pPr>
            <w:r w:rsidRPr="00D41A9D">
              <w:rPr>
                <w:i/>
              </w:rPr>
              <w:t>Date of entry onto ARTG</w:t>
            </w:r>
            <w:r w:rsidR="00500337" w:rsidRPr="00D41A9D">
              <w:rPr>
                <w:i/>
              </w:rPr>
              <w:t>:</w:t>
            </w:r>
          </w:p>
        </w:tc>
        <w:tc>
          <w:tcPr>
            <w:tcW w:w="6307" w:type="dxa"/>
          </w:tcPr>
          <w:p w14:paraId="105C1772" w14:textId="5BED8087" w:rsidR="00ED2922" w:rsidRPr="00D41A9D" w:rsidRDefault="001F5AE9" w:rsidP="00AB393B">
            <w:pPr>
              <w:rPr>
                <w:i/>
              </w:rPr>
            </w:pPr>
            <w:r>
              <w:t>25</w:t>
            </w:r>
            <w:r w:rsidR="00AB393B" w:rsidRPr="00D41A9D">
              <w:t xml:space="preserve"> June 2021</w:t>
            </w:r>
          </w:p>
        </w:tc>
      </w:tr>
      <w:tr w:rsidR="00500337" w:rsidRPr="003D1E62" w14:paraId="4ECAC144" w14:textId="77777777" w:rsidTr="003735BC">
        <w:tc>
          <w:tcPr>
            <w:tcW w:w="2907" w:type="dxa"/>
          </w:tcPr>
          <w:p w14:paraId="5E363C4B" w14:textId="77777777" w:rsidR="00500337" w:rsidRPr="00441C3F" w:rsidRDefault="00984B83" w:rsidP="001B5C90">
            <w:pPr>
              <w:rPr>
                <w:i/>
              </w:rPr>
            </w:pPr>
            <w:r>
              <w:rPr>
                <w:i/>
              </w:rPr>
              <w:t>ARTG number</w:t>
            </w:r>
            <w:r w:rsidR="00500337">
              <w:rPr>
                <w:i/>
              </w:rPr>
              <w:t>:</w:t>
            </w:r>
          </w:p>
        </w:tc>
        <w:tc>
          <w:tcPr>
            <w:tcW w:w="6307" w:type="dxa"/>
          </w:tcPr>
          <w:p w14:paraId="61B3EE53" w14:textId="26B45A02" w:rsidR="00500337" w:rsidRPr="006101AE" w:rsidRDefault="00BC16F0" w:rsidP="00EC463D">
            <w:pPr>
              <w:rPr>
                <w:highlight w:val="yellow"/>
              </w:rPr>
            </w:pPr>
            <w:r w:rsidRPr="00BC16F0">
              <w:t>350150</w:t>
            </w:r>
          </w:p>
        </w:tc>
      </w:tr>
      <w:tr w:rsidR="003735BC" w:rsidRPr="003D1E62" w14:paraId="46888C56" w14:textId="77777777" w:rsidTr="003735BC">
        <w:tc>
          <w:tcPr>
            <w:tcW w:w="2907" w:type="dxa"/>
          </w:tcPr>
          <w:p w14:paraId="536522BF"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69F2D971" w14:textId="77777777" w:rsidR="003735BC" w:rsidRDefault="00984B83" w:rsidP="003735BC">
            <w:r>
              <w:t>Yes</w:t>
            </w:r>
          </w:p>
          <w:p w14:paraId="248CBF03" w14:textId="77777777" w:rsidR="003735BC" w:rsidRPr="00487162" w:rsidRDefault="003735BC" w:rsidP="003735BC">
            <w:r>
              <w:t>As a provisionally registered product, this medicine will remain in the Black Triangle Scheme for the duration of its provisional registration</w:t>
            </w:r>
          </w:p>
        </w:tc>
      </w:tr>
    </w:tbl>
    <w:p w14:paraId="7F7CAC8F"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13AF2B70" w14:textId="77777777" w:rsidTr="00BF1190">
        <w:tc>
          <w:tcPr>
            <w:tcW w:w="2907" w:type="dxa"/>
          </w:tcPr>
          <w:p w14:paraId="6CF4EAA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ADBCB17" w14:textId="77777777" w:rsidR="00847859" w:rsidRDefault="00847859" w:rsidP="004C01E5">
            <w:r>
              <w:t>Janssen-</w:t>
            </w:r>
            <w:proofErr w:type="spellStart"/>
            <w:r>
              <w:t>Cilag</w:t>
            </w:r>
            <w:proofErr w:type="spellEnd"/>
            <w:r>
              <w:t xml:space="preserve"> Pty Ltd</w:t>
            </w:r>
          </w:p>
          <w:p w14:paraId="61EAE3EF" w14:textId="77777777" w:rsidR="003552E8" w:rsidRDefault="00847859" w:rsidP="00847859">
            <w:r w:rsidRPr="00847859">
              <w:t>1-5</w:t>
            </w:r>
            <w:r>
              <w:t xml:space="preserve"> Khartoum Road</w:t>
            </w:r>
          </w:p>
          <w:p w14:paraId="2D0AD58C" w14:textId="1F108C79" w:rsidR="008E7846" w:rsidRPr="00487162" w:rsidRDefault="00847859" w:rsidP="00847859">
            <w:r>
              <w:t>Macquarie Park, NSW</w:t>
            </w:r>
            <w:r w:rsidR="003552E8">
              <w:t>,</w:t>
            </w:r>
            <w:r>
              <w:t xml:space="preserve"> 2113</w:t>
            </w:r>
          </w:p>
        </w:tc>
      </w:tr>
      <w:tr w:rsidR="001F459D" w:rsidRPr="00487162" w14:paraId="7D3F3450" w14:textId="77777777" w:rsidTr="00BF1190">
        <w:tc>
          <w:tcPr>
            <w:tcW w:w="2907" w:type="dxa"/>
          </w:tcPr>
          <w:p w14:paraId="4222176B" w14:textId="77777777" w:rsidR="001F459D" w:rsidRPr="00487162" w:rsidRDefault="001F459D" w:rsidP="001F459D">
            <w:pPr>
              <w:rPr>
                <w:i/>
              </w:rPr>
            </w:pPr>
            <w:r>
              <w:rPr>
                <w:i/>
              </w:rPr>
              <w:t>Dose form:</w:t>
            </w:r>
          </w:p>
        </w:tc>
        <w:tc>
          <w:tcPr>
            <w:tcW w:w="6307" w:type="dxa"/>
          </w:tcPr>
          <w:p w14:paraId="30E93266" w14:textId="77777777" w:rsidR="001F459D" w:rsidRPr="005443D7" w:rsidRDefault="001F459D" w:rsidP="001F459D">
            <w:r>
              <w:t>Suspension for injection</w:t>
            </w:r>
          </w:p>
        </w:tc>
      </w:tr>
      <w:tr w:rsidR="001F459D" w:rsidRPr="00487162" w14:paraId="1F7AA162" w14:textId="77777777" w:rsidTr="00BF1190">
        <w:tc>
          <w:tcPr>
            <w:tcW w:w="2907" w:type="dxa"/>
          </w:tcPr>
          <w:p w14:paraId="7CC6E947" w14:textId="77777777" w:rsidR="001F459D" w:rsidRPr="00487162" w:rsidRDefault="001F459D" w:rsidP="001F459D">
            <w:pPr>
              <w:rPr>
                <w:i/>
              </w:rPr>
            </w:pPr>
            <w:r>
              <w:rPr>
                <w:i/>
              </w:rPr>
              <w:t>Strength:</w:t>
            </w:r>
          </w:p>
        </w:tc>
        <w:tc>
          <w:tcPr>
            <w:tcW w:w="6307" w:type="dxa"/>
          </w:tcPr>
          <w:p w14:paraId="75F051AF" w14:textId="41705536" w:rsidR="001F459D" w:rsidRPr="00487162" w:rsidRDefault="001F459D" w:rsidP="001F459D">
            <w:r>
              <w:t xml:space="preserve">5 </w:t>
            </w:r>
            <w:r w:rsidR="003552E8">
              <w:t>x</w:t>
            </w:r>
            <w:r>
              <w:t xml:space="preserve"> 10</w:t>
            </w:r>
            <w:r>
              <w:rPr>
                <w:vertAlign w:val="superscript"/>
              </w:rPr>
              <w:t xml:space="preserve">10 </w:t>
            </w:r>
            <w:r w:rsidR="0086347D">
              <w:t>virus particles (VP)/</w:t>
            </w:r>
            <w:r>
              <w:t>0.5 mL</w:t>
            </w:r>
          </w:p>
        </w:tc>
      </w:tr>
      <w:tr w:rsidR="001F459D" w:rsidRPr="00487162" w14:paraId="10B2D0C8" w14:textId="77777777" w:rsidTr="00BF1190">
        <w:tc>
          <w:tcPr>
            <w:tcW w:w="2907" w:type="dxa"/>
          </w:tcPr>
          <w:p w14:paraId="3E8DFB5A" w14:textId="77777777" w:rsidR="001F459D" w:rsidRPr="00487162" w:rsidRDefault="001F459D" w:rsidP="001F459D">
            <w:pPr>
              <w:rPr>
                <w:i/>
              </w:rPr>
            </w:pPr>
            <w:r w:rsidRPr="00487162">
              <w:rPr>
                <w:i/>
              </w:rPr>
              <w:t>Container:</w:t>
            </w:r>
          </w:p>
        </w:tc>
        <w:tc>
          <w:tcPr>
            <w:tcW w:w="6307" w:type="dxa"/>
          </w:tcPr>
          <w:p w14:paraId="67F081DC" w14:textId="352D7498" w:rsidR="001F459D" w:rsidRPr="00487162" w:rsidRDefault="001F459D" w:rsidP="001F459D">
            <w:r>
              <w:t>M</w:t>
            </w:r>
            <w:r w:rsidRPr="001F459D">
              <w:t>ulti</w:t>
            </w:r>
            <w:r w:rsidR="0072621B">
              <w:t>-</w:t>
            </w:r>
            <w:r w:rsidRPr="001F459D">
              <w:t>dose vial</w:t>
            </w:r>
          </w:p>
        </w:tc>
      </w:tr>
      <w:tr w:rsidR="001F459D" w:rsidRPr="00487162" w14:paraId="4A423977" w14:textId="77777777" w:rsidTr="00BF1190">
        <w:tc>
          <w:tcPr>
            <w:tcW w:w="2907" w:type="dxa"/>
          </w:tcPr>
          <w:p w14:paraId="370045CC" w14:textId="77777777" w:rsidR="001F459D" w:rsidRPr="00487162" w:rsidRDefault="001F459D" w:rsidP="001F459D">
            <w:pPr>
              <w:rPr>
                <w:i/>
              </w:rPr>
            </w:pPr>
            <w:r w:rsidRPr="00487162">
              <w:rPr>
                <w:i/>
              </w:rPr>
              <w:t xml:space="preserve">Pack </w:t>
            </w:r>
            <w:r w:rsidR="00847859">
              <w:rPr>
                <w:i/>
              </w:rPr>
              <w:t>size</w:t>
            </w:r>
            <w:r w:rsidRPr="00487162">
              <w:rPr>
                <w:i/>
              </w:rPr>
              <w:t>:</w:t>
            </w:r>
          </w:p>
        </w:tc>
        <w:tc>
          <w:tcPr>
            <w:tcW w:w="6307" w:type="dxa"/>
          </w:tcPr>
          <w:p w14:paraId="20828558" w14:textId="650B2F9B" w:rsidR="001F459D" w:rsidRPr="00487162" w:rsidRDefault="004D4EA1" w:rsidP="004D4EA1">
            <w:r>
              <w:t>Ten</w:t>
            </w:r>
            <w:r w:rsidR="00CC5638">
              <w:t xml:space="preserve"> vials</w:t>
            </w:r>
          </w:p>
        </w:tc>
      </w:tr>
      <w:tr w:rsidR="001F459D" w:rsidRPr="00487162" w14:paraId="71604F69" w14:textId="77777777" w:rsidTr="00BF1190">
        <w:tc>
          <w:tcPr>
            <w:tcW w:w="2907" w:type="dxa"/>
          </w:tcPr>
          <w:p w14:paraId="69A3626B" w14:textId="77777777" w:rsidR="001F459D" w:rsidRPr="00487162" w:rsidRDefault="001F459D" w:rsidP="001F459D">
            <w:pPr>
              <w:rPr>
                <w:i/>
              </w:rPr>
            </w:pPr>
            <w:r w:rsidRPr="00487162">
              <w:rPr>
                <w:i/>
              </w:rPr>
              <w:t xml:space="preserve">Approved </w:t>
            </w:r>
            <w:r>
              <w:rPr>
                <w:i/>
              </w:rPr>
              <w:t>t</w:t>
            </w:r>
            <w:r w:rsidRPr="00487162">
              <w:rPr>
                <w:i/>
              </w:rPr>
              <w:t>herapeutic use:</w:t>
            </w:r>
          </w:p>
        </w:tc>
        <w:tc>
          <w:tcPr>
            <w:tcW w:w="6307" w:type="dxa"/>
          </w:tcPr>
          <w:p w14:paraId="6D6135CA" w14:textId="77777777" w:rsidR="009D3C4D" w:rsidRPr="009D3C4D" w:rsidRDefault="009D3C4D" w:rsidP="009D3C4D">
            <w:pPr>
              <w:rPr>
                <w:i/>
              </w:rPr>
            </w:pPr>
            <w:r w:rsidRPr="009D3C4D">
              <w:rPr>
                <w:i/>
              </w:rPr>
              <w:t xml:space="preserve">COVID-19 Vaccine Janssen has </w:t>
            </w:r>
            <w:r w:rsidRPr="009D3C4D">
              <w:rPr>
                <w:rFonts w:cs="Cambria-BoldItalic"/>
                <w:bCs/>
                <w:i/>
              </w:rPr>
              <w:t xml:space="preserve">provisional approval </w:t>
            </w:r>
            <w:r w:rsidRPr="009D3C4D">
              <w:rPr>
                <w:i/>
              </w:rPr>
              <w:t>for the indication:</w:t>
            </w:r>
          </w:p>
          <w:p w14:paraId="43827271" w14:textId="3A085993" w:rsidR="00A2484C" w:rsidRPr="009D3C4D" w:rsidRDefault="00A2484C" w:rsidP="00A2484C">
            <w:pPr>
              <w:rPr>
                <w:i/>
              </w:rPr>
            </w:pPr>
            <w:r w:rsidRPr="00A2484C">
              <w:rPr>
                <w:i/>
              </w:rPr>
              <w:t>COVID-19 Vaccine Janssen is indicated for active immunisation to prevent COVID-19 caused by SARS-CoV-2 in individuals 18 years of age and older.</w:t>
            </w:r>
          </w:p>
          <w:p w14:paraId="3DEA2AA4" w14:textId="386818B5" w:rsidR="00A2484C" w:rsidRPr="00A2484C" w:rsidRDefault="00A2484C" w:rsidP="00A2484C">
            <w:pPr>
              <w:rPr>
                <w:i/>
              </w:rPr>
            </w:pPr>
            <w:r w:rsidRPr="00A2484C">
              <w:rPr>
                <w:i/>
              </w:rPr>
              <w:t>The use of this vaccine should be in accordance with official recommendations.</w:t>
            </w:r>
          </w:p>
          <w:p w14:paraId="3C039B0E" w14:textId="40FD228B" w:rsidR="001F459D" w:rsidRPr="00A2484C" w:rsidRDefault="00A2484C" w:rsidP="00A2484C">
            <w:pPr>
              <w:rPr>
                <w:rFonts w:eastAsia="MS Mincho"/>
                <w:i/>
                <w:lang w:eastAsia="ja-JP"/>
              </w:rPr>
            </w:pPr>
            <w:r w:rsidRPr="00A2484C">
              <w:rPr>
                <w:i/>
              </w:rPr>
              <w:t>The decision has been made on the basis of short term efficacy and safety data. Continued approval is dependent upon the evidence of longer-term efficacy and safety from ongoing clinical trials and post-market assessment</w:t>
            </w:r>
          </w:p>
        </w:tc>
      </w:tr>
      <w:tr w:rsidR="001F459D" w:rsidRPr="00487162" w14:paraId="0494D179" w14:textId="77777777" w:rsidTr="00BF1190">
        <w:tc>
          <w:tcPr>
            <w:tcW w:w="2907" w:type="dxa"/>
          </w:tcPr>
          <w:p w14:paraId="16D35B7E" w14:textId="77777777" w:rsidR="001F459D" w:rsidRPr="00487162" w:rsidRDefault="00847859" w:rsidP="001F459D">
            <w:pPr>
              <w:rPr>
                <w:i/>
              </w:rPr>
            </w:pPr>
            <w:r>
              <w:rPr>
                <w:i/>
              </w:rPr>
              <w:t>Route</w:t>
            </w:r>
            <w:r w:rsidR="001F459D" w:rsidRPr="00487162">
              <w:rPr>
                <w:i/>
              </w:rPr>
              <w:t xml:space="preserve"> of administration:</w:t>
            </w:r>
          </w:p>
        </w:tc>
        <w:tc>
          <w:tcPr>
            <w:tcW w:w="6307" w:type="dxa"/>
          </w:tcPr>
          <w:p w14:paraId="4569BD6D" w14:textId="7398A2BD" w:rsidR="001F459D" w:rsidRPr="00487162" w:rsidRDefault="00847859" w:rsidP="001F459D">
            <w:r>
              <w:t>Intramuscular</w:t>
            </w:r>
            <w:r w:rsidR="00CC5638">
              <w:t xml:space="preserve"> injection</w:t>
            </w:r>
          </w:p>
        </w:tc>
      </w:tr>
      <w:tr w:rsidR="001F459D" w:rsidRPr="00487162" w14:paraId="1DAB7E0F" w14:textId="77777777" w:rsidTr="00467DC9">
        <w:trPr>
          <w:cantSplit/>
        </w:trPr>
        <w:tc>
          <w:tcPr>
            <w:tcW w:w="2907" w:type="dxa"/>
          </w:tcPr>
          <w:p w14:paraId="5C34BE63" w14:textId="77777777" w:rsidR="001F459D" w:rsidRPr="00487162" w:rsidRDefault="001F459D" w:rsidP="001F459D">
            <w:pPr>
              <w:rPr>
                <w:i/>
              </w:rPr>
            </w:pPr>
            <w:r w:rsidRPr="00487162">
              <w:rPr>
                <w:i/>
              </w:rPr>
              <w:t>Dosage:</w:t>
            </w:r>
          </w:p>
        </w:tc>
        <w:tc>
          <w:tcPr>
            <w:tcW w:w="6307" w:type="dxa"/>
          </w:tcPr>
          <w:p w14:paraId="6E78B4FA" w14:textId="77777777" w:rsidR="00847859" w:rsidRPr="00847859" w:rsidRDefault="00847859" w:rsidP="00847859">
            <w:pPr>
              <w:rPr>
                <w:i/>
              </w:rPr>
            </w:pPr>
            <w:r w:rsidRPr="00847859">
              <w:rPr>
                <w:i/>
              </w:rPr>
              <w:t>Individuals 18 years of age and older</w:t>
            </w:r>
          </w:p>
          <w:p w14:paraId="27C3D2EF" w14:textId="6B17DEF3" w:rsidR="00847859" w:rsidRDefault="00EF1313" w:rsidP="00847859">
            <w:r>
              <w:t>COVID-19 V</w:t>
            </w:r>
            <w:r w:rsidR="00847859">
              <w:t>accine Janssen is administered as a single dose of 0.5 mL by intramuscular injection only.</w:t>
            </w:r>
          </w:p>
          <w:p w14:paraId="1E7FD4E5" w14:textId="77777777" w:rsidR="00847859" w:rsidRPr="00847859" w:rsidRDefault="00847859" w:rsidP="00847859">
            <w:pPr>
              <w:rPr>
                <w:i/>
              </w:rPr>
            </w:pPr>
            <w:r w:rsidRPr="00847859">
              <w:rPr>
                <w:i/>
              </w:rPr>
              <w:t>Paediatric population</w:t>
            </w:r>
          </w:p>
          <w:p w14:paraId="29172644" w14:textId="6BC10559" w:rsidR="00847859" w:rsidRDefault="00847859" w:rsidP="00847859">
            <w:r>
              <w:t>The s</w:t>
            </w:r>
            <w:r w:rsidR="00EF1313">
              <w:t>afety and efficacy of COVID-19 V</w:t>
            </w:r>
            <w:r>
              <w:t>accine Janssen in children and adolescents (less than 18 years of age) have not yet been established. No data are available.</w:t>
            </w:r>
          </w:p>
          <w:p w14:paraId="7823C6B5" w14:textId="77777777" w:rsidR="00847859" w:rsidRPr="00847859" w:rsidRDefault="00847859" w:rsidP="00847859">
            <w:pPr>
              <w:rPr>
                <w:i/>
              </w:rPr>
            </w:pPr>
            <w:r w:rsidRPr="00847859">
              <w:rPr>
                <w:i/>
              </w:rPr>
              <w:t>Elderly</w:t>
            </w:r>
          </w:p>
          <w:p w14:paraId="0F8AFCF3" w14:textId="1ED0E2D6" w:rsidR="001F459D" w:rsidRDefault="00847859" w:rsidP="00847859">
            <w:r>
              <w:t xml:space="preserve">No dose adjustment is required in elderly individuals </w:t>
            </w:r>
            <w:r w:rsidR="003552E8">
              <w:t>aged</w:t>
            </w:r>
            <w:r>
              <w:t xml:space="preserve"> 65</w:t>
            </w:r>
            <w:r w:rsidR="00CC5638">
              <w:t> </w:t>
            </w:r>
            <w:r>
              <w:t>years o</w:t>
            </w:r>
            <w:r w:rsidR="003552E8">
              <w:t>r older</w:t>
            </w:r>
            <w:r>
              <w:t>. See also</w:t>
            </w:r>
            <w:r w:rsidR="003552E8">
              <w:t xml:space="preserve">, the </w:t>
            </w:r>
            <w:r w:rsidR="00CC5638">
              <w:t>relevant</w:t>
            </w:r>
            <w:r w:rsidR="003552E8">
              <w:t xml:space="preserve"> section</w:t>
            </w:r>
            <w:r w:rsidR="00CC5638">
              <w:t>s</w:t>
            </w:r>
            <w:r>
              <w:t xml:space="preserve"> </w:t>
            </w:r>
            <w:r w:rsidR="003552E8">
              <w:t>(</w:t>
            </w:r>
            <w:r>
              <w:t>Sections 4.8 and 5.1</w:t>
            </w:r>
            <w:r w:rsidR="003552E8">
              <w:t>)</w:t>
            </w:r>
            <w:r>
              <w:t xml:space="preserve"> in the Product Information.</w:t>
            </w:r>
          </w:p>
          <w:p w14:paraId="5CB2DCC9" w14:textId="7DA92C32" w:rsidR="003552E8" w:rsidRPr="00496882" w:rsidRDefault="003552E8" w:rsidP="00847859">
            <w:pPr>
              <w:rPr>
                <w:i/>
              </w:rPr>
            </w:pPr>
            <w:r>
              <w:rPr>
                <w:i/>
              </w:rPr>
              <w:t>Other dosage information</w:t>
            </w:r>
          </w:p>
          <w:p w14:paraId="6216BF08" w14:textId="77777777" w:rsidR="001F459D" w:rsidRPr="00487162" w:rsidRDefault="001F459D" w:rsidP="001F459D">
            <w:r w:rsidRPr="00460036">
              <w:t>For further information regarding dosage, refer to the Product Information.</w:t>
            </w:r>
          </w:p>
        </w:tc>
      </w:tr>
      <w:tr w:rsidR="001F459D" w:rsidRPr="00487162" w14:paraId="04A1121D" w14:textId="77777777" w:rsidTr="00BF1190">
        <w:tc>
          <w:tcPr>
            <w:tcW w:w="2907" w:type="dxa"/>
          </w:tcPr>
          <w:p w14:paraId="570FCB5B" w14:textId="77777777" w:rsidR="001F459D" w:rsidRPr="00487162" w:rsidRDefault="001F459D" w:rsidP="001F459D">
            <w:pPr>
              <w:rPr>
                <w:i/>
              </w:rPr>
            </w:pPr>
            <w:r w:rsidRPr="00460036">
              <w:rPr>
                <w:i/>
              </w:rPr>
              <w:t>Pregnancy category</w:t>
            </w:r>
            <w:r>
              <w:rPr>
                <w:i/>
              </w:rPr>
              <w:t>:</w:t>
            </w:r>
          </w:p>
        </w:tc>
        <w:tc>
          <w:tcPr>
            <w:tcW w:w="6307" w:type="dxa"/>
          </w:tcPr>
          <w:p w14:paraId="264F26DD" w14:textId="2AEA4077" w:rsidR="00EF1313" w:rsidRDefault="00EF1313" w:rsidP="00EF1313">
            <w:r>
              <w:t>B1</w:t>
            </w:r>
          </w:p>
          <w:p w14:paraId="2A96AD7F" w14:textId="0B382A3E" w:rsidR="00EF1313" w:rsidRDefault="00EF1313" w:rsidP="00EF1313">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5E30790F" w14:textId="0D7BA93D" w:rsidR="001F459D" w:rsidRPr="00487162" w:rsidRDefault="00EF1313" w:rsidP="00EF1313">
            <w:r>
              <w:t xml:space="preserve">Studies in animals have not shown evidence of an increased occurrence of </w:t>
            </w:r>
            <w:proofErr w:type="spellStart"/>
            <w:r>
              <w:t>fetal</w:t>
            </w:r>
            <w:proofErr w:type="spellEnd"/>
            <w:r>
              <w:t xml:space="preserve"> damage. </w:t>
            </w:r>
            <w:r w:rsidR="001F459D">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w:t>
            </w:r>
            <w:r w:rsidR="00654A9B">
              <w:t xml:space="preserve">individual </w:t>
            </w:r>
            <w:r w:rsidR="001F459D">
              <w:t>advice on the use of medicines in pregnancy for specific cases. More information is available from obstetric drug information services in your State or Territory.</w:t>
            </w:r>
          </w:p>
        </w:tc>
      </w:tr>
    </w:tbl>
    <w:p w14:paraId="324097F6" w14:textId="77777777" w:rsidR="008E7846" w:rsidRDefault="008E7846" w:rsidP="008E7846">
      <w:pPr>
        <w:pStyle w:val="Heading3"/>
      </w:pPr>
      <w:bookmarkStart w:id="12" w:name="_Toc247691503"/>
      <w:bookmarkStart w:id="13" w:name="_Toc314842484"/>
      <w:bookmarkStart w:id="14" w:name="_Toc75438454"/>
      <w:r>
        <w:t>Product background</w:t>
      </w:r>
      <w:bookmarkEnd w:id="12"/>
      <w:bookmarkEnd w:id="13"/>
      <w:bookmarkEnd w:id="14"/>
    </w:p>
    <w:p w14:paraId="73127F65" w14:textId="272826EC" w:rsidR="008E7846" w:rsidRDefault="00250271" w:rsidP="00940A89">
      <w:r w:rsidRPr="00250271">
        <w:t xml:space="preserve">This </w:t>
      </w:r>
      <w:proofErr w:type="spellStart"/>
      <w:r w:rsidRPr="00250271">
        <w:t>AusPA</w:t>
      </w:r>
      <w:r w:rsidR="00847859">
        <w:t>R</w:t>
      </w:r>
      <w:proofErr w:type="spellEnd"/>
      <w:r w:rsidR="00847859">
        <w:t xml:space="preserve"> describes the application by </w:t>
      </w:r>
      <w:r w:rsidR="00847859" w:rsidRPr="00847859">
        <w:t>Janssen-</w:t>
      </w:r>
      <w:proofErr w:type="spellStart"/>
      <w:r w:rsidR="00847859" w:rsidRPr="00847859">
        <w:t>Cilag</w:t>
      </w:r>
      <w:proofErr w:type="spellEnd"/>
      <w:r w:rsidR="00847859" w:rsidRPr="00847859">
        <w:t xml:space="preserve"> Pty Ltd</w:t>
      </w:r>
      <w:r w:rsidRPr="00250271">
        <w:t xml:space="preserve"> (the</w:t>
      </w:r>
      <w:r w:rsidR="00E94053">
        <w:t xml:space="preserve"> sponsor) to register </w:t>
      </w:r>
      <w:r w:rsidR="004E6D39">
        <w:t xml:space="preserve">the </w:t>
      </w:r>
      <w:r w:rsidR="00E94053">
        <w:t>COVID-19 V</w:t>
      </w:r>
      <w:r w:rsidR="00847859">
        <w:t>accine Janssen</w:t>
      </w:r>
      <w:r w:rsidRPr="00250271">
        <w:t xml:space="preserve"> (</w:t>
      </w:r>
      <w:r w:rsidR="00847859">
        <w:t>Ad26.COV2.S</w:t>
      </w:r>
      <w:r w:rsidRPr="00250271">
        <w:t xml:space="preserve">) </w:t>
      </w:r>
      <w:r w:rsidR="004E6D39">
        <w:t xml:space="preserve">containing </w:t>
      </w:r>
      <w:r w:rsidR="00EF1313">
        <w:t>5 x</w:t>
      </w:r>
      <w:r w:rsidR="00847859">
        <w:t xml:space="preserve"> 10</w:t>
      </w:r>
      <w:r w:rsidR="00847859">
        <w:rPr>
          <w:vertAlign w:val="superscript"/>
        </w:rPr>
        <w:t>10</w:t>
      </w:r>
      <w:r w:rsidR="00847859" w:rsidRPr="004E6D39">
        <w:t xml:space="preserve"> </w:t>
      </w:r>
      <w:r w:rsidR="00BF0A3E">
        <w:t>virus particles (VP)/</w:t>
      </w:r>
      <w:r w:rsidR="004E6D39">
        <w:t xml:space="preserve"> 0.5 </w:t>
      </w:r>
      <w:r w:rsidR="00847859">
        <w:t>mL, suspension for</w:t>
      </w:r>
      <w:r w:rsidR="003E5C3A">
        <w:t xml:space="preserve"> intramusc</w:t>
      </w:r>
      <w:r w:rsidR="00467DC9">
        <w:t>ul</w:t>
      </w:r>
      <w:r w:rsidR="003E5C3A">
        <w:t>ar</w:t>
      </w:r>
      <w:r w:rsidR="00847859">
        <w:t xml:space="preserve"> injection</w:t>
      </w:r>
      <w:r w:rsidRPr="00250271">
        <w:t xml:space="preserve"> for th</w:t>
      </w:r>
      <w:r w:rsidR="00847859">
        <w:t>e following proposed indication</w:t>
      </w:r>
      <w:r w:rsidR="00CF5DAD">
        <w:t>:</w:t>
      </w:r>
    </w:p>
    <w:p w14:paraId="27AE4D63" w14:textId="3E666D35" w:rsidR="00037314" w:rsidRPr="00037314" w:rsidRDefault="00037314" w:rsidP="00037314">
      <w:pPr>
        <w:ind w:left="720"/>
        <w:rPr>
          <w:i/>
        </w:rPr>
      </w:pPr>
      <w:r w:rsidRPr="00037314">
        <w:rPr>
          <w:i/>
        </w:rPr>
        <w:t>J</w:t>
      </w:r>
      <w:r>
        <w:rPr>
          <w:i/>
        </w:rPr>
        <w:t>anssen</w:t>
      </w:r>
      <w:r w:rsidRPr="00037314">
        <w:rPr>
          <w:i/>
        </w:rPr>
        <w:t xml:space="preserve"> COVID-19 </w:t>
      </w:r>
      <w:r w:rsidR="00E96104">
        <w:rPr>
          <w:i/>
        </w:rPr>
        <w:t>V</w:t>
      </w:r>
      <w:r>
        <w:rPr>
          <w:i/>
        </w:rPr>
        <w:t>accine</w:t>
      </w:r>
      <w:r w:rsidRPr="00037314">
        <w:rPr>
          <w:i/>
        </w:rPr>
        <w:t xml:space="preserve"> is indicated for active immunisation for the prevention of coronavirus disease-2019 (COVID-19) in adults greater than or equal to 18 years of age.</w:t>
      </w:r>
    </w:p>
    <w:p w14:paraId="64DBA701" w14:textId="77777777" w:rsidR="00037314" w:rsidRDefault="00037314" w:rsidP="00037314">
      <w:pPr>
        <w:ind w:left="720"/>
      </w:pPr>
      <w:r w:rsidRPr="00037314">
        <w:rPr>
          <w:i/>
        </w:rPr>
        <w:t>The use of the vaccine should be in accordance with official recommendations.</w:t>
      </w:r>
    </w:p>
    <w:p w14:paraId="22B1BD66" w14:textId="6A226F97" w:rsidR="00415E70" w:rsidRDefault="00E30787" w:rsidP="009426AC">
      <w:r w:rsidRPr="00E30787">
        <w:t xml:space="preserve">Severe acute respiratory syndrome coronavirus 2 </w:t>
      </w:r>
      <w:r>
        <w:t>(</w:t>
      </w:r>
      <w:r w:rsidR="003E5C3A">
        <w:t xml:space="preserve">commonly known as </w:t>
      </w:r>
      <w:r w:rsidR="009426AC">
        <w:t>SARS-CoV-2</w:t>
      </w:r>
      <w:r>
        <w:t>)</w:t>
      </w:r>
      <w:r w:rsidR="009426AC">
        <w:t xml:space="preserve"> </w:t>
      </w:r>
      <w:r w:rsidR="003E5C3A">
        <w:t xml:space="preserve">is a coronavirus that </w:t>
      </w:r>
      <w:r w:rsidR="009426AC">
        <w:t xml:space="preserve">has spread rapidly and globally since its emergence, </w:t>
      </w:r>
      <w:r w:rsidR="003E5C3A">
        <w:t xml:space="preserve">and is responsible for </w:t>
      </w:r>
      <w:r w:rsidR="009426AC">
        <w:t xml:space="preserve">causing </w:t>
      </w:r>
      <w:r w:rsidR="00A03EF6">
        <w:t>c</w:t>
      </w:r>
      <w:r w:rsidR="00A03EF6" w:rsidRPr="00A03EF6">
        <w:t xml:space="preserve">oronavirus disease </w:t>
      </w:r>
      <w:r w:rsidR="00BA4452">
        <w:t>2019</w:t>
      </w:r>
      <w:r w:rsidR="003552E8">
        <w:t xml:space="preserve"> </w:t>
      </w:r>
      <w:r w:rsidR="00A03EF6">
        <w:t>(</w:t>
      </w:r>
      <w:r w:rsidR="009426AC">
        <w:t>COVID</w:t>
      </w:r>
      <w:r w:rsidR="002B18C6">
        <w:t>-19).</w:t>
      </w:r>
      <w:r w:rsidR="003552E8">
        <w:rPr>
          <w:rStyle w:val="FootnoteReference"/>
        </w:rPr>
        <w:footnoteReference w:id="2"/>
      </w:r>
      <w:r w:rsidR="002B18C6">
        <w:t xml:space="preserve"> The World Health Organiz</w:t>
      </w:r>
      <w:r w:rsidR="009426AC">
        <w:t>ation (WHO) declared that the outbreak constituted a public health emergency of international concern on 30 January 2020, and declared the outbreak to be a pandemic on 11 March 2020</w:t>
      </w:r>
      <w:r w:rsidR="00295B95">
        <w:t>.</w:t>
      </w:r>
      <w:r w:rsidR="00295B95">
        <w:rPr>
          <w:rStyle w:val="FootnoteReference"/>
        </w:rPr>
        <w:footnoteReference w:id="3"/>
      </w:r>
    </w:p>
    <w:p w14:paraId="59A2BB9C" w14:textId="132D316E" w:rsidR="009426AC" w:rsidRDefault="00415E70" w:rsidP="009426AC">
      <w:r>
        <w:t xml:space="preserve">Globally, as of </w:t>
      </w:r>
      <w:r w:rsidR="003E5C3A">
        <w:t>22</w:t>
      </w:r>
      <w:r w:rsidRPr="00415E70">
        <w:t xml:space="preserve"> June 2021, there have been </w:t>
      </w:r>
      <w:r w:rsidR="003E5C3A" w:rsidRPr="003E5C3A">
        <w:t xml:space="preserve">178,360,849 confirmed cases of COVID-19, including 3,869,384 deaths, reported to </w:t>
      </w:r>
      <w:r w:rsidR="003E5C3A">
        <w:t xml:space="preserve">the </w:t>
      </w:r>
      <w:r w:rsidR="003E5C3A" w:rsidRPr="003E5C3A">
        <w:t>WHO</w:t>
      </w:r>
      <w:r w:rsidR="003E5C3A">
        <w:t>;</w:t>
      </w:r>
      <w:r w:rsidRPr="00415E70">
        <w:t xml:space="preserve"> </w:t>
      </w:r>
      <w:r w:rsidR="003E5C3A">
        <w:t>o</w:t>
      </w:r>
      <w:r w:rsidR="009426AC">
        <w:t xml:space="preserve">f these, approximately </w:t>
      </w:r>
      <w:r w:rsidR="003E5C3A" w:rsidRPr="003E5C3A">
        <w:t xml:space="preserve">30,356 confirmed cases of COVID-19 with 910 deaths, reported to </w:t>
      </w:r>
      <w:r w:rsidR="003E5C3A">
        <w:t xml:space="preserve">the </w:t>
      </w:r>
      <w:r w:rsidR="003E5C3A" w:rsidRPr="003E5C3A">
        <w:t>WHO</w:t>
      </w:r>
      <w:r w:rsidR="009426AC">
        <w:t xml:space="preserve"> h</w:t>
      </w:r>
      <w:r w:rsidR="009C0F54">
        <w:t>ave been reported in Australia.</w:t>
      </w:r>
      <w:r w:rsidR="009C0F54">
        <w:rPr>
          <w:rStyle w:val="FootnoteReference"/>
        </w:rPr>
        <w:footnoteReference w:id="4"/>
      </w:r>
    </w:p>
    <w:p w14:paraId="53043F3D" w14:textId="217523DD" w:rsidR="006101AE" w:rsidRPr="00467DC9" w:rsidRDefault="009426AC" w:rsidP="006101AE">
      <w:pPr>
        <w:rPr>
          <w:vertAlign w:val="superscript"/>
        </w:rPr>
      </w:pPr>
      <w:r>
        <w:t>Respiratory symptoms of COVID-19 typically appear 5 to 6 days following exposure to the virus</w:t>
      </w:r>
      <w:r w:rsidR="003C5243">
        <w:t>;</w:t>
      </w:r>
      <w:bookmarkStart w:id="15" w:name="_Ref75303989"/>
      <w:r w:rsidR="003C5243">
        <w:rPr>
          <w:rStyle w:val="FootnoteReference"/>
        </w:rPr>
        <w:footnoteReference w:id="5"/>
      </w:r>
      <w:bookmarkEnd w:id="15"/>
      <w:r>
        <w:t xml:space="preserve"> but may appear from 2 to 14 days following exposure, with the clinical manifestations ranging from mild symptoms to severe illness or</w:t>
      </w:r>
      <w:r w:rsidR="00654A9B">
        <w:t xml:space="preserve"> death</w:t>
      </w:r>
      <w:r w:rsidR="006101AE">
        <w:t>.</w:t>
      </w:r>
      <w:r w:rsidR="003C5243" w:rsidRPr="00467DC9">
        <w:rPr>
          <w:vertAlign w:val="superscript"/>
        </w:rPr>
        <w:fldChar w:fldCharType="begin"/>
      </w:r>
      <w:r w:rsidR="003C5243" w:rsidRPr="00467DC9">
        <w:rPr>
          <w:vertAlign w:val="superscript"/>
        </w:rPr>
        <w:instrText xml:space="preserve"> NOTEREF _Ref75303989 \h </w:instrText>
      </w:r>
      <w:r w:rsidR="003C5243">
        <w:rPr>
          <w:vertAlign w:val="superscript"/>
        </w:rPr>
        <w:instrText xml:space="preserve"> \* MERGEFORMAT </w:instrText>
      </w:r>
      <w:r w:rsidR="003C5243" w:rsidRPr="00467DC9">
        <w:rPr>
          <w:vertAlign w:val="superscript"/>
        </w:rPr>
      </w:r>
      <w:r w:rsidR="003C5243" w:rsidRPr="00467DC9">
        <w:rPr>
          <w:vertAlign w:val="superscript"/>
        </w:rPr>
        <w:fldChar w:fldCharType="separate"/>
      </w:r>
      <w:r w:rsidR="00F204A2">
        <w:rPr>
          <w:vertAlign w:val="superscript"/>
        </w:rPr>
        <w:t>5</w:t>
      </w:r>
      <w:r w:rsidR="003C5243" w:rsidRPr="00467DC9">
        <w:rPr>
          <w:vertAlign w:val="superscript"/>
        </w:rPr>
        <w:fldChar w:fldCharType="end"/>
      </w:r>
      <w:r w:rsidR="003C5243" w:rsidRPr="00467DC9">
        <w:rPr>
          <w:vertAlign w:val="superscript"/>
        </w:rPr>
        <w:t>,</w:t>
      </w:r>
      <w:bookmarkStart w:id="16" w:name="_Ref75304383"/>
      <w:r w:rsidR="003C5243" w:rsidRPr="003C5243">
        <w:rPr>
          <w:rStyle w:val="FootnoteReference"/>
        </w:rPr>
        <w:footnoteReference w:id="6"/>
      </w:r>
      <w:bookmarkEnd w:id="16"/>
    </w:p>
    <w:p w14:paraId="64FAF2C1" w14:textId="27A6CFDB" w:rsidR="00250271" w:rsidRDefault="0028016A" w:rsidP="009426AC">
      <w:r>
        <w:t>Viral</w:t>
      </w:r>
      <w:r w:rsidR="0011403D">
        <w:t> </w:t>
      </w:r>
      <w:r>
        <w:t>SARS</w:t>
      </w:r>
      <w:r w:rsidR="0011403D">
        <w:noBreakHyphen/>
      </w:r>
      <w:r w:rsidR="009426AC">
        <w:t>CoV</w:t>
      </w:r>
      <w:r w:rsidR="0011403D">
        <w:noBreakHyphen/>
      </w:r>
      <w:r w:rsidR="009426AC">
        <w:t xml:space="preserve">2 </w:t>
      </w:r>
      <w:r w:rsidR="00BA4452">
        <w:t>r</w:t>
      </w:r>
      <w:r w:rsidR="00BA4452" w:rsidRPr="00BA4452">
        <w:t>ibonucleic acid (</w:t>
      </w:r>
      <w:r w:rsidR="009426AC">
        <w:t>RNA</w:t>
      </w:r>
      <w:r w:rsidR="00BA4452">
        <w:t>)</w:t>
      </w:r>
      <w:r w:rsidR="009426AC">
        <w:t xml:space="preserve"> has been detected in upper respiratory samples from asymptomatic or pre-symptomatic individuals, with an increasing number of studies demonstrating that asymptomatic individuals can transmit SARS-CoV-2. Although the extent to which asymptomatic transmission occurs remains unknown, it may significantly contribute to the transmission within the community.</w:t>
      </w:r>
      <w:r w:rsidR="003C5243" w:rsidRPr="00467DC9">
        <w:rPr>
          <w:vertAlign w:val="superscript"/>
        </w:rPr>
        <w:fldChar w:fldCharType="begin"/>
      </w:r>
      <w:r w:rsidR="003C5243" w:rsidRPr="00467DC9">
        <w:rPr>
          <w:vertAlign w:val="superscript"/>
        </w:rPr>
        <w:instrText xml:space="preserve"> NOTEREF _Ref75304383 \h </w:instrText>
      </w:r>
      <w:r w:rsidR="003C5243">
        <w:rPr>
          <w:vertAlign w:val="superscript"/>
        </w:rPr>
        <w:instrText xml:space="preserve"> \* MERGEFORMAT </w:instrText>
      </w:r>
      <w:r w:rsidR="003C5243" w:rsidRPr="00467DC9">
        <w:rPr>
          <w:vertAlign w:val="superscript"/>
        </w:rPr>
      </w:r>
      <w:r w:rsidR="003C5243" w:rsidRPr="00467DC9">
        <w:rPr>
          <w:vertAlign w:val="superscript"/>
        </w:rPr>
        <w:fldChar w:fldCharType="separate"/>
      </w:r>
      <w:r w:rsidR="00F204A2">
        <w:rPr>
          <w:vertAlign w:val="superscript"/>
        </w:rPr>
        <w:t>6</w:t>
      </w:r>
      <w:r w:rsidR="003C5243" w:rsidRPr="00467DC9">
        <w:rPr>
          <w:vertAlign w:val="superscript"/>
        </w:rPr>
        <w:fldChar w:fldCharType="end"/>
      </w:r>
    </w:p>
    <w:p w14:paraId="0A3FD006" w14:textId="6CA83409" w:rsidR="00400C7F" w:rsidRPr="00496882" w:rsidRDefault="0028016A" w:rsidP="009426AC">
      <w:pPr>
        <w:rPr>
          <w:vertAlign w:val="superscript"/>
        </w:rPr>
      </w:pPr>
      <w:r>
        <w:t xml:space="preserve">The </w:t>
      </w:r>
      <w:r w:rsidR="0011403D">
        <w:t xml:space="preserve">COVID-19 Vaccine Janssen </w:t>
      </w:r>
      <w:r>
        <w:t>(</w:t>
      </w:r>
      <w:r w:rsidR="0063755A">
        <w:t xml:space="preserve">also referred to, by </w:t>
      </w:r>
      <w:r w:rsidR="00E3205B">
        <w:t>its</w:t>
      </w:r>
      <w:r w:rsidR="0063755A">
        <w:t xml:space="preserve"> active ingredient,</w:t>
      </w:r>
      <w:r>
        <w:t xml:space="preserve"> Ad26.COV</w:t>
      </w:r>
      <w:r w:rsidR="0063755A">
        <w:t>2.</w:t>
      </w:r>
      <w:r>
        <w:t>S)</w:t>
      </w:r>
      <w:r w:rsidR="00A03EF6" w:rsidRPr="00250271">
        <w:t xml:space="preserve"> </w:t>
      </w:r>
      <w:r w:rsidR="00400C7F">
        <w:t>is an a</w:t>
      </w:r>
      <w:r w:rsidR="00400C7F" w:rsidRPr="00400C7F">
        <w:t xml:space="preserve">denovirus </w:t>
      </w:r>
      <w:r w:rsidR="005747CE">
        <w:t>sero</w:t>
      </w:r>
      <w:r w:rsidR="004671A5">
        <w:t xml:space="preserve">type </w:t>
      </w:r>
      <w:r w:rsidR="00400C7F" w:rsidRPr="00400C7F">
        <w:t>26 (Ad26)-based viral vector vaccine</w:t>
      </w:r>
      <w:r>
        <w:t xml:space="preserve">. </w:t>
      </w:r>
      <w:r w:rsidR="00400C7F" w:rsidRPr="00400C7F">
        <w:t xml:space="preserve">Ad26.COV2.S is composed of a single replication-incompetent adenoviral </w:t>
      </w:r>
      <w:r w:rsidR="005747CE">
        <w:t>vector encoding the SARS-CoV-2 s</w:t>
      </w:r>
      <w:r w:rsidR="00400C7F" w:rsidRPr="00400C7F">
        <w:t xml:space="preserve">pike (S) </w:t>
      </w:r>
      <w:r w:rsidR="00BA4452">
        <w:t>glyco</w:t>
      </w:r>
      <w:r w:rsidR="00400C7F" w:rsidRPr="00400C7F">
        <w:t xml:space="preserve">protein. </w:t>
      </w:r>
      <w:r w:rsidR="00400C7F">
        <w:t xml:space="preserve">The </w:t>
      </w:r>
      <w:r w:rsidR="00400C7F" w:rsidRPr="00400C7F">
        <w:t>S</w:t>
      </w:r>
      <w:r w:rsidR="0063755A">
        <w:t> </w:t>
      </w:r>
      <w:r w:rsidR="00BA4452">
        <w:t>glyco</w:t>
      </w:r>
      <w:r w:rsidR="00400C7F" w:rsidRPr="00400C7F">
        <w:t>protein</w:t>
      </w:r>
      <w:r w:rsidR="00400C7F">
        <w:t xml:space="preserve"> was chosen </w:t>
      </w:r>
      <w:r w:rsidR="00400C7F" w:rsidRPr="00400C7F">
        <w:t xml:space="preserve">as the target for neutralising antibodies based on promising published data from animal models used in the evaluation of candidate vaccines against the </w:t>
      </w:r>
      <w:r w:rsidR="009A289B">
        <w:t>s</w:t>
      </w:r>
      <w:r w:rsidR="009A289B" w:rsidRPr="00E30787">
        <w:t xml:space="preserve">evere acute respiratory syndrome coronavirus </w:t>
      </w:r>
      <w:r w:rsidR="009A289B">
        <w:t>(</w:t>
      </w:r>
      <w:r w:rsidR="00400C7F" w:rsidRPr="00400C7F">
        <w:t>SARS</w:t>
      </w:r>
      <w:r w:rsidR="00DD0B18">
        <w:noBreakHyphen/>
      </w:r>
      <w:proofErr w:type="spellStart"/>
      <w:r w:rsidR="00400C7F" w:rsidRPr="00400C7F">
        <w:t>CoV</w:t>
      </w:r>
      <w:proofErr w:type="spellEnd"/>
      <w:r w:rsidR="009A289B">
        <w:t>)</w:t>
      </w:r>
      <w:r w:rsidR="00400C7F" w:rsidRPr="00400C7F">
        <w:t xml:space="preserve"> 2003 outbreak.</w:t>
      </w:r>
      <w:r w:rsidR="0063755A">
        <w:rPr>
          <w:rStyle w:val="FootnoteReference"/>
        </w:rPr>
        <w:footnoteReference w:id="7"/>
      </w:r>
      <w:r w:rsidR="0063755A">
        <w:rPr>
          <w:vertAlign w:val="superscript"/>
        </w:rPr>
        <w:t>,</w:t>
      </w:r>
      <w:r w:rsidR="0063755A">
        <w:rPr>
          <w:rStyle w:val="FootnoteReference"/>
        </w:rPr>
        <w:footnoteReference w:id="8"/>
      </w:r>
    </w:p>
    <w:p w14:paraId="34DC725F" w14:textId="55C0C832" w:rsidR="00654A9B" w:rsidRDefault="008947C1" w:rsidP="00654A9B">
      <w:r w:rsidRPr="000748F6">
        <w:t xml:space="preserve">The provisional determination for </w:t>
      </w:r>
      <w:r w:rsidR="006167B8">
        <w:t>COVID-19 V</w:t>
      </w:r>
      <w:r>
        <w:t>accine Janssen</w:t>
      </w:r>
      <w:r w:rsidRPr="00892CD0">
        <w:t xml:space="preserve"> (</w:t>
      </w:r>
      <w:r>
        <w:t>Ad26.COV2.S</w:t>
      </w:r>
      <w:r w:rsidRPr="00892CD0">
        <w:t>)</w:t>
      </w:r>
      <w:r w:rsidRPr="000748F6">
        <w:t xml:space="preserve"> was granted by </w:t>
      </w:r>
      <w:r>
        <w:t xml:space="preserve">the </w:t>
      </w:r>
      <w:r w:rsidRPr="000748F6">
        <w:t xml:space="preserve">TGA on </w:t>
      </w:r>
      <w:r w:rsidR="0083191B">
        <w:t>16</w:t>
      </w:r>
      <w:r>
        <w:t xml:space="preserve"> November 2020</w:t>
      </w:r>
      <w:r w:rsidRPr="000748F6">
        <w:t>.</w:t>
      </w:r>
      <w:bookmarkStart w:id="17" w:name="_Ref74902138"/>
      <w:r w:rsidR="00FB74D4">
        <w:rPr>
          <w:rStyle w:val="FootnoteReference"/>
        </w:rPr>
        <w:footnoteReference w:id="9"/>
      </w:r>
      <w:bookmarkEnd w:id="17"/>
      <w:r w:rsidRPr="000748F6">
        <w:t xml:space="preserve"> The provisional approval pathway allows sponsors to apply for provisional registration on the </w:t>
      </w:r>
      <w:r w:rsidR="00DD0B18">
        <w:t>Australian Register of Therapeutic Goods (</w:t>
      </w:r>
      <w:r w:rsidRPr="000748F6">
        <w:t>ARTG</w:t>
      </w:r>
      <w:r w:rsidR="00DD0B18">
        <w:t>)</w:t>
      </w:r>
      <w:r w:rsidRPr="000748F6">
        <w:t>.</w:t>
      </w:r>
      <w:bookmarkStart w:id="18" w:name="_Ref61929068"/>
      <w:r w:rsidRPr="000748F6">
        <w:rPr>
          <w:rStyle w:val="FootnoteReference"/>
        </w:rPr>
        <w:footnoteReference w:id="10"/>
      </w:r>
      <w:bookmarkEnd w:id="18"/>
      <w:r w:rsidR="00654A9B" w:rsidRPr="00654A9B">
        <w:t xml:space="preserve"> </w:t>
      </w:r>
    </w:p>
    <w:p w14:paraId="4F81E0A8" w14:textId="497CF38D" w:rsidR="008947C1" w:rsidRDefault="00654A9B" w:rsidP="008947C1">
      <w:r w:rsidRPr="000748F6">
        <w:t xml:space="preserve">The evaluation of </w:t>
      </w:r>
      <w:r w:rsidR="006167B8">
        <w:t>COVID-19 V</w:t>
      </w:r>
      <w:r>
        <w:t>accine Janssen</w:t>
      </w:r>
      <w:r w:rsidRPr="00892CD0">
        <w:t xml:space="preserve"> (</w:t>
      </w:r>
      <w:r>
        <w:t>Ad26.COV2.S</w:t>
      </w:r>
      <w:r w:rsidRPr="00892CD0">
        <w:t>)</w:t>
      </w:r>
      <w:r w:rsidRPr="000748F6">
        <w:t xml:space="preserve"> was significantly expedited without compromising the TGA’s strict standards of safety, quality and efficacy. This was facilitated through rolling data submission</w:t>
      </w:r>
      <w:r w:rsidR="003C5243">
        <w:t>;</w:t>
      </w:r>
      <w:bookmarkStart w:id="19" w:name="_Ref61360545"/>
      <w:r w:rsidRPr="000748F6">
        <w:rPr>
          <w:rStyle w:val="FootnoteReference"/>
        </w:rPr>
        <w:footnoteReference w:id="11"/>
      </w:r>
      <w:bookmarkEnd w:id="19"/>
      <w:r w:rsidRPr="000748F6">
        <w:t xml:space="preserve"> and through collaboration with international regulators.</w:t>
      </w:r>
    </w:p>
    <w:p w14:paraId="44946226" w14:textId="27065ACB" w:rsidR="008947C1" w:rsidRDefault="008947C1" w:rsidP="008947C1">
      <w:r w:rsidRPr="008947C1">
        <w:t>The product contains a genetically modified organism (GMO</w:t>
      </w:r>
      <w:r w:rsidR="00BA4452">
        <w:t>). A licence application for a dealing involving an intentional r</w:t>
      </w:r>
      <w:r w:rsidRPr="008947C1">
        <w:t>elease (DIR) of GMOs into the Australian environment under the Gene Technology Act 2000 was submitted by the sponsor to the Office of the Gene Technology Regulator (OGTR) under application</w:t>
      </w:r>
      <w:r>
        <w:t xml:space="preserve"> </w:t>
      </w:r>
      <w:r w:rsidR="00AB0ABA">
        <w:t>DIR 182</w:t>
      </w:r>
      <w:r w:rsidRPr="008947C1">
        <w:t xml:space="preserve">, and the </w:t>
      </w:r>
      <w:r w:rsidR="00AB0ABA">
        <w:t>licence was approved on 19 April 2021</w:t>
      </w:r>
      <w:r>
        <w:t>.</w:t>
      </w:r>
      <w:r w:rsidR="00AB0ABA">
        <w:rPr>
          <w:rStyle w:val="FootnoteReference"/>
        </w:rPr>
        <w:footnoteReference w:id="12"/>
      </w:r>
    </w:p>
    <w:p w14:paraId="0B8632D6" w14:textId="0E1FD831" w:rsidR="00400C7F" w:rsidRDefault="00400C7F" w:rsidP="00400C7F">
      <w:r>
        <w:t>Currently</w:t>
      </w:r>
      <w:r w:rsidR="00DD0B18">
        <w:t xml:space="preserve"> (as of 16 June 2021)</w:t>
      </w:r>
      <w:r>
        <w:t>, Australia has two vaccines on the ARTG for the prevention of COVID-19</w:t>
      </w:r>
      <w:r w:rsidR="00DD0B18">
        <w:t>; these are:</w:t>
      </w:r>
    </w:p>
    <w:p w14:paraId="3658E5DA" w14:textId="66806C57" w:rsidR="00400C7F" w:rsidRDefault="00DD0B18" w:rsidP="00DD0B18">
      <w:pPr>
        <w:pStyle w:val="ListBullet"/>
      </w:pPr>
      <w:r>
        <w:t xml:space="preserve">the </w:t>
      </w:r>
      <w:proofErr w:type="spellStart"/>
      <w:r>
        <w:t>Comirnaty</w:t>
      </w:r>
      <w:proofErr w:type="spellEnd"/>
      <w:r>
        <w:t xml:space="preserve"> </w:t>
      </w:r>
      <w:r w:rsidRPr="00DD0B18">
        <w:t>BNT162b2 (mRNA)</w:t>
      </w:r>
      <w:r>
        <w:t xml:space="preserve"> vaccine, by the sponsor Pfizer Australia Pty Ltd,</w:t>
      </w:r>
      <w:r w:rsidR="00140EC5">
        <w:t xml:space="preserve"> </w:t>
      </w:r>
      <w:r w:rsidR="0063021D">
        <w:t>for which</w:t>
      </w:r>
      <w:r w:rsidR="00400C7F">
        <w:t xml:space="preserve"> provisional registration </w:t>
      </w:r>
      <w:r w:rsidR="0063021D">
        <w:t xml:space="preserve">was granted </w:t>
      </w:r>
      <w:r w:rsidR="00400C7F">
        <w:t>for</w:t>
      </w:r>
      <w:r w:rsidR="0063021D">
        <w:t xml:space="preserve"> use in</w:t>
      </w:r>
      <w:r w:rsidR="00400C7F">
        <w:t xml:space="preserve"> individuals over 16 years</w:t>
      </w:r>
      <w:r w:rsidR="00A37108">
        <w:t xml:space="preserve"> of age</w:t>
      </w:r>
      <w:r w:rsidR="00400C7F">
        <w:t xml:space="preserve"> on 25</w:t>
      </w:r>
      <w:r w:rsidR="00400C7F">
        <w:rPr>
          <w:vertAlign w:val="superscript"/>
        </w:rPr>
        <w:t xml:space="preserve"> </w:t>
      </w:r>
      <w:r w:rsidR="00400C7F">
        <w:t xml:space="preserve">January 2021. The regimen is </w:t>
      </w:r>
      <w:r w:rsidR="0063021D">
        <w:t xml:space="preserve">comprised of </w:t>
      </w:r>
      <w:r w:rsidR="00400C7F">
        <w:t>two doses,</w:t>
      </w:r>
      <w:r w:rsidR="0063021D">
        <w:t xml:space="preserve"> given</w:t>
      </w:r>
      <w:r w:rsidR="00400C7F">
        <w:t xml:space="preserve"> four weeks apart.</w:t>
      </w:r>
      <w:r>
        <w:rPr>
          <w:rStyle w:val="FootnoteReference"/>
        </w:rPr>
        <w:footnoteReference w:id="13"/>
      </w:r>
    </w:p>
    <w:p w14:paraId="0B76B92F" w14:textId="6B2ECB1C" w:rsidR="00400C7F" w:rsidRDefault="00400C7F" w:rsidP="0063021D">
      <w:pPr>
        <w:pStyle w:val="ListBullet"/>
      </w:pPr>
      <w:r>
        <w:t xml:space="preserve">The </w:t>
      </w:r>
      <w:r w:rsidR="0063021D">
        <w:t xml:space="preserve">COVID-19 vaccine </w:t>
      </w:r>
      <w:r w:rsidR="0063021D" w:rsidRPr="0063021D">
        <w:t xml:space="preserve">(ChAdOx1-S) </w:t>
      </w:r>
      <w:r w:rsidR="0063021D">
        <w:t xml:space="preserve">, by the sponsor </w:t>
      </w:r>
      <w:r w:rsidR="009A289B">
        <w:t>AstraZeneca</w:t>
      </w:r>
      <w:r>
        <w:t xml:space="preserve"> </w:t>
      </w:r>
      <w:r w:rsidR="0063021D">
        <w:t xml:space="preserve">Pty Ltd, for which </w:t>
      </w:r>
      <w:r>
        <w:t xml:space="preserve">provisional registration </w:t>
      </w:r>
      <w:r w:rsidR="0063021D">
        <w:t xml:space="preserve">was granted </w:t>
      </w:r>
      <w:r>
        <w:t>for</w:t>
      </w:r>
      <w:r w:rsidR="0063021D">
        <w:t xml:space="preserve"> use</w:t>
      </w:r>
      <w:r>
        <w:t xml:space="preserve"> </w:t>
      </w:r>
      <w:r w:rsidR="0063021D">
        <w:t xml:space="preserve">in </w:t>
      </w:r>
      <w:r>
        <w:t>individuals over 18 years</w:t>
      </w:r>
      <w:r w:rsidR="00A37108">
        <w:t xml:space="preserve"> of age</w:t>
      </w:r>
      <w:r>
        <w:t xml:space="preserve"> on the 15</w:t>
      </w:r>
      <w:r>
        <w:rPr>
          <w:vertAlign w:val="superscript"/>
        </w:rPr>
        <w:t xml:space="preserve"> </w:t>
      </w:r>
      <w:r>
        <w:t>February 2021.</w:t>
      </w:r>
      <w:r w:rsidR="0063021D">
        <w:rPr>
          <w:rStyle w:val="FootnoteReference"/>
        </w:rPr>
        <w:footnoteReference w:id="14"/>
      </w:r>
      <w:r>
        <w:t xml:space="preserve"> The regimen is two doses, four to twelve weeks apart. This vaccine has been linked with a rare syndrome associated with thrombosis and thrombocytopenia. </w:t>
      </w:r>
      <w:r w:rsidR="007A0806" w:rsidRPr="007A0806">
        <w:t xml:space="preserve">Australian Technical Advisory Group on Immunisation </w:t>
      </w:r>
      <w:r w:rsidR="007A0806">
        <w:t>(</w:t>
      </w:r>
      <w:r>
        <w:t>ATAGI</w:t>
      </w:r>
      <w:r w:rsidR="007A0806">
        <w:t>)</w:t>
      </w:r>
      <w:r w:rsidR="00FB74D4">
        <w:t>;</w:t>
      </w:r>
      <w:r w:rsidR="00FB74D4">
        <w:rPr>
          <w:rStyle w:val="FootnoteReference"/>
        </w:rPr>
        <w:footnoteReference w:id="15"/>
      </w:r>
      <w:r>
        <w:t xml:space="preserve"> has recommended to the Australian Government that the vaccine not be given as the preferre</w:t>
      </w:r>
      <w:r w:rsidR="006101AE">
        <w:t>d vaccine in people less than 60</w:t>
      </w:r>
      <w:r>
        <w:t xml:space="preserve"> years due to potential risk of clots in a setting of low viral transmission.</w:t>
      </w:r>
      <w:r w:rsidR="004718C9">
        <w:rPr>
          <w:rStyle w:val="FootnoteReference"/>
        </w:rPr>
        <w:footnoteReference w:id="16"/>
      </w:r>
    </w:p>
    <w:p w14:paraId="64AB0382" w14:textId="7A4A1A44" w:rsidR="00400C7F" w:rsidRDefault="00400C7F" w:rsidP="009426AC">
      <w:r>
        <w:t>Both the Pfizer and AstraZeneca vaccine are being rolled out as part of the Australian Government Department of Health COVID-19 vaccination strategy.</w:t>
      </w:r>
      <w:r w:rsidR="00FB74D4">
        <w:rPr>
          <w:rStyle w:val="FootnoteReference"/>
        </w:rPr>
        <w:footnoteReference w:id="17"/>
      </w:r>
    </w:p>
    <w:p w14:paraId="0FB27E5A" w14:textId="77777777" w:rsidR="008E7846" w:rsidRPr="003F31A2" w:rsidRDefault="00386150" w:rsidP="008E7846">
      <w:pPr>
        <w:pStyle w:val="Heading3"/>
      </w:pPr>
      <w:bookmarkStart w:id="20" w:name="_Toc314842485"/>
      <w:bookmarkStart w:id="21" w:name="_Toc247691504"/>
      <w:bookmarkStart w:id="22" w:name="_Toc75438455"/>
      <w:r>
        <w:t>Regulatory s</w:t>
      </w:r>
      <w:r w:rsidR="008E7846">
        <w:t>tatus</w:t>
      </w:r>
      <w:bookmarkEnd w:id="20"/>
      <w:bookmarkEnd w:id="21"/>
      <w:bookmarkEnd w:id="22"/>
    </w:p>
    <w:p w14:paraId="4DA5FA4B" w14:textId="77777777" w:rsidR="00940A89" w:rsidRDefault="00006FAB" w:rsidP="00940A89">
      <w:bookmarkStart w:id="23" w:name="_Toc247691505"/>
      <w:bookmarkStart w:id="24" w:name="_Toc314842486"/>
      <w:r w:rsidRPr="00006FAB">
        <w:t>This produ</w:t>
      </w:r>
      <w:r w:rsidR="004F0AC1">
        <w:t xml:space="preserve">ct is considered a new </w:t>
      </w:r>
      <w:r w:rsidRPr="00006FAB">
        <w:t>biological entity for Australian regulatory purposes.</w:t>
      </w:r>
    </w:p>
    <w:p w14:paraId="737FE08A" w14:textId="67407AE3" w:rsidR="00006FAB" w:rsidRDefault="00006FAB" w:rsidP="00702B64">
      <w:r>
        <w:t>At the time the TGA considered this application, similar application</w:t>
      </w:r>
      <w:r w:rsidR="00F51FE6">
        <w:t>s</w:t>
      </w:r>
      <w:r>
        <w:t xml:space="preserve"> had been </w:t>
      </w:r>
      <w:r w:rsidR="00F51FE6">
        <w:t xml:space="preserve">submitted and </w:t>
      </w:r>
      <w:r w:rsidR="00FC7D70">
        <w:t xml:space="preserve">granted </w:t>
      </w:r>
      <w:r w:rsidR="00F51FE6">
        <w:t xml:space="preserve">authorisation, including </w:t>
      </w:r>
      <w:r w:rsidR="003E654A">
        <w:t>an E</w:t>
      </w:r>
      <w:r w:rsidR="00535397">
        <w:t xml:space="preserve">mergency </w:t>
      </w:r>
      <w:r w:rsidR="003E654A">
        <w:t>U</w:t>
      </w:r>
      <w:r w:rsidR="00535397">
        <w:t xml:space="preserve">se </w:t>
      </w:r>
      <w:r w:rsidR="003E654A">
        <w:t>A</w:t>
      </w:r>
      <w:r w:rsidR="00535397">
        <w:t>uthori</w:t>
      </w:r>
      <w:r w:rsidR="003E654A">
        <w:t>z</w:t>
      </w:r>
      <w:r w:rsidR="00535397">
        <w:t>ation by</w:t>
      </w:r>
      <w:r w:rsidR="003E654A">
        <w:t xml:space="preserve"> the</w:t>
      </w:r>
      <w:r w:rsidR="00535397">
        <w:t xml:space="preserve"> </w:t>
      </w:r>
      <w:r w:rsidR="00FC7D70">
        <w:t>United States of America (USA)</w:t>
      </w:r>
      <w:r w:rsidR="00535397">
        <w:t xml:space="preserve"> on 27 February</w:t>
      </w:r>
      <w:r w:rsidR="00480539">
        <w:t xml:space="preserve"> 2021, </w:t>
      </w:r>
      <w:r w:rsidR="00F51FE6">
        <w:t xml:space="preserve">an </w:t>
      </w:r>
      <w:r w:rsidR="003E654A">
        <w:t>Interim Order of Authori</w:t>
      </w:r>
      <w:r w:rsidR="00496882">
        <w:t>z</w:t>
      </w:r>
      <w:r w:rsidR="003E654A">
        <w:t xml:space="preserve">ation </w:t>
      </w:r>
      <w:r w:rsidR="00702B64">
        <w:t xml:space="preserve">granted by </w:t>
      </w:r>
      <w:r w:rsidR="00FC7D70">
        <w:t xml:space="preserve">Canada on 5 March 2021, </w:t>
      </w:r>
      <w:r w:rsidR="003E654A">
        <w:t>a C</w:t>
      </w:r>
      <w:r w:rsidR="00FC7D70">
        <w:t xml:space="preserve">onditional </w:t>
      </w:r>
      <w:r w:rsidR="003E654A">
        <w:t>M</w:t>
      </w:r>
      <w:r w:rsidR="00FC7D70">
        <w:t xml:space="preserve">arketing </w:t>
      </w:r>
      <w:r w:rsidR="003E654A">
        <w:t>A</w:t>
      </w:r>
      <w:r w:rsidR="00FC7D70">
        <w:t>uthorisation granted by</w:t>
      </w:r>
      <w:r w:rsidR="003E654A">
        <w:t xml:space="preserve"> the</w:t>
      </w:r>
      <w:r w:rsidR="00FC7D70">
        <w:t xml:space="preserve"> E</w:t>
      </w:r>
      <w:r w:rsidR="00702B64">
        <w:t>uropean Union (EU)</w:t>
      </w:r>
      <w:r w:rsidR="00FC7D70">
        <w:t xml:space="preserve"> on 11</w:t>
      </w:r>
      <w:r w:rsidR="003E654A">
        <w:t> </w:t>
      </w:r>
      <w:r w:rsidR="00FC7D70">
        <w:t xml:space="preserve">March 2021 </w:t>
      </w:r>
      <w:r w:rsidR="00702B64">
        <w:t xml:space="preserve">and </w:t>
      </w:r>
      <w:r w:rsidR="00F51FE6">
        <w:t xml:space="preserve">it had been </w:t>
      </w:r>
      <w:r w:rsidR="00702B64">
        <w:t xml:space="preserve">granted </w:t>
      </w:r>
      <w:r w:rsidR="003E654A">
        <w:t>T</w:t>
      </w:r>
      <w:r w:rsidR="00702B64">
        <w:t xml:space="preserve">emporary </w:t>
      </w:r>
      <w:r w:rsidR="003E654A">
        <w:t>A</w:t>
      </w:r>
      <w:r w:rsidR="00702B64">
        <w:t>uthori</w:t>
      </w:r>
      <w:r w:rsidR="003E654A">
        <w:t>z</w:t>
      </w:r>
      <w:r w:rsidR="00702B64">
        <w:t>ation</w:t>
      </w:r>
      <w:r w:rsidR="00FC7D70">
        <w:t xml:space="preserve"> by Switzerland on 2 December 2020.</w:t>
      </w:r>
      <w:r w:rsidR="00702B64">
        <w:t xml:space="preserve"> </w:t>
      </w:r>
      <w:r w:rsidR="00E03E4A" w:rsidRPr="00984B83">
        <w:t>Janssen-</w:t>
      </w:r>
      <w:proofErr w:type="spellStart"/>
      <w:r w:rsidR="00E03E4A" w:rsidRPr="00984B83">
        <w:t>Cilag</w:t>
      </w:r>
      <w:proofErr w:type="spellEnd"/>
      <w:r w:rsidR="00E03E4A" w:rsidRPr="00984B83">
        <w:t xml:space="preserve"> Pty Ltd</w:t>
      </w:r>
      <w:r w:rsidR="00702B64">
        <w:t xml:space="preserve"> declares that an application to register this new biological e</w:t>
      </w:r>
      <w:r w:rsidR="00E03E4A">
        <w:t xml:space="preserve">ntity, COVID-19 </w:t>
      </w:r>
      <w:r w:rsidR="00F51FE6">
        <w:t>Vaccine Janssen</w:t>
      </w:r>
      <w:r w:rsidR="00E03E4A">
        <w:t xml:space="preserve"> </w:t>
      </w:r>
      <w:r w:rsidR="00702B64">
        <w:t>(Ad26.COV2.S) has not been rejected, withdrawn, or deferred in the</w:t>
      </w:r>
      <w:r w:rsidR="00E03E4A">
        <w:t xml:space="preserve"> USA or EU or any other country </w:t>
      </w:r>
      <w:r w:rsidR="00702B64">
        <w:t>as of 19 November 2020.</w:t>
      </w:r>
    </w:p>
    <w:p w14:paraId="0BD61169" w14:textId="2D4AD089" w:rsidR="00324E45" w:rsidRPr="00F0146F" w:rsidRDefault="00324E45" w:rsidP="00324E45">
      <w:pPr>
        <w:pStyle w:val="TableTitle"/>
      </w:pPr>
      <w:r>
        <w:t xml:space="preserve">Table </w:t>
      </w:r>
      <w:fldSimple w:instr=" SEQ Table \* ARABIC ">
        <w:r w:rsidR="00F204A2">
          <w:rPr>
            <w:noProof/>
          </w:rPr>
          <w:t>1</w:t>
        </w:r>
      </w:fldSimple>
      <w:r>
        <w:t>: International regulatory status</w:t>
      </w:r>
    </w:p>
    <w:tbl>
      <w:tblPr>
        <w:tblStyle w:val="TableTGAblue"/>
        <w:tblW w:w="0" w:type="auto"/>
        <w:tblLook w:val="04A0" w:firstRow="1" w:lastRow="0" w:firstColumn="1" w:lastColumn="0" w:noHBand="0" w:noVBand="1"/>
      </w:tblPr>
      <w:tblGrid>
        <w:gridCol w:w="2091"/>
        <w:gridCol w:w="2057"/>
        <w:gridCol w:w="2099"/>
        <w:gridCol w:w="2247"/>
      </w:tblGrid>
      <w:tr w:rsidR="00702B64" w14:paraId="31E319C9" w14:textId="77777777" w:rsidTr="00E03E4A">
        <w:trPr>
          <w:cnfStyle w:val="100000000000" w:firstRow="1" w:lastRow="0" w:firstColumn="0" w:lastColumn="0" w:oddVBand="0" w:evenVBand="0" w:oddHBand="0" w:evenHBand="0" w:firstRowFirstColumn="0" w:firstRowLastColumn="0" w:lastRowFirstColumn="0" w:lastRowLastColumn="0"/>
        </w:trPr>
        <w:tc>
          <w:tcPr>
            <w:tcW w:w="2091" w:type="dxa"/>
            <w:tcBorders>
              <w:top w:val="single" w:sz="4" w:space="0" w:color="auto"/>
              <w:left w:val="single" w:sz="4" w:space="0" w:color="auto"/>
              <w:bottom w:val="single" w:sz="4" w:space="0" w:color="auto"/>
              <w:right w:val="single" w:sz="4" w:space="0" w:color="auto"/>
            </w:tcBorders>
          </w:tcPr>
          <w:p w14:paraId="2E66A59D" w14:textId="77777777" w:rsidR="00006FAB" w:rsidRDefault="00006FAB" w:rsidP="00006FAB">
            <w:pPr>
              <w:ind w:left="0" w:right="0"/>
            </w:pPr>
            <w:r>
              <w:t>Region</w:t>
            </w:r>
          </w:p>
        </w:tc>
        <w:tc>
          <w:tcPr>
            <w:tcW w:w="2057" w:type="dxa"/>
            <w:tcBorders>
              <w:top w:val="single" w:sz="4" w:space="0" w:color="auto"/>
              <w:left w:val="single" w:sz="4" w:space="0" w:color="auto"/>
              <w:bottom w:val="single" w:sz="4" w:space="0" w:color="auto"/>
              <w:right w:val="single" w:sz="4" w:space="0" w:color="auto"/>
            </w:tcBorders>
          </w:tcPr>
          <w:p w14:paraId="32EC41EA" w14:textId="77777777" w:rsidR="00006FAB" w:rsidRDefault="00006FAB" w:rsidP="00006FAB">
            <w:pPr>
              <w:ind w:left="0" w:right="0"/>
            </w:pPr>
            <w:r>
              <w:t>Submission date</w:t>
            </w:r>
          </w:p>
        </w:tc>
        <w:tc>
          <w:tcPr>
            <w:tcW w:w="2099" w:type="dxa"/>
            <w:tcBorders>
              <w:top w:val="single" w:sz="4" w:space="0" w:color="auto"/>
              <w:left w:val="single" w:sz="4" w:space="0" w:color="auto"/>
              <w:bottom w:val="single" w:sz="4" w:space="0" w:color="auto"/>
              <w:right w:val="single" w:sz="4" w:space="0" w:color="auto"/>
            </w:tcBorders>
          </w:tcPr>
          <w:p w14:paraId="2CA98B98" w14:textId="77777777" w:rsidR="00006FAB" w:rsidRDefault="00006FAB" w:rsidP="00006FAB">
            <w:pPr>
              <w:ind w:left="0" w:right="0"/>
            </w:pPr>
            <w:r>
              <w:t>Status</w:t>
            </w:r>
          </w:p>
        </w:tc>
        <w:tc>
          <w:tcPr>
            <w:tcW w:w="2247" w:type="dxa"/>
            <w:tcBorders>
              <w:top w:val="single" w:sz="4" w:space="0" w:color="auto"/>
              <w:left w:val="single" w:sz="4" w:space="0" w:color="auto"/>
              <w:bottom w:val="single" w:sz="4" w:space="0" w:color="auto"/>
              <w:right w:val="single" w:sz="4" w:space="0" w:color="auto"/>
            </w:tcBorders>
          </w:tcPr>
          <w:p w14:paraId="7F5D1B09" w14:textId="77777777" w:rsidR="00006FAB" w:rsidRDefault="00006FAB" w:rsidP="00006FAB">
            <w:pPr>
              <w:ind w:left="0" w:right="0"/>
            </w:pPr>
            <w:r>
              <w:t>Approved indications</w:t>
            </w:r>
          </w:p>
        </w:tc>
      </w:tr>
      <w:tr w:rsidR="00702B64" w14:paraId="0E81BA84" w14:textId="77777777" w:rsidTr="00E03E4A">
        <w:tc>
          <w:tcPr>
            <w:tcW w:w="2091" w:type="dxa"/>
            <w:tcBorders>
              <w:top w:val="single" w:sz="4" w:space="0" w:color="auto"/>
            </w:tcBorders>
          </w:tcPr>
          <w:p w14:paraId="7061150D" w14:textId="77777777" w:rsidR="00006FAB" w:rsidRDefault="00FC7D70" w:rsidP="00006FAB">
            <w:pPr>
              <w:ind w:left="0" w:right="0"/>
            </w:pPr>
            <w:r>
              <w:t>United States of America</w:t>
            </w:r>
          </w:p>
        </w:tc>
        <w:tc>
          <w:tcPr>
            <w:tcW w:w="2057" w:type="dxa"/>
            <w:tcBorders>
              <w:top w:val="single" w:sz="4" w:space="0" w:color="auto"/>
            </w:tcBorders>
          </w:tcPr>
          <w:p w14:paraId="5771762D" w14:textId="61A1182A" w:rsidR="00006FAB" w:rsidRDefault="00485CBF" w:rsidP="00006FAB">
            <w:pPr>
              <w:ind w:left="0" w:right="0"/>
            </w:pPr>
            <w:r>
              <w:t>4 February 2021</w:t>
            </w:r>
          </w:p>
        </w:tc>
        <w:tc>
          <w:tcPr>
            <w:tcW w:w="2099" w:type="dxa"/>
            <w:tcBorders>
              <w:top w:val="single" w:sz="4" w:space="0" w:color="auto"/>
            </w:tcBorders>
          </w:tcPr>
          <w:p w14:paraId="36CF9043" w14:textId="6DF92992" w:rsidR="00006FAB" w:rsidRDefault="00FC7D70" w:rsidP="00702B64">
            <w:pPr>
              <w:ind w:left="0" w:right="0"/>
            </w:pPr>
            <w:r>
              <w:t>E</w:t>
            </w:r>
            <w:r w:rsidRPr="00FC7D70">
              <w:t xml:space="preserve">mergency </w:t>
            </w:r>
            <w:r w:rsidR="003E654A">
              <w:t>U</w:t>
            </w:r>
            <w:r w:rsidRPr="00FC7D70">
              <w:t xml:space="preserve">se </w:t>
            </w:r>
            <w:r w:rsidR="003E654A">
              <w:t>A</w:t>
            </w:r>
            <w:r w:rsidRPr="00FC7D70">
              <w:t>uthori</w:t>
            </w:r>
            <w:r w:rsidR="003E654A">
              <w:t>z</w:t>
            </w:r>
            <w:r w:rsidRPr="00FC7D70">
              <w:t xml:space="preserve">ation </w:t>
            </w:r>
            <w:r w:rsidR="00702B64">
              <w:t>granted</w:t>
            </w:r>
            <w:r>
              <w:t xml:space="preserve"> on 27</w:t>
            </w:r>
            <w:r w:rsidR="003E654A">
              <w:t> </w:t>
            </w:r>
            <w:r>
              <w:t>February 2021</w:t>
            </w:r>
          </w:p>
        </w:tc>
        <w:tc>
          <w:tcPr>
            <w:tcW w:w="2247" w:type="dxa"/>
            <w:tcBorders>
              <w:top w:val="single" w:sz="4" w:space="0" w:color="auto"/>
            </w:tcBorders>
          </w:tcPr>
          <w:p w14:paraId="53DE341A" w14:textId="77777777" w:rsidR="00006FAB" w:rsidRPr="00FC7D70" w:rsidRDefault="00FC7D70" w:rsidP="00006FAB">
            <w:pPr>
              <w:ind w:left="0" w:right="0"/>
              <w:rPr>
                <w:i/>
              </w:rPr>
            </w:pPr>
            <w:r w:rsidRPr="00FC7D70">
              <w:rPr>
                <w:i/>
              </w:rPr>
              <w:t>For the prevention of coronavirus disease 2019 (COVID-19) for individuals 18 years of age and older.</w:t>
            </w:r>
          </w:p>
        </w:tc>
      </w:tr>
      <w:tr w:rsidR="00702B64" w14:paraId="2FBCC096" w14:textId="77777777" w:rsidTr="00E03E4A">
        <w:tc>
          <w:tcPr>
            <w:tcW w:w="2091" w:type="dxa"/>
          </w:tcPr>
          <w:p w14:paraId="21DD111A" w14:textId="77777777" w:rsidR="00006FAB" w:rsidRDefault="00702B64" w:rsidP="00006FAB">
            <w:pPr>
              <w:ind w:left="0" w:right="0"/>
            </w:pPr>
            <w:r>
              <w:t>Canada</w:t>
            </w:r>
          </w:p>
        </w:tc>
        <w:tc>
          <w:tcPr>
            <w:tcW w:w="2057" w:type="dxa"/>
          </w:tcPr>
          <w:p w14:paraId="38E5E04C" w14:textId="766198C3" w:rsidR="00006FAB" w:rsidRDefault="00485CBF" w:rsidP="00006FAB">
            <w:pPr>
              <w:ind w:left="0" w:right="0"/>
            </w:pPr>
            <w:r>
              <w:t>16 February 2021</w:t>
            </w:r>
          </w:p>
        </w:tc>
        <w:tc>
          <w:tcPr>
            <w:tcW w:w="2099" w:type="dxa"/>
          </w:tcPr>
          <w:p w14:paraId="65DA92E2" w14:textId="45D4ABD2" w:rsidR="00006FAB" w:rsidRDefault="00702B64" w:rsidP="00006FAB">
            <w:pPr>
              <w:ind w:left="0" w:right="0"/>
            </w:pPr>
            <w:r>
              <w:t xml:space="preserve">Interim </w:t>
            </w:r>
            <w:r w:rsidR="003E654A">
              <w:t>O</w:t>
            </w:r>
            <w:r>
              <w:t xml:space="preserve">rder of </w:t>
            </w:r>
            <w:r w:rsidR="003E654A">
              <w:t>A</w:t>
            </w:r>
            <w:r>
              <w:t>uthori</w:t>
            </w:r>
            <w:r w:rsidR="003E654A">
              <w:t>z</w:t>
            </w:r>
            <w:r>
              <w:t>ation granted on 5</w:t>
            </w:r>
            <w:r w:rsidR="004718C9">
              <w:t> </w:t>
            </w:r>
            <w:r>
              <w:t>March 2021</w:t>
            </w:r>
          </w:p>
        </w:tc>
        <w:tc>
          <w:tcPr>
            <w:tcW w:w="2247" w:type="dxa"/>
          </w:tcPr>
          <w:p w14:paraId="0D41C8B0" w14:textId="77777777" w:rsidR="00006FAB" w:rsidRPr="00702B64" w:rsidRDefault="00702B64" w:rsidP="00006FAB">
            <w:pPr>
              <w:ind w:left="0" w:right="0"/>
              <w:rPr>
                <w:i/>
              </w:rPr>
            </w:pPr>
            <w:r w:rsidRPr="00702B64">
              <w:rPr>
                <w:i/>
              </w:rPr>
              <w:t>Janssen COVID-19 v</w:t>
            </w:r>
            <w:r w:rsidR="00FC7D70" w:rsidRPr="00702B64">
              <w:rPr>
                <w:i/>
              </w:rPr>
              <w:t>accine (Ad26.COV2.S, recombinant) is indicated for active immunization against coronavirus disease 2019 (COVID-19) caused by the severe acute respiratory syndrome coronavirus 2 (SARS- CoV-2) in persons 18 years of age and older.</w:t>
            </w:r>
          </w:p>
        </w:tc>
      </w:tr>
      <w:tr w:rsidR="00702B64" w14:paraId="79BC8D88" w14:textId="77777777" w:rsidTr="00E03E4A">
        <w:tc>
          <w:tcPr>
            <w:tcW w:w="2091" w:type="dxa"/>
          </w:tcPr>
          <w:p w14:paraId="46717F8E" w14:textId="18E9F8AA" w:rsidR="00702B64" w:rsidRDefault="00702B64" w:rsidP="00702B64">
            <w:pPr>
              <w:ind w:left="0"/>
            </w:pPr>
            <w:r>
              <w:t>European Union via</w:t>
            </w:r>
            <w:r w:rsidR="004718C9">
              <w:t xml:space="preserve">: </w:t>
            </w:r>
            <w:r>
              <w:t>Belgium and Spain (</w:t>
            </w:r>
            <w:r w:rsidR="004718C9">
              <w:t>c</w:t>
            </w:r>
            <w:r>
              <w:t>o</w:t>
            </w:r>
            <w:r w:rsidR="004718C9">
              <w:noBreakHyphen/>
            </w:r>
            <w:r>
              <w:t>rapporteurs)</w:t>
            </w:r>
          </w:p>
        </w:tc>
        <w:tc>
          <w:tcPr>
            <w:tcW w:w="2057" w:type="dxa"/>
          </w:tcPr>
          <w:p w14:paraId="0B3752D1" w14:textId="533716AA" w:rsidR="00702B64" w:rsidRDefault="00485CBF" w:rsidP="00BC16F0">
            <w:pPr>
              <w:ind w:left="0"/>
            </w:pPr>
            <w:r>
              <w:t>15 February 2021</w:t>
            </w:r>
          </w:p>
        </w:tc>
        <w:tc>
          <w:tcPr>
            <w:tcW w:w="2099" w:type="dxa"/>
          </w:tcPr>
          <w:p w14:paraId="6470C270" w14:textId="144B80B2" w:rsidR="00702B64" w:rsidRDefault="00702B64" w:rsidP="00702B64">
            <w:pPr>
              <w:ind w:left="0"/>
            </w:pPr>
            <w:r w:rsidRPr="00702B64">
              <w:t xml:space="preserve">Conditional </w:t>
            </w:r>
            <w:r w:rsidR="003E654A">
              <w:t>M</w:t>
            </w:r>
            <w:r w:rsidRPr="00702B64">
              <w:t xml:space="preserve">arketing </w:t>
            </w:r>
            <w:r w:rsidR="003E654A">
              <w:t>A</w:t>
            </w:r>
            <w:r w:rsidRPr="00702B64">
              <w:t>uthori</w:t>
            </w:r>
            <w:r w:rsidR="003E654A">
              <w:t>z</w:t>
            </w:r>
            <w:r w:rsidRPr="00702B64">
              <w:t>ation granted on 11</w:t>
            </w:r>
            <w:r w:rsidR="004718C9">
              <w:t> </w:t>
            </w:r>
            <w:r w:rsidRPr="00702B64">
              <w:t>March</w:t>
            </w:r>
            <w:r w:rsidR="003E654A">
              <w:t> </w:t>
            </w:r>
            <w:r w:rsidRPr="00702B64">
              <w:t>2021</w:t>
            </w:r>
          </w:p>
        </w:tc>
        <w:tc>
          <w:tcPr>
            <w:tcW w:w="2247" w:type="dxa"/>
          </w:tcPr>
          <w:p w14:paraId="54E02A76" w14:textId="77777777" w:rsidR="00702B64" w:rsidRPr="00702B64" w:rsidRDefault="00702B64" w:rsidP="00702B64">
            <w:pPr>
              <w:ind w:left="0"/>
              <w:rPr>
                <w:i/>
              </w:rPr>
            </w:pPr>
            <w:r w:rsidRPr="00702B64">
              <w:rPr>
                <w:i/>
              </w:rPr>
              <w:t>COVID-19 Vaccine Janssen is indicated for active immunisation to prevent COVID-19 caused by SARS-CoV-2 in individuals 18 years of age and older.</w:t>
            </w:r>
          </w:p>
          <w:p w14:paraId="36C9E0A9" w14:textId="77777777" w:rsidR="00702B64" w:rsidRDefault="00702B64" w:rsidP="006F46EC">
            <w:pPr>
              <w:ind w:left="0"/>
            </w:pPr>
            <w:r w:rsidRPr="00702B64">
              <w:rPr>
                <w:i/>
              </w:rPr>
              <w:t>The use of this vaccine should be in accordance with official recommendations.</w:t>
            </w:r>
          </w:p>
        </w:tc>
      </w:tr>
      <w:tr w:rsidR="00702B64" w14:paraId="6B9C7195" w14:textId="77777777" w:rsidTr="00467DC9">
        <w:trPr>
          <w:cantSplit/>
        </w:trPr>
        <w:tc>
          <w:tcPr>
            <w:tcW w:w="2091" w:type="dxa"/>
          </w:tcPr>
          <w:p w14:paraId="518E87F3" w14:textId="77777777" w:rsidR="00702B64" w:rsidRDefault="00702B64" w:rsidP="00702B64">
            <w:pPr>
              <w:ind w:left="0"/>
            </w:pPr>
            <w:r>
              <w:t>Switzerland</w:t>
            </w:r>
          </w:p>
        </w:tc>
        <w:tc>
          <w:tcPr>
            <w:tcW w:w="2057" w:type="dxa"/>
          </w:tcPr>
          <w:p w14:paraId="640264B2" w14:textId="7132EBC3" w:rsidR="00702B64" w:rsidRDefault="00485CBF" w:rsidP="00702B64">
            <w:pPr>
              <w:ind w:left="0"/>
            </w:pPr>
            <w:r>
              <w:t xml:space="preserve">17 February 2021 </w:t>
            </w:r>
          </w:p>
        </w:tc>
        <w:tc>
          <w:tcPr>
            <w:tcW w:w="2099" w:type="dxa"/>
          </w:tcPr>
          <w:p w14:paraId="4ADDDE53" w14:textId="103DF0E6" w:rsidR="00702B64" w:rsidRDefault="00702B64" w:rsidP="00702B64">
            <w:pPr>
              <w:ind w:left="0"/>
            </w:pPr>
            <w:r>
              <w:t>T</w:t>
            </w:r>
            <w:r w:rsidRPr="00702B64">
              <w:t xml:space="preserve">emporary </w:t>
            </w:r>
            <w:r w:rsidR="003E654A">
              <w:t>A</w:t>
            </w:r>
            <w:r w:rsidRPr="00702B64">
              <w:t>uthori</w:t>
            </w:r>
            <w:r w:rsidR="003E654A">
              <w:t>z</w:t>
            </w:r>
            <w:r w:rsidRPr="00702B64">
              <w:t>ation</w:t>
            </w:r>
            <w:r>
              <w:t xml:space="preserve"> granted on 22</w:t>
            </w:r>
            <w:r w:rsidR="004718C9">
              <w:t> </w:t>
            </w:r>
            <w:r>
              <w:t>March 2021</w:t>
            </w:r>
          </w:p>
        </w:tc>
        <w:tc>
          <w:tcPr>
            <w:tcW w:w="2247" w:type="dxa"/>
          </w:tcPr>
          <w:p w14:paraId="67D2A326" w14:textId="18FB19A0" w:rsidR="00485CBF" w:rsidRPr="00485CBF" w:rsidRDefault="00485CBF" w:rsidP="00BC16F0">
            <w:pPr>
              <w:ind w:left="0"/>
              <w:rPr>
                <w:i/>
                <w:iCs/>
              </w:rPr>
            </w:pPr>
            <w:r w:rsidRPr="00485CBF">
              <w:rPr>
                <w:i/>
                <w:iCs/>
              </w:rPr>
              <w:t>COVID-19 Vaccine Janssen is indicated for active</w:t>
            </w:r>
            <w:r w:rsidR="00BC16F0">
              <w:rPr>
                <w:i/>
                <w:iCs/>
              </w:rPr>
              <w:t xml:space="preserve"> </w:t>
            </w:r>
            <w:r w:rsidRPr="00485CBF">
              <w:rPr>
                <w:i/>
                <w:iCs/>
              </w:rPr>
              <w:t>immunisation to prevent COVID-19 caused by</w:t>
            </w:r>
            <w:r w:rsidR="00BC16F0">
              <w:rPr>
                <w:i/>
                <w:iCs/>
              </w:rPr>
              <w:t xml:space="preserve"> </w:t>
            </w:r>
            <w:r w:rsidRPr="00485CBF">
              <w:rPr>
                <w:i/>
                <w:iCs/>
              </w:rPr>
              <w:t>SARS-CoV-2 in individuals 18 years of age and</w:t>
            </w:r>
            <w:r w:rsidR="00BC16F0">
              <w:rPr>
                <w:i/>
                <w:iCs/>
              </w:rPr>
              <w:t xml:space="preserve"> </w:t>
            </w:r>
            <w:r w:rsidRPr="00485CBF">
              <w:rPr>
                <w:i/>
                <w:iCs/>
              </w:rPr>
              <w:t>older.</w:t>
            </w:r>
          </w:p>
          <w:p w14:paraId="3CA6F1F1" w14:textId="4D16B3CB" w:rsidR="00702B64" w:rsidRPr="00BC16F0" w:rsidRDefault="00485CBF" w:rsidP="00BC16F0">
            <w:pPr>
              <w:ind w:left="0"/>
              <w:rPr>
                <w:i/>
                <w:iCs/>
              </w:rPr>
            </w:pPr>
            <w:r w:rsidRPr="00485CBF">
              <w:rPr>
                <w:i/>
                <w:iCs/>
              </w:rPr>
              <w:t>The use of this vaccine should be in accordance</w:t>
            </w:r>
            <w:r w:rsidR="00BC16F0">
              <w:rPr>
                <w:i/>
                <w:iCs/>
              </w:rPr>
              <w:t xml:space="preserve"> </w:t>
            </w:r>
            <w:r w:rsidRPr="00485CBF">
              <w:rPr>
                <w:i/>
                <w:iCs/>
              </w:rPr>
              <w:t>with official recommendations.</w:t>
            </w:r>
          </w:p>
        </w:tc>
      </w:tr>
    </w:tbl>
    <w:p w14:paraId="6BBE4275" w14:textId="77777777" w:rsidR="008E7846" w:rsidRDefault="008E7846" w:rsidP="00940A89">
      <w:pPr>
        <w:pStyle w:val="Heading3"/>
      </w:pPr>
      <w:bookmarkStart w:id="25" w:name="_Toc75438456"/>
      <w:r>
        <w:t>Product Information</w:t>
      </w:r>
      <w:bookmarkEnd w:id="23"/>
      <w:bookmarkEnd w:id="24"/>
      <w:bookmarkEnd w:id="25"/>
    </w:p>
    <w:p w14:paraId="7D0880E8" w14:textId="2A2EDC8E" w:rsidR="00940A89" w:rsidRDefault="006136D7" w:rsidP="00940A89">
      <w:bookmarkStart w:id="26" w:name="_Toc247691506"/>
      <w:bookmarkStart w:id="27"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3" w:history="1">
        <w:r w:rsidR="00441C3F" w:rsidRPr="00441C3F">
          <w:rPr>
            <w:rStyle w:val="Hyperlink"/>
          </w:rPr>
          <w:t>https://www.tga.gov.au/product-information-pi</w:t>
        </w:r>
      </w:hyperlink>
      <w:r w:rsidR="00441C3F">
        <w:t>&gt;</w:t>
      </w:r>
      <w:r w:rsidR="00940A89" w:rsidRPr="00940A89">
        <w:t>.</w:t>
      </w:r>
    </w:p>
    <w:p w14:paraId="4A462E9B" w14:textId="77777777" w:rsidR="00500337" w:rsidRDefault="00500337" w:rsidP="00500337">
      <w:pPr>
        <w:pStyle w:val="Heading2"/>
      </w:pPr>
      <w:bookmarkStart w:id="28" w:name="_Toc504480011"/>
      <w:bookmarkStart w:id="29" w:name="_Toc75438457"/>
      <w:r>
        <w:t>II. Registration timeline</w:t>
      </w:r>
      <w:bookmarkEnd w:id="28"/>
      <w:bookmarkEnd w:id="29"/>
    </w:p>
    <w:p w14:paraId="0176C090" w14:textId="5791CB4D" w:rsidR="00500337" w:rsidRDefault="00500337" w:rsidP="00500337">
      <w:r>
        <w:t xml:space="preserve">The following table captures the key steps and dates for this application and which are detailed and discussed in this </w:t>
      </w:r>
      <w:proofErr w:type="spellStart"/>
      <w:r>
        <w:t>AusPAR</w:t>
      </w:r>
      <w:proofErr w:type="spellEnd"/>
      <w:r>
        <w:t>.</w:t>
      </w:r>
    </w:p>
    <w:p w14:paraId="41552D2E" w14:textId="77777777" w:rsidR="0072621B" w:rsidRPr="007A0592" w:rsidRDefault="0072621B" w:rsidP="0072621B">
      <w:pPr>
        <w:rPr>
          <w:rFonts w:eastAsia="Calibri"/>
        </w:rPr>
      </w:pPr>
      <w:r w:rsidRPr="007A0592">
        <w:rPr>
          <w:rFonts w:eastAsia="Calibri"/>
        </w:rPr>
        <w:t>Data were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to enable early evaluation of data as it comes to hand.</w:t>
      </w:r>
    </w:p>
    <w:p w14:paraId="0F312F07" w14:textId="77777777" w:rsidR="0072621B" w:rsidRDefault="0072621B" w:rsidP="00500337"/>
    <w:p w14:paraId="43C5F608" w14:textId="4ED0EC5E" w:rsidR="00500337" w:rsidRPr="00B37F5C" w:rsidRDefault="00B37F5C" w:rsidP="00B37F5C">
      <w:pPr>
        <w:pStyle w:val="TableTitle"/>
      </w:pPr>
      <w:r w:rsidRPr="00B37F5C">
        <w:t xml:space="preserve">Table </w:t>
      </w:r>
      <w:fldSimple w:instr=" SEQ Table \* ARABIC ">
        <w:r w:rsidR="00F204A2">
          <w:rPr>
            <w:noProof/>
          </w:rPr>
          <w:t>2</w:t>
        </w:r>
      </w:fldSimple>
      <w:r w:rsidR="00006FAB" w:rsidRPr="00B37F5C">
        <w:t>:</w:t>
      </w:r>
      <w:r w:rsidR="006A58A8" w:rsidRPr="00B37F5C">
        <w:t xml:space="preserve"> Timeline for Submission PM-20</w:t>
      </w:r>
      <w:r w:rsidR="00324E45" w:rsidRPr="00B37F5C">
        <w:t>2</w:t>
      </w:r>
      <w:r w:rsidR="00E03E4A" w:rsidRPr="00B37F5C">
        <w:t>0-06173-1-2</w:t>
      </w:r>
    </w:p>
    <w:tbl>
      <w:tblPr>
        <w:tblStyle w:val="TableTGAblue"/>
        <w:tblW w:w="0" w:type="auto"/>
        <w:tblLook w:val="04A0" w:firstRow="1" w:lastRow="0" w:firstColumn="1" w:lastColumn="0" w:noHBand="0" w:noVBand="1"/>
      </w:tblPr>
      <w:tblGrid>
        <w:gridCol w:w="4257"/>
        <w:gridCol w:w="4237"/>
      </w:tblGrid>
      <w:tr w:rsidR="00500337" w14:paraId="36B0BEB4" w14:textId="77777777" w:rsidTr="0072621B">
        <w:trPr>
          <w:cnfStyle w:val="100000000000" w:firstRow="1" w:lastRow="0" w:firstColumn="0" w:lastColumn="0" w:oddVBand="0" w:evenVBand="0" w:oddHBand="0" w:evenHBand="0" w:firstRowFirstColumn="0" w:firstRowLastColumn="0" w:lastRowFirstColumn="0" w:lastRowLastColumn="0"/>
          <w:cantSplit/>
        </w:trPr>
        <w:tc>
          <w:tcPr>
            <w:tcW w:w="4257" w:type="dxa"/>
            <w:tcBorders>
              <w:top w:val="single" w:sz="4" w:space="0" w:color="auto"/>
              <w:left w:val="single" w:sz="4" w:space="0" w:color="auto"/>
              <w:bottom w:val="single" w:sz="4" w:space="0" w:color="auto"/>
              <w:right w:val="single" w:sz="4" w:space="0" w:color="auto"/>
            </w:tcBorders>
          </w:tcPr>
          <w:p w14:paraId="1C7C60B5" w14:textId="77777777" w:rsidR="00500337" w:rsidRDefault="00500337" w:rsidP="00500337">
            <w:pPr>
              <w:ind w:left="0" w:right="0"/>
            </w:pPr>
            <w:r>
              <w:t>Description</w:t>
            </w:r>
          </w:p>
        </w:tc>
        <w:tc>
          <w:tcPr>
            <w:tcW w:w="4237" w:type="dxa"/>
            <w:tcBorders>
              <w:top w:val="single" w:sz="4" w:space="0" w:color="auto"/>
              <w:left w:val="single" w:sz="4" w:space="0" w:color="auto"/>
              <w:bottom w:val="single" w:sz="4" w:space="0" w:color="auto"/>
              <w:right w:val="single" w:sz="4" w:space="0" w:color="auto"/>
            </w:tcBorders>
          </w:tcPr>
          <w:p w14:paraId="6A96CFDA" w14:textId="77777777" w:rsidR="00500337" w:rsidRDefault="00500337" w:rsidP="00500337">
            <w:pPr>
              <w:ind w:left="0" w:right="0"/>
            </w:pPr>
            <w:r>
              <w:t>Date</w:t>
            </w:r>
          </w:p>
        </w:tc>
      </w:tr>
      <w:tr w:rsidR="00500337" w14:paraId="385ABDD3" w14:textId="77777777" w:rsidTr="0072621B">
        <w:tc>
          <w:tcPr>
            <w:tcW w:w="4257" w:type="dxa"/>
            <w:tcBorders>
              <w:top w:val="single" w:sz="4" w:space="0" w:color="auto"/>
            </w:tcBorders>
          </w:tcPr>
          <w:p w14:paraId="3590D76F" w14:textId="36B01A58" w:rsidR="00500337" w:rsidRDefault="00500337" w:rsidP="00E03E4A">
            <w:pPr>
              <w:ind w:left="0" w:right="0"/>
            </w:pPr>
            <w:r>
              <w:t>Designation (Provisional)</w:t>
            </w:r>
            <w:r w:rsidR="003E654A" w:rsidRPr="00496882">
              <w:rPr>
                <w:vertAlign w:val="superscript"/>
              </w:rPr>
              <w:fldChar w:fldCharType="begin"/>
            </w:r>
            <w:r w:rsidR="003E654A" w:rsidRPr="00496882">
              <w:rPr>
                <w:vertAlign w:val="superscript"/>
              </w:rPr>
              <w:instrText xml:space="preserve"> NOTEREF _Ref74902138 \h </w:instrText>
            </w:r>
            <w:r w:rsidR="003E654A">
              <w:rPr>
                <w:vertAlign w:val="superscript"/>
              </w:rPr>
              <w:instrText xml:space="preserve"> \* MERGEFORMAT </w:instrText>
            </w:r>
            <w:r w:rsidR="003E654A" w:rsidRPr="00496882">
              <w:rPr>
                <w:vertAlign w:val="superscript"/>
              </w:rPr>
            </w:r>
            <w:r w:rsidR="003E654A" w:rsidRPr="00496882">
              <w:rPr>
                <w:vertAlign w:val="superscript"/>
              </w:rPr>
              <w:fldChar w:fldCharType="separate"/>
            </w:r>
            <w:r w:rsidR="00F204A2">
              <w:rPr>
                <w:vertAlign w:val="superscript"/>
              </w:rPr>
              <w:t>9</w:t>
            </w:r>
            <w:r w:rsidR="003E654A" w:rsidRPr="00496882">
              <w:rPr>
                <w:vertAlign w:val="superscript"/>
              </w:rPr>
              <w:fldChar w:fldCharType="end"/>
            </w:r>
            <w:r w:rsidR="003E654A" w:rsidRPr="00496882">
              <w:rPr>
                <w:vertAlign w:val="superscript"/>
              </w:rPr>
              <w:t>,</w:t>
            </w:r>
            <w:r w:rsidR="003E654A" w:rsidRPr="006F46EC">
              <w:rPr>
                <w:vertAlign w:val="superscript"/>
              </w:rPr>
              <w:fldChar w:fldCharType="begin"/>
            </w:r>
            <w:r w:rsidR="003E654A" w:rsidRPr="00496882">
              <w:rPr>
                <w:vertAlign w:val="superscript"/>
              </w:rPr>
              <w:instrText xml:space="preserve"> NOTEREF _Ref61929068 \h </w:instrText>
            </w:r>
            <w:r w:rsidR="003E654A">
              <w:rPr>
                <w:vertAlign w:val="superscript"/>
              </w:rPr>
              <w:instrText xml:space="preserve"> \* MERGEFORMAT </w:instrText>
            </w:r>
            <w:r w:rsidR="003E654A" w:rsidRPr="006F46EC">
              <w:rPr>
                <w:vertAlign w:val="superscript"/>
              </w:rPr>
            </w:r>
            <w:r w:rsidR="003E654A" w:rsidRPr="006F46EC">
              <w:rPr>
                <w:vertAlign w:val="superscript"/>
              </w:rPr>
              <w:fldChar w:fldCharType="separate"/>
            </w:r>
            <w:r w:rsidR="00F204A2">
              <w:rPr>
                <w:vertAlign w:val="superscript"/>
              </w:rPr>
              <w:t>10</w:t>
            </w:r>
            <w:r w:rsidR="003E654A" w:rsidRPr="006F46EC">
              <w:rPr>
                <w:vertAlign w:val="superscript"/>
              </w:rPr>
              <w:fldChar w:fldCharType="end"/>
            </w:r>
          </w:p>
        </w:tc>
        <w:tc>
          <w:tcPr>
            <w:tcW w:w="4237" w:type="dxa"/>
            <w:tcBorders>
              <w:top w:val="single" w:sz="4" w:space="0" w:color="auto"/>
            </w:tcBorders>
          </w:tcPr>
          <w:p w14:paraId="10A58136" w14:textId="68F1AA0F" w:rsidR="00500337" w:rsidRDefault="00496882" w:rsidP="00496882">
            <w:pPr>
              <w:ind w:left="0" w:right="0"/>
            </w:pPr>
            <w:r>
              <w:t>16</w:t>
            </w:r>
            <w:r w:rsidR="006F46EC">
              <w:t xml:space="preserve"> </w:t>
            </w:r>
            <w:r w:rsidR="00E03E4A">
              <w:t>November 2020</w:t>
            </w:r>
          </w:p>
        </w:tc>
      </w:tr>
      <w:tr w:rsidR="00500337" w14:paraId="2B801EDF" w14:textId="77777777" w:rsidTr="0072621B">
        <w:tc>
          <w:tcPr>
            <w:tcW w:w="4257" w:type="dxa"/>
          </w:tcPr>
          <w:p w14:paraId="0C310CE4" w14:textId="308D1C29" w:rsidR="00500337" w:rsidRDefault="0072621B" w:rsidP="0072621B">
            <w:pPr>
              <w:ind w:left="0" w:right="0"/>
            </w:pPr>
            <w:r>
              <w:t>Submission dossier accepted</w:t>
            </w:r>
          </w:p>
        </w:tc>
        <w:tc>
          <w:tcPr>
            <w:tcW w:w="4237" w:type="dxa"/>
          </w:tcPr>
          <w:p w14:paraId="50C83402" w14:textId="77777777" w:rsidR="00500337" w:rsidRDefault="00E03E4A" w:rsidP="00500337">
            <w:pPr>
              <w:ind w:left="0" w:right="0"/>
            </w:pPr>
            <w:r>
              <w:t>1 December 2020</w:t>
            </w:r>
          </w:p>
        </w:tc>
      </w:tr>
      <w:tr w:rsidR="00500337" w14:paraId="59F84D38" w14:textId="77777777" w:rsidTr="0072621B">
        <w:tc>
          <w:tcPr>
            <w:tcW w:w="4257" w:type="dxa"/>
          </w:tcPr>
          <w:p w14:paraId="691828A9" w14:textId="7C88F9DB" w:rsidR="00500337" w:rsidRPr="00C56430" w:rsidRDefault="0072621B" w:rsidP="00500337">
            <w:pPr>
              <w:ind w:left="0" w:right="0"/>
            </w:pPr>
            <w:r>
              <w:t>E</w:t>
            </w:r>
            <w:r w:rsidR="00500337" w:rsidRPr="00C56430">
              <w:t>valuation completed</w:t>
            </w:r>
          </w:p>
        </w:tc>
        <w:tc>
          <w:tcPr>
            <w:tcW w:w="4237" w:type="dxa"/>
          </w:tcPr>
          <w:p w14:paraId="5EDCDC32" w14:textId="4E4B7CED" w:rsidR="00500337" w:rsidRPr="00C56430" w:rsidRDefault="00E40111" w:rsidP="00500337">
            <w:pPr>
              <w:ind w:left="0" w:right="0"/>
            </w:pPr>
            <w:r w:rsidRPr="00C56430">
              <w:t>16 June 2021</w:t>
            </w:r>
          </w:p>
        </w:tc>
      </w:tr>
      <w:tr w:rsidR="00500337" w14:paraId="3BA4E08F" w14:textId="77777777" w:rsidTr="0072621B">
        <w:tc>
          <w:tcPr>
            <w:tcW w:w="4257" w:type="dxa"/>
          </w:tcPr>
          <w:p w14:paraId="25B73C21" w14:textId="77777777" w:rsidR="00500337" w:rsidRDefault="00324E45" w:rsidP="00E03E4A">
            <w:pPr>
              <w:ind w:left="0" w:right="0"/>
            </w:pPr>
            <w:r>
              <w:t xml:space="preserve">Delegate’s Overall benefit-risk assessment </w:t>
            </w:r>
            <w:r w:rsidRPr="00E03E4A">
              <w:rPr>
                <w:color w:val="auto"/>
              </w:rPr>
              <w:t>and request</w:t>
            </w:r>
            <w:r w:rsidR="00E03E4A" w:rsidRPr="00E03E4A">
              <w:rPr>
                <w:color w:val="auto"/>
              </w:rPr>
              <w:t xml:space="preserve"> for Advisory Committee advice</w:t>
            </w:r>
          </w:p>
        </w:tc>
        <w:tc>
          <w:tcPr>
            <w:tcW w:w="4237" w:type="dxa"/>
          </w:tcPr>
          <w:p w14:paraId="018A8F37" w14:textId="204CA11E" w:rsidR="00500337" w:rsidRDefault="00967613" w:rsidP="00500337">
            <w:pPr>
              <w:ind w:left="0" w:right="0"/>
            </w:pPr>
            <w:r>
              <w:t>6</w:t>
            </w:r>
            <w:r w:rsidR="00E03E4A">
              <w:t xml:space="preserve"> May 2021</w:t>
            </w:r>
          </w:p>
        </w:tc>
      </w:tr>
      <w:tr w:rsidR="00500337" w14:paraId="71879B8D" w14:textId="77777777" w:rsidTr="0072621B">
        <w:tc>
          <w:tcPr>
            <w:tcW w:w="4257" w:type="dxa"/>
          </w:tcPr>
          <w:p w14:paraId="3F47B4E7" w14:textId="77777777" w:rsidR="00500337" w:rsidRDefault="00500337" w:rsidP="00500337">
            <w:pPr>
              <w:ind w:left="0" w:right="0"/>
            </w:pPr>
            <w:r>
              <w:t>Sponsor’s pre-Advisory Committee response</w:t>
            </w:r>
          </w:p>
        </w:tc>
        <w:tc>
          <w:tcPr>
            <w:tcW w:w="4237" w:type="dxa"/>
          </w:tcPr>
          <w:p w14:paraId="3CF3D6E3" w14:textId="71651609" w:rsidR="00500337" w:rsidRDefault="00254282" w:rsidP="00500337">
            <w:pPr>
              <w:ind w:left="0" w:right="0"/>
            </w:pPr>
            <w:r>
              <w:t>21 May 2021</w:t>
            </w:r>
          </w:p>
        </w:tc>
      </w:tr>
      <w:tr w:rsidR="00500337" w14:paraId="5B3F172B" w14:textId="77777777" w:rsidTr="0072621B">
        <w:tc>
          <w:tcPr>
            <w:tcW w:w="4257" w:type="dxa"/>
          </w:tcPr>
          <w:p w14:paraId="7A676F4C" w14:textId="77777777" w:rsidR="00500337" w:rsidRDefault="00500337" w:rsidP="00500337">
            <w:pPr>
              <w:ind w:left="0" w:right="0"/>
            </w:pPr>
            <w:r>
              <w:t>Advisory Committee meeting</w:t>
            </w:r>
          </w:p>
        </w:tc>
        <w:tc>
          <w:tcPr>
            <w:tcW w:w="4237" w:type="dxa"/>
          </w:tcPr>
          <w:p w14:paraId="6D25B935" w14:textId="77777777" w:rsidR="00500337" w:rsidRDefault="00E03E4A" w:rsidP="00500337">
            <w:pPr>
              <w:ind w:left="0" w:right="0"/>
            </w:pPr>
            <w:r>
              <w:t>26 May 2021</w:t>
            </w:r>
          </w:p>
        </w:tc>
      </w:tr>
      <w:tr w:rsidR="00500337" w14:paraId="7059E469" w14:textId="77777777" w:rsidTr="0072621B">
        <w:tc>
          <w:tcPr>
            <w:tcW w:w="4257" w:type="dxa"/>
          </w:tcPr>
          <w:p w14:paraId="1E68C2A3" w14:textId="77777777" w:rsidR="00500337" w:rsidRPr="00D41A9D" w:rsidRDefault="00500337" w:rsidP="00500337">
            <w:pPr>
              <w:ind w:left="0" w:right="0"/>
            </w:pPr>
            <w:r w:rsidRPr="00D41A9D">
              <w:t>Registration decision (Outcome)</w:t>
            </w:r>
          </w:p>
        </w:tc>
        <w:tc>
          <w:tcPr>
            <w:tcW w:w="4237" w:type="dxa"/>
          </w:tcPr>
          <w:p w14:paraId="33FF9DEA" w14:textId="2E147BD3" w:rsidR="00500337" w:rsidRPr="00D41A9D" w:rsidRDefault="0065766D" w:rsidP="00500337">
            <w:pPr>
              <w:ind w:left="0" w:right="0"/>
            </w:pPr>
            <w:r>
              <w:t>25</w:t>
            </w:r>
            <w:r w:rsidR="00E40111" w:rsidRPr="00D41A9D">
              <w:t xml:space="preserve"> June 2021</w:t>
            </w:r>
          </w:p>
        </w:tc>
      </w:tr>
      <w:tr w:rsidR="00500337" w14:paraId="4EE2FD11" w14:textId="77777777" w:rsidTr="0072621B">
        <w:tc>
          <w:tcPr>
            <w:tcW w:w="4257" w:type="dxa"/>
          </w:tcPr>
          <w:p w14:paraId="439C7825" w14:textId="77777777" w:rsidR="00500337" w:rsidRPr="00D41A9D" w:rsidRDefault="00500337" w:rsidP="00500337">
            <w:pPr>
              <w:ind w:left="0" w:right="0"/>
            </w:pPr>
            <w:r w:rsidRPr="00D41A9D">
              <w:t xml:space="preserve">Completion of administrative activities and registration on </w:t>
            </w:r>
            <w:r w:rsidR="00006FAB" w:rsidRPr="00D41A9D">
              <w:t xml:space="preserve">the </w:t>
            </w:r>
            <w:r w:rsidRPr="00D41A9D">
              <w:t>ARTG</w:t>
            </w:r>
          </w:p>
        </w:tc>
        <w:tc>
          <w:tcPr>
            <w:tcW w:w="4237" w:type="dxa"/>
          </w:tcPr>
          <w:p w14:paraId="64BA01C6" w14:textId="566DE862" w:rsidR="00500337" w:rsidRPr="00D41A9D" w:rsidRDefault="001F5AE9" w:rsidP="00500337">
            <w:pPr>
              <w:ind w:left="0" w:right="0"/>
            </w:pPr>
            <w:r>
              <w:t>25</w:t>
            </w:r>
            <w:r w:rsidR="00E40111" w:rsidRPr="00D41A9D">
              <w:t xml:space="preserve"> June 2021</w:t>
            </w:r>
          </w:p>
        </w:tc>
      </w:tr>
      <w:tr w:rsidR="00500337" w14:paraId="4BC6889E" w14:textId="77777777" w:rsidTr="0072621B">
        <w:tc>
          <w:tcPr>
            <w:tcW w:w="4257" w:type="dxa"/>
          </w:tcPr>
          <w:p w14:paraId="751363D8" w14:textId="77777777" w:rsidR="00500337" w:rsidRPr="00D41A9D" w:rsidRDefault="00500337" w:rsidP="00500337">
            <w:pPr>
              <w:ind w:left="0" w:right="0"/>
            </w:pPr>
            <w:r w:rsidRPr="00D41A9D">
              <w:t>Number of working days from submission dossier acceptance to registration decision*</w:t>
            </w:r>
          </w:p>
        </w:tc>
        <w:tc>
          <w:tcPr>
            <w:tcW w:w="4237" w:type="dxa"/>
          </w:tcPr>
          <w:p w14:paraId="03EA3A2D" w14:textId="09CEEFAD" w:rsidR="00500337" w:rsidRPr="00D41A9D" w:rsidRDefault="0065766D" w:rsidP="00500337">
            <w:pPr>
              <w:ind w:left="0" w:right="0"/>
            </w:pPr>
            <w:r>
              <w:t>136</w:t>
            </w:r>
          </w:p>
        </w:tc>
      </w:tr>
    </w:tbl>
    <w:p w14:paraId="1A73FF0D" w14:textId="77777777" w:rsidR="00500337" w:rsidRDefault="00500337" w:rsidP="00500337">
      <w:pPr>
        <w:pStyle w:val="TableDescription"/>
      </w:pPr>
      <w:r>
        <w:t>*</w:t>
      </w:r>
      <w:r w:rsidR="006603BC" w:rsidRPr="006603BC">
        <w:t>Statutory timeframe for standard applications is 255 working days</w:t>
      </w:r>
    </w:p>
    <w:p w14:paraId="6F0C4D8B" w14:textId="77777777" w:rsidR="008E7846" w:rsidRPr="00792A32" w:rsidRDefault="00456765" w:rsidP="008E7846">
      <w:pPr>
        <w:pStyle w:val="Heading2"/>
      </w:pPr>
      <w:bookmarkStart w:id="30" w:name="_Toc196046504"/>
      <w:bookmarkStart w:id="31" w:name="_Toc247691527"/>
      <w:bookmarkStart w:id="32" w:name="_Toc314842510"/>
      <w:bookmarkStart w:id="33" w:name="_Toc75438458"/>
      <w:bookmarkStart w:id="34" w:name="_Toc163441390"/>
      <w:bookmarkEnd w:id="1"/>
      <w:bookmarkEnd w:id="26"/>
      <w:bookmarkEnd w:id="27"/>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0"/>
      <w:bookmarkEnd w:id="31"/>
      <w:bookmarkEnd w:id="32"/>
      <w:bookmarkEnd w:id="33"/>
    </w:p>
    <w:p w14:paraId="4607B3B3" w14:textId="77777777" w:rsidR="00006FAB" w:rsidRDefault="00006FAB" w:rsidP="00006FAB">
      <w:bookmarkStart w:id="35" w:name="_Toc247691528"/>
      <w:r>
        <w:t>The submission was summarised in the following Delegate’s overview and recommendations.</w:t>
      </w:r>
    </w:p>
    <w:p w14:paraId="3085AA94" w14:textId="77777777" w:rsidR="008E7846" w:rsidRDefault="008E7846" w:rsidP="008E7846">
      <w:pPr>
        <w:pStyle w:val="Heading3"/>
      </w:pPr>
      <w:bookmarkStart w:id="36" w:name="_Toc314842511"/>
      <w:bookmarkStart w:id="37" w:name="_Toc75438459"/>
      <w:r>
        <w:t>Quality</w:t>
      </w:r>
      <w:bookmarkEnd w:id="35"/>
      <w:bookmarkEnd w:id="36"/>
      <w:bookmarkEnd w:id="37"/>
    </w:p>
    <w:p w14:paraId="0DB22730" w14:textId="77D0B5B7" w:rsidR="00D83F25" w:rsidRDefault="00F51FE6" w:rsidP="00D83F25">
      <w:r>
        <w:t>Adenovirus serotype 26 (</w:t>
      </w:r>
      <w:r w:rsidR="00D83F25">
        <w:t>Ad26</w:t>
      </w:r>
      <w:r>
        <w:t>)</w:t>
      </w:r>
      <w:r w:rsidR="00D83F25">
        <w:t xml:space="preserve"> are non-enveloped viruses, encapsulated in an icosahedral protein structure consisting of a number of structural proteins. In addition, </w:t>
      </w:r>
      <w:r w:rsidR="00126461">
        <w:t xml:space="preserve">the </w:t>
      </w:r>
      <w:r w:rsidR="00D83F25">
        <w:t xml:space="preserve">adenoviral genome encodes a number of core proteins (proteins that are associated with the adenoviral genome) (see </w:t>
      </w:r>
      <w:r w:rsidR="00D83F25">
        <w:fldChar w:fldCharType="begin"/>
      </w:r>
      <w:r w:rsidR="00D83F25">
        <w:instrText xml:space="preserve"> REF _Ref71812796 \h </w:instrText>
      </w:r>
      <w:r w:rsidR="00D83F25">
        <w:fldChar w:fldCharType="separate"/>
      </w:r>
      <w:r w:rsidR="00F204A2" w:rsidRPr="00D83F25">
        <w:t xml:space="preserve">Figure </w:t>
      </w:r>
      <w:r w:rsidR="00F204A2">
        <w:rPr>
          <w:noProof/>
        </w:rPr>
        <w:t>1</w:t>
      </w:r>
      <w:r w:rsidR="00D83F25">
        <w:fldChar w:fldCharType="end"/>
      </w:r>
      <w:r w:rsidR="00D83F25">
        <w:t>).</w:t>
      </w:r>
    </w:p>
    <w:p w14:paraId="06961922" w14:textId="52FB3FDC" w:rsidR="00D83F25" w:rsidRDefault="00D83F25" w:rsidP="00D83F25">
      <w:pPr>
        <w:pStyle w:val="FigureTitle"/>
      </w:pPr>
      <w:bookmarkStart w:id="38" w:name="_Ref71812796"/>
      <w:r w:rsidRPr="00D83F25">
        <w:t xml:space="preserve">Figure </w:t>
      </w:r>
      <w:fldSimple w:instr=" SEQ Figure \* ARABIC ">
        <w:r w:rsidR="00F204A2">
          <w:rPr>
            <w:noProof/>
          </w:rPr>
          <w:t>1</w:t>
        </w:r>
      </w:fldSimple>
      <w:bookmarkEnd w:id="38"/>
      <w:r>
        <w:t xml:space="preserve">: </w:t>
      </w:r>
      <w:r w:rsidR="005747CE">
        <w:t>Schematic r</w:t>
      </w:r>
      <w:r w:rsidRPr="00231711">
        <w:t>epresentatio</w:t>
      </w:r>
      <w:r w:rsidR="005747CE">
        <w:t>n of the structure of the adenovirus serotype 26 v</w:t>
      </w:r>
      <w:r w:rsidRPr="00231711">
        <w:t>irion</w:t>
      </w:r>
    </w:p>
    <w:p w14:paraId="474EE5C6" w14:textId="77777777" w:rsidR="00D83F25" w:rsidRDefault="00D83F25" w:rsidP="00D83F25">
      <w:r>
        <w:rPr>
          <w:noProof/>
          <w:lang w:eastAsia="en-AU"/>
        </w:rPr>
        <w:drawing>
          <wp:inline distT="0" distB="0" distL="0" distR="0" wp14:anchorId="04DA2E27" wp14:editId="082F1535">
            <wp:extent cx="3574844" cy="2501660"/>
            <wp:effectExtent l="0" t="0" r="6985" b="0"/>
            <wp:docPr id="7" name="Picture 7" descr="Schematic representation of the structure of the adenovirus serotype 26 vi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2868" cy="2507275"/>
                    </a:xfrm>
                    <a:prstGeom prst="rect">
                      <a:avLst/>
                    </a:prstGeom>
                    <a:noFill/>
                  </pic:spPr>
                </pic:pic>
              </a:graphicData>
            </a:graphic>
          </wp:inline>
        </w:drawing>
      </w:r>
    </w:p>
    <w:p w14:paraId="38D1AE27" w14:textId="77777777" w:rsidR="0068495F" w:rsidRPr="0068495F" w:rsidRDefault="0068495F" w:rsidP="0068495F">
      <w:pPr>
        <w:pStyle w:val="Heading4"/>
        <w:rPr>
          <w:snapToGrid w:val="0"/>
        </w:rPr>
      </w:pPr>
      <w:r>
        <w:rPr>
          <w:snapToGrid w:val="0"/>
        </w:rPr>
        <w:t>General properties</w:t>
      </w:r>
    </w:p>
    <w:p w14:paraId="5F12E41C" w14:textId="4BD9DC6E" w:rsidR="0068495F" w:rsidRDefault="0068495F" w:rsidP="0068495F">
      <w:r>
        <w:t>The general properties of the viral vector, Ad26</w:t>
      </w:r>
      <w:r w:rsidR="00B37F5C">
        <w:t>.COV</w:t>
      </w:r>
      <w:proofErr w:type="gramStart"/>
      <w:r w:rsidR="00B37F5C">
        <w:t>2.S</w:t>
      </w:r>
      <w:proofErr w:type="gramEnd"/>
      <w:r w:rsidR="00B37F5C">
        <w:t xml:space="preserve"> are presented in </w:t>
      </w:r>
      <w:r w:rsidR="00B37F5C">
        <w:fldChar w:fldCharType="begin"/>
      </w:r>
      <w:r w:rsidR="00B37F5C">
        <w:instrText xml:space="preserve"> REF _Ref72322381 \h </w:instrText>
      </w:r>
      <w:r w:rsidR="00B37F5C">
        <w:fldChar w:fldCharType="separate"/>
      </w:r>
      <w:r w:rsidR="00F204A2" w:rsidRPr="0068495F">
        <w:t xml:space="preserve">Table </w:t>
      </w:r>
      <w:r w:rsidR="00F204A2">
        <w:rPr>
          <w:noProof/>
        </w:rPr>
        <w:t>3</w:t>
      </w:r>
      <w:r w:rsidR="00B37F5C">
        <w:fldChar w:fldCharType="end"/>
      </w:r>
      <w:r>
        <w:t>. The sponsor has indicated that biochemical, immunological and biological properties have been determined based on the following potency parameters: transgene expression, infectious units and ratio of virus particles to infectious units.</w:t>
      </w:r>
    </w:p>
    <w:p w14:paraId="72C5ED1F" w14:textId="67EEBEB3" w:rsidR="0068495F" w:rsidRDefault="0068495F" w:rsidP="0068495F">
      <w:pPr>
        <w:pStyle w:val="TableTitle"/>
      </w:pPr>
      <w:bookmarkStart w:id="39" w:name="_Ref72322381"/>
      <w:r w:rsidRPr="0068495F">
        <w:t xml:space="preserve">Table </w:t>
      </w:r>
      <w:fldSimple w:instr=" SEQ Table \* ARABIC ">
        <w:r w:rsidR="00F204A2">
          <w:rPr>
            <w:noProof/>
          </w:rPr>
          <w:t>3</w:t>
        </w:r>
      </w:fldSimple>
      <w:bookmarkEnd w:id="39"/>
      <w:r>
        <w:t>: General properties of Ad26 COV2 S</w:t>
      </w:r>
    </w:p>
    <w:tbl>
      <w:tblPr>
        <w:tblStyle w:val="TableTGAblue"/>
        <w:tblW w:w="5000" w:type="pct"/>
        <w:tblLook w:val="04A0" w:firstRow="1" w:lastRow="0" w:firstColumn="1" w:lastColumn="0" w:noHBand="0" w:noVBand="1"/>
      </w:tblPr>
      <w:tblGrid>
        <w:gridCol w:w="1821"/>
        <w:gridCol w:w="1781"/>
        <w:gridCol w:w="2313"/>
        <w:gridCol w:w="2569"/>
      </w:tblGrid>
      <w:tr w:rsidR="0068495F" w:rsidRPr="00F51FE6" w14:paraId="754C989C" w14:textId="77777777" w:rsidTr="0068495F">
        <w:trPr>
          <w:cnfStyle w:val="100000000000" w:firstRow="1" w:lastRow="0" w:firstColumn="0" w:lastColumn="0" w:oddVBand="0" w:evenVBand="0" w:oddHBand="0" w:evenHBand="0" w:firstRowFirstColumn="0" w:firstRowLastColumn="0" w:lastRowFirstColumn="0" w:lastRowLastColumn="0"/>
        </w:trPr>
        <w:tc>
          <w:tcPr>
            <w:tcW w:w="1080" w:type="pct"/>
          </w:tcPr>
          <w:p w14:paraId="2E26AE22" w14:textId="77777777" w:rsidR="0068495F" w:rsidRPr="00467DC9" w:rsidRDefault="0068495F" w:rsidP="00467DC9">
            <w:r w:rsidRPr="00F51FE6">
              <w:t>Structure</w:t>
            </w:r>
          </w:p>
        </w:tc>
        <w:tc>
          <w:tcPr>
            <w:tcW w:w="1028" w:type="pct"/>
          </w:tcPr>
          <w:p w14:paraId="1CF3092C" w14:textId="77777777" w:rsidR="0068495F" w:rsidRPr="00467DC9" w:rsidRDefault="0068495F" w:rsidP="00467DC9">
            <w:r w:rsidRPr="00F51FE6">
              <w:t>Name</w:t>
            </w:r>
          </w:p>
        </w:tc>
        <w:tc>
          <w:tcPr>
            <w:tcW w:w="1370" w:type="pct"/>
          </w:tcPr>
          <w:p w14:paraId="32B3A704" w14:textId="77777777" w:rsidR="0068495F" w:rsidRPr="00467DC9" w:rsidRDefault="0068495F" w:rsidP="00467DC9">
            <w:r w:rsidRPr="00F51FE6">
              <w:t>Parameter</w:t>
            </w:r>
          </w:p>
        </w:tc>
        <w:tc>
          <w:tcPr>
            <w:tcW w:w="1521" w:type="pct"/>
          </w:tcPr>
          <w:p w14:paraId="311B099D" w14:textId="77777777" w:rsidR="0068495F" w:rsidRPr="00467DC9" w:rsidRDefault="0068495F" w:rsidP="00467DC9">
            <w:r w:rsidRPr="00F51FE6">
              <w:t xml:space="preserve">Measurement </w:t>
            </w:r>
          </w:p>
        </w:tc>
      </w:tr>
      <w:tr w:rsidR="0068495F" w:rsidRPr="00F51FE6" w14:paraId="51FA1337" w14:textId="77777777" w:rsidTr="0068495F">
        <w:tc>
          <w:tcPr>
            <w:tcW w:w="1080" w:type="pct"/>
          </w:tcPr>
          <w:p w14:paraId="16878AF1" w14:textId="77777777" w:rsidR="0068495F" w:rsidRPr="00467DC9" w:rsidRDefault="0068495F" w:rsidP="00467DC9">
            <w:r w:rsidRPr="00467DC9">
              <w:t>Vector particle</w:t>
            </w:r>
          </w:p>
        </w:tc>
        <w:tc>
          <w:tcPr>
            <w:tcW w:w="1028" w:type="pct"/>
          </w:tcPr>
          <w:p w14:paraId="68E9F32D" w14:textId="77777777" w:rsidR="0068495F" w:rsidRPr="00467DC9" w:rsidRDefault="0068495F" w:rsidP="00467DC9">
            <w:r w:rsidRPr="00467DC9">
              <w:t>Ad26.COV2.S</w:t>
            </w:r>
          </w:p>
        </w:tc>
        <w:tc>
          <w:tcPr>
            <w:tcW w:w="1370" w:type="pct"/>
          </w:tcPr>
          <w:p w14:paraId="7222E4F4" w14:textId="77777777" w:rsidR="0068495F" w:rsidRPr="00467DC9" w:rsidRDefault="0068495F" w:rsidP="00467DC9">
            <w:r w:rsidRPr="00467DC9">
              <w:t>Diameter</w:t>
            </w:r>
          </w:p>
        </w:tc>
        <w:tc>
          <w:tcPr>
            <w:tcW w:w="1521" w:type="pct"/>
          </w:tcPr>
          <w:p w14:paraId="3FB65C27" w14:textId="4C097E02" w:rsidR="0068495F" w:rsidRPr="00467DC9" w:rsidRDefault="00F51FE6" w:rsidP="00467DC9">
            <w:r>
              <w:t xml:space="preserve">Around </w:t>
            </w:r>
            <w:r w:rsidR="00B37F5C" w:rsidRPr="00467DC9">
              <w:t>90 nm (</w:t>
            </w:r>
            <w:r w:rsidR="0068495F" w:rsidRPr="00467DC9">
              <w:t>from vertex to vertex)a</w:t>
            </w:r>
          </w:p>
        </w:tc>
      </w:tr>
      <w:tr w:rsidR="0068495F" w:rsidRPr="00F51FE6" w14:paraId="213C0AA1" w14:textId="77777777" w:rsidTr="0068495F">
        <w:tc>
          <w:tcPr>
            <w:tcW w:w="1080" w:type="pct"/>
          </w:tcPr>
          <w:p w14:paraId="01C01707" w14:textId="77777777" w:rsidR="0068495F" w:rsidRPr="00467DC9" w:rsidRDefault="0068495F" w:rsidP="00467DC9">
            <w:r w:rsidRPr="00467DC9">
              <w:t>Vector genome</w:t>
            </w:r>
          </w:p>
        </w:tc>
        <w:tc>
          <w:tcPr>
            <w:tcW w:w="1028" w:type="pct"/>
          </w:tcPr>
          <w:p w14:paraId="41400630" w14:textId="77777777" w:rsidR="0068495F" w:rsidRPr="00467DC9" w:rsidRDefault="0068495F" w:rsidP="00467DC9">
            <w:r w:rsidRPr="00467DC9">
              <w:t>dsDNA</w:t>
            </w:r>
          </w:p>
        </w:tc>
        <w:tc>
          <w:tcPr>
            <w:tcW w:w="1370" w:type="pct"/>
          </w:tcPr>
          <w:p w14:paraId="503A4471" w14:textId="77777777" w:rsidR="0068495F" w:rsidRPr="00467DC9" w:rsidRDefault="0068495F" w:rsidP="00467DC9">
            <w:r w:rsidRPr="00467DC9">
              <w:t>Size</w:t>
            </w:r>
          </w:p>
        </w:tc>
        <w:tc>
          <w:tcPr>
            <w:tcW w:w="1521" w:type="pct"/>
          </w:tcPr>
          <w:p w14:paraId="66608E32" w14:textId="77777777" w:rsidR="0068495F" w:rsidRPr="00467DC9" w:rsidRDefault="0068495F" w:rsidP="00467DC9">
            <w:r w:rsidRPr="00467DC9">
              <w:t xml:space="preserve">33.1 </w:t>
            </w:r>
            <w:proofErr w:type="spellStart"/>
            <w:r w:rsidRPr="00467DC9">
              <w:t>kbp</w:t>
            </w:r>
            <w:proofErr w:type="spellEnd"/>
          </w:p>
        </w:tc>
      </w:tr>
      <w:tr w:rsidR="0068495F" w:rsidRPr="00F51FE6" w14:paraId="7A191823" w14:textId="77777777" w:rsidTr="0068495F">
        <w:tc>
          <w:tcPr>
            <w:tcW w:w="1080" w:type="pct"/>
          </w:tcPr>
          <w:p w14:paraId="17707CA3" w14:textId="77777777" w:rsidR="0068495F" w:rsidRPr="00467DC9" w:rsidRDefault="0068495F" w:rsidP="00467DC9">
            <w:r w:rsidRPr="00467DC9">
              <w:t>Immunogen</w:t>
            </w:r>
          </w:p>
        </w:tc>
        <w:tc>
          <w:tcPr>
            <w:tcW w:w="1028" w:type="pct"/>
          </w:tcPr>
          <w:p w14:paraId="516A2AE4" w14:textId="2333F1F6" w:rsidR="0068495F" w:rsidRPr="00467DC9" w:rsidRDefault="00B37F5C" w:rsidP="00467DC9">
            <w:r w:rsidRPr="00467DC9">
              <w:t xml:space="preserve">SARS-CoV-2 </w:t>
            </w:r>
            <w:r w:rsidR="00F51FE6">
              <w:t>s</w:t>
            </w:r>
            <w:r w:rsidRPr="00467DC9">
              <w:t>pike</w:t>
            </w:r>
            <w:r w:rsidR="0068495F" w:rsidRPr="00467DC9">
              <w:t xml:space="preserve"> protein</w:t>
            </w:r>
          </w:p>
        </w:tc>
        <w:tc>
          <w:tcPr>
            <w:tcW w:w="1370" w:type="pct"/>
          </w:tcPr>
          <w:p w14:paraId="70FC5713" w14:textId="77777777" w:rsidR="0068495F" w:rsidRPr="00467DC9" w:rsidRDefault="0068495F" w:rsidP="00467DC9">
            <w:r w:rsidRPr="00467DC9">
              <w:t>Size</w:t>
            </w:r>
          </w:p>
          <w:p w14:paraId="1BA56379" w14:textId="1AD63F0A" w:rsidR="0068495F" w:rsidRPr="00467DC9" w:rsidRDefault="0068495F" w:rsidP="00467DC9">
            <w:r w:rsidRPr="00467DC9">
              <w:t xml:space="preserve">Amino </w:t>
            </w:r>
            <w:r w:rsidR="00F51FE6">
              <w:t>a</w:t>
            </w:r>
            <w:r w:rsidRPr="00467DC9">
              <w:t>cids</w:t>
            </w:r>
          </w:p>
          <w:p w14:paraId="32E5DE44" w14:textId="283D1FDA" w:rsidR="0068495F" w:rsidRPr="00467DC9" w:rsidRDefault="0068495F" w:rsidP="00467DC9">
            <w:r w:rsidRPr="00467DC9">
              <w:t xml:space="preserve">Molecular </w:t>
            </w:r>
            <w:r w:rsidR="00F51FE6">
              <w:t>w</w:t>
            </w:r>
            <w:r w:rsidRPr="00467DC9">
              <w:t>eight</w:t>
            </w:r>
          </w:p>
        </w:tc>
        <w:tc>
          <w:tcPr>
            <w:tcW w:w="1521" w:type="pct"/>
          </w:tcPr>
          <w:p w14:paraId="378CB138" w14:textId="77777777" w:rsidR="0068495F" w:rsidRPr="00467DC9" w:rsidRDefault="0068495F" w:rsidP="00467DC9">
            <w:r w:rsidRPr="00467DC9">
              <w:t>3819 bp</w:t>
            </w:r>
          </w:p>
          <w:p w14:paraId="2B777501" w14:textId="77777777" w:rsidR="0068495F" w:rsidRPr="00467DC9" w:rsidRDefault="0068495F" w:rsidP="00467DC9">
            <w:r w:rsidRPr="00467DC9">
              <w:t>1273 (antigen sequence)</w:t>
            </w:r>
          </w:p>
          <w:p w14:paraId="20D08207" w14:textId="77777777" w:rsidR="0068495F" w:rsidRPr="00467DC9" w:rsidRDefault="0068495F" w:rsidP="00467DC9">
            <w:r w:rsidRPr="00467DC9">
              <w:t xml:space="preserve">141 </w:t>
            </w:r>
            <w:proofErr w:type="spellStart"/>
            <w:r w:rsidRPr="00467DC9">
              <w:t>kDab</w:t>
            </w:r>
            <w:proofErr w:type="spellEnd"/>
          </w:p>
        </w:tc>
      </w:tr>
    </w:tbl>
    <w:p w14:paraId="2FBFEF80" w14:textId="77777777" w:rsidR="0068495F" w:rsidRPr="00BE1F11" w:rsidRDefault="0068495F" w:rsidP="0068495F">
      <w:pPr>
        <w:pStyle w:val="TableDescription"/>
        <w:rPr>
          <w:snapToGrid w:val="0"/>
        </w:rPr>
      </w:pPr>
      <w:r w:rsidRPr="00BE1F11">
        <w:rPr>
          <w:snapToGrid w:val="0"/>
          <w:vertAlign w:val="superscript"/>
        </w:rPr>
        <w:t>a</w:t>
      </w:r>
      <w:r w:rsidRPr="00BE1F11">
        <w:rPr>
          <w:snapToGrid w:val="0"/>
        </w:rPr>
        <w:t xml:space="preserve"> San Martin, </w:t>
      </w:r>
      <w:proofErr w:type="gramStart"/>
      <w:r w:rsidRPr="00BE1F11">
        <w:rPr>
          <w:snapToGrid w:val="0"/>
        </w:rPr>
        <w:t>C.</w:t>
      </w:r>
      <w:proofErr w:type="gramEnd"/>
      <w:r>
        <w:rPr>
          <w:snapToGrid w:val="0"/>
        </w:rPr>
        <w:t xml:space="preserve"> and Burnett R.M., 2003, p57-94; </w:t>
      </w:r>
      <w:r w:rsidRPr="00BE1F11">
        <w:rPr>
          <w:snapToGrid w:val="0"/>
          <w:vertAlign w:val="superscript"/>
        </w:rPr>
        <w:t xml:space="preserve">b </w:t>
      </w:r>
      <w:r w:rsidRPr="00BE1F11">
        <w:rPr>
          <w:snapToGrid w:val="0"/>
        </w:rPr>
        <w:t>Theoretical value derived from amino acid sequence.</w:t>
      </w:r>
    </w:p>
    <w:p w14:paraId="4D68FE75" w14:textId="04ED8367" w:rsidR="00654A9B" w:rsidRDefault="0068495F" w:rsidP="00654A9B">
      <w:pPr>
        <w:pStyle w:val="TableDescription"/>
        <w:rPr>
          <w:snapToGrid w:val="0"/>
        </w:rPr>
      </w:pPr>
      <w:r w:rsidRPr="00BE1F11">
        <w:rPr>
          <w:snapToGrid w:val="0"/>
        </w:rPr>
        <w:t>dsDNA</w:t>
      </w:r>
      <w:r>
        <w:rPr>
          <w:snapToGrid w:val="0"/>
        </w:rPr>
        <w:t>:</w:t>
      </w:r>
      <w:r w:rsidR="00B37F5C">
        <w:rPr>
          <w:snapToGrid w:val="0"/>
        </w:rPr>
        <w:t xml:space="preserve"> Double stranded d</w:t>
      </w:r>
      <w:r w:rsidR="00B37F5C" w:rsidRPr="0065305E">
        <w:rPr>
          <w:snapToGrid w:val="0"/>
        </w:rPr>
        <w:t>eoxyribonucleic acid</w:t>
      </w:r>
      <w:r>
        <w:rPr>
          <w:snapToGrid w:val="0"/>
        </w:rPr>
        <w:t>;</w:t>
      </w:r>
      <w:r w:rsidRPr="00BE1F11">
        <w:rPr>
          <w:snapToGrid w:val="0"/>
        </w:rPr>
        <w:t xml:space="preserve"> </w:t>
      </w:r>
      <w:proofErr w:type="spellStart"/>
      <w:r w:rsidRPr="00BE1F11">
        <w:rPr>
          <w:snapToGrid w:val="0"/>
        </w:rPr>
        <w:t>kDa</w:t>
      </w:r>
      <w:proofErr w:type="spellEnd"/>
      <w:r>
        <w:rPr>
          <w:snapToGrid w:val="0"/>
        </w:rPr>
        <w:t>:</w:t>
      </w:r>
      <w:r w:rsidRPr="00BE1F11">
        <w:rPr>
          <w:snapToGrid w:val="0"/>
        </w:rPr>
        <w:t xml:space="preserve"> Kilo Dalton; </w:t>
      </w:r>
      <w:proofErr w:type="spellStart"/>
      <w:r w:rsidRPr="00BE1F11">
        <w:rPr>
          <w:snapToGrid w:val="0"/>
        </w:rPr>
        <w:t>kbp</w:t>
      </w:r>
      <w:proofErr w:type="spellEnd"/>
      <w:r>
        <w:rPr>
          <w:snapToGrid w:val="0"/>
        </w:rPr>
        <w:t>:</w:t>
      </w:r>
      <w:r w:rsidRPr="00BE1F11">
        <w:rPr>
          <w:snapToGrid w:val="0"/>
        </w:rPr>
        <w:t xml:space="preserve"> Kilobase pairs</w:t>
      </w:r>
      <w:r w:rsidR="003C383F">
        <w:rPr>
          <w:snapToGrid w:val="0"/>
        </w:rPr>
        <w:t>; bp: Base pairs.</w:t>
      </w:r>
    </w:p>
    <w:p w14:paraId="18546B26" w14:textId="5FF44D08" w:rsidR="003C383F" w:rsidRDefault="003C383F" w:rsidP="003C383F">
      <w:pPr>
        <w:rPr>
          <w:b/>
          <w:bCs/>
        </w:rPr>
      </w:pPr>
      <w:r w:rsidRPr="003C383F">
        <w:t>The S protein sequence in the COVID-19 Vaccine Janssen (Ad26.COV2.S) is</w:t>
      </w:r>
      <w:r>
        <w:t xml:space="preserve"> based upon one of the earliest</w:t>
      </w:r>
      <w:r w:rsidRPr="003C383F">
        <w:t xml:space="preserve"> SARS-CoV-2 genomes to be isolated and fully characterised </w:t>
      </w:r>
    </w:p>
    <w:p w14:paraId="37F2F736" w14:textId="2BDB54E4" w:rsidR="0068495F" w:rsidRPr="0068495F" w:rsidRDefault="0068495F" w:rsidP="0068495F">
      <w:pPr>
        <w:pStyle w:val="Heading4"/>
        <w:rPr>
          <w:snapToGrid w:val="0"/>
        </w:rPr>
      </w:pPr>
      <w:r w:rsidRPr="0068495F">
        <w:rPr>
          <w:snapToGrid w:val="0"/>
        </w:rPr>
        <w:t>Genetic modifications</w:t>
      </w:r>
    </w:p>
    <w:p w14:paraId="7F02A243" w14:textId="32F6295E" w:rsidR="0068495F" w:rsidRPr="0068495F" w:rsidRDefault="0068495F" w:rsidP="0068495F">
      <w:pPr>
        <w:rPr>
          <w:snapToGrid w:val="0"/>
        </w:rPr>
      </w:pPr>
      <w:r w:rsidRPr="0068495F">
        <w:rPr>
          <w:snapToGrid w:val="0"/>
        </w:rPr>
        <w:t xml:space="preserve">The recombinant Ad26 vector, Ad26.COV2.S, is replication </w:t>
      </w:r>
      <w:r>
        <w:rPr>
          <w:snapToGrid w:val="0"/>
        </w:rPr>
        <w:t xml:space="preserve">incompetent due to deletions in </w:t>
      </w:r>
      <w:r w:rsidR="00794F56">
        <w:rPr>
          <w:snapToGrid w:val="0"/>
        </w:rPr>
        <w:t xml:space="preserve">the </w:t>
      </w:r>
      <w:r w:rsidR="00B37F5C">
        <w:rPr>
          <w:snapToGrid w:val="0"/>
        </w:rPr>
        <w:t xml:space="preserve">early protein </w:t>
      </w:r>
      <w:r w:rsidRPr="0068495F">
        <w:rPr>
          <w:snapToGrid w:val="0"/>
        </w:rPr>
        <w:t>E1.</w:t>
      </w:r>
      <w:r w:rsidR="00D6444C">
        <w:rPr>
          <w:rStyle w:val="FootnoteReference"/>
          <w:snapToGrid w:val="0"/>
        </w:rPr>
        <w:footnoteReference w:id="18"/>
      </w:r>
      <w:r w:rsidRPr="0068495F">
        <w:rPr>
          <w:snapToGrid w:val="0"/>
        </w:rPr>
        <w:t xml:space="preserve"> The E1 deletion renders the ve</w:t>
      </w:r>
      <w:r w:rsidR="00B37F5C">
        <w:rPr>
          <w:snapToGrid w:val="0"/>
        </w:rPr>
        <w:t xml:space="preserve">ctor replication </w:t>
      </w:r>
      <w:r>
        <w:rPr>
          <w:snapToGrid w:val="0"/>
        </w:rPr>
        <w:t>incompetent in non</w:t>
      </w:r>
      <w:r w:rsidR="00126461">
        <w:rPr>
          <w:snapToGrid w:val="0"/>
        </w:rPr>
        <w:noBreakHyphen/>
      </w:r>
      <w:r>
        <w:rPr>
          <w:snapToGrid w:val="0"/>
        </w:rPr>
        <w:t xml:space="preserve">complementing </w:t>
      </w:r>
      <w:r w:rsidR="00654A9B">
        <w:rPr>
          <w:snapToGrid w:val="0"/>
        </w:rPr>
        <w:t>cells such as human cells.</w:t>
      </w:r>
    </w:p>
    <w:p w14:paraId="2317E7C4" w14:textId="77777777" w:rsidR="0068495F" w:rsidRDefault="0068495F" w:rsidP="0068495F">
      <w:pPr>
        <w:pStyle w:val="Heading4"/>
      </w:pPr>
      <w:r w:rsidRPr="00E845B4">
        <w:t>Shelf life and storage conditions</w:t>
      </w:r>
    </w:p>
    <w:p w14:paraId="3FE27323" w14:textId="13740D39" w:rsidR="000E6BC3" w:rsidRPr="000E6BC3" w:rsidRDefault="00A706CD" w:rsidP="00A706CD">
      <w:r w:rsidRPr="00A706CD">
        <w:t>Store at 2 to 8°C for 3 months. Store in original container. Protect from light.</w:t>
      </w:r>
    </w:p>
    <w:p w14:paraId="47E0260D" w14:textId="66F86DBE" w:rsidR="00F415DE" w:rsidRDefault="00F415DE" w:rsidP="00F415DE">
      <w:pPr>
        <w:pStyle w:val="Heading4"/>
      </w:pPr>
      <w:r>
        <w:t>Conclusion and recommendation</w:t>
      </w:r>
    </w:p>
    <w:p w14:paraId="7D2096D0" w14:textId="3E8C8164" w:rsidR="00D83F25" w:rsidRDefault="00D83F25" w:rsidP="00D61EFB">
      <w:r>
        <w:t>There are no significant issues identified from the quality evaluation of the submitted data that would indicate the product should not be provisionally registered on the basis of quality, or safety</w:t>
      </w:r>
      <w:r w:rsidR="002D3051">
        <w:t xml:space="preserve"> </w:t>
      </w:r>
      <w:r>
        <w:t>related issues arising from the quality of the product. The manufacturing qualit</w:t>
      </w:r>
      <w:r w:rsidR="003C383F">
        <w:t>y information submitted by the s</w:t>
      </w:r>
      <w:r>
        <w:t>ponsor support the provis</w:t>
      </w:r>
      <w:r w:rsidR="006167B8">
        <w:t>ional registration of COVID-19 V</w:t>
      </w:r>
      <w:r>
        <w:t>accine Janssen (Ad26.COV2.S).</w:t>
      </w:r>
    </w:p>
    <w:p w14:paraId="66469E73" w14:textId="4AAB7A30" w:rsidR="0068495F" w:rsidRDefault="00D61EFB" w:rsidP="00D61EFB">
      <w:r>
        <w:t>However, it should be noted that there are some issues that need to be fully resolved before it is possible to provide assurances that the product is able to meet all of the requirements of the Therapeutics Goods Act 1989 and its as</w:t>
      </w:r>
      <w:r w:rsidR="00654A9B">
        <w:t>sociated instruments.</w:t>
      </w:r>
    </w:p>
    <w:p w14:paraId="3E398967" w14:textId="77777777" w:rsidR="005136CA" w:rsidRDefault="00B16A50" w:rsidP="005136CA">
      <w:pPr>
        <w:pStyle w:val="Heading4"/>
      </w:pPr>
      <w:r>
        <w:t>Proposed quality conditions of registration</w:t>
      </w:r>
    </w:p>
    <w:p w14:paraId="34B85DD0" w14:textId="77777777" w:rsidR="005136CA" w:rsidRPr="005136CA" w:rsidRDefault="005136CA" w:rsidP="005136CA">
      <w:pPr>
        <w:rPr>
          <w:b/>
        </w:rPr>
      </w:pPr>
      <w:r w:rsidRPr="005136CA">
        <w:rPr>
          <w:b/>
        </w:rPr>
        <w:t>Batch Release Testing and Compliance</w:t>
      </w:r>
    </w:p>
    <w:p w14:paraId="1FF3BAFF" w14:textId="212737B6" w:rsidR="005136CA" w:rsidRDefault="005136CA" w:rsidP="005136CA">
      <w:r>
        <w:t xml:space="preserve">It is a condition of registration that all independent batches of COVID-19 </w:t>
      </w:r>
      <w:r w:rsidR="00126461">
        <w:t>V</w:t>
      </w:r>
      <w:r>
        <w:t>accine Janssen (Ad26.COV2.S) vaccine imported into Australia are not released for sale until samples and the manufacturer’s release data have been assessed and you have received notification acknowledging release from the Laboratories Branch, TGA.</w:t>
      </w:r>
    </w:p>
    <w:p w14:paraId="64599895" w14:textId="4EF49232" w:rsidR="005136CA" w:rsidRDefault="005136CA" w:rsidP="005136CA">
      <w:r>
        <w:t xml:space="preserve">For each independent batch of the product imported into Australia, the </w:t>
      </w:r>
      <w:r w:rsidR="00126461">
        <w:t>s</w:t>
      </w:r>
      <w:r>
        <w:t>ponsor must supply the following:</w:t>
      </w:r>
    </w:p>
    <w:p w14:paraId="5C3F8510" w14:textId="77777777" w:rsidR="005136CA" w:rsidRDefault="005136CA" w:rsidP="005136CA">
      <w:pPr>
        <w:pStyle w:val="ListBullet"/>
      </w:pPr>
      <w:r>
        <w:t>A completed Request for Release Form, available from vaccines@health.gov.au.</w:t>
      </w:r>
    </w:p>
    <w:p w14:paraId="0BE09719" w14:textId="573E4BD8" w:rsidR="005136CA" w:rsidRDefault="005136CA" w:rsidP="002D3051">
      <w:pPr>
        <w:pStyle w:val="ListBullet"/>
      </w:pPr>
      <w:r>
        <w:t xml:space="preserve">Complete summary protocols for manufacture and </w:t>
      </w:r>
      <w:r w:rsidR="002D3051" w:rsidRPr="002D3051">
        <w:t xml:space="preserve">quality control </w:t>
      </w:r>
      <w:r w:rsidR="002D3051">
        <w:t>(</w:t>
      </w:r>
      <w:r>
        <w:t>QC</w:t>
      </w:r>
      <w:r w:rsidR="002D3051">
        <w:t>)</w:t>
      </w:r>
      <w:r>
        <w:t>, including all steps in production in the agreed format.</w:t>
      </w:r>
    </w:p>
    <w:p w14:paraId="42115D38" w14:textId="081EE509" w:rsidR="005136CA" w:rsidRDefault="00DD20D9" w:rsidP="005136CA">
      <w:pPr>
        <w:pStyle w:val="ListBullet"/>
      </w:pPr>
      <w:r>
        <w:t>At least 20 (twenty) vials (s</w:t>
      </w:r>
      <w:r w:rsidR="005136CA">
        <w:t>amples) of each manufacturing batch of J</w:t>
      </w:r>
      <w:r>
        <w:t>anssen COVID-19 vaccine</w:t>
      </w:r>
      <w:r w:rsidR="005136CA">
        <w:t xml:space="preserve">-Ad26.COV2.S with the Australian approved labels, </w:t>
      </w:r>
      <w:r w:rsidR="00BF38E9">
        <w:t>Product Information (</w:t>
      </w:r>
      <w:r w:rsidR="005136CA">
        <w:t>PI</w:t>
      </w:r>
      <w:r w:rsidR="00BF38E9">
        <w:t>)</w:t>
      </w:r>
      <w:r w:rsidR="005136CA">
        <w:t xml:space="preserve"> and packaging (unless an exemption to supply these has been granted) representative of all batches of product seeking distribution in Australia.</w:t>
      </w:r>
    </w:p>
    <w:p w14:paraId="2F31FD98" w14:textId="75318FDE" w:rsidR="005136CA" w:rsidRDefault="00DD20D9" w:rsidP="005136CA">
      <w:pPr>
        <w:pStyle w:val="ListBullet"/>
      </w:pPr>
      <w:r>
        <w:t>At least 5 (five) vials (s</w:t>
      </w:r>
      <w:r w:rsidR="005136CA">
        <w:t>amples) of any further consignment</w:t>
      </w:r>
      <w:r>
        <w:t>s of a manufacturing batch of</w:t>
      </w:r>
      <w:r w:rsidR="005136CA">
        <w:t xml:space="preserve"> </w:t>
      </w:r>
      <w:r>
        <w:t>Janssen COVID-19 vaccine</w:t>
      </w:r>
      <w:r w:rsidR="005136CA">
        <w:t>-Ad26.COV2.S with the Australian approved labels, PI and packaging (unless an exemption to supply these has been granted). Further consignments cover batches previously supplied to TGA for the purposes of batch release testing but are seeking to be supplied again.</w:t>
      </w:r>
    </w:p>
    <w:p w14:paraId="2BDA784D" w14:textId="5D791702" w:rsidR="005136CA" w:rsidRDefault="005136CA" w:rsidP="005136CA">
      <w:pPr>
        <w:pStyle w:val="ListBullet"/>
      </w:pPr>
      <w:r>
        <w:t>If the manufacturing batch has been released in Europe or United Kingdom</w:t>
      </w:r>
      <w:r w:rsidR="0035373F">
        <w:t xml:space="preserve"> (UK)</w:t>
      </w:r>
      <w:r>
        <w:t xml:space="preserve"> a copy of the EU Official Control Authority Batch Release (OCABR) certificate (or equivalent from the UK) must be provided.</w:t>
      </w:r>
    </w:p>
    <w:p w14:paraId="7745F1C5" w14:textId="77777777" w:rsidR="00B16A50" w:rsidRDefault="005136CA" w:rsidP="005136CA">
      <w:pPr>
        <w:pStyle w:val="ListBullet"/>
      </w:pPr>
      <w:r>
        <w:t>Any reagents, reference material and standards required to undertake testing, as requested by Laboratories Branch, TGA.</w:t>
      </w:r>
    </w:p>
    <w:p w14:paraId="5158FD90" w14:textId="4CD98E99" w:rsidR="005136CA" w:rsidRDefault="005136CA" w:rsidP="005136CA">
      <w:r w:rsidRPr="005136CA">
        <w:t>Spons</w:t>
      </w:r>
      <w:r w:rsidR="00DD20D9">
        <w:t>ors must provide all requested s</w:t>
      </w:r>
      <w:r w:rsidRPr="005136CA">
        <w:t>amples and dat</w:t>
      </w:r>
      <w:r w:rsidR="0035373F">
        <w:t>a in sufficient time (at least five</w:t>
      </w:r>
      <w:r w:rsidRPr="005136CA">
        <w:t xml:space="preserve"> business days) prior to any distribution date to allow the TGA to perform testing and review. Distribution of each</w:t>
      </w:r>
      <w:r>
        <w:t xml:space="preserve"> batch of vaccine is conditional upon fulfilment of these conditions and receipt of a letter from the Laboratories Branch acknowledging release.</w:t>
      </w:r>
    </w:p>
    <w:p w14:paraId="5E0465D6" w14:textId="77777777" w:rsidR="005136CA" w:rsidRDefault="005136CA" w:rsidP="005136CA">
      <w:r>
        <w:t>Samples and data should be forwarded to the Biotherapeutics Section, Laboratories Branch before release of each batch and with sufficient lead time to allow for Laboratories Branch testing.</w:t>
      </w:r>
    </w:p>
    <w:p w14:paraId="69C3AB7D" w14:textId="049BBDB8" w:rsidR="005136CA" w:rsidRDefault="005136CA" w:rsidP="005136CA">
      <w:r>
        <w:t>The shipments (including reagents) to TGA are the re</w:t>
      </w:r>
      <w:r w:rsidR="00DD20D9">
        <w:t>sponsibility of the Australian sponsor/a</w:t>
      </w:r>
      <w:r>
        <w:t>gent who will be required to facilitate the import and customs clearance process.</w:t>
      </w:r>
    </w:p>
    <w:p w14:paraId="1296D811" w14:textId="77777777" w:rsidR="005136CA" w:rsidRPr="005136CA" w:rsidRDefault="005136CA" w:rsidP="005136CA">
      <w:r>
        <w:rPr>
          <w:b/>
          <w:bCs/>
        </w:rPr>
        <w:t>Certified Product Details</w:t>
      </w:r>
    </w:p>
    <w:p w14:paraId="3FEBCF1B" w14:textId="75D3E692" w:rsidR="005136CA" w:rsidRPr="005136CA" w:rsidRDefault="005136CA" w:rsidP="00DD20D9">
      <w:pPr>
        <w:spacing w:before="240"/>
      </w:pPr>
      <w:r w:rsidRPr="005136CA">
        <w:t xml:space="preserve">An electronic copy of the Certified Product Details (CPD) as described in Guidance 7: Certified Product Details of the Australian Regulatory Guidelines for Prescription Medicines (ARGPM) https://www.tga.gov.au/guidance-7-certified-product-details should be provided upon registration of the therapeutic good. In addition, an updated CPD, for the above products incorporating the approved changes is to be provided within one month of the date of approval letter. A template for preparation of CPD for biological prescription </w:t>
      </w:r>
      <w:r w:rsidR="0035373F">
        <w:t>medicines and v</w:t>
      </w:r>
      <w:r w:rsidRPr="005136CA">
        <w:t>accines can be obtained from the TGA website https://www.tga.gov.au/form/certified-product-details-cpd-bi</w:t>
      </w:r>
      <w:r w:rsidR="00DD20D9">
        <w:t>ological-prescription-medicines</w:t>
      </w:r>
      <w:r w:rsidRPr="005136CA">
        <w:t>. The CPD should be sent as a single bookmarked PDF document to Vaccines@health.gov.au as soon as possible after registration/approval of the product or any subsequent changes as indicated above.</w:t>
      </w:r>
    </w:p>
    <w:p w14:paraId="54750ADC" w14:textId="77777777" w:rsidR="008E7846" w:rsidRDefault="008E7846" w:rsidP="008E7846">
      <w:pPr>
        <w:pStyle w:val="Heading3"/>
      </w:pPr>
      <w:bookmarkStart w:id="40" w:name="_Toc314842512"/>
      <w:bookmarkStart w:id="41" w:name="_Toc75438460"/>
      <w:r>
        <w:t>Nonclinical</w:t>
      </w:r>
      <w:bookmarkEnd w:id="40"/>
      <w:bookmarkEnd w:id="41"/>
    </w:p>
    <w:p w14:paraId="292E81C6" w14:textId="4863DF8C" w:rsidR="00F415DE" w:rsidRDefault="00654A9B" w:rsidP="00F415DE">
      <w:r>
        <w:t xml:space="preserve">The composition of the nonclinical dossier submitted met regulatory guidelines for vaccines. </w:t>
      </w:r>
      <w:r w:rsidR="00F415DE">
        <w:t xml:space="preserve">The nonclinical evaluator </w:t>
      </w:r>
      <w:r>
        <w:t>was satisfied</w:t>
      </w:r>
      <w:r w:rsidR="00F415DE">
        <w:t xml:space="preserve"> that the sponsor had conducted adequate studies on pharmacology and toxicity of the vaccine. All safety related studies were performed under Good Labora</w:t>
      </w:r>
      <w:r>
        <w:t>tory Practice (GLP) conditions.</w:t>
      </w:r>
    </w:p>
    <w:p w14:paraId="78355953" w14:textId="643B88F2" w:rsidR="00F415DE" w:rsidRDefault="00DB3F9A" w:rsidP="00F415DE">
      <w:r>
        <w:t>The COVID-19 Vaccine Janssen (</w:t>
      </w:r>
      <w:r w:rsidR="00F415DE">
        <w:t>Ad26.COV2.S</w:t>
      </w:r>
      <w:r>
        <w:t>)</w:t>
      </w:r>
      <w:r w:rsidR="00F415DE">
        <w:t xml:space="preserve"> was immunogenic in BALB/c mice, Syrian hamsters, rabbits and rhesus</w:t>
      </w:r>
      <w:r w:rsidR="00DD20D9">
        <w:t xml:space="preserve"> monkeys. Ad26.COV2.S induced T helper (Th) 1 </w:t>
      </w:r>
      <w:r w:rsidR="00F415DE">
        <w:t xml:space="preserve">skewed humoral and cellular immune responses in the animal models. Antibodies neutralised virus strains isolated at the beginning of the pandemic as well as the D614G mutant. </w:t>
      </w:r>
      <w:r w:rsidR="00654A9B">
        <w:t>However, a</w:t>
      </w:r>
      <w:r w:rsidR="00F415DE">
        <w:t>nimal data on immune responses and protective efficacy (in hamsters and monkeys) were generally of short duration.</w:t>
      </w:r>
    </w:p>
    <w:p w14:paraId="31B0C189" w14:textId="6C735AB3" w:rsidR="00F415DE" w:rsidRDefault="00F415DE" w:rsidP="00F415DE">
      <w:r>
        <w:t xml:space="preserve">The protective efficacy of </w:t>
      </w:r>
      <w:r w:rsidR="003C383F">
        <w:t xml:space="preserve">the COVID-19 </w:t>
      </w:r>
      <w:proofErr w:type="spellStart"/>
      <w:r w:rsidR="003C383F">
        <w:t>Vacine</w:t>
      </w:r>
      <w:proofErr w:type="spellEnd"/>
      <w:r w:rsidR="003C383F">
        <w:t xml:space="preserve"> Janssen (Ad26.COV2.S)</w:t>
      </w:r>
      <w:r>
        <w:t xml:space="preserve"> against disease caused by SARS-CoV-2 was demonstrated in Syrian hamsters (including in a severe disease model) and in adult and aged rhesus </w:t>
      </w:r>
      <w:r w:rsidR="0035373F">
        <w:t xml:space="preserve">monkeys. No evidence of vaccine </w:t>
      </w:r>
      <w:r>
        <w:t>elicited disease enhancement was observed in any of the protection studies. The proposed single dose regimen were supported by the nonclinical data, although immune responses were slightly increased with prime-boost regimens. The duration of protection after immunisation was not investigated (</w:t>
      </w:r>
      <w:r w:rsidR="00C74F54">
        <w:t xml:space="preserve">there are ongoing clinical studies in monkeys and results </w:t>
      </w:r>
      <w:r>
        <w:t>shou</w:t>
      </w:r>
      <w:r w:rsidR="00C74F54">
        <w:t>ld be provided when available).</w:t>
      </w:r>
    </w:p>
    <w:p w14:paraId="64FD6C53" w14:textId="7A37013B" w:rsidR="00F415DE" w:rsidRDefault="00F415DE" w:rsidP="00F415DE">
      <w:r>
        <w:t>The sponsor did not submit any nonclinical studies to assess directly the potential effects of an immune response towards the</w:t>
      </w:r>
      <w:r w:rsidR="00C74F54">
        <w:t xml:space="preserve"> Ad26 vector. According to the s</w:t>
      </w:r>
      <w:r>
        <w:t xml:space="preserve">ponsor, based on data from other vaccines using the same vector platform the presence of </w:t>
      </w:r>
      <w:r w:rsidR="00C74F54" w:rsidRPr="00C74F54">
        <w:t xml:space="preserve">neutralising </w:t>
      </w:r>
      <w:r w:rsidR="00C74F54">
        <w:t>antibodies (</w:t>
      </w:r>
      <w:proofErr w:type="spellStart"/>
      <w:r>
        <w:t>nAb</w:t>
      </w:r>
      <w:proofErr w:type="spellEnd"/>
      <w:r w:rsidR="00C74F54">
        <w:t>)</w:t>
      </w:r>
      <w:r>
        <w:t xml:space="preserve"> to Ad26 did not affect immune responses to a variety of antigens.</w:t>
      </w:r>
    </w:p>
    <w:p w14:paraId="693197E6" w14:textId="79E06097" w:rsidR="00F415DE" w:rsidRDefault="00F415DE" w:rsidP="00F415DE">
      <w:r>
        <w:t>No separate safety pharmacology studies were submitted. The repeat-dose toxicity studies with Ad26.COV2.S and other Ad26</w:t>
      </w:r>
      <w:r w:rsidR="00021AD2">
        <w:t xml:space="preserve"> </w:t>
      </w:r>
      <w:r>
        <w:t xml:space="preserve">based vaccines do not suggest that these vaccines have a significant impact on </w:t>
      </w:r>
      <w:r w:rsidR="00263AA2">
        <w:t>c</w:t>
      </w:r>
      <w:r w:rsidR="00263AA2" w:rsidRPr="00263AA2">
        <w:t xml:space="preserve">entral nervous system </w:t>
      </w:r>
      <w:r w:rsidR="00263AA2">
        <w:t>(</w:t>
      </w:r>
      <w:r>
        <w:t>CNS</w:t>
      </w:r>
      <w:r w:rsidR="00263AA2">
        <w:t>)</w:t>
      </w:r>
      <w:r>
        <w:t>, cardiovascular or respiratory function. Biodistribution data found no vector distribution in the brain or heart.</w:t>
      </w:r>
    </w:p>
    <w:p w14:paraId="2E9D340A" w14:textId="042F7B4F" w:rsidR="00F415DE" w:rsidRDefault="00F415DE" w:rsidP="00F415DE">
      <w:r>
        <w:t xml:space="preserve">The sponsor submitted two single dose vaccine biodistribution studies in rabbits using the same Ad26 vector platform to assess the distribution, persistence and clearance of vector following </w:t>
      </w:r>
      <w:r w:rsidR="00021AD2">
        <w:t xml:space="preserve">intramuscular (IM) </w:t>
      </w:r>
      <w:r>
        <w:t>administration. Vector detection was limited to the injection site muscle or skin, draining lymph nodes and to a lesser extent, the spleen, and was largely cleared 180 days post-immunisation. No vector was detected in the brain or gonads.</w:t>
      </w:r>
    </w:p>
    <w:p w14:paraId="5FE2232C" w14:textId="4E370D5C" w:rsidR="00F415DE" w:rsidRDefault="00DB3F9A" w:rsidP="00F415DE">
      <w:r>
        <w:t>The COVID-19 Vaccine Janssen (</w:t>
      </w:r>
      <w:r w:rsidR="00F415DE">
        <w:t>Ad26.COV2.S</w:t>
      </w:r>
      <w:r>
        <w:t>)</w:t>
      </w:r>
      <w:r w:rsidR="00F415DE">
        <w:t xml:space="preserve"> is expected to have negligible risks of integrating into the human genome or recombination with other human adenoviruses.</w:t>
      </w:r>
    </w:p>
    <w:p w14:paraId="016C2A07" w14:textId="3ECB9095" w:rsidR="00F415DE" w:rsidRDefault="00F415DE" w:rsidP="00F415DE">
      <w:r>
        <w:t>A single repeat-dose toxicity study by the IM r</w:t>
      </w:r>
      <w:r w:rsidR="00263AA2">
        <w:t xml:space="preserve">oute was conducted in rabbits (three doses with two </w:t>
      </w:r>
      <w:r>
        <w:t>week</w:t>
      </w:r>
      <w:r w:rsidR="00021AD2">
        <w:t>s</w:t>
      </w:r>
      <w:r>
        <w:t xml:space="preserve"> dosing int</w:t>
      </w:r>
      <w:r w:rsidR="00F91BD8">
        <w:t>ervals). Use of a single species (rabbit</w:t>
      </w:r>
      <w:r w:rsidR="00654A9B">
        <w:t>) was</w:t>
      </w:r>
      <w:r>
        <w:t xml:space="preserve"> consistent with the relevant guidelines and demonstration of good immunogenicity. Aside from the anticipated pharmacological response (transient acute inflammation at the injection site and increases in body temperature, white blood cell counts and plasma inflammatory proteins and increased lymphoid cellularity of germinal centres in the draining lymph nodes and spleen), no target organs for toxicity were identified. Ad26.COV2.S was generally well tolerated.</w:t>
      </w:r>
    </w:p>
    <w:p w14:paraId="2D94F642" w14:textId="6963DA69" w:rsidR="00F415DE" w:rsidRDefault="00DB3F9A" w:rsidP="00F415DE">
      <w:r>
        <w:t>The COVID-19 Vaccine Janssen (</w:t>
      </w:r>
      <w:r w:rsidR="00F415DE">
        <w:t>Ad26.COV2</w:t>
      </w:r>
      <w:r w:rsidR="00263AA2">
        <w:t>.S</w:t>
      </w:r>
      <w:r>
        <w:t>) given</w:t>
      </w:r>
      <w:r w:rsidR="00263AA2">
        <w:t xml:space="preserve"> by IM injection in rabbits (three</w:t>
      </w:r>
      <w:r w:rsidR="00F415DE">
        <w:t xml:space="preserve"> doses, each 26 times the clinical dose on a mg/kg basis) did not affect embryofetal development or postnatal development of offspring up to 28 days age. The exposure</w:t>
      </w:r>
      <w:r w:rsidR="00021AD2">
        <w:t xml:space="preserve"> of </w:t>
      </w:r>
      <w:proofErr w:type="spellStart"/>
      <w:r w:rsidR="00021AD2">
        <w:t>fetuses</w:t>
      </w:r>
      <w:proofErr w:type="spellEnd"/>
      <w:r w:rsidR="00021AD2">
        <w:t xml:space="preserve"> and kits to vaccine </w:t>
      </w:r>
      <w:r w:rsidR="00F415DE">
        <w:t>specif</w:t>
      </w:r>
      <w:r w:rsidR="00021AD2">
        <w:t>ic antibodies was demonstrated.</w:t>
      </w:r>
    </w:p>
    <w:p w14:paraId="46B7FFCB" w14:textId="41F1FD79" w:rsidR="00F415DE" w:rsidRDefault="00DB3F9A" w:rsidP="00F415DE">
      <w:r>
        <w:t>The COVID-19 Vaccine Janssen (</w:t>
      </w:r>
      <w:r w:rsidR="00F415DE">
        <w:t>Ad26.COV2.S</w:t>
      </w:r>
      <w:r>
        <w:t>)</w:t>
      </w:r>
      <w:r w:rsidR="00F415DE">
        <w:t xml:space="preserve"> was well tolerated locally in rabbits.</w:t>
      </w:r>
    </w:p>
    <w:p w14:paraId="1BDCEE78" w14:textId="77777777" w:rsidR="00F415DE" w:rsidRDefault="00F415DE" w:rsidP="00F415DE">
      <w:pPr>
        <w:pStyle w:val="Heading4"/>
      </w:pPr>
      <w:r>
        <w:t>Conclusion and recommendation</w:t>
      </w:r>
    </w:p>
    <w:p w14:paraId="05B539FA" w14:textId="77777777" w:rsidR="00071F01" w:rsidRDefault="00071F01" w:rsidP="00071F01">
      <w:r>
        <w:t xml:space="preserve">Primary pharmacology studies indicate the vaccine elicits both neutralising antibody and cellular immune responses to the spike antigen in animal models, and is protective in animal models of SARS-CoV-2 infection, including in a severe disease hamster model and in aged monkeys. </w:t>
      </w:r>
    </w:p>
    <w:p w14:paraId="147DF122" w14:textId="0B0C3841" w:rsidR="00071F01" w:rsidRDefault="00071F01" w:rsidP="00071F01">
      <w:r>
        <w:t>Neutralising antibody titres showed a slight tendency to decrease following a single immunisation in hamsters, but were relatively stable for up to 14 weeks in rabbits and monkeys. A long</w:t>
      </w:r>
      <w:r w:rsidR="009D3B60">
        <w:t xml:space="preserve"> </w:t>
      </w:r>
      <w:r>
        <w:t>term follow up study in monkeys is in progress.</w:t>
      </w:r>
    </w:p>
    <w:p w14:paraId="3E985981" w14:textId="77777777" w:rsidR="00071F01" w:rsidRDefault="00071F01" w:rsidP="00071F01">
      <w:r>
        <w:t>The potential for neutralising antibodies against the Ad26 vector to impair the immune response to Ad26.COV2.S was not examined, but appears unlikely based on data from other vaccines using the same vector platform.</w:t>
      </w:r>
    </w:p>
    <w:p w14:paraId="75AE6D85" w14:textId="77777777" w:rsidR="00071F01" w:rsidRDefault="00071F01" w:rsidP="00071F01">
      <w:r>
        <w:t>New variants are continuously emerging and require testing to confirm effective immunity and protection by Ad26.COV2.S.</w:t>
      </w:r>
    </w:p>
    <w:p w14:paraId="3FAC8858" w14:textId="38087934" w:rsidR="00071F01" w:rsidRDefault="00071F01" w:rsidP="00071F01">
      <w:r>
        <w:t>A repeat dose toxicity study with the proposed vaccine in rabbits rai</w:t>
      </w:r>
      <w:r w:rsidR="009D3B60">
        <w:t xml:space="preserve">sed no safety issues. Treatment </w:t>
      </w:r>
      <w:r>
        <w:t xml:space="preserve">related findings were limited to transient acute inflammation at the injection sites and evidence of a systemic immune response. </w:t>
      </w:r>
    </w:p>
    <w:p w14:paraId="58F769B7" w14:textId="77777777" w:rsidR="00F415DE" w:rsidRDefault="00071F01" w:rsidP="00F415DE">
      <w:r>
        <w:t xml:space="preserve">A reproductive toxicity study in female rabbits found no adverse effects on embryofetal development or postnatal development of offspring up to 28 days age. </w:t>
      </w:r>
      <w:r w:rsidR="00F415DE">
        <w:t>The nonclinical evaluator considered that the Pregnancy Category B1;</w:t>
      </w:r>
      <w:r w:rsidR="00F415DE">
        <w:rPr>
          <w:rStyle w:val="FootnoteReference"/>
        </w:rPr>
        <w:footnoteReference w:id="19"/>
      </w:r>
      <w:r w:rsidR="00F415DE">
        <w:t xml:space="preserve"> was acceptable.</w:t>
      </w:r>
    </w:p>
    <w:p w14:paraId="269F71D7" w14:textId="749ECBC1" w:rsidR="008E7846" w:rsidRDefault="00F415DE" w:rsidP="00F415DE">
      <w:r>
        <w:t>There were no nonclinical objections to the provisional re</w:t>
      </w:r>
      <w:r w:rsidR="009D3B60">
        <w:t xml:space="preserve">gistration of the vaccine. Long </w:t>
      </w:r>
      <w:r>
        <w:t>term immunity studies are underway and should be submitted when available.</w:t>
      </w:r>
    </w:p>
    <w:p w14:paraId="4DDF0F36" w14:textId="77777777" w:rsidR="008E7846" w:rsidRDefault="008E7846" w:rsidP="00126461">
      <w:pPr>
        <w:pStyle w:val="Heading3"/>
      </w:pPr>
      <w:bookmarkStart w:id="42" w:name="_Toc247691530"/>
      <w:bookmarkStart w:id="43" w:name="_Toc314842513"/>
      <w:bookmarkStart w:id="44" w:name="_Toc75438461"/>
      <w:r>
        <w:t>Clinical</w:t>
      </w:r>
      <w:bookmarkEnd w:id="42"/>
      <w:bookmarkEnd w:id="43"/>
      <w:bookmarkEnd w:id="44"/>
    </w:p>
    <w:p w14:paraId="015756C0" w14:textId="50D8DD82" w:rsidR="007B6132" w:rsidRDefault="00006FAB" w:rsidP="00E96104">
      <w:pPr>
        <w:keepNext/>
      </w:pPr>
      <w:bookmarkStart w:id="45" w:name="_Toc314842514"/>
      <w:r w:rsidRPr="00006FAB">
        <w:t>The clinical dossier consisted</w:t>
      </w:r>
      <w:r w:rsidR="00D52787">
        <w:t xml:space="preserve"> of</w:t>
      </w:r>
      <w:r w:rsidR="00C76DB5">
        <w:t xml:space="preserve"> the following:</w:t>
      </w:r>
    </w:p>
    <w:p w14:paraId="0EA7A5D9" w14:textId="41F5DDE7" w:rsidR="00D52787" w:rsidRDefault="00C76DB5" w:rsidP="00D52787">
      <w:pPr>
        <w:pStyle w:val="ListBullet"/>
      </w:pPr>
      <w:r>
        <w:t xml:space="preserve">one </w:t>
      </w:r>
      <w:r w:rsidR="00D52787">
        <w:t>Phase I/</w:t>
      </w:r>
      <w:proofErr w:type="spellStart"/>
      <w:r w:rsidR="00D52787">
        <w:t>IIa</w:t>
      </w:r>
      <w:proofErr w:type="spellEnd"/>
      <w:r w:rsidR="00D52787">
        <w:t xml:space="preserve"> bioavailability study</w:t>
      </w:r>
      <w:r>
        <w:t xml:space="preserve"> (Study </w:t>
      </w:r>
      <w:r w:rsidR="00071F01">
        <w:t>COV1001</w:t>
      </w:r>
      <w:r>
        <w:t>);</w:t>
      </w:r>
    </w:p>
    <w:p w14:paraId="50921BBF" w14:textId="150AA5BE" w:rsidR="00D52787" w:rsidRDefault="00C76DB5" w:rsidP="00D52787">
      <w:pPr>
        <w:pStyle w:val="ListBullet"/>
      </w:pPr>
      <w:r>
        <w:t>o</w:t>
      </w:r>
      <w:r w:rsidR="00D52787">
        <w:t>ne Phase I bioavailability study</w:t>
      </w:r>
      <w:r>
        <w:t xml:space="preserve"> (Study </w:t>
      </w:r>
      <w:r w:rsidR="00071F01">
        <w:t>COV1002</w:t>
      </w:r>
      <w:r>
        <w:t>);</w:t>
      </w:r>
    </w:p>
    <w:p w14:paraId="103F5049" w14:textId="4A90AD81" w:rsidR="00D52787" w:rsidRDefault="00C76DB5" w:rsidP="00D52787">
      <w:pPr>
        <w:pStyle w:val="ListBullet"/>
      </w:pPr>
      <w:r>
        <w:t>o</w:t>
      </w:r>
      <w:r w:rsidR="00D52787">
        <w:t xml:space="preserve">ne Phase </w:t>
      </w:r>
      <w:proofErr w:type="spellStart"/>
      <w:r w:rsidR="00D52787">
        <w:t>IIa</w:t>
      </w:r>
      <w:proofErr w:type="spellEnd"/>
      <w:r w:rsidR="00D52787">
        <w:t xml:space="preserve"> bioavailability study</w:t>
      </w:r>
      <w:r>
        <w:t xml:space="preserve">(Study </w:t>
      </w:r>
      <w:r w:rsidR="00071F01">
        <w:t>COV2001</w:t>
      </w:r>
      <w:r>
        <w:t>);</w:t>
      </w:r>
    </w:p>
    <w:p w14:paraId="67F7ACE0" w14:textId="521832EA" w:rsidR="00D52787" w:rsidRDefault="00C76DB5" w:rsidP="00D52787">
      <w:pPr>
        <w:pStyle w:val="ListBullet"/>
      </w:pPr>
      <w:r>
        <w:t>o</w:t>
      </w:r>
      <w:r w:rsidR="00D52787">
        <w:t>ne Phase II efficacy and safety study</w:t>
      </w:r>
      <w:r>
        <w:t xml:space="preserve"> (Study</w:t>
      </w:r>
      <w:r w:rsidR="00071F01">
        <w:t xml:space="preserve"> COV2004</w:t>
      </w:r>
      <w:r>
        <w:t>); and</w:t>
      </w:r>
    </w:p>
    <w:p w14:paraId="23AFFB99" w14:textId="3D031AC3" w:rsidR="00D52787" w:rsidRDefault="00C76DB5" w:rsidP="00D52787">
      <w:pPr>
        <w:pStyle w:val="ListBullet"/>
      </w:pPr>
      <w:r>
        <w:t>t</w:t>
      </w:r>
      <w:r w:rsidR="00D52787">
        <w:t>wo Phase III efficacy and safety stud</w:t>
      </w:r>
      <w:r>
        <w:t>ies (Study</w:t>
      </w:r>
      <w:r w:rsidR="00071F01">
        <w:t xml:space="preserve"> COV3001 and </w:t>
      </w:r>
      <w:r>
        <w:t xml:space="preserve">Study </w:t>
      </w:r>
      <w:r w:rsidR="00071F01">
        <w:t>COV3009</w:t>
      </w:r>
      <w:r>
        <w:t>).</w:t>
      </w:r>
    </w:p>
    <w:p w14:paraId="3153D77A" w14:textId="77777777" w:rsidR="00071F01" w:rsidRDefault="00071F01" w:rsidP="00071F01">
      <w:pPr>
        <w:pStyle w:val="Heading4"/>
      </w:pPr>
      <w:r>
        <w:t>Pharmacology</w:t>
      </w:r>
    </w:p>
    <w:p w14:paraId="787E3451" w14:textId="51E644B3" w:rsidR="00071F01" w:rsidRDefault="009D3B60" w:rsidP="00071F01">
      <w:pPr>
        <w:pStyle w:val="Heading5"/>
      </w:pPr>
      <w:r>
        <w:t>Pharmacodynamics</w:t>
      </w:r>
    </w:p>
    <w:p w14:paraId="1CA9EED4" w14:textId="77777777" w:rsidR="00071F01" w:rsidRDefault="00071F01" w:rsidP="00071F01">
      <w:r>
        <w:t xml:space="preserve">Study COV1001 provided the most comprehensive immunological data. The results were supported by data from </w:t>
      </w:r>
      <w:r w:rsidR="00497FBF">
        <w:t xml:space="preserve">Studies </w:t>
      </w:r>
      <w:r>
        <w:t>COV1002, COV2001 and COV3001.</w:t>
      </w:r>
    </w:p>
    <w:p w14:paraId="3E3C07F8" w14:textId="2E17E2FB" w:rsidR="00071F01" w:rsidRDefault="00497FBF" w:rsidP="00071F01">
      <w:r>
        <w:t xml:space="preserve">Study </w:t>
      </w:r>
      <w:r w:rsidR="00071F01">
        <w:t>COV1001 is an ongoing, first in human, randomised, double blind, placebo controlled Phase I to II study</w:t>
      </w:r>
      <w:r w:rsidR="00654A9B">
        <w:t xml:space="preserve"> designed</w:t>
      </w:r>
      <w:r w:rsidR="00071F01">
        <w:t xml:space="preserve"> to evaluate the safety, reactogenicity and immunogenicity of </w:t>
      </w:r>
      <w:r w:rsidR="00A27C96">
        <w:t>COVID-19 Vaccine Janssen (</w:t>
      </w:r>
      <w:r w:rsidR="00071F01">
        <w:t>Ad26.COV2.S</w:t>
      </w:r>
      <w:r w:rsidR="00A27C96">
        <w:t>)</w:t>
      </w:r>
      <w:r w:rsidR="00071F01">
        <w:t xml:space="preserve"> in adults aged 18 to 55 years (cohort 1a, n = 369) and adults aged 65 years and older (cohort 3, n = 398). It examined two dose</w:t>
      </w:r>
      <w:r w:rsidR="00D95112">
        <w:t>s</w:t>
      </w:r>
      <w:r w:rsidR="00071F01">
        <w:t xml:space="preserve"> levels, 5 x 10</w:t>
      </w:r>
      <w:r w:rsidR="00071F01" w:rsidRPr="00071F01">
        <w:rPr>
          <w:vertAlign w:val="superscript"/>
        </w:rPr>
        <w:t>10</w:t>
      </w:r>
      <w:r w:rsidR="00071F01">
        <w:t xml:space="preserve"> </w:t>
      </w:r>
      <w:r w:rsidR="00A27C96">
        <w:t xml:space="preserve">virus </w:t>
      </w:r>
      <w:r w:rsidR="00C76DB5">
        <w:t>particles (VP)</w:t>
      </w:r>
      <w:r w:rsidR="00A27C96">
        <w:t xml:space="preserve"> (as in the vaccine described in this submission)</w:t>
      </w:r>
      <w:r w:rsidR="00C76DB5">
        <w:t xml:space="preserve"> </w:t>
      </w:r>
      <w:r w:rsidR="00071F01">
        <w:t>and 1 x 10</w:t>
      </w:r>
      <w:r w:rsidR="00071F01" w:rsidRPr="00071F01">
        <w:rPr>
          <w:vertAlign w:val="superscript"/>
        </w:rPr>
        <w:t>11</w:t>
      </w:r>
      <w:r w:rsidR="00071F01">
        <w:t xml:space="preserve"> </w:t>
      </w:r>
      <w:r w:rsidR="00C76DB5">
        <w:t xml:space="preserve">VP </w:t>
      </w:r>
      <w:r w:rsidR="00071F01">
        <w:t>administered IM as single or two dose</w:t>
      </w:r>
      <w:r w:rsidR="00D95112">
        <w:t>s</w:t>
      </w:r>
      <w:r w:rsidR="00071F01">
        <w:t xml:space="preserve"> regimens.</w:t>
      </w:r>
    </w:p>
    <w:p w14:paraId="200A7D7A" w14:textId="77777777" w:rsidR="00071F01" w:rsidRDefault="00071F01" w:rsidP="00071F01">
      <w:r>
        <w:t>Immunological assessment was measured as a virus neutralisation assay (VNA), enzyme linked immunosorbent assay (ELISA) and intracellular cytokine staining (ICS).</w:t>
      </w:r>
    </w:p>
    <w:p w14:paraId="4D7C76A1" w14:textId="2079C2CD" w:rsidR="00071F01" w:rsidRDefault="00071F01" w:rsidP="00497FBF">
      <w:pPr>
        <w:pStyle w:val="TableTitle"/>
      </w:pPr>
      <w:r w:rsidRPr="00497FBF">
        <w:t xml:space="preserve">Table </w:t>
      </w:r>
      <w:fldSimple w:instr=" SEQ Table \* ARABIC ">
        <w:r w:rsidR="00F204A2">
          <w:rPr>
            <w:noProof/>
          </w:rPr>
          <w:t>4</w:t>
        </w:r>
      </w:fldSimple>
      <w:r w:rsidR="00E3110D">
        <w:t xml:space="preserve">: </w:t>
      </w:r>
      <w:r w:rsidR="00A27C96">
        <w:t xml:space="preserve">Study COV1001 </w:t>
      </w:r>
      <w:r w:rsidR="00E3110D">
        <w:t>Immunological assessment</w:t>
      </w:r>
      <w:r w:rsidR="00A27C96">
        <w:t xml:space="preserve"> assays and responder definitions</w:t>
      </w:r>
    </w:p>
    <w:p w14:paraId="3ADFD901" w14:textId="77777777" w:rsidR="00071F01" w:rsidRDefault="00071F01" w:rsidP="00071F01">
      <w:r w:rsidRPr="00572DA7">
        <w:rPr>
          <w:noProof/>
          <w:lang w:eastAsia="en-AU"/>
        </w:rPr>
        <w:drawing>
          <wp:inline distT="0" distB="0" distL="0" distR="0" wp14:anchorId="641647A6" wp14:editId="1BBAE43D">
            <wp:extent cx="5205600" cy="2772000"/>
            <wp:effectExtent l="0" t="0" r="0" b="0"/>
            <wp:docPr id="150" name="Picture 150" descr="Table 4 - Image of table showing Immunologic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Table 4 - Image of table showing Immunological assessment"/>
                    <pic:cNvPicPr/>
                  </pic:nvPicPr>
                  <pic:blipFill>
                    <a:blip r:embed="rId15"/>
                    <a:stretch>
                      <a:fillRect/>
                    </a:stretch>
                  </pic:blipFill>
                  <pic:spPr>
                    <a:xfrm>
                      <a:off x="0" y="0"/>
                      <a:ext cx="5205600" cy="2772000"/>
                    </a:xfrm>
                    <a:prstGeom prst="rect">
                      <a:avLst/>
                    </a:prstGeom>
                  </pic:spPr>
                </pic:pic>
              </a:graphicData>
            </a:graphic>
          </wp:inline>
        </w:drawing>
      </w:r>
    </w:p>
    <w:p w14:paraId="3894BF06" w14:textId="25263F9F" w:rsidR="00497FBF" w:rsidRDefault="00497FBF" w:rsidP="00497FBF">
      <w:pPr>
        <w:pStyle w:val="TableDescription"/>
      </w:pPr>
      <w:r>
        <w:t xml:space="preserve">ELISA = enzyme linked immunosorbent assay, </w:t>
      </w:r>
      <w:proofErr w:type="spellStart"/>
      <w:r>
        <w:t>wtVNA</w:t>
      </w:r>
      <w:proofErr w:type="spellEnd"/>
      <w:r>
        <w:t xml:space="preserve"> = wild type virus neutralisation assay, ICS</w:t>
      </w:r>
      <w:r w:rsidR="00A27C96">
        <w:t> </w:t>
      </w:r>
      <w:r>
        <w:t>=</w:t>
      </w:r>
      <w:r w:rsidR="00A27C96">
        <w:t> </w:t>
      </w:r>
      <w:r>
        <w:t xml:space="preserve">intracellular cytokine staining, LLOQ = </w:t>
      </w:r>
      <w:r w:rsidRPr="00497FBF">
        <w:t>lower limit of quantitation</w:t>
      </w:r>
      <w:r>
        <w:t>.</w:t>
      </w:r>
    </w:p>
    <w:p w14:paraId="3D7123D8" w14:textId="3FBF0695" w:rsidR="00497FBF" w:rsidRDefault="00497FBF" w:rsidP="00497FBF">
      <w:pPr>
        <w:pStyle w:val="Heading5"/>
      </w:pPr>
      <w:bookmarkStart w:id="46" w:name="_Ref75327200"/>
      <w:r>
        <w:t xml:space="preserve">Virus </w:t>
      </w:r>
      <w:r w:rsidR="00C76DB5">
        <w:t>n</w:t>
      </w:r>
      <w:r>
        <w:t xml:space="preserve">eutralisation </w:t>
      </w:r>
      <w:r w:rsidR="00C76DB5">
        <w:t>a</w:t>
      </w:r>
      <w:r>
        <w:t>ssay</w:t>
      </w:r>
      <w:bookmarkEnd w:id="46"/>
    </w:p>
    <w:p w14:paraId="3878E711" w14:textId="75D2A6DE" w:rsidR="00497FBF" w:rsidRDefault="00497FBF" w:rsidP="00497FBF">
      <w:r>
        <w:t>The virus neutralisation assays were performed on 125 subjects from each of cohort</w:t>
      </w:r>
      <w:r w:rsidR="00C76DB5">
        <w:t>s</w:t>
      </w:r>
      <w:r>
        <w:t xml:space="preserve"> 1a and 3.</w:t>
      </w:r>
    </w:p>
    <w:p w14:paraId="1145499A" w14:textId="0C1A1BDE" w:rsidR="00497FBF" w:rsidRDefault="00497FBF" w:rsidP="00497FBF">
      <w:r>
        <w:t>The wild type virus neutralisation assay (</w:t>
      </w:r>
      <w:proofErr w:type="spellStart"/>
      <w:r>
        <w:t>wtVNA</w:t>
      </w:r>
      <w:proofErr w:type="spellEnd"/>
      <w:r>
        <w:t>) assays were performed by Public Health England</w:t>
      </w:r>
      <w:r w:rsidR="00C76DB5">
        <w:t>;</w:t>
      </w:r>
      <w:r w:rsidR="00C76DB5">
        <w:rPr>
          <w:rStyle w:val="FootnoteReference"/>
        </w:rPr>
        <w:footnoteReference w:id="20"/>
      </w:r>
      <w:r>
        <w:t xml:space="preserve"> and used SARS-CoV-2 virus stocks derived from </w:t>
      </w:r>
      <w:r w:rsidR="00A27C96">
        <w:t xml:space="preserve">a viral genome </w:t>
      </w:r>
      <w:r w:rsidR="00B82D18">
        <w:t>;</w:t>
      </w:r>
      <w:r w:rsidR="00B82D18">
        <w:rPr>
          <w:rStyle w:val="FootnoteReference"/>
        </w:rPr>
        <w:footnoteReference w:id="21"/>
      </w:r>
      <w:r>
        <w:t xml:space="preserve"> which has high homology to the to the</w:t>
      </w:r>
      <w:r w:rsidR="00640EDE">
        <w:t xml:space="preserve"> </w:t>
      </w:r>
      <w:r w:rsidR="00A27C96">
        <w:t>original</w:t>
      </w:r>
      <w:r>
        <w:t xml:space="preserve"> </w:t>
      </w:r>
      <w:r w:rsidR="009D3B60">
        <w:t>S protein</w:t>
      </w:r>
      <w:r>
        <w:t xml:space="preserve"> sequence in the vaccine.</w:t>
      </w:r>
    </w:p>
    <w:p w14:paraId="2A2544EE" w14:textId="3E0BFFAC" w:rsidR="00497FBF" w:rsidRDefault="005845F4" w:rsidP="00497FBF">
      <w:r>
        <w:t>In the 18 to 65 year age group, by D</w:t>
      </w:r>
      <w:r w:rsidR="00497FBF">
        <w:t xml:space="preserve">ay 29 the proportion of responders in the active vaccine groups ranged from 88% to 96%. </w:t>
      </w:r>
      <w:r>
        <w:t>G</w:t>
      </w:r>
      <w:r w:rsidRPr="005845F4">
        <w:t xml:space="preserve">eometric mean </w:t>
      </w:r>
      <w:r w:rsidR="007F4D87">
        <w:t>titre</w:t>
      </w:r>
      <w:r>
        <w:t>s (</w:t>
      </w:r>
      <w:r w:rsidR="00497FBF">
        <w:t>GMT</w:t>
      </w:r>
      <w:r>
        <w:t>)</w:t>
      </w:r>
      <w:r w:rsidR="00497FBF">
        <w:t xml:space="preserve"> were simila</w:t>
      </w:r>
      <w:r>
        <w:t>r between the 5 x</w:t>
      </w:r>
      <w:r w:rsidR="00497FBF">
        <w:t xml:space="preserve"> 10</w:t>
      </w:r>
      <w:r w:rsidR="00497FBF" w:rsidRPr="005845F4">
        <w:rPr>
          <w:vertAlign w:val="superscript"/>
        </w:rPr>
        <w:t>10</w:t>
      </w:r>
      <w:r>
        <w:t xml:space="preserve"> VP and 1 x</w:t>
      </w:r>
      <w:r w:rsidR="00497FBF">
        <w:t xml:space="preserve"> 10</w:t>
      </w:r>
      <w:r w:rsidR="00497FBF" w:rsidRPr="005845F4">
        <w:rPr>
          <w:vertAlign w:val="superscript"/>
        </w:rPr>
        <w:t>11</w:t>
      </w:r>
      <w:r w:rsidR="00497FBF">
        <w:t xml:space="preserve"> VP dose groups. Follow</w:t>
      </w:r>
      <w:r w:rsidR="00A84E11">
        <w:t>ing two</w:t>
      </w:r>
      <w:r>
        <w:t xml:space="preserve"> doses of active vaccine (D</w:t>
      </w:r>
      <w:r w:rsidR="00497FBF">
        <w:t>ay 71), there was a substanti</w:t>
      </w:r>
      <w:r>
        <w:t xml:space="preserve">al increase in GMTs (2.6 to 2.9 </w:t>
      </w:r>
      <w:r w:rsidR="00497FBF">
        <w:t xml:space="preserve">fold </w:t>
      </w:r>
      <w:r w:rsidR="00C05E18" w:rsidRPr="00C05E18">
        <w:t>geometric mean increase</w:t>
      </w:r>
      <w:r w:rsidR="00497FBF">
        <w:t xml:space="preserve"> from pre-dose 2) which was sustained </w:t>
      </w:r>
      <w:r>
        <w:t xml:space="preserve">at Day 85, while for the single </w:t>
      </w:r>
      <w:r w:rsidR="00497FBF">
        <w:t>dose groups, GMTs increa</w:t>
      </w:r>
      <w:r>
        <w:t>sed to D</w:t>
      </w:r>
      <w:r w:rsidR="00497FBF">
        <w:t>ay 57 then plateaued. 100% of subjects in each active vaccine group, regardless of the dosage regimen, were responders by Day 71.</w:t>
      </w:r>
    </w:p>
    <w:p w14:paraId="72D229D6" w14:textId="77777777" w:rsidR="00497FBF" w:rsidRDefault="00497FBF" w:rsidP="00497FBF">
      <w:r>
        <w:t xml:space="preserve">The response in those older </w:t>
      </w:r>
      <w:r w:rsidR="005845F4">
        <w:t xml:space="preserve">than </w:t>
      </w:r>
      <w:r>
        <w:t>65 was similar to the younger population, except that the GMTs at day 87 were lower.</w:t>
      </w:r>
    </w:p>
    <w:p w14:paraId="039BEC9C" w14:textId="0B50A3B4" w:rsidR="00497FBF" w:rsidRDefault="00497FBF" w:rsidP="00A84E11">
      <w:pPr>
        <w:pStyle w:val="Heading5"/>
      </w:pPr>
      <w:r>
        <w:t>S</w:t>
      </w:r>
      <w:r w:rsidR="00C76DB5">
        <w:t>pike</w:t>
      </w:r>
      <w:r>
        <w:t>-protein binding antibody</w:t>
      </w:r>
    </w:p>
    <w:p w14:paraId="0FD0C583" w14:textId="59979F18" w:rsidR="00497FBF" w:rsidRDefault="00A84E11" w:rsidP="00497FBF">
      <w:r>
        <w:t xml:space="preserve">In the 18 to </w:t>
      </w:r>
      <w:r w:rsidR="00497FBF">
        <w:t xml:space="preserve">65 year age group, all </w:t>
      </w:r>
      <w:r>
        <w:t>g</w:t>
      </w:r>
      <w:r w:rsidRPr="00A84E11">
        <w:t>eometric mean concentration</w:t>
      </w:r>
      <w:r w:rsidR="00472741">
        <w:t>s</w:t>
      </w:r>
      <w:r w:rsidRPr="00A84E11">
        <w:t xml:space="preserve"> </w:t>
      </w:r>
      <w:r>
        <w:t>(</w:t>
      </w:r>
      <w:r w:rsidR="00497FBF">
        <w:t>GMC</w:t>
      </w:r>
      <w:r>
        <w:t>)</w:t>
      </w:r>
      <w:r w:rsidR="00497FBF">
        <w:t xml:space="preserve"> were below </w:t>
      </w:r>
      <w:r w:rsidR="00472741">
        <w:t xml:space="preserve">the </w:t>
      </w:r>
      <w:r w:rsidRPr="00A84E11">
        <w:t xml:space="preserve">lower limit of quantitation </w:t>
      </w:r>
      <w:r>
        <w:t>(</w:t>
      </w:r>
      <w:r w:rsidR="00497FBF">
        <w:t>LLOQ</w:t>
      </w:r>
      <w:r>
        <w:t xml:space="preserve">) at Baseline. By Day 29, 99 to </w:t>
      </w:r>
      <w:r w:rsidR="00497FBF">
        <w:t>100% of subjects were re</w:t>
      </w:r>
      <w:r>
        <w:t>sponders. For groups receiving two</w:t>
      </w:r>
      <w:r w:rsidR="00497FBF">
        <w:t xml:space="preserve"> doses, GM</w:t>
      </w:r>
      <w:r>
        <w:t>C</w:t>
      </w:r>
      <w:r w:rsidR="00472741">
        <w:t>s</w:t>
      </w:r>
      <w:r>
        <w:t xml:space="preserve"> increased </w:t>
      </w:r>
      <w:r w:rsidR="00472741">
        <w:t xml:space="preserve">by </w:t>
      </w:r>
      <w:r>
        <w:t>2.5</w:t>
      </w:r>
      <w:r w:rsidR="00472741">
        <w:noBreakHyphen/>
      </w:r>
      <w:r>
        <w:t xml:space="preserve"> to 2.6</w:t>
      </w:r>
      <w:r w:rsidR="00472741">
        <w:noBreakHyphen/>
      </w:r>
      <w:r>
        <w:t>fold at D</w:t>
      </w:r>
      <w:r w:rsidR="00497FBF">
        <w:t>ay 71. For groups receiving</w:t>
      </w:r>
      <w:r>
        <w:t xml:space="preserve"> a single dose, GMC</w:t>
      </w:r>
      <w:r w:rsidR="00472741">
        <w:t>s</w:t>
      </w:r>
      <w:r>
        <w:t xml:space="preserve"> rose until D</w:t>
      </w:r>
      <w:r w:rsidR="00497FBF">
        <w:t>ay 57 then plateaued. There were 4</w:t>
      </w:r>
      <w:r w:rsidR="00C76DB5">
        <w:t> </w:t>
      </w:r>
      <w:r w:rsidR="00497FBF">
        <w:t>responders in the placebo group (under investigation).</w:t>
      </w:r>
    </w:p>
    <w:p w14:paraId="5735E5D7" w14:textId="08985B24" w:rsidR="00497FBF" w:rsidRDefault="00497FBF" w:rsidP="00497FBF">
      <w:r>
        <w:t>There was a very strong correlation betw</w:t>
      </w:r>
      <w:r w:rsidR="00A84E11">
        <w:t xml:space="preserve">een the </w:t>
      </w:r>
      <w:proofErr w:type="spellStart"/>
      <w:r w:rsidR="00A84E11">
        <w:t>wtVNA</w:t>
      </w:r>
      <w:proofErr w:type="spellEnd"/>
      <w:r w:rsidR="00A84E11">
        <w:t xml:space="preserve"> titres and the S-b</w:t>
      </w:r>
      <w:r>
        <w:t>inding antibody concentrations, with Spearman correlation &gt; 0.80 at both Day 29 and 71, suggesting that ELISA could be used as a surrogate</w:t>
      </w:r>
      <w:r w:rsidR="00A84E11">
        <w:t xml:space="preserve"> assay</w:t>
      </w:r>
      <w:r>
        <w:t xml:space="preserve"> for </w:t>
      </w:r>
      <w:proofErr w:type="spellStart"/>
      <w:r>
        <w:t>wtVNA</w:t>
      </w:r>
      <w:proofErr w:type="spellEnd"/>
      <w:r>
        <w:t xml:space="preserve"> in future analyses.</w:t>
      </w:r>
    </w:p>
    <w:p w14:paraId="49BF4C3C" w14:textId="77777777" w:rsidR="00A84E11" w:rsidRDefault="00497FBF" w:rsidP="00497FBF">
      <w:r>
        <w:t>The response in those over 65 years was similar to those less than 65 years.</w:t>
      </w:r>
    </w:p>
    <w:p w14:paraId="4ADC7F8D" w14:textId="10EEC399" w:rsidR="00A84E11" w:rsidRDefault="00A84E11" w:rsidP="00A84E11">
      <w:pPr>
        <w:pStyle w:val="FigureTitle"/>
      </w:pPr>
      <w:r w:rsidRPr="00A84E11">
        <w:t xml:space="preserve">Figure </w:t>
      </w:r>
      <w:fldSimple w:instr=" SEQ Figure \* ARABIC ">
        <w:r w:rsidR="00F204A2">
          <w:rPr>
            <w:noProof/>
          </w:rPr>
          <w:t>2</w:t>
        </w:r>
      </w:fldSimple>
      <w:r>
        <w:t xml:space="preserve">: </w:t>
      </w:r>
      <w:r w:rsidR="007F2F0C">
        <w:t>Study COV1001 Humoral immunogenicity summary</w:t>
      </w:r>
    </w:p>
    <w:p w14:paraId="08161154" w14:textId="77777777" w:rsidR="00A84E11" w:rsidRDefault="00A84E11" w:rsidP="00A84E11">
      <w:r w:rsidRPr="004F48E6">
        <w:rPr>
          <w:noProof/>
          <w:lang w:eastAsia="en-AU"/>
        </w:rPr>
        <w:drawing>
          <wp:inline distT="0" distB="0" distL="0" distR="0" wp14:anchorId="16B83B29" wp14:editId="583D8372">
            <wp:extent cx="5400040" cy="3861274"/>
            <wp:effectExtent l="0" t="0" r="0" b="6350"/>
            <wp:docPr id="154" name="Picture 154" descr="Figure 2: Study COV1001 Humoral immunogenici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Figure 2: Study COV1001 Humoral immunogenicity summary"/>
                    <pic:cNvPicPr/>
                  </pic:nvPicPr>
                  <pic:blipFill>
                    <a:blip r:embed="rId16"/>
                    <a:stretch>
                      <a:fillRect/>
                    </a:stretch>
                  </pic:blipFill>
                  <pic:spPr>
                    <a:xfrm>
                      <a:off x="0" y="0"/>
                      <a:ext cx="5400040" cy="3861274"/>
                    </a:xfrm>
                    <a:prstGeom prst="rect">
                      <a:avLst/>
                    </a:prstGeom>
                  </pic:spPr>
                </pic:pic>
              </a:graphicData>
            </a:graphic>
          </wp:inline>
        </w:drawing>
      </w:r>
    </w:p>
    <w:p w14:paraId="51A37378" w14:textId="77777777" w:rsidR="00A84E11" w:rsidRDefault="00A84E11" w:rsidP="00734FB9">
      <w:pPr>
        <w:pStyle w:val="TableDescription"/>
      </w:pPr>
      <w:r w:rsidRPr="004F48E6">
        <w:rPr>
          <w:sz w:val="18"/>
          <w:lang w:eastAsia="ja-JP"/>
        </w:rPr>
        <w:t>High dose: 1 x 10</w:t>
      </w:r>
      <w:r w:rsidRPr="004F48E6">
        <w:rPr>
          <w:sz w:val="18"/>
          <w:vertAlign w:val="superscript"/>
          <w:lang w:eastAsia="ja-JP"/>
        </w:rPr>
        <w:t>11</w:t>
      </w:r>
      <w:r w:rsidRPr="004F48E6">
        <w:rPr>
          <w:sz w:val="18"/>
          <w:lang w:eastAsia="ja-JP"/>
        </w:rPr>
        <w:t xml:space="preserve"> VP; low dose: 5 x 10</w:t>
      </w:r>
      <w:r w:rsidRPr="004F48E6">
        <w:rPr>
          <w:sz w:val="18"/>
          <w:vertAlign w:val="superscript"/>
          <w:lang w:eastAsia="ja-JP"/>
        </w:rPr>
        <w:t xml:space="preserve">10 </w:t>
      </w:r>
      <w:r w:rsidRPr="004F48E6">
        <w:rPr>
          <w:sz w:val="18"/>
          <w:lang w:eastAsia="ja-JP"/>
        </w:rPr>
        <w:t xml:space="preserve">VP; HCS: human convalescent serum. Horizontal dotted lines indicate the LLOQ and </w:t>
      </w:r>
      <w:r w:rsidR="00734FB9">
        <w:rPr>
          <w:shd w:val="clear" w:color="auto" w:fill="FFFFFF"/>
        </w:rPr>
        <w:t>upper limit of quantification</w:t>
      </w:r>
      <w:r w:rsidR="00734FB9" w:rsidRPr="004F48E6">
        <w:rPr>
          <w:sz w:val="18"/>
          <w:lang w:eastAsia="ja-JP"/>
        </w:rPr>
        <w:t xml:space="preserve"> </w:t>
      </w:r>
      <w:r w:rsidR="00734FB9">
        <w:rPr>
          <w:sz w:val="18"/>
          <w:lang w:eastAsia="ja-JP"/>
        </w:rPr>
        <w:t>(</w:t>
      </w:r>
      <w:r w:rsidRPr="004F48E6">
        <w:rPr>
          <w:sz w:val="18"/>
          <w:lang w:eastAsia="ja-JP"/>
        </w:rPr>
        <w:t>ULOQ</w:t>
      </w:r>
      <w:r w:rsidR="00734FB9">
        <w:rPr>
          <w:sz w:val="18"/>
          <w:lang w:eastAsia="ja-JP"/>
        </w:rPr>
        <w:t>)</w:t>
      </w:r>
      <w:r w:rsidRPr="004F48E6">
        <w:rPr>
          <w:sz w:val="18"/>
          <w:lang w:eastAsia="ja-JP"/>
        </w:rPr>
        <w:t xml:space="preserve"> for the respective assays.</w:t>
      </w:r>
      <w:r w:rsidR="00734FB9" w:rsidRPr="00734FB9">
        <w:t xml:space="preserve"> </w:t>
      </w:r>
      <w:r w:rsidR="00734FB9">
        <w:t>GMC = g</w:t>
      </w:r>
      <w:r w:rsidR="00734FB9" w:rsidRPr="00A84E11">
        <w:t>eometric mean concentration</w:t>
      </w:r>
      <w:r w:rsidR="00734FB9">
        <w:t>, GMT = g</w:t>
      </w:r>
      <w:r w:rsidR="00734FB9" w:rsidRPr="005845F4">
        <w:t xml:space="preserve">eometric mean </w:t>
      </w:r>
      <w:r w:rsidR="007F4D87">
        <w:t>titre</w:t>
      </w:r>
      <w:r w:rsidR="00734FB9">
        <w:t>.</w:t>
      </w:r>
      <w:r w:rsidRPr="004F48E6">
        <w:rPr>
          <w:sz w:val="18"/>
          <w:vertAlign w:val="superscript"/>
          <w:lang w:eastAsia="ja-JP"/>
        </w:rPr>
        <w:footnoteReference w:id="22"/>
      </w:r>
    </w:p>
    <w:p w14:paraId="0691A607" w14:textId="5DA5B0F8" w:rsidR="00734FB9" w:rsidRDefault="00734FB9" w:rsidP="00734FB9">
      <w:pPr>
        <w:rPr>
          <w:lang w:eastAsia="ja-JP"/>
        </w:rPr>
      </w:pPr>
      <w:r>
        <w:rPr>
          <w:lang w:eastAsia="ja-JP"/>
        </w:rPr>
        <w:t>In relation to Ad26 neutralising antibodies (anti-vector antibodies), four subjects (including two in the placebo group), were positive to Ad26 neutralising antibodies at Baseline. At Day 29, 96 to 100% of subjects in the active vaccine group were Ad26 VNA positive. The presence of anti-vector antibodies did not prevent further increases in SARS</w:t>
      </w:r>
      <w:r w:rsidR="00BF27ED">
        <w:rPr>
          <w:lang w:eastAsia="ja-JP"/>
        </w:rPr>
        <w:noBreakHyphen/>
      </w:r>
      <w:r>
        <w:rPr>
          <w:lang w:eastAsia="ja-JP"/>
        </w:rPr>
        <w:t>CoV-2 neutrali</w:t>
      </w:r>
      <w:r w:rsidR="00BF27ED">
        <w:rPr>
          <w:lang w:eastAsia="ja-JP"/>
        </w:rPr>
        <w:t>s</w:t>
      </w:r>
      <w:r>
        <w:rPr>
          <w:lang w:eastAsia="ja-JP"/>
        </w:rPr>
        <w:t xml:space="preserve">ing </w:t>
      </w:r>
      <w:r w:rsidR="00654A9B">
        <w:rPr>
          <w:lang w:eastAsia="ja-JP"/>
        </w:rPr>
        <w:t>antibodies after a second dose.</w:t>
      </w:r>
    </w:p>
    <w:p w14:paraId="1C9B0F72" w14:textId="77777777" w:rsidR="00734FB9" w:rsidRPr="00734FB9" w:rsidRDefault="00734FB9" w:rsidP="00734FB9">
      <w:pPr>
        <w:pStyle w:val="Heading5"/>
      </w:pPr>
      <w:r w:rsidRPr="00734FB9">
        <w:t>CD4</w:t>
      </w:r>
      <w:r w:rsidRPr="00734FB9">
        <w:rPr>
          <w:vertAlign w:val="superscript"/>
        </w:rPr>
        <w:t>+</w:t>
      </w:r>
      <w:r w:rsidRPr="00734FB9">
        <w:t xml:space="preserve"> and CD8</w:t>
      </w:r>
      <w:r w:rsidRPr="00734FB9">
        <w:rPr>
          <w:vertAlign w:val="superscript"/>
        </w:rPr>
        <w:t>+</w:t>
      </w:r>
      <w:r w:rsidRPr="00734FB9">
        <w:t xml:space="preserve"> T cell </w:t>
      </w:r>
      <w:r>
        <w:t>response</w:t>
      </w:r>
    </w:p>
    <w:p w14:paraId="03AC4509" w14:textId="77777777" w:rsidR="00734FB9" w:rsidRDefault="00734FB9" w:rsidP="00734FB9">
      <w:pPr>
        <w:rPr>
          <w:lang w:eastAsia="ja-JP"/>
        </w:rPr>
      </w:pPr>
      <w:r>
        <w:rPr>
          <w:lang w:eastAsia="ja-JP"/>
        </w:rPr>
        <w:t>There was a Th1 response (in 74 to 85%) peaking at around Day 15 and remaining stable to Day 29. The response was greater in younger than older subjects</w:t>
      </w:r>
    </w:p>
    <w:p w14:paraId="02E11BBA" w14:textId="6E78DDEF" w:rsidR="00734FB9" w:rsidRDefault="00734FB9" w:rsidP="00734FB9">
      <w:pPr>
        <w:pStyle w:val="Heading6"/>
      </w:pPr>
      <w:r w:rsidRPr="00734FB9">
        <w:rPr>
          <w:rFonts w:eastAsiaTheme="minorHAnsi"/>
        </w:rPr>
        <w:t xml:space="preserve">Antibodies against the </w:t>
      </w:r>
      <w:r w:rsidR="00A27C96">
        <w:rPr>
          <w:rFonts w:eastAsiaTheme="minorHAnsi"/>
        </w:rPr>
        <w:t>Alpha</w:t>
      </w:r>
      <w:r w:rsidR="00531FE6">
        <w:rPr>
          <w:rFonts w:eastAsiaTheme="minorHAnsi"/>
        </w:rPr>
        <w:t xml:space="preserve"> </w:t>
      </w:r>
      <w:r w:rsidR="00202C73">
        <w:rPr>
          <w:rFonts w:eastAsiaTheme="minorHAnsi"/>
        </w:rPr>
        <w:t xml:space="preserve">variant </w:t>
      </w:r>
      <w:r w:rsidR="00531FE6">
        <w:rPr>
          <w:rFonts w:eastAsiaTheme="minorHAnsi"/>
        </w:rPr>
        <w:t xml:space="preserve">virus </w:t>
      </w:r>
      <w:r w:rsidR="00202C73">
        <w:rPr>
          <w:rFonts w:eastAsiaTheme="minorHAnsi"/>
        </w:rPr>
        <w:t>strain</w:t>
      </w:r>
    </w:p>
    <w:p w14:paraId="10F15D8E" w14:textId="63AE72D3" w:rsidR="00734FB9" w:rsidRDefault="00734FB9" w:rsidP="00734FB9">
      <w:pPr>
        <w:tabs>
          <w:tab w:val="left" w:pos="2041"/>
        </w:tabs>
        <w:autoSpaceDE w:val="0"/>
        <w:autoSpaceDN w:val="0"/>
        <w:adjustRightInd w:val="0"/>
        <w:spacing w:line="240" w:lineRule="auto"/>
        <w:rPr>
          <w:rFonts w:eastAsiaTheme="minorHAnsi" w:cs="Cambria"/>
        </w:rPr>
      </w:pPr>
      <w:r>
        <w:rPr>
          <w:rFonts w:eastAsiaTheme="minorHAnsi" w:cs="Cambria"/>
        </w:rPr>
        <w:t>Samples from cohort 1a which showed high titres in the</w:t>
      </w:r>
      <w:r w:rsidR="009C3A4C">
        <w:t xml:space="preserve"> genomic </w:t>
      </w:r>
      <w:proofErr w:type="spellStart"/>
      <w:r>
        <w:rPr>
          <w:rFonts w:eastAsiaTheme="minorHAnsi" w:cs="Cambria"/>
        </w:rPr>
        <w:t>wtVNA</w:t>
      </w:r>
      <w:proofErr w:type="spellEnd"/>
      <w:r w:rsidR="00303D09">
        <w:rPr>
          <w:rFonts w:eastAsiaTheme="minorHAnsi" w:cs="Cambria"/>
        </w:rPr>
        <w:t xml:space="preserve"> (see </w:t>
      </w:r>
      <w:r w:rsidR="00303D09">
        <w:rPr>
          <w:rFonts w:eastAsiaTheme="minorHAnsi" w:cs="Cambria"/>
        </w:rPr>
        <w:fldChar w:fldCharType="begin"/>
      </w:r>
      <w:r w:rsidR="00303D09">
        <w:rPr>
          <w:rFonts w:eastAsiaTheme="minorHAnsi" w:cs="Cambria"/>
        </w:rPr>
        <w:instrText xml:space="preserve"> REF _Ref75327200 \h </w:instrText>
      </w:r>
      <w:r w:rsidR="00303D09">
        <w:rPr>
          <w:rFonts w:eastAsiaTheme="minorHAnsi" w:cs="Cambria"/>
        </w:rPr>
      </w:r>
      <w:r w:rsidR="00303D09">
        <w:rPr>
          <w:rFonts w:eastAsiaTheme="minorHAnsi" w:cs="Cambria"/>
        </w:rPr>
        <w:fldChar w:fldCharType="separate"/>
      </w:r>
      <w:r w:rsidR="00F204A2">
        <w:t>Virus neutralisation assay</w:t>
      </w:r>
      <w:r w:rsidR="00303D09">
        <w:rPr>
          <w:rFonts w:eastAsiaTheme="minorHAnsi" w:cs="Cambria"/>
        </w:rPr>
        <w:fldChar w:fldCharType="end"/>
      </w:r>
      <w:r w:rsidR="00303D09">
        <w:rPr>
          <w:rFonts w:eastAsiaTheme="minorHAnsi" w:cs="Cambria"/>
        </w:rPr>
        <w:t xml:space="preserve"> section above)</w:t>
      </w:r>
      <w:r>
        <w:rPr>
          <w:rFonts w:eastAsiaTheme="minorHAnsi" w:cs="Cambria"/>
        </w:rPr>
        <w:t xml:space="preserve"> were selected for measurement of neutralising antibodies against the </w:t>
      </w:r>
      <w:r w:rsidR="00202C73">
        <w:rPr>
          <w:rFonts w:eastAsiaTheme="minorHAnsi" w:cs="Cambria"/>
        </w:rPr>
        <w:t>Alpha lineage</w:t>
      </w:r>
      <w:r w:rsidR="00531FE6">
        <w:rPr>
          <w:rFonts w:eastAsiaTheme="minorHAnsi" w:cs="Cambria"/>
        </w:rPr>
        <w:t>;</w:t>
      </w:r>
      <w:r w:rsidR="00531FE6">
        <w:rPr>
          <w:rStyle w:val="FootnoteReference"/>
          <w:rFonts w:eastAsiaTheme="minorHAnsi" w:cs="Cambria"/>
        </w:rPr>
        <w:footnoteReference w:id="23"/>
      </w:r>
      <w:r>
        <w:rPr>
          <w:rFonts w:eastAsiaTheme="minorHAnsi" w:cs="Cambria"/>
        </w:rPr>
        <w:t xml:space="preserve"> at Day 29 and 71. The assay used for th</w:t>
      </w:r>
      <w:r w:rsidR="000A2ECB">
        <w:rPr>
          <w:rFonts w:eastAsiaTheme="minorHAnsi" w:cs="Cambria"/>
        </w:rPr>
        <w:t>is</w:t>
      </w:r>
      <w:r>
        <w:rPr>
          <w:rFonts w:eastAsiaTheme="minorHAnsi" w:cs="Cambria"/>
        </w:rPr>
        <w:t xml:space="preserve"> variant has not been qualified and no responder definition was applied. Titres were expressed as </w:t>
      </w:r>
      <w:r w:rsidR="007F4D87" w:rsidRPr="007F4D87">
        <w:rPr>
          <w:rFonts w:eastAsiaTheme="minorHAnsi" w:cs="Cambria"/>
        </w:rPr>
        <w:t>50% inhibitory concentration</w:t>
      </w:r>
      <w:r w:rsidR="007F4D87">
        <w:rPr>
          <w:rFonts w:eastAsiaTheme="minorHAnsi" w:cs="Cambria"/>
        </w:rPr>
        <w:t xml:space="preserve"> (</w:t>
      </w:r>
      <w:r>
        <w:rPr>
          <w:rFonts w:eastAsiaTheme="minorHAnsi" w:cs="Cambria"/>
        </w:rPr>
        <w:t>IC</w:t>
      </w:r>
      <w:r>
        <w:rPr>
          <w:rFonts w:eastAsiaTheme="minorHAnsi" w:cs="Cambria"/>
          <w:vertAlign w:val="subscript"/>
        </w:rPr>
        <w:t>50</w:t>
      </w:r>
      <w:r w:rsidR="007F4D87">
        <w:rPr>
          <w:rFonts w:eastAsiaTheme="minorHAnsi" w:cs="Cambria"/>
        </w:rPr>
        <w:t xml:space="preserve">) </w:t>
      </w:r>
      <w:r>
        <w:rPr>
          <w:rFonts w:eastAsiaTheme="minorHAnsi" w:cs="Cambria"/>
        </w:rPr>
        <w:t>units.</w:t>
      </w:r>
    </w:p>
    <w:p w14:paraId="169EBFCC" w14:textId="0635FFF5" w:rsidR="00734FB9" w:rsidRPr="00EF2359" w:rsidRDefault="00734FB9" w:rsidP="00734FB9">
      <w:pPr>
        <w:tabs>
          <w:tab w:val="left" w:pos="2041"/>
        </w:tabs>
        <w:autoSpaceDE w:val="0"/>
        <w:autoSpaceDN w:val="0"/>
        <w:adjustRightInd w:val="0"/>
        <w:spacing w:line="240" w:lineRule="auto"/>
        <w:rPr>
          <w:rFonts w:eastAsiaTheme="minorHAnsi" w:cs="Cambria"/>
        </w:rPr>
      </w:pPr>
      <w:r>
        <w:rPr>
          <w:rFonts w:eastAsiaTheme="minorHAnsi" w:cs="Cambria"/>
        </w:rPr>
        <w:t>All 20 samples receiving the 5 × 10</w:t>
      </w:r>
      <w:r>
        <w:rPr>
          <w:rFonts w:eastAsiaTheme="minorHAnsi" w:cs="Cambria"/>
          <w:vertAlign w:val="superscript"/>
        </w:rPr>
        <w:t>10</w:t>
      </w:r>
      <w:r>
        <w:rPr>
          <w:rFonts w:eastAsiaTheme="minorHAnsi" w:cs="Cambria"/>
        </w:rPr>
        <w:t xml:space="preserve"> VP dose had detectable neutralising antibody against SARS-CoV-</w:t>
      </w:r>
      <w:r w:rsidR="007F4D87">
        <w:rPr>
          <w:rFonts w:eastAsiaTheme="minorHAnsi" w:cs="Cambria"/>
        </w:rPr>
        <w:t xml:space="preserve">2 </w:t>
      </w:r>
      <w:r w:rsidR="00202C73">
        <w:rPr>
          <w:rFonts w:eastAsiaTheme="minorHAnsi" w:cs="Cambria"/>
        </w:rPr>
        <w:t>Alpha</w:t>
      </w:r>
      <w:r w:rsidR="009C3A4C">
        <w:rPr>
          <w:rFonts w:eastAsiaTheme="minorHAnsi" w:cs="Cambria"/>
        </w:rPr>
        <w:t xml:space="preserve"> viral </w:t>
      </w:r>
      <w:r w:rsidR="00202C73">
        <w:rPr>
          <w:rFonts w:eastAsiaTheme="minorHAnsi" w:cs="Cambria"/>
        </w:rPr>
        <w:t xml:space="preserve">variant </w:t>
      </w:r>
      <w:proofErr w:type="spellStart"/>
      <w:r w:rsidR="00202C73">
        <w:rPr>
          <w:rFonts w:eastAsiaTheme="minorHAnsi" w:cs="Cambria"/>
        </w:rPr>
        <w:t>strain</w:t>
      </w:r>
      <w:r w:rsidR="007F4D87">
        <w:rPr>
          <w:rFonts w:eastAsiaTheme="minorHAnsi" w:cs="Cambria"/>
        </w:rPr>
        <w:t>at</w:t>
      </w:r>
      <w:proofErr w:type="spellEnd"/>
      <w:r w:rsidR="007F4D87">
        <w:rPr>
          <w:rFonts w:eastAsiaTheme="minorHAnsi" w:cs="Cambria"/>
        </w:rPr>
        <w:t xml:space="preserve"> Day 71, while all four</w:t>
      </w:r>
      <w:r>
        <w:rPr>
          <w:rFonts w:eastAsiaTheme="minorHAnsi" w:cs="Cambria"/>
        </w:rPr>
        <w:t xml:space="preserve"> samples receiving placebo were below detection. 14 of 20 had titres ≥ 100 at Day 71. GMTs at Day 71 were 3.3</w:t>
      </w:r>
      <w:r w:rsidR="009C3A4C">
        <w:rPr>
          <w:rFonts w:eastAsiaTheme="minorHAnsi" w:cs="Cambria"/>
        </w:rPr>
        <w:noBreakHyphen/>
      </w:r>
      <w:r>
        <w:rPr>
          <w:rFonts w:eastAsiaTheme="minorHAnsi" w:cs="Cambria"/>
        </w:rPr>
        <w:t xml:space="preserve">fold lower against the SARS-CoV-2 </w:t>
      </w:r>
      <w:r w:rsidR="00202C73">
        <w:rPr>
          <w:rFonts w:eastAsiaTheme="minorHAnsi" w:cs="Cambria"/>
        </w:rPr>
        <w:t>Alpha</w:t>
      </w:r>
      <w:r w:rsidR="009C3A4C">
        <w:rPr>
          <w:rFonts w:eastAsiaTheme="minorHAnsi" w:cs="Cambria"/>
        </w:rPr>
        <w:t xml:space="preserve"> </w:t>
      </w:r>
      <w:r w:rsidR="00202C73">
        <w:rPr>
          <w:rFonts w:eastAsiaTheme="minorHAnsi" w:cs="Cambria"/>
        </w:rPr>
        <w:t xml:space="preserve">variant strain </w:t>
      </w:r>
      <w:r>
        <w:rPr>
          <w:rFonts w:eastAsiaTheme="minorHAnsi" w:cs="Cambria"/>
        </w:rPr>
        <w:t xml:space="preserve">as compared to the reference </w:t>
      </w:r>
      <w:r w:rsidR="009C3A4C">
        <w:t>strain</w:t>
      </w:r>
      <w:r w:rsidR="00467DC9">
        <w:t xml:space="preserve"> used in the </w:t>
      </w:r>
      <w:proofErr w:type="spellStart"/>
      <w:r w:rsidR="00467DC9">
        <w:t>wtVNA</w:t>
      </w:r>
      <w:proofErr w:type="spellEnd"/>
      <w:r w:rsidR="00467DC9">
        <w:t xml:space="preserve"> assay</w:t>
      </w:r>
      <w:r w:rsidR="00202C73">
        <w:t xml:space="preserve"> </w:t>
      </w:r>
    </w:p>
    <w:p w14:paraId="6330A9DB" w14:textId="77777777" w:rsidR="007F4D87" w:rsidRDefault="007F4D87" w:rsidP="007F4D87">
      <w:pPr>
        <w:pStyle w:val="Heading4"/>
      </w:pPr>
      <w:r>
        <w:t>Efficacy</w:t>
      </w:r>
    </w:p>
    <w:p w14:paraId="5CF131F7" w14:textId="42C8C3FC" w:rsidR="007F4D87" w:rsidRDefault="00342633" w:rsidP="007F4D87">
      <w:r>
        <w:t>Study COV3001 is a randomis</w:t>
      </w:r>
      <w:r w:rsidR="007F4D87">
        <w:t>ed, do</w:t>
      </w:r>
      <w:r>
        <w:t>uble blind, placebo controlled P</w:t>
      </w:r>
      <w:r w:rsidR="007F4D87">
        <w:t xml:space="preserve">hase </w:t>
      </w:r>
      <w:r>
        <w:t>III</w:t>
      </w:r>
      <w:r w:rsidR="007F4D87">
        <w:t xml:space="preserve"> study to assess the efficacy and safety of </w:t>
      </w:r>
      <w:r w:rsidR="009C3A4C">
        <w:t xml:space="preserve">the </w:t>
      </w:r>
      <w:r w:rsidR="00202C73">
        <w:t xml:space="preserve">COVID-19 Vaccine </w:t>
      </w:r>
      <w:r w:rsidR="009C3A4C">
        <w:t xml:space="preserve">Janssen </w:t>
      </w:r>
      <w:r w:rsidR="00202C73">
        <w:t>(</w:t>
      </w:r>
      <w:r w:rsidR="007F4D87">
        <w:t>Ad26.COV2.S</w:t>
      </w:r>
      <w:r w:rsidR="00202C73">
        <w:t>)</w:t>
      </w:r>
      <w:r w:rsidR="007F4D87">
        <w:t xml:space="preserve"> for the prevention of SARS</w:t>
      </w:r>
      <w:r w:rsidR="009C3A4C">
        <w:noBreakHyphen/>
      </w:r>
      <w:r w:rsidR="007F4D87">
        <w:t>CoV-2 mediated COVID</w:t>
      </w:r>
      <w:r w:rsidR="003D3792">
        <w:noBreakHyphen/>
      </w:r>
      <w:r w:rsidR="007F4D87">
        <w:t xml:space="preserve">19 </w:t>
      </w:r>
      <w:r w:rsidR="003D3792">
        <w:t xml:space="preserve">infection </w:t>
      </w:r>
      <w:r w:rsidR="007F4D87">
        <w:t>in adults aged 18 years and older.</w:t>
      </w:r>
      <w:r w:rsidRPr="00342633">
        <w:t xml:space="preserve"> </w:t>
      </w:r>
      <w:r>
        <w:t>The dossier to support provisional registration contained the primary data analysis from data lock 22</w:t>
      </w:r>
      <w:r w:rsidR="009C3A4C">
        <w:t> </w:t>
      </w:r>
      <w:r>
        <w:t>January 2021.</w:t>
      </w:r>
    </w:p>
    <w:p w14:paraId="2C16B0CA" w14:textId="4C2EFF44" w:rsidR="007F4D87" w:rsidRDefault="007F4D87" w:rsidP="007F4D87">
      <w:r>
        <w:t xml:space="preserve">The study </w:t>
      </w:r>
      <w:r w:rsidR="003378E0">
        <w:t>being conducted</w:t>
      </w:r>
      <w:r>
        <w:t xml:space="preserve"> Argentina, Brazil, Chile, Columbia, Mexico, Peru, South Africa and the US</w:t>
      </w:r>
      <w:r w:rsidR="003D3792">
        <w:t>A</w:t>
      </w:r>
      <w:r>
        <w:t xml:space="preserve">. It commenced in September 2020. The study duration is 52 weeks, with a </w:t>
      </w:r>
      <w:r w:rsidR="007F2F0C">
        <w:t>one</w:t>
      </w:r>
      <w:r>
        <w:t xml:space="preserve"> year follow up period.</w:t>
      </w:r>
    </w:p>
    <w:p w14:paraId="7D8909F9" w14:textId="4C80983D" w:rsidR="007F4D87" w:rsidRDefault="007F4D87" w:rsidP="007F4D87">
      <w:r>
        <w:t>Subjects were randomised 1:1 to receive the vaccine or place</w:t>
      </w:r>
      <w:r w:rsidR="00342633">
        <w:t>bo. The study was performed in two</w:t>
      </w:r>
      <w:r>
        <w:t xml:space="preserve"> phases. </w:t>
      </w:r>
      <w:r w:rsidR="00342633">
        <w:t>Phase I enrolled individuals 18 to 60 years, Phase II</w:t>
      </w:r>
      <w:r>
        <w:t xml:space="preserve"> enrolled individuals over 60 years (aim 30% of the stu</w:t>
      </w:r>
      <w:r w:rsidR="00342633">
        <w:t>dy population). Each phase had two</w:t>
      </w:r>
      <w:r>
        <w:t xml:space="preserve"> stages, </w:t>
      </w:r>
      <w:r w:rsidR="003D3792">
        <w:t xml:space="preserve">stage </w:t>
      </w:r>
      <w:r>
        <w:t>a</w:t>
      </w:r>
      <w:r w:rsidR="003D3792">
        <w:t>,</w:t>
      </w:r>
      <w:r>
        <w:t xml:space="preserve"> for individuals without co-morbidities, and </w:t>
      </w:r>
      <w:r w:rsidR="003D3792">
        <w:t xml:space="preserve">stage </w:t>
      </w:r>
      <w:r>
        <w:t>b</w:t>
      </w:r>
      <w:r w:rsidR="003D3792">
        <w:t>,</w:t>
      </w:r>
      <w:r>
        <w:t xml:space="preserve"> for individuals with co-morbidities.</w:t>
      </w:r>
    </w:p>
    <w:p w14:paraId="0D50986F" w14:textId="2C7BEE1A" w:rsidR="007F4D87" w:rsidRDefault="007F4D87" w:rsidP="007F4D87">
      <w:r>
        <w:t>The primary efficacy endpoint was the prevention of molecularly confirmed, moderate to severe/critical COVID-19, as compared to placebo, in SARS-</w:t>
      </w:r>
      <w:r w:rsidR="00342633">
        <w:t xml:space="preserve">CoV-2 seronegative adults (see </w:t>
      </w:r>
      <w:r w:rsidR="00342633">
        <w:fldChar w:fldCharType="begin"/>
      </w:r>
      <w:r w:rsidR="00342633">
        <w:instrText xml:space="preserve"> REF _Ref72143122 \h </w:instrText>
      </w:r>
      <w:r w:rsidR="00342633">
        <w:fldChar w:fldCharType="separate"/>
      </w:r>
      <w:r w:rsidR="00F204A2" w:rsidRPr="00342633">
        <w:t xml:space="preserve">Table </w:t>
      </w:r>
      <w:r w:rsidR="00F204A2">
        <w:rPr>
          <w:noProof/>
        </w:rPr>
        <w:t>5</w:t>
      </w:r>
      <w:r w:rsidR="00342633">
        <w:fldChar w:fldCharType="end"/>
      </w:r>
      <w:r>
        <w:t>). The initial endpoint was to be assessed 14 days post vaccination. There was a protocol amendment to include a co-primary endpoint assessed 28 days after vaccination.</w:t>
      </w:r>
    </w:p>
    <w:p w14:paraId="67F4A147" w14:textId="77777777" w:rsidR="007F4D87" w:rsidRDefault="007F4D87" w:rsidP="007F4D87">
      <w:r>
        <w:t>The study enrolled individuals over 18 years and included those with comorbidities which were stable. The main exclusion criteria included an acute illness, known or suspected allergy or history of adverse event to a vaccine, abnormal immune function, prior treatment with immunoglobulins or blood products, or other vaccines.</w:t>
      </w:r>
    </w:p>
    <w:p w14:paraId="2EDC2185" w14:textId="77777777" w:rsidR="00734FB9" w:rsidRDefault="007F4D87" w:rsidP="007F4D87">
      <w:r>
        <w:t>Individuals received a sero</w:t>
      </w:r>
      <w:r w:rsidR="00342633">
        <w:t>logical test for SARS-CoV-2 on D</w:t>
      </w:r>
      <w:r>
        <w:t>ay 1. Seropositive individuals were included in the study but excluded from the pre-protocol analysis.</w:t>
      </w:r>
    </w:p>
    <w:p w14:paraId="4DFEC767" w14:textId="328258E0" w:rsidR="00342633" w:rsidRDefault="00342633" w:rsidP="00906E57">
      <w:pPr>
        <w:pStyle w:val="TableTitle"/>
      </w:pPr>
      <w:bookmarkStart w:id="47" w:name="_Ref72143122"/>
      <w:r w:rsidRPr="00342633">
        <w:t xml:space="preserve">Table </w:t>
      </w:r>
      <w:fldSimple w:instr=" SEQ Table \* ARABIC ">
        <w:r w:rsidR="00F204A2">
          <w:rPr>
            <w:noProof/>
          </w:rPr>
          <w:t>5</w:t>
        </w:r>
      </w:fldSimple>
      <w:bookmarkEnd w:id="47"/>
      <w:r>
        <w:t>:</w:t>
      </w:r>
      <w:r w:rsidRPr="00342633">
        <w:t xml:space="preserve"> </w:t>
      </w:r>
      <w:r>
        <w:t>Study COV3001 Case definitions</w:t>
      </w:r>
    </w:p>
    <w:tbl>
      <w:tblPr>
        <w:tblStyle w:val="TableTGAblue"/>
        <w:tblW w:w="0" w:type="auto"/>
        <w:tblLook w:val="04A0" w:firstRow="1" w:lastRow="0" w:firstColumn="1" w:lastColumn="0" w:noHBand="0" w:noVBand="1"/>
      </w:tblPr>
      <w:tblGrid>
        <w:gridCol w:w="1451"/>
        <w:gridCol w:w="2517"/>
        <w:gridCol w:w="2112"/>
        <w:gridCol w:w="2404"/>
      </w:tblGrid>
      <w:tr w:rsidR="00342633" w:rsidRPr="00342633" w14:paraId="503371F8" w14:textId="77777777" w:rsidTr="0037652E">
        <w:trPr>
          <w:cnfStyle w:val="100000000000" w:firstRow="1" w:lastRow="0" w:firstColumn="0" w:lastColumn="0" w:oddVBand="0" w:evenVBand="0" w:oddHBand="0" w:evenHBand="0" w:firstRowFirstColumn="0" w:firstRowLastColumn="0" w:lastRowFirstColumn="0" w:lastRowLastColumn="0"/>
        </w:trPr>
        <w:tc>
          <w:tcPr>
            <w:tcW w:w="1246" w:type="dxa"/>
          </w:tcPr>
          <w:p w14:paraId="42349D53" w14:textId="77777777" w:rsidR="00342633" w:rsidRPr="00342633" w:rsidRDefault="00342633" w:rsidP="00906E57">
            <w:pPr>
              <w:pStyle w:val="Caption"/>
              <w:jc w:val="center"/>
              <w:rPr>
                <w:b w:val="0"/>
                <w:szCs w:val="19"/>
              </w:rPr>
            </w:pPr>
          </w:p>
        </w:tc>
        <w:tc>
          <w:tcPr>
            <w:tcW w:w="2615" w:type="dxa"/>
          </w:tcPr>
          <w:p w14:paraId="778449FF" w14:textId="77777777" w:rsidR="00342633" w:rsidRPr="00342633" w:rsidRDefault="00342633" w:rsidP="00906E57">
            <w:pPr>
              <w:jc w:val="center"/>
              <w:rPr>
                <w:b w:val="0"/>
                <w:sz w:val="19"/>
                <w:szCs w:val="19"/>
              </w:rPr>
            </w:pPr>
            <w:r w:rsidRPr="00342633">
              <w:rPr>
                <w:sz w:val="19"/>
                <w:szCs w:val="19"/>
              </w:rPr>
              <w:t>Mild</w:t>
            </w:r>
          </w:p>
        </w:tc>
        <w:tc>
          <w:tcPr>
            <w:tcW w:w="2130" w:type="dxa"/>
          </w:tcPr>
          <w:p w14:paraId="2917BB77" w14:textId="77777777" w:rsidR="00342633" w:rsidRPr="00342633" w:rsidRDefault="00342633" w:rsidP="00906E57">
            <w:pPr>
              <w:jc w:val="center"/>
              <w:rPr>
                <w:b w:val="0"/>
                <w:sz w:val="19"/>
                <w:szCs w:val="19"/>
              </w:rPr>
            </w:pPr>
            <w:r w:rsidRPr="00342633">
              <w:rPr>
                <w:sz w:val="19"/>
                <w:szCs w:val="19"/>
              </w:rPr>
              <w:t>Moderate</w:t>
            </w:r>
          </w:p>
        </w:tc>
        <w:tc>
          <w:tcPr>
            <w:tcW w:w="2493" w:type="dxa"/>
          </w:tcPr>
          <w:p w14:paraId="0E7F9994" w14:textId="77777777" w:rsidR="00342633" w:rsidRPr="00342633" w:rsidRDefault="00342633">
            <w:pPr>
              <w:jc w:val="center"/>
              <w:rPr>
                <w:b w:val="0"/>
                <w:sz w:val="19"/>
                <w:szCs w:val="19"/>
              </w:rPr>
            </w:pPr>
            <w:r w:rsidRPr="00342633">
              <w:rPr>
                <w:sz w:val="19"/>
                <w:szCs w:val="19"/>
              </w:rPr>
              <w:t>Severe</w:t>
            </w:r>
          </w:p>
        </w:tc>
      </w:tr>
      <w:tr w:rsidR="00342633" w:rsidRPr="00342633" w14:paraId="3CAB1F41" w14:textId="77777777" w:rsidTr="0037652E">
        <w:tc>
          <w:tcPr>
            <w:tcW w:w="1246" w:type="dxa"/>
          </w:tcPr>
          <w:p w14:paraId="60A82191" w14:textId="4F228735" w:rsidR="00342633" w:rsidRPr="00342633" w:rsidRDefault="00906E57" w:rsidP="00467DC9">
            <w:pPr>
              <w:keepNext/>
              <w:ind w:left="0"/>
              <w:rPr>
                <w:sz w:val="19"/>
                <w:szCs w:val="19"/>
              </w:rPr>
            </w:pPr>
            <w:r>
              <w:rPr>
                <w:sz w:val="19"/>
                <w:szCs w:val="19"/>
              </w:rPr>
              <w:t>Requirement</w:t>
            </w:r>
          </w:p>
        </w:tc>
        <w:tc>
          <w:tcPr>
            <w:tcW w:w="7238" w:type="dxa"/>
            <w:gridSpan w:val="3"/>
          </w:tcPr>
          <w:p w14:paraId="2D1C95CA" w14:textId="52312685" w:rsidR="00342633" w:rsidRPr="00342633" w:rsidRDefault="00342633" w:rsidP="00467DC9">
            <w:pPr>
              <w:keepNext/>
              <w:tabs>
                <w:tab w:val="left" w:pos="2041"/>
              </w:tabs>
              <w:autoSpaceDE w:val="0"/>
              <w:autoSpaceDN w:val="0"/>
              <w:adjustRightInd w:val="0"/>
              <w:spacing w:line="240" w:lineRule="auto"/>
              <w:ind w:left="0"/>
              <w:rPr>
                <w:rFonts w:eastAsiaTheme="minorHAnsi" w:cs="Cambria"/>
                <w:sz w:val="19"/>
                <w:szCs w:val="19"/>
              </w:rPr>
            </w:pPr>
            <w:r w:rsidRPr="00342633">
              <w:rPr>
                <w:rFonts w:eastAsiaTheme="minorHAnsi" w:cs="Cambria"/>
                <w:sz w:val="19"/>
                <w:szCs w:val="19"/>
              </w:rPr>
              <w:t xml:space="preserve">A SARS-CoV-2 positive </w:t>
            </w:r>
            <w:r w:rsidR="003448FF" w:rsidRPr="003448FF">
              <w:rPr>
                <w:rFonts w:eastAsiaTheme="minorHAnsi" w:cs="Cambria"/>
                <w:sz w:val="19"/>
                <w:szCs w:val="19"/>
              </w:rPr>
              <w:t xml:space="preserve">reverse transcription polymerase chain reaction </w:t>
            </w:r>
            <w:r w:rsidRPr="00342633">
              <w:rPr>
                <w:rFonts w:eastAsiaTheme="minorHAnsi" w:cs="Cambria"/>
                <w:sz w:val="19"/>
                <w:szCs w:val="19"/>
              </w:rPr>
              <w:t>or molecular test result from any available respiratory t</w:t>
            </w:r>
            <w:r w:rsidR="003448FF">
              <w:rPr>
                <w:rFonts w:eastAsiaTheme="minorHAnsi" w:cs="Cambria"/>
                <w:sz w:val="19"/>
                <w:szCs w:val="19"/>
              </w:rPr>
              <w:t>ract sample or other sample, and</w:t>
            </w:r>
            <w:r w:rsidRPr="00342633">
              <w:rPr>
                <w:rFonts w:eastAsiaTheme="minorHAnsi" w:cs="Cambria"/>
                <w:sz w:val="19"/>
                <w:szCs w:val="19"/>
              </w:rPr>
              <w:t>, at any time during the course of observation (lasting at least 14 days post-symptom onset, or until resolution of episode, whichever is longer)</w:t>
            </w:r>
          </w:p>
        </w:tc>
      </w:tr>
      <w:tr w:rsidR="00342633" w:rsidRPr="00342633" w14:paraId="4B932611" w14:textId="77777777" w:rsidTr="0037652E">
        <w:tc>
          <w:tcPr>
            <w:tcW w:w="1246" w:type="dxa"/>
          </w:tcPr>
          <w:p w14:paraId="0BDAD549" w14:textId="77777777" w:rsidR="00342633" w:rsidRPr="00342633" w:rsidRDefault="00342633" w:rsidP="00467DC9">
            <w:pPr>
              <w:keepNext/>
              <w:ind w:left="0"/>
              <w:rPr>
                <w:sz w:val="19"/>
                <w:szCs w:val="19"/>
              </w:rPr>
            </w:pPr>
            <w:r w:rsidRPr="00342633">
              <w:rPr>
                <w:sz w:val="19"/>
                <w:szCs w:val="19"/>
              </w:rPr>
              <w:t>Symptoms</w:t>
            </w:r>
          </w:p>
        </w:tc>
        <w:tc>
          <w:tcPr>
            <w:tcW w:w="2615" w:type="dxa"/>
          </w:tcPr>
          <w:p w14:paraId="65350EBC" w14:textId="77777777" w:rsidR="00342633" w:rsidRPr="00342633" w:rsidRDefault="00342633" w:rsidP="00467DC9">
            <w:pPr>
              <w:keepNext/>
              <w:spacing w:before="0" w:after="0"/>
              <w:ind w:left="0"/>
              <w:rPr>
                <w:sz w:val="19"/>
                <w:szCs w:val="19"/>
              </w:rPr>
            </w:pPr>
            <w:r w:rsidRPr="00342633">
              <w:rPr>
                <w:sz w:val="19"/>
                <w:szCs w:val="19"/>
              </w:rPr>
              <w:t xml:space="preserve">Any </w:t>
            </w:r>
            <w:r w:rsidRPr="003448FF">
              <w:rPr>
                <w:sz w:val="19"/>
                <w:szCs w:val="19"/>
              </w:rPr>
              <w:t>one</w:t>
            </w:r>
            <w:r w:rsidRPr="00342633">
              <w:rPr>
                <w:sz w:val="19"/>
                <w:szCs w:val="19"/>
              </w:rPr>
              <w:t xml:space="preserve"> of the following:</w:t>
            </w:r>
          </w:p>
          <w:p w14:paraId="3F832B7F" w14:textId="53F9FF91" w:rsidR="00342633" w:rsidRPr="00467DC9" w:rsidRDefault="00342633" w:rsidP="00467DC9">
            <w:pPr>
              <w:pStyle w:val="ListBullet"/>
              <w:rPr>
                <w:sz w:val="19"/>
                <w:szCs w:val="19"/>
              </w:rPr>
            </w:pPr>
            <w:r w:rsidRPr="00467DC9">
              <w:rPr>
                <w:sz w:val="19"/>
                <w:szCs w:val="19"/>
              </w:rPr>
              <w:t>fever ≥ 38.0°C</w:t>
            </w:r>
          </w:p>
          <w:p w14:paraId="262881E0" w14:textId="38CE3917" w:rsidR="00342633" w:rsidRPr="00906E57" w:rsidRDefault="00342633" w:rsidP="00467DC9">
            <w:pPr>
              <w:pStyle w:val="ListBullet"/>
              <w:rPr>
                <w:sz w:val="19"/>
                <w:szCs w:val="19"/>
              </w:rPr>
            </w:pPr>
            <w:r w:rsidRPr="00906E57">
              <w:rPr>
                <w:sz w:val="19"/>
                <w:szCs w:val="19"/>
              </w:rPr>
              <w:t>sore throat</w:t>
            </w:r>
          </w:p>
          <w:p w14:paraId="7B0B46F0" w14:textId="5A70F1E8" w:rsidR="00342633" w:rsidRPr="00906E57" w:rsidRDefault="00342633" w:rsidP="00467DC9">
            <w:pPr>
              <w:pStyle w:val="ListBullet"/>
              <w:rPr>
                <w:sz w:val="19"/>
                <w:szCs w:val="19"/>
              </w:rPr>
            </w:pPr>
            <w:r w:rsidRPr="00906E57">
              <w:rPr>
                <w:sz w:val="19"/>
                <w:szCs w:val="19"/>
              </w:rPr>
              <w:t>malaise (loss of appetite, generally unwell, fatigue, physical weakness)</w:t>
            </w:r>
          </w:p>
          <w:p w14:paraId="7AAD59D9" w14:textId="39FD4738" w:rsidR="00342633" w:rsidRPr="00906E57" w:rsidRDefault="00342633" w:rsidP="00467DC9">
            <w:pPr>
              <w:pStyle w:val="ListBullet"/>
              <w:rPr>
                <w:sz w:val="19"/>
                <w:szCs w:val="19"/>
              </w:rPr>
            </w:pPr>
            <w:r w:rsidRPr="00906E57">
              <w:rPr>
                <w:sz w:val="19"/>
                <w:szCs w:val="19"/>
              </w:rPr>
              <w:t>headache</w:t>
            </w:r>
          </w:p>
          <w:p w14:paraId="675CD2FD" w14:textId="44A20570" w:rsidR="00342633" w:rsidRPr="00906E57" w:rsidRDefault="003448FF" w:rsidP="00467DC9">
            <w:pPr>
              <w:pStyle w:val="ListBullet"/>
              <w:rPr>
                <w:sz w:val="19"/>
                <w:szCs w:val="19"/>
              </w:rPr>
            </w:pPr>
            <w:r w:rsidRPr="00906E57">
              <w:rPr>
                <w:sz w:val="19"/>
                <w:szCs w:val="19"/>
              </w:rPr>
              <w:t>muscle pain (myalgia)</w:t>
            </w:r>
          </w:p>
          <w:p w14:paraId="6F17292C" w14:textId="16B76837" w:rsidR="00342633" w:rsidRPr="00906E57" w:rsidRDefault="00342633" w:rsidP="00467DC9">
            <w:pPr>
              <w:pStyle w:val="ListBullet"/>
              <w:rPr>
                <w:sz w:val="19"/>
                <w:szCs w:val="19"/>
              </w:rPr>
            </w:pPr>
            <w:r w:rsidRPr="00906E57">
              <w:rPr>
                <w:sz w:val="19"/>
                <w:szCs w:val="19"/>
              </w:rPr>
              <w:t>gastrointestinal symptoms</w:t>
            </w:r>
          </w:p>
          <w:p w14:paraId="66936116" w14:textId="1525C73F" w:rsidR="00342633" w:rsidRPr="00906E57" w:rsidRDefault="00342633" w:rsidP="00467DC9">
            <w:pPr>
              <w:pStyle w:val="ListBullet"/>
              <w:rPr>
                <w:sz w:val="19"/>
                <w:szCs w:val="19"/>
              </w:rPr>
            </w:pPr>
            <w:r w:rsidRPr="00906E57">
              <w:rPr>
                <w:sz w:val="19"/>
                <w:szCs w:val="19"/>
              </w:rPr>
              <w:t>cough</w:t>
            </w:r>
          </w:p>
          <w:p w14:paraId="3F007C9B" w14:textId="65597761" w:rsidR="00342633" w:rsidRPr="00906E57" w:rsidRDefault="00342633" w:rsidP="00467DC9">
            <w:pPr>
              <w:pStyle w:val="ListBullet"/>
              <w:rPr>
                <w:sz w:val="19"/>
                <w:szCs w:val="19"/>
              </w:rPr>
            </w:pPr>
            <w:r w:rsidRPr="00906E57">
              <w:rPr>
                <w:sz w:val="19"/>
                <w:szCs w:val="19"/>
              </w:rPr>
              <w:t>chest congestion</w:t>
            </w:r>
          </w:p>
          <w:p w14:paraId="10B92A91" w14:textId="3445A69F" w:rsidR="00342633" w:rsidRPr="00906E57" w:rsidRDefault="00342633" w:rsidP="00467DC9">
            <w:pPr>
              <w:pStyle w:val="ListBullet"/>
              <w:rPr>
                <w:sz w:val="19"/>
                <w:szCs w:val="19"/>
              </w:rPr>
            </w:pPr>
            <w:r w:rsidRPr="00906E57">
              <w:rPr>
                <w:sz w:val="19"/>
                <w:szCs w:val="19"/>
              </w:rPr>
              <w:t>runny nose</w:t>
            </w:r>
          </w:p>
          <w:p w14:paraId="2AA2B180" w14:textId="6F15E831" w:rsidR="00342633" w:rsidRPr="00906E57" w:rsidRDefault="00342633" w:rsidP="00467DC9">
            <w:pPr>
              <w:pStyle w:val="ListBullet"/>
              <w:rPr>
                <w:sz w:val="19"/>
                <w:szCs w:val="19"/>
              </w:rPr>
            </w:pPr>
            <w:r w:rsidRPr="00906E57">
              <w:rPr>
                <w:sz w:val="19"/>
                <w:szCs w:val="19"/>
              </w:rPr>
              <w:t>wheezing</w:t>
            </w:r>
          </w:p>
          <w:p w14:paraId="3E805783" w14:textId="3679961D" w:rsidR="00342633" w:rsidRPr="00906E57" w:rsidRDefault="00342633" w:rsidP="00467DC9">
            <w:pPr>
              <w:pStyle w:val="ListBullet"/>
              <w:rPr>
                <w:sz w:val="19"/>
                <w:szCs w:val="19"/>
              </w:rPr>
            </w:pPr>
            <w:r w:rsidRPr="00906E57">
              <w:rPr>
                <w:sz w:val="19"/>
                <w:szCs w:val="19"/>
              </w:rPr>
              <w:t>skin rash</w:t>
            </w:r>
          </w:p>
          <w:p w14:paraId="5CAA1887" w14:textId="7180A92E" w:rsidR="00342633" w:rsidRPr="00906E57" w:rsidRDefault="00342633" w:rsidP="00467DC9">
            <w:pPr>
              <w:pStyle w:val="ListBullet"/>
              <w:rPr>
                <w:sz w:val="19"/>
                <w:szCs w:val="19"/>
              </w:rPr>
            </w:pPr>
            <w:r w:rsidRPr="00906E57">
              <w:rPr>
                <w:sz w:val="19"/>
                <w:szCs w:val="19"/>
              </w:rPr>
              <w:t>eye irritation or discharge</w:t>
            </w:r>
          </w:p>
          <w:p w14:paraId="047BC804" w14:textId="6FE730F6" w:rsidR="00342633" w:rsidRPr="00906E57" w:rsidRDefault="00342633" w:rsidP="00467DC9">
            <w:pPr>
              <w:pStyle w:val="ListBullet"/>
              <w:rPr>
                <w:sz w:val="19"/>
                <w:szCs w:val="19"/>
              </w:rPr>
            </w:pPr>
            <w:r w:rsidRPr="00906E57">
              <w:rPr>
                <w:sz w:val="19"/>
                <w:szCs w:val="19"/>
              </w:rPr>
              <w:t>new or changing olfactory or taste disorders</w:t>
            </w:r>
          </w:p>
          <w:p w14:paraId="1BB4F42F" w14:textId="134E32E6" w:rsidR="00342633" w:rsidRPr="00906E57" w:rsidRDefault="00342633" w:rsidP="00467DC9">
            <w:pPr>
              <w:pStyle w:val="ListBullet"/>
              <w:rPr>
                <w:sz w:val="19"/>
                <w:szCs w:val="19"/>
              </w:rPr>
            </w:pPr>
            <w:r w:rsidRPr="00906E57">
              <w:rPr>
                <w:sz w:val="19"/>
                <w:szCs w:val="19"/>
              </w:rPr>
              <w:t>red or bruised looking feet or toes</w:t>
            </w:r>
          </w:p>
          <w:p w14:paraId="0808616E" w14:textId="3A0359D4" w:rsidR="00342633" w:rsidRPr="00342633" w:rsidRDefault="003448FF" w:rsidP="00467DC9">
            <w:pPr>
              <w:pStyle w:val="ListBullet"/>
              <w:rPr>
                <w:sz w:val="19"/>
                <w:szCs w:val="19"/>
              </w:rPr>
            </w:pPr>
            <w:r w:rsidRPr="00906E57">
              <w:rPr>
                <w:sz w:val="19"/>
                <w:szCs w:val="19"/>
              </w:rPr>
              <w:t>chills or rigors</w:t>
            </w:r>
          </w:p>
        </w:tc>
        <w:tc>
          <w:tcPr>
            <w:tcW w:w="2130" w:type="dxa"/>
          </w:tcPr>
          <w:p w14:paraId="448E6ED6" w14:textId="1A3FC91F" w:rsidR="00342633" w:rsidRPr="00342633" w:rsidRDefault="00342633" w:rsidP="00467DC9">
            <w:pPr>
              <w:keepNext/>
              <w:spacing w:before="0" w:after="0"/>
              <w:ind w:left="0"/>
              <w:rPr>
                <w:sz w:val="19"/>
                <w:szCs w:val="19"/>
              </w:rPr>
            </w:pPr>
            <w:r w:rsidRPr="003448FF">
              <w:rPr>
                <w:sz w:val="19"/>
                <w:szCs w:val="19"/>
              </w:rPr>
              <w:t>Two</w:t>
            </w:r>
            <w:r w:rsidRPr="00342633">
              <w:rPr>
                <w:sz w:val="19"/>
                <w:szCs w:val="19"/>
              </w:rPr>
              <w:t xml:space="preserve"> of the following worsening signs or symptoms</w:t>
            </w:r>
            <w:r w:rsidR="00906E57">
              <w:rPr>
                <w:sz w:val="19"/>
                <w:szCs w:val="19"/>
              </w:rPr>
              <w:t>:</w:t>
            </w:r>
          </w:p>
          <w:p w14:paraId="273ED239" w14:textId="2D99DD4D" w:rsidR="00342633" w:rsidRPr="00467DC9" w:rsidRDefault="00342633" w:rsidP="00467DC9">
            <w:pPr>
              <w:pStyle w:val="ListBullet"/>
              <w:rPr>
                <w:sz w:val="19"/>
                <w:szCs w:val="19"/>
              </w:rPr>
            </w:pPr>
            <w:r w:rsidRPr="00467DC9">
              <w:rPr>
                <w:sz w:val="19"/>
                <w:szCs w:val="19"/>
              </w:rPr>
              <w:t>Fever &gt; 38</w:t>
            </w:r>
            <w:r w:rsidR="00906E57" w:rsidRPr="002757AA">
              <w:rPr>
                <w:sz w:val="19"/>
                <w:szCs w:val="19"/>
              </w:rPr>
              <w:t>°C</w:t>
            </w:r>
          </w:p>
          <w:p w14:paraId="30139D50" w14:textId="02CBB129" w:rsidR="00342633" w:rsidRPr="00467DC9" w:rsidRDefault="00342633" w:rsidP="00467DC9">
            <w:pPr>
              <w:pStyle w:val="ListBullet"/>
              <w:rPr>
                <w:sz w:val="19"/>
                <w:szCs w:val="19"/>
              </w:rPr>
            </w:pPr>
            <w:r w:rsidRPr="00467DC9">
              <w:rPr>
                <w:sz w:val="19"/>
                <w:szCs w:val="19"/>
              </w:rPr>
              <w:t>heart rate &gt; 90 beats per minute</w:t>
            </w:r>
          </w:p>
          <w:p w14:paraId="7B86E046" w14:textId="5B5831BB" w:rsidR="00342633" w:rsidRPr="00467DC9" w:rsidRDefault="00342633" w:rsidP="00467DC9">
            <w:pPr>
              <w:pStyle w:val="ListBullet"/>
              <w:rPr>
                <w:sz w:val="19"/>
                <w:szCs w:val="19"/>
              </w:rPr>
            </w:pPr>
            <w:r w:rsidRPr="00467DC9">
              <w:rPr>
                <w:sz w:val="19"/>
                <w:szCs w:val="19"/>
              </w:rPr>
              <w:t>chills or rigors</w:t>
            </w:r>
          </w:p>
          <w:p w14:paraId="0056D1F3" w14:textId="6178C9D8" w:rsidR="00342633" w:rsidRPr="00467DC9" w:rsidRDefault="00342633" w:rsidP="00467DC9">
            <w:pPr>
              <w:pStyle w:val="ListBullet"/>
              <w:rPr>
                <w:sz w:val="19"/>
                <w:szCs w:val="19"/>
              </w:rPr>
            </w:pPr>
            <w:r w:rsidRPr="00467DC9">
              <w:rPr>
                <w:sz w:val="19"/>
                <w:szCs w:val="19"/>
              </w:rPr>
              <w:t>sore throat</w:t>
            </w:r>
          </w:p>
          <w:p w14:paraId="1DC0F5C7" w14:textId="71E45E6C" w:rsidR="00342633" w:rsidRPr="00467DC9" w:rsidRDefault="00342633" w:rsidP="00467DC9">
            <w:pPr>
              <w:pStyle w:val="ListBullet"/>
              <w:rPr>
                <w:sz w:val="19"/>
                <w:szCs w:val="19"/>
              </w:rPr>
            </w:pPr>
            <w:r w:rsidRPr="00467DC9">
              <w:rPr>
                <w:sz w:val="19"/>
                <w:szCs w:val="19"/>
              </w:rPr>
              <w:t>cough</w:t>
            </w:r>
          </w:p>
          <w:p w14:paraId="0EA18400" w14:textId="61075835" w:rsidR="00342633" w:rsidRPr="00467DC9" w:rsidRDefault="00342633" w:rsidP="00467DC9">
            <w:pPr>
              <w:pStyle w:val="ListBullet"/>
              <w:rPr>
                <w:sz w:val="19"/>
                <w:szCs w:val="19"/>
              </w:rPr>
            </w:pPr>
            <w:r w:rsidRPr="00467DC9">
              <w:rPr>
                <w:sz w:val="19"/>
                <w:szCs w:val="19"/>
              </w:rPr>
              <w:t>malaise</w:t>
            </w:r>
          </w:p>
          <w:p w14:paraId="6551B868" w14:textId="71CFD692" w:rsidR="00342633" w:rsidRPr="00467DC9" w:rsidRDefault="00342633" w:rsidP="00467DC9">
            <w:pPr>
              <w:pStyle w:val="ListBullet"/>
              <w:rPr>
                <w:sz w:val="19"/>
                <w:szCs w:val="19"/>
              </w:rPr>
            </w:pPr>
            <w:r w:rsidRPr="00467DC9">
              <w:rPr>
                <w:sz w:val="19"/>
                <w:szCs w:val="19"/>
              </w:rPr>
              <w:t>headache</w:t>
            </w:r>
          </w:p>
          <w:p w14:paraId="0B1C67C5" w14:textId="4D679FC4" w:rsidR="00342633" w:rsidRPr="00467DC9" w:rsidRDefault="00342633" w:rsidP="00467DC9">
            <w:pPr>
              <w:pStyle w:val="ListBullet"/>
              <w:rPr>
                <w:sz w:val="19"/>
                <w:szCs w:val="19"/>
              </w:rPr>
            </w:pPr>
            <w:r w:rsidRPr="00467DC9">
              <w:rPr>
                <w:sz w:val="19"/>
                <w:szCs w:val="19"/>
              </w:rPr>
              <w:t>muscle pain</w:t>
            </w:r>
          </w:p>
          <w:p w14:paraId="5BC598F4" w14:textId="1B68FE71" w:rsidR="00342633" w:rsidRPr="00467DC9" w:rsidRDefault="003448FF" w:rsidP="00467DC9">
            <w:pPr>
              <w:pStyle w:val="ListBullet"/>
              <w:rPr>
                <w:sz w:val="19"/>
                <w:szCs w:val="19"/>
              </w:rPr>
            </w:pPr>
            <w:r w:rsidRPr="00467DC9">
              <w:rPr>
                <w:sz w:val="19"/>
                <w:szCs w:val="19"/>
              </w:rPr>
              <w:t>gastrointestinal tract</w:t>
            </w:r>
            <w:r w:rsidR="00342633" w:rsidRPr="00467DC9">
              <w:rPr>
                <w:sz w:val="19"/>
                <w:szCs w:val="19"/>
              </w:rPr>
              <w:t xml:space="preserve"> symptoms</w:t>
            </w:r>
          </w:p>
          <w:p w14:paraId="46899ECF" w14:textId="25F5FF88" w:rsidR="00342633" w:rsidRPr="00467DC9" w:rsidRDefault="00342633" w:rsidP="00467DC9">
            <w:pPr>
              <w:pStyle w:val="ListBullet"/>
              <w:rPr>
                <w:sz w:val="19"/>
                <w:szCs w:val="19"/>
              </w:rPr>
            </w:pPr>
            <w:r w:rsidRPr="00467DC9">
              <w:rPr>
                <w:sz w:val="19"/>
                <w:szCs w:val="19"/>
              </w:rPr>
              <w:t>change in smell or taste</w:t>
            </w:r>
          </w:p>
          <w:p w14:paraId="289E40B2" w14:textId="6958CD02" w:rsidR="00342633" w:rsidRPr="00342633" w:rsidRDefault="00342633" w:rsidP="00467DC9">
            <w:pPr>
              <w:pStyle w:val="ListBullet"/>
            </w:pPr>
            <w:r w:rsidRPr="00467DC9">
              <w:rPr>
                <w:sz w:val="19"/>
                <w:szCs w:val="19"/>
              </w:rPr>
              <w:t>red or bruised feet or toes</w:t>
            </w:r>
          </w:p>
        </w:tc>
        <w:tc>
          <w:tcPr>
            <w:tcW w:w="2493" w:type="dxa"/>
          </w:tcPr>
          <w:p w14:paraId="5A24A9CE" w14:textId="4B1B0BCD" w:rsidR="00342633" w:rsidRPr="00342633" w:rsidRDefault="00342633" w:rsidP="00467DC9">
            <w:pPr>
              <w:keepNext/>
              <w:rPr>
                <w:sz w:val="19"/>
                <w:szCs w:val="19"/>
              </w:rPr>
            </w:pPr>
          </w:p>
        </w:tc>
      </w:tr>
      <w:tr w:rsidR="00342633" w:rsidRPr="00342633" w14:paraId="61C76E25" w14:textId="77777777" w:rsidTr="0037652E">
        <w:tc>
          <w:tcPr>
            <w:tcW w:w="1246" w:type="dxa"/>
          </w:tcPr>
          <w:p w14:paraId="67283908" w14:textId="77777777" w:rsidR="00342633" w:rsidRPr="00342633" w:rsidRDefault="00342633" w:rsidP="00342633">
            <w:pPr>
              <w:ind w:left="0"/>
              <w:rPr>
                <w:sz w:val="19"/>
                <w:szCs w:val="19"/>
              </w:rPr>
            </w:pPr>
            <w:r w:rsidRPr="00342633">
              <w:rPr>
                <w:sz w:val="19"/>
                <w:szCs w:val="19"/>
              </w:rPr>
              <w:t>Signs</w:t>
            </w:r>
          </w:p>
        </w:tc>
        <w:tc>
          <w:tcPr>
            <w:tcW w:w="2615" w:type="dxa"/>
          </w:tcPr>
          <w:p w14:paraId="0D20E677" w14:textId="77777777" w:rsidR="00342633" w:rsidRPr="00342633" w:rsidRDefault="00342633" w:rsidP="00BE4C97">
            <w:pPr>
              <w:rPr>
                <w:sz w:val="19"/>
                <w:szCs w:val="19"/>
              </w:rPr>
            </w:pPr>
          </w:p>
        </w:tc>
        <w:tc>
          <w:tcPr>
            <w:tcW w:w="2130" w:type="dxa"/>
          </w:tcPr>
          <w:p w14:paraId="42360EB0" w14:textId="4008428B" w:rsidR="00342633" w:rsidRPr="003448FF" w:rsidRDefault="00342633" w:rsidP="00342633">
            <w:pPr>
              <w:ind w:left="0"/>
              <w:rPr>
                <w:sz w:val="19"/>
                <w:szCs w:val="19"/>
              </w:rPr>
            </w:pPr>
            <w:r w:rsidRPr="003448FF">
              <w:rPr>
                <w:sz w:val="19"/>
                <w:szCs w:val="19"/>
              </w:rPr>
              <w:t xml:space="preserve">One of </w:t>
            </w:r>
            <w:r w:rsidR="00906E57">
              <w:rPr>
                <w:sz w:val="19"/>
                <w:szCs w:val="19"/>
              </w:rPr>
              <w:t>the following:</w:t>
            </w:r>
          </w:p>
          <w:p w14:paraId="2EDE5D44" w14:textId="17133D81" w:rsidR="00342633" w:rsidRPr="00342633" w:rsidRDefault="003448FF" w:rsidP="00342633">
            <w:pPr>
              <w:pStyle w:val="ListBullet"/>
              <w:rPr>
                <w:sz w:val="19"/>
                <w:szCs w:val="19"/>
              </w:rPr>
            </w:pPr>
            <w:r>
              <w:rPr>
                <w:sz w:val="19"/>
                <w:szCs w:val="19"/>
              </w:rPr>
              <w:t>r</w:t>
            </w:r>
            <w:r w:rsidR="00342633" w:rsidRPr="00342633">
              <w:rPr>
                <w:sz w:val="19"/>
                <w:szCs w:val="19"/>
              </w:rPr>
              <w:t>espiratory rate &gt; 20 breaths per minute</w:t>
            </w:r>
          </w:p>
          <w:p w14:paraId="23ACBFB0" w14:textId="0EBDC64F" w:rsidR="00342633" w:rsidRPr="00342633" w:rsidRDefault="003448FF" w:rsidP="00342633">
            <w:pPr>
              <w:pStyle w:val="ListBullet"/>
              <w:rPr>
                <w:sz w:val="19"/>
                <w:szCs w:val="19"/>
              </w:rPr>
            </w:pPr>
            <w:r>
              <w:rPr>
                <w:sz w:val="19"/>
                <w:szCs w:val="19"/>
              </w:rPr>
              <w:t>o</w:t>
            </w:r>
            <w:r w:rsidR="00342633" w:rsidRPr="00342633">
              <w:rPr>
                <w:sz w:val="19"/>
                <w:szCs w:val="19"/>
              </w:rPr>
              <w:t>xygen saturations &gt;</w:t>
            </w:r>
            <w:r w:rsidR="00906E57">
              <w:rPr>
                <w:sz w:val="19"/>
                <w:szCs w:val="19"/>
              </w:rPr>
              <w:t> </w:t>
            </w:r>
            <w:r w:rsidR="00342633" w:rsidRPr="00342633">
              <w:rPr>
                <w:sz w:val="19"/>
                <w:szCs w:val="19"/>
              </w:rPr>
              <w:t>93% but abnormal</w:t>
            </w:r>
          </w:p>
          <w:p w14:paraId="35428F71" w14:textId="3EAEF628" w:rsidR="00342633" w:rsidRPr="00342633" w:rsidRDefault="003448FF" w:rsidP="00342633">
            <w:pPr>
              <w:pStyle w:val="ListBullet"/>
              <w:rPr>
                <w:sz w:val="19"/>
                <w:szCs w:val="19"/>
              </w:rPr>
            </w:pPr>
            <w:r>
              <w:rPr>
                <w:sz w:val="19"/>
                <w:szCs w:val="19"/>
              </w:rPr>
              <w:t>c</w:t>
            </w:r>
            <w:r w:rsidR="00342633" w:rsidRPr="00342633">
              <w:rPr>
                <w:sz w:val="19"/>
                <w:szCs w:val="19"/>
              </w:rPr>
              <w:t>linical or radiological pneumonia</w:t>
            </w:r>
          </w:p>
          <w:p w14:paraId="5585A6FC" w14:textId="251B8739" w:rsidR="00342633" w:rsidRPr="003448FF" w:rsidRDefault="003448FF" w:rsidP="003448FF">
            <w:pPr>
              <w:pStyle w:val="ListBullet"/>
              <w:rPr>
                <w:sz w:val="19"/>
                <w:szCs w:val="19"/>
              </w:rPr>
            </w:pPr>
            <w:r w:rsidRPr="003448FF">
              <w:rPr>
                <w:sz w:val="19"/>
                <w:szCs w:val="19"/>
              </w:rPr>
              <w:t>r</w:t>
            </w:r>
            <w:r w:rsidR="00342633" w:rsidRPr="003448FF">
              <w:rPr>
                <w:sz w:val="19"/>
                <w:szCs w:val="19"/>
              </w:rPr>
              <w:t xml:space="preserve">adiological evidence of a </w:t>
            </w:r>
            <w:r>
              <w:rPr>
                <w:sz w:val="19"/>
                <w:szCs w:val="19"/>
              </w:rPr>
              <w:t>d</w:t>
            </w:r>
            <w:r w:rsidRPr="003448FF">
              <w:rPr>
                <w:sz w:val="19"/>
                <w:szCs w:val="19"/>
              </w:rPr>
              <w:t>eep vein thrombosis</w:t>
            </w:r>
          </w:p>
          <w:p w14:paraId="0363EF96" w14:textId="16959FAA" w:rsidR="00342633" w:rsidRPr="00342633" w:rsidRDefault="003448FF" w:rsidP="00342633">
            <w:pPr>
              <w:pStyle w:val="ListBullet"/>
              <w:rPr>
                <w:sz w:val="19"/>
                <w:szCs w:val="19"/>
              </w:rPr>
            </w:pPr>
            <w:r>
              <w:rPr>
                <w:sz w:val="19"/>
                <w:szCs w:val="19"/>
              </w:rPr>
              <w:t>s</w:t>
            </w:r>
            <w:r w:rsidR="00342633" w:rsidRPr="00342633">
              <w:rPr>
                <w:sz w:val="19"/>
                <w:szCs w:val="19"/>
              </w:rPr>
              <w:t>hortness of breath</w:t>
            </w:r>
          </w:p>
        </w:tc>
        <w:tc>
          <w:tcPr>
            <w:tcW w:w="2493" w:type="dxa"/>
          </w:tcPr>
          <w:p w14:paraId="2BEAFF65" w14:textId="2C2575E8" w:rsidR="00342633" w:rsidRPr="003448FF" w:rsidRDefault="00342633" w:rsidP="00342633">
            <w:pPr>
              <w:ind w:left="0"/>
              <w:rPr>
                <w:sz w:val="19"/>
                <w:szCs w:val="19"/>
              </w:rPr>
            </w:pPr>
            <w:r w:rsidRPr="003448FF">
              <w:rPr>
                <w:sz w:val="19"/>
                <w:szCs w:val="19"/>
              </w:rPr>
              <w:t xml:space="preserve">One of </w:t>
            </w:r>
            <w:r w:rsidR="00906E57">
              <w:rPr>
                <w:sz w:val="19"/>
                <w:szCs w:val="19"/>
              </w:rPr>
              <w:t>the following:</w:t>
            </w:r>
          </w:p>
          <w:p w14:paraId="71549E7B" w14:textId="74946376" w:rsidR="00342633" w:rsidRPr="00342633" w:rsidRDefault="003448FF" w:rsidP="00342633">
            <w:pPr>
              <w:pStyle w:val="ListBullet"/>
              <w:rPr>
                <w:sz w:val="19"/>
                <w:szCs w:val="19"/>
              </w:rPr>
            </w:pPr>
            <w:r>
              <w:rPr>
                <w:sz w:val="19"/>
                <w:szCs w:val="19"/>
              </w:rPr>
              <w:t>c</w:t>
            </w:r>
            <w:r w:rsidR="00342633" w:rsidRPr="00342633">
              <w:rPr>
                <w:sz w:val="19"/>
                <w:szCs w:val="19"/>
              </w:rPr>
              <w:t>linical signs at rest indicative of severe systemic illness (</w:t>
            </w:r>
            <w:r>
              <w:rPr>
                <w:sz w:val="19"/>
                <w:szCs w:val="19"/>
              </w:rPr>
              <w:t>respiratory rate ≥</w:t>
            </w:r>
            <w:r w:rsidR="00906E57">
              <w:rPr>
                <w:sz w:val="19"/>
                <w:szCs w:val="19"/>
              </w:rPr>
              <w:t> </w:t>
            </w:r>
            <w:r>
              <w:rPr>
                <w:sz w:val="19"/>
                <w:szCs w:val="19"/>
              </w:rPr>
              <w:t>30 breaths</w:t>
            </w:r>
            <w:r w:rsidR="00906E57">
              <w:rPr>
                <w:sz w:val="19"/>
                <w:szCs w:val="19"/>
              </w:rPr>
              <w:t xml:space="preserve"> per </w:t>
            </w:r>
            <w:r>
              <w:rPr>
                <w:sz w:val="19"/>
                <w:szCs w:val="19"/>
              </w:rPr>
              <w:t>minute, heart rate</w:t>
            </w:r>
            <w:r w:rsidR="00342633" w:rsidRPr="00342633">
              <w:rPr>
                <w:sz w:val="19"/>
                <w:szCs w:val="19"/>
              </w:rPr>
              <w:t xml:space="preserve"> ≥</w:t>
            </w:r>
            <w:r w:rsidR="00906E57">
              <w:rPr>
                <w:sz w:val="19"/>
                <w:szCs w:val="19"/>
              </w:rPr>
              <w:t> </w:t>
            </w:r>
            <w:r w:rsidR="00342633" w:rsidRPr="00342633">
              <w:rPr>
                <w:sz w:val="19"/>
                <w:szCs w:val="19"/>
              </w:rPr>
              <w:t>125 beats</w:t>
            </w:r>
            <w:r w:rsidR="00906E57">
              <w:rPr>
                <w:sz w:val="19"/>
                <w:szCs w:val="19"/>
              </w:rPr>
              <w:t xml:space="preserve"> per </w:t>
            </w:r>
            <w:r w:rsidR="00342633" w:rsidRPr="00342633">
              <w:rPr>
                <w:sz w:val="19"/>
                <w:szCs w:val="19"/>
              </w:rPr>
              <w:t>minute, oxygen saturation ≤</w:t>
            </w:r>
            <w:r w:rsidR="00906E57">
              <w:rPr>
                <w:sz w:val="19"/>
                <w:szCs w:val="19"/>
              </w:rPr>
              <w:t> </w:t>
            </w:r>
            <w:r w:rsidR="00342633" w:rsidRPr="00342633">
              <w:rPr>
                <w:sz w:val="19"/>
                <w:szCs w:val="19"/>
              </w:rPr>
              <w:t>93% on room air at sea level</w:t>
            </w:r>
          </w:p>
          <w:p w14:paraId="5650B7E3" w14:textId="54DAE70F" w:rsidR="00342633" w:rsidRPr="003448FF" w:rsidRDefault="003448FF" w:rsidP="003448FF">
            <w:pPr>
              <w:pStyle w:val="ListBullet"/>
              <w:rPr>
                <w:sz w:val="19"/>
                <w:szCs w:val="19"/>
              </w:rPr>
            </w:pPr>
            <w:r w:rsidRPr="003448FF">
              <w:rPr>
                <w:sz w:val="19"/>
                <w:szCs w:val="19"/>
              </w:rPr>
              <w:t>r</w:t>
            </w:r>
            <w:r w:rsidR="00342633" w:rsidRPr="003448FF">
              <w:rPr>
                <w:sz w:val="19"/>
                <w:szCs w:val="19"/>
              </w:rPr>
              <w:t xml:space="preserve">espiratory failure (defined as needing high-flow oxygen, non-invasive ventilation, mechanical, </w:t>
            </w:r>
            <w:r>
              <w:rPr>
                <w:sz w:val="19"/>
                <w:szCs w:val="19"/>
              </w:rPr>
              <w:t>e</w:t>
            </w:r>
            <w:r w:rsidRPr="003448FF">
              <w:rPr>
                <w:sz w:val="19"/>
                <w:szCs w:val="19"/>
              </w:rPr>
              <w:t>xtracorporeal membrane oxygenation)</w:t>
            </w:r>
          </w:p>
          <w:p w14:paraId="71AB6C2F" w14:textId="71BFE0A3" w:rsidR="00342633" w:rsidRPr="00342633" w:rsidRDefault="003448FF" w:rsidP="00342633">
            <w:pPr>
              <w:pStyle w:val="ListBullet"/>
              <w:rPr>
                <w:sz w:val="19"/>
                <w:szCs w:val="19"/>
              </w:rPr>
            </w:pPr>
            <w:r>
              <w:rPr>
                <w:sz w:val="19"/>
                <w:szCs w:val="19"/>
              </w:rPr>
              <w:t>e</w:t>
            </w:r>
            <w:r w:rsidR="00342633" w:rsidRPr="00342633">
              <w:rPr>
                <w:sz w:val="19"/>
                <w:szCs w:val="19"/>
              </w:rPr>
              <w:t>vidence</w:t>
            </w:r>
            <w:r>
              <w:rPr>
                <w:sz w:val="19"/>
                <w:szCs w:val="19"/>
              </w:rPr>
              <w:t xml:space="preserve"> of shock (defined as systolic blood pressure &lt;</w:t>
            </w:r>
            <w:r w:rsidR="00906E57">
              <w:rPr>
                <w:sz w:val="19"/>
                <w:szCs w:val="19"/>
              </w:rPr>
              <w:t> </w:t>
            </w:r>
            <w:r>
              <w:rPr>
                <w:sz w:val="19"/>
                <w:szCs w:val="19"/>
              </w:rPr>
              <w:t>90</w:t>
            </w:r>
            <w:r w:rsidR="00906E57">
              <w:rPr>
                <w:sz w:val="19"/>
                <w:szCs w:val="19"/>
              </w:rPr>
              <w:t> </w:t>
            </w:r>
            <w:r>
              <w:rPr>
                <w:sz w:val="19"/>
                <w:szCs w:val="19"/>
              </w:rPr>
              <w:t>mmHg, diastolic blood pressure</w:t>
            </w:r>
            <w:r w:rsidR="00342633" w:rsidRPr="00342633">
              <w:rPr>
                <w:sz w:val="19"/>
                <w:szCs w:val="19"/>
              </w:rPr>
              <w:t xml:space="preserve"> &lt; 60 mmHg, or requiring vasopressors)</w:t>
            </w:r>
          </w:p>
          <w:p w14:paraId="5862366B" w14:textId="3B5E2F84" w:rsidR="00342633" w:rsidRPr="00342633" w:rsidRDefault="003448FF" w:rsidP="00342633">
            <w:pPr>
              <w:pStyle w:val="ListBullet"/>
              <w:rPr>
                <w:sz w:val="19"/>
                <w:szCs w:val="19"/>
              </w:rPr>
            </w:pPr>
            <w:r>
              <w:rPr>
                <w:sz w:val="19"/>
                <w:szCs w:val="19"/>
              </w:rPr>
              <w:t>s</w:t>
            </w:r>
            <w:r w:rsidR="00342633" w:rsidRPr="00342633">
              <w:rPr>
                <w:sz w:val="19"/>
                <w:szCs w:val="19"/>
              </w:rPr>
              <w:t>ignificant acute renal, hepatic, or neurologic dysfunction</w:t>
            </w:r>
          </w:p>
          <w:p w14:paraId="4ACE7DB6" w14:textId="4C52DF3B" w:rsidR="00342633" w:rsidRPr="00342633" w:rsidRDefault="003448FF" w:rsidP="00342633">
            <w:pPr>
              <w:pStyle w:val="ListBullet"/>
              <w:rPr>
                <w:sz w:val="19"/>
                <w:szCs w:val="19"/>
              </w:rPr>
            </w:pPr>
            <w:r>
              <w:rPr>
                <w:sz w:val="19"/>
                <w:szCs w:val="19"/>
              </w:rPr>
              <w:t>a</w:t>
            </w:r>
            <w:r w:rsidR="00342633" w:rsidRPr="00342633">
              <w:rPr>
                <w:sz w:val="19"/>
                <w:szCs w:val="19"/>
              </w:rPr>
              <w:t>dmission to the ICU</w:t>
            </w:r>
          </w:p>
          <w:p w14:paraId="6EB99CF6" w14:textId="6CAD728A" w:rsidR="00342633" w:rsidRPr="00342633" w:rsidRDefault="003448FF" w:rsidP="00342633">
            <w:pPr>
              <w:pStyle w:val="ListBullet"/>
              <w:rPr>
                <w:sz w:val="19"/>
                <w:szCs w:val="19"/>
              </w:rPr>
            </w:pPr>
            <w:r>
              <w:rPr>
                <w:sz w:val="19"/>
                <w:szCs w:val="19"/>
              </w:rPr>
              <w:t>d</w:t>
            </w:r>
            <w:r w:rsidR="00342633" w:rsidRPr="00342633">
              <w:rPr>
                <w:sz w:val="19"/>
                <w:szCs w:val="19"/>
              </w:rPr>
              <w:t>eath</w:t>
            </w:r>
          </w:p>
        </w:tc>
      </w:tr>
    </w:tbl>
    <w:p w14:paraId="3AD9671F" w14:textId="49327660" w:rsidR="0037652E" w:rsidRDefault="0037652E" w:rsidP="0037652E">
      <w:r>
        <w:t xml:space="preserve">The study used continuous sequential analysis to generate an efficacy signal as soon as </w:t>
      </w:r>
      <w:r w:rsidR="00671DDE">
        <w:t xml:space="preserve">it was </w:t>
      </w:r>
      <w:r>
        <w:t>possible. The target number of events was 152, however in addition</w:t>
      </w:r>
      <w:r w:rsidR="00671DDE">
        <w:t>,</w:t>
      </w:r>
      <w:r>
        <w:t xml:space="preserve"> there were to be six cases </w:t>
      </w:r>
      <w:r w:rsidR="00671DDE">
        <w:t xml:space="preserve">in those </w:t>
      </w:r>
      <w:r>
        <w:t>over 60 years</w:t>
      </w:r>
      <w:r w:rsidR="00671DDE">
        <w:t xml:space="preserve"> of age</w:t>
      </w:r>
      <w:r>
        <w:t xml:space="preserve">, and five cases </w:t>
      </w:r>
      <w:r w:rsidR="00671DDE">
        <w:t xml:space="preserve">considered to be </w:t>
      </w:r>
      <w:r>
        <w:t>of severe/critical disease. Secondary endpoints were adjusted for multiplicity using a graphical approach.</w:t>
      </w:r>
    </w:p>
    <w:p w14:paraId="4155D665" w14:textId="0965F11C" w:rsidR="0037652E" w:rsidRDefault="0037652E" w:rsidP="0037652E">
      <w:r>
        <w:t>43</w:t>
      </w:r>
      <w:r w:rsidR="00906E57">
        <w:t>,</w:t>
      </w:r>
      <w:r>
        <w:t>783 subjects received the study vaccine. The median follow up time post vaccination was 58 days.</w:t>
      </w:r>
    </w:p>
    <w:p w14:paraId="150EBB22" w14:textId="4D2096F9" w:rsidR="0037652E" w:rsidRDefault="003448FF" w:rsidP="0037652E">
      <w:r>
        <w:t xml:space="preserve">The </w:t>
      </w:r>
      <w:r w:rsidR="003378E0">
        <w:t>study</w:t>
      </w:r>
      <w:r w:rsidR="0037652E">
        <w:t xml:space="preserve"> population</w:t>
      </w:r>
      <w:r w:rsidR="003378E0">
        <w:t xml:space="preserve"> for the main efficacy analysis</w:t>
      </w:r>
      <w:r w:rsidR="0037652E">
        <w:t xml:space="preserve"> was predominantly North American (46.7%), Latin</w:t>
      </w:r>
      <w:r w:rsidR="00671DDE">
        <w:t> </w:t>
      </w:r>
      <w:r w:rsidR="0037652E">
        <w:t>American (40.6%) and South African (12.7%). 62.1% of subjects were White. 44.5%</w:t>
      </w:r>
      <w:r w:rsidR="00671DDE">
        <w:t> </w:t>
      </w:r>
      <w:r w:rsidR="0037652E">
        <w:t xml:space="preserve">of subjects were female. Median age was 53 years (range: 18 to 100), and 34.6% were aged ≥ 60 years. 402 (1.0%) were aged ≥ 80 </w:t>
      </w:r>
      <w:r>
        <w:t>years. Median body mass index</w:t>
      </w:r>
      <w:r w:rsidR="0037652E">
        <w:t xml:space="preserve"> was 26.90 kg/m</w:t>
      </w:r>
      <w:r w:rsidR="0037652E" w:rsidRPr="0037652E">
        <w:rPr>
          <w:vertAlign w:val="superscript"/>
        </w:rPr>
        <w:t>2</w:t>
      </w:r>
      <w:r w:rsidR="0037652E">
        <w:t xml:space="preserve">. 39.9% of subjects had one or more baseline comorbidities, the most frequent of </w:t>
      </w:r>
      <w:r>
        <w:t xml:space="preserve">which was obesity. 2.5% were </w:t>
      </w:r>
      <w:r w:rsidRPr="003448FF">
        <w:t>human immunodeficiency virus</w:t>
      </w:r>
      <w:r w:rsidR="0037652E">
        <w:t xml:space="preserve"> </w:t>
      </w:r>
      <w:r w:rsidR="00373590">
        <w:t xml:space="preserve">(HIV) </w:t>
      </w:r>
      <w:r w:rsidR="0037652E">
        <w:t>positive.</w:t>
      </w:r>
    </w:p>
    <w:p w14:paraId="712DC40A" w14:textId="77777777" w:rsidR="0037652E" w:rsidRDefault="0037652E" w:rsidP="0037652E">
      <w:pPr>
        <w:pStyle w:val="Heading5"/>
      </w:pPr>
      <w:r>
        <w:t>Results</w:t>
      </w:r>
    </w:p>
    <w:p w14:paraId="03C6B8C9" w14:textId="5BFAC4E8" w:rsidR="0037652E" w:rsidRDefault="0037652E" w:rsidP="0037652E">
      <w:r>
        <w:t>259 cases meeting the primary endpoint definition of moderate to severe/critical COVID</w:t>
      </w:r>
      <w:r w:rsidR="00373590">
        <w:noBreakHyphen/>
      </w:r>
      <w:r>
        <w:t>19 were observed for events with onset at least 28 days after vaccination.</w:t>
      </w:r>
    </w:p>
    <w:p w14:paraId="79ABA1F3" w14:textId="649DEC74" w:rsidR="0037652E" w:rsidRDefault="0037652E" w:rsidP="0037652E">
      <w:r>
        <w:t>Vaccine efficacy (VE) (adjusted 95% confidence interval (CI)) against molecularly confirmed moderate to severe/critical COVID-19 was 66.9% (</w:t>
      </w:r>
      <w:r w:rsidR="00373590">
        <w:t xml:space="preserve">adjusted 95% CI: </w:t>
      </w:r>
      <w:r>
        <w:t>59.03; 73.40) when evaluated at least 14 days after vaccination, and was 66.1% (</w:t>
      </w:r>
      <w:r w:rsidR="00373590">
        <w:t xml:space="preserve">adjusted 95% CI: </w:t>
      </w:r>
      <w:r>
        <w:t>55.01; 74.80) when evaluated at least 28 days after vaccination.</w:t>
      </w:r>
    </w:p>
    <w:p w14:paraId="4870EA8D" w14:textId="092B2C84" w:rsidR="0037652E" w:rsidRDefault="0037652E" w:rsidP="0037652E">
      <w:r>
        <w:t>Similar outcomes were seen by in the age groups ≥ 18 to &lt; 60 years, and ≥ 60 years, VE 63.7% (</w:t>
      </w:r>
      <w:r w:rsidR="00373590">
        <w:t xml:space="preserve">adjusted 95% CI: </w:t>
      </w:r>
      <w:r>
        <w:t>53.87; 71.58) and 76.3% (</w:t>
      </w:r>
      <w:r w:rsidR="00373590">
        <w:t xml:space="preserve">adjusted 95% CI: </w:t>
      </w:r>
      <w:r>
        <w:t>61.58; 86.04), respectively, when evaluated at least 14 days after vaccination.</w:t>
      </w:r>
    </w:p>
    <w:p w14:paraId="2EE3060E" w14:textId="1DD98A4D" w:rsidR="00342633" w:rsidRDefault="0037652E" w:rsidP="0037652E">
      <w:r>
        <w:t>There were 74 molecularly confirmed severe/critical COVID-19 cases with an onset at least 14 days after vaccination and 39 with an onset at least 28 days after vaccination. VE (adjusted 95% CI) was 76.7% (54.56; 89.09) when evaluated at least 14 days after vaccination and was 85.4% (</w:t>
      </w:r>
      <w:r w:rsidR="00373590">
        <w:t xml:space="preserve">adjusted 95% CI: </w:t>
      </w:r>
      <w:r>
        <w:t>54.15; 96.90) when evaluated at least 28 days after vaccination.</w:t>
      </w:r>
    </w:p>
    <w:p w14:paraId="566C10F7" w14:textId="4D381BC7" w:rsidR="0090273D" w:rsidRDefault="0090273D" w:rsidP="0090273D">
      <w:pPr>
        <w:pStyle w:val="FigureTitle"/>
      </w:pPr>
      <w:r w:rsidRPr="0090273D">
        <w:t xml:space="preserve">Figure </w:t>
      </w:r>
      <w:fldSimple w:instr=" SEQ Figure \* ARABIC ">
        <w:r w:rsidR="00F204A2">
          <w:rPr>
            <w:noProof/>
          </w:rPr>
          <w:t>3</w:t>
        </w:r>
      </w:fldSimple>
      <w:r>
        <w:t xml:space="preserve">: </w:t>
      </w:r>
      <w:r w:rsidR="00906E57">
        <w:t xml:space="preserve">Study COV3001 </w:t>
      </w:r>
      <w:r>
        <w:t xml:space="preserve">Cumulative incidence of molecularly confirmed moderate to severe/critical COVID-19 cases with onset at least </w:t>
      </w:r>
      <w:r w:rsidR="000467FB">
        <w:t>one</w:t>
      </w:r>
      <w:r>
        <w:t xml:space="preserve"> day after vaccination (Full</w:t>
      </w:r>
      <w:r w:rsidR="00356A6D">
        <w:t> </w:t>
      </w:r>
      <w:r w:rsidR="00F473C6">
        <w:t>a</w:t>
      </w:r>
      <w:r>
        <w:t xml:space="preserve">nalysis </w:t>
      </w:r>
      <w:r w:rsidR="00F473C6">
        <w:t>s</w:t>
      </w:r>
      <w:r>
        <w:t>et)</w:t>
      </w:r>
    </w:p>
    <w:p w14:paraId="0AD3B152" w14:textId="77777777" w:rsidR="0090273D" w:rsidRDefault="0090273D" w:rsidP="0090273D">
      <w:r>
        <w:rPr>
          <w:rFonts w:eastAsiaTheme="minorHAnsi" w:cs="Cambria"/>
          <w:noProof/>
          <w:lang w:eastAsia="en-AU"/>
        </w:rPr>
        <w:drawing>
          <wp:inline distT="0" distB="0" distL="0" distR="0" wp14:anchorId="200A2D37" wp14:editId="1A8180D6">
            <wp:extent cx="5400040" cy="2977290"/>
            <wp:effectExtent l="0" t="0" r="0" b="0"/>
            <wp:docPr id="1" name="Picture 1" descr="Figure 3: Cumulative incidence of molecularly confirmed moderate to severe/critical COVID-19 cases with onset at least one day after vaccina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Cumulative incidence of molecularly confirmed moderate to severe/critical COVID-19 cases with onset at least one day after vaccination (Full analysis s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977290"/>
                    </a:xfrm>
                    <a:prstGeom prst="rect">
                      <a:avLst/>
                    </a:prstGeom>
                    <a:noFill/>
                    <a:ln>
                      <a:noFill/>
                    </a:ln>
                  </pic:spPr>
                </pic:pic>
              </a:graphicData>
            </a:graphic>
          </wp:inline>
        </w:drawing>
      </w:r>
    </w:p>
    <w:p w14:paraId="7646453E" w14:textId="674D63D0" w:rsidR="0090273D" w:rsidRDefault="0090273D" w:rsidP="0090273D">
      <w:r>
        <w:t>At least 28 days after vaccination, any SARS-Co-V-2 infection (including asymptomatic or undetected) was observed in 285 participants (71 in the Ad26.COV2.S group and 214 in the plac</w:t>
      </w:r>
      <w:r w:rsidR="000467FB">
        <w:t>ebo group), resulting in a VE of</w:t>
      </w:r>
      <w:r>
        <w:t xml:space="preserve"> 67.2% (95% VE = 56.86 to 75.26).</w:t>
      </w:r>
    </w:p>
    <w:p w14:paraId="00DB4D0B" w14:textId="77777777" w:rsidR="0090273D" w:rsidRDefault="0090273D" w:rsidP="0090273D">
      <w:r>
        <w:t xml:space="preserve">The vaccine efficacy was similar across subgroups for country, race, </w:t>
      </w:r>
      <w:r w:rsidR="00F2092F">
        <w:t>and age</w:t>
      </w:r>
      <w:r>
        <w:t>.</w:t>
      </w:r>
    </w:p>
    <w:p w14:paraId="782759A9" w14:textId="77777777" w:rsidR="0090273D" w:rsidRDefault="0090273D" w:rsidP="0090273D">
      <w:r>
        <w:t>The results of other secondary efficacy endpoints, including variants, will be available with the full analysis set.</w:t>
      </w:r>
    </w:p>
    <w:p w14:paraId="18A7B138" w14:textId="14D971E5" w:rsidR="0090273D" w:rsidRDefault="0090273D" w:rsidP="0090273D">
      <w:r>
        <w:t>The S</w:t>
      </w:r>
      <w:r w:rsidR="000467FB">
        <w:t xml:space="preserve"> protein</w:t>
      </w:r>
      <w:r>
        <w:t xml:space="preserve"> sequence in the Ad26.COV2.S vaccine is based upon </w:t>
      </w:r>
      <w:r w:rsidR="00356A6D">
        <w:t>an original reference genomic variant</w:t>
      </w:r>
      <w:r>
        <w:t>. As of 11</w:t>
      </w:r>
      <w:r w:rsidR="00356A6D">
        <w:t> </w:t>
      </w:r>
      <w:r>
        <w:t>February</w:t>
      </w:r>
      <w:r w:rsidR="00640EDE">
        <w:t xml:space="preserve"> 2021</w:t>
      </w:r>
      <w:r>
        <w:t>, viral sequencing data through whole genome sequencing of SARS</w:t>
      </w:r>
      <w:r w:rsidR="00356A6D">
        <w:noBreakHyphen/>
      </w:r>
      <w:r>
        <w:t>CoV-2 in molecularly confirmed COVID-19 cases had been performed in 512 out</w:t>
      </w:r>
      <w:r w:rsidR="00F2092F">
        <w:t xml:space="preserve"> of 714 (71.7%) cases in S</w:t>
      </w:r>
      <w:r>
        <w:t>tudy</w:t>
      </w:r>
      <w:r w:rsidR="00640EDE">
        <w:t> </w:t>
      </w:r>
      <w:r>
        <w:t xml:space="preserve">COV3001. Of the 512 sequenced cases, the majority (63.7%) matched the reference </w:t>
      </w:r>
      <w:r w:rsidR="00356A6D">
        <w:t>variant</w:t>
      </w:r>
      <w:r>
        <w:t xml:space="preserve"> while 16.8% matched the </w:t>
      </w:r>
      <w:r w:rsidR="00356A6D">
        <w:t>Beta virus</w:t>
      </w:r>
      <w:r w:rsidR="00640EDE">
        <w:t xml:space="preserve"> </w:t>
      </w:r>
      <w:r>
        <w:t>variant</w:t>
      </w:r>
      <w:r w:rsidR="00640EDE">
        <w:t>;</w:t>
      </w:r>
      <w:r w:rsidR="00640EDE">
        <w:rPr>
          <w:rStyle w:val="FootnoteReference"/>
        </w:rPr>
        <w:footnoteReference w:id="24"/>
      </w:r>
      <w:r>
        <w:t xml:space="preserve"> and 18.6% matched the </w:t>
      </w:r>
      <w:r w:rsidR="00356A6D">
        <w:t>Zeta virus variant</w:t>
      </w:r>
      <w:r>
        <w:t>.</w:t>
      </w:r>
      <w:r w:rsidR="008A4227">
        <w:rPr>
          <w:rStyle w:val="FootnoteReference"/>
        </w:rPr>
        <w:footnoteReference w:id="25"/>
      </w:r>
      <w:r>
        <w:t xml:space="preserve"> In South Africa, 91 of 136 total cases have been sequenced, of which 86 (94.5%) were found to be the </w:t>
      </w:r>
      <w:r w:rsidR="00356A6D">
        <w:t>Beta</w:t>
      </w:r>
      <w:r>
        <w:t xml:space="preserve"> variant. The sponsor has not yet performed </w:t>
      </w:r>
      <w:r w:rsidR="00F473C6">
        <w:t xml:space="preserve">VE against SARS-CoV-2 variants. Data is presented in </w:t>
      </w:r>
      <w:r w:rsidR="00F473C6">
        <w:fldChar w:fldCharType="begin"/>
      </w:r>
      <w:r w:rsidR="00F473C6">
        <w:instrText xml:space="preserve"> REF _Ref72144979 \h </w:instrText>
      </w:r>
      <w:r w:rsidR="00F473C6">
        <w:fldChar w:fldCharType="separate"/>
      </w:r>
      <w:r w:rsidR="00F204A2" w:rsidRPr="00F473C6">
        <w:t xml:space="preserve">Table </w:t>
      </w:r>
      <w:r w:rsidR="00F204A2">
        <w:rPr>
          <w:noProof/>
        </w:rPr>
        <w:t>6</w:t>
      </w:r>
      <w:r w:rsidR="00F473C6">
        <w:fldChar w:fldCharType="end"/>
      </w:r>
      <w:r w:rsidR="00F473C6">
        <w:t xml:space="preserve"> below.</w:t>
      </w:r>
    </w:p>
    <w:p w14:paraId="744663EB" w14:textId="78154850" w:rsidR="00F473C6" w:rsidRDefault="00F473C6" w:rsidP="006F46EC">
      <w:pPr>
        <w:pStyle w:val="TableTitle"/>
      </w:pPr>
      <w:bookmarkStart w:id="48" w:name="_Ref72144979"/>
      <w:r w:rsidRPr="00F473C6">
        <w:t xml:space="preserve">Table </w:t>
      </w:r>
      <w:fldSimple w:instr=" SEQ Table \* ARABIC ">
        <w:r w:rsidR="00F204A2">
          <w:rPr>
            <w:noProof/>
          </w:rPr>
          <w:t>6</w:t>
        </w:r>
      </w:fldSimple>
      <w:bookmarkEnd w:id="48"/>
      <w:r w:rsidRPr="00F473C6">
        <w:t xml:space="preserve">: Study COV3001 </w:t>
      </w:r>
      <w:r>
        <w:t>Proportion of molecularly confirmed cases infected with SARS-CoV-2 variant with spike protein amino acid v</w:t>
      </w:r>
      <w:r w:rsidRPr="00F473C6">
        <w:t xml:space="preserve">ariation </w:t>
      </w:r>
      <w:r>
        <w:t>versus the SARS-CoV-2 r</w:t>
      </w:r>
      <w:r w:rsidRPr="00F473C6">
        <w:t xml:space="preserve">eference </w:t>
      </w:r>
      <w:r>
        <w:t>sequence with s</w:t>
      </w:r>
      <w:r w:rsidRPr="00F473C6">
        <w:t xml:space="preserve">ubstitution </w:t>
      </w:r>
      <w:r>
        <w:t>p</w:t>
      </w:r>
      <w:r w:rsidRPr="00F473C6">
        <w:t>rofile of the 20I/501Y.V1</w:t>
      </w:r>
      <w:r w:rsidR="002F13D7">
        <w:t xml:space="preserve"> (Alpha variant)</w:t>
      </w:r>
      <w:r w:rsidRPr="00F473C6">
        <w:t>, 20H/501Y.V2</w:t>
      </w:r>
      <w:r w:rsidR="002F13D7">
        <w:t xml:space="preserve"> (Beta variant)</w:t>
      </w:r>
      <w:r w:rsidRPr="00F473C6">
        <w:t>, 20J</w:t>
      </w:r>
      <w:r>
        <w:t>/501Y.V3</w:t>
      </w:r>
      <w:r w:rsidR="002F13D7">
        <w:t xml:space="preserve"> (Gamma variant)</w:t>
      </w:r>
      <w:r>
        <w:t xml:space="preserve">, CAL.20C </w:t>
      </w:r>
      <w:r w:rsidR="002F13D7">
        <w:t xml:space="preserve">(Epsilon variant) </w:t>
      </w:r>
      <w:r>
        <w:t xml:space="preserve">or ref+E484K </w:t>
      </w:r>
      <w:r w:rsidR="009B228A">
        <w:t xml:space="preserve">(Zeta variant) </w:t>
      </w:r>
      <w:r>
        <w:t xml:space="preserve">spike protein variants. </w:t>
      </w:r>
      <w:r w:rsidRPr="00F473C6">
        <w:t>(F</w:t>
      </w:r>
      <w:r>
        <w:t>ull analysis set</w:t>
      </w:r>
      <w:r w:rsidRPr="00F473C6">
        <w:t>)</w:t>
      </w:r>
    </w:p>
    <w:p w14:paraId="4B741F83" w14:textId="3BB5BFA3" w:rsidR="00F473C6" w:rsidRDefault="00F473C6" w:rsidP="000467FB">
      <w:pPr>
        <w:pStyle w:val="TableDescription"/>
      </w:pPr>
      <w:r w:rsidRPr="00461971">
        <w:rPr>
          <w:noProof/>
          <w:lang w:eastAsia="en-AU"/>
        </w:rPr>
        <w:drawing>
          <wp:inline distT="0" distB="0" distL="0" distR="0" wp14:anchorId="4E625D65" wp14:editId="139AF5FF">
            <wp:extent cx="5359400" cy="1073091"/>
            <wp:effectExtent l="0" t="0" r="0" b="0"/>
            <wp:docPr id="40" name="Picture 40" descr="Table 6: image showing Study COV3001 Proportion of molecularly confirmed cases infected with SARS-CoV-2 variant with spike protein amino acid variation versus the SARS-CoV-2 reference sequence with substitution profile of the 20I/501Y.V1, 20H/501Y.V2, 20J/501Y.V3, CAL.20C or ref+E484K spike protein varia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6: image showing Study COV3001 Proportion of molecularly confirmed cases infected with SARS-CoV-2 variant with spike protein amino acid variation versus the SARS-CoV-2 reference sequence with substitution profile of the 20I/501Y.V1, 20H/501Y.V2, 20J/501Y.V3, CAL.20C or ref+E484K spike protein variants. (Full analysis set)"/>
                    <pic:cNvPicPr/>
                  </pic:nvPicPr>
                  <pic:blipFill rotWithShape="1">
                    <a:blip r:embed="rId18"/>
                    <a:srcRect r="717" b="32292"/>
                    <a:stretch/>
                  </pic:blipFill>
                  <pic:spPr bwMode="auto">
                    <a:xfrm>
                      <a:off x="0" y="0"/>
                      <a:ext cx="5361291" cy="1073470"/>
                    </a:xfrm>
                    <a:prstGeom prst="rect">
                      <a:avLst/>
                    </a:prstGeom>
                    <a:ln>
                      <a:noFill/>
                    </a:ln>
                    <a:extLst>
                      <a:ext uri="{53640926-AAD7-44D8-BBD7-CCE9431645EC}">
                        <a14:shadowObscured xmlns:a14="http://schemas.microsoft.com/office/drawing/2010/main"/>
                      </a:ext>
                    </a:extLst>
                  </pic:spPr>
                </pic:pic>
              </a:graphicData>
            </a:graphic>
          </wp:inline>
        </w:drawing>
      </w:r>
    </w:p>
    <w:p w14:paraId="4685A7BB" w14:textId="0D387454" w:rsidR="000467FB" w:rsidRDefault="000467FB" w:rsidP="000467FB">
      <w:pPr>
        <w:pStyle w:val="TableDescription"/>
      </w:pPr>
      <w:r>
        <w:t>Ad26 = adenovirus type 26, FAS = full analysis set</w:t>
      </w:r>
    </w:p>
    <w:p w14:paraId="49D37BDA" w14:textId="417E36FE" w:rsidR="000467FB" w:rsidRDefault="000467FB" w:rsidP="000467FB">
      <w:pPr>
        <w:pStyle w:val="TableDescription"/>
      </w:pPr>
      <w:r>
        <w:t>Note: the denominator is the number of cases with sequencing data available at case episode.</w:t>
      </w:r>
    </w:p>
    <w:p w14:paraId="22108904" w14:textId="4A3B58F0" w:rsidR="000467FB" w:rsidRDefault="000467FB" w:rsidP="000467FB">
      <w:pPr>
        <w:pStyle w:val="TableDescription"/>
      </w:pPr>
      <w:r>
        <w:t xml:space="preserve">Reference sequence is </w:t>
      </w:r>
      <w:r w:rsidR="00B5214E">
        <w:t>defined as</w:t>
      </w:r>
      <w:r>
        <w:t xml:space="preserve"> the </w:t>
      </w:r>
      <w:r w:rsidR="002F13D7">
        <w:t>early original</w:t>
      </w:r>
      <w:r w:rsidR="008A4227" w:rsidDel="008A4227">
        <w:t xml:space="preserve"> </w:t>
      </w:r>
      <w:r>
        <w:t>sequence</w:t>
      </w:r>
      <w:r w:rsidR="00B5214E">
        <w:t xml:space="preserve"> with the addition of amino acid variation D614G. Amino acid variation are defined as changes from the reference sequence</w:t>
      </w:r>
      <w:r>
        <w:t>.</w:t>
      </w:r>
      <w:r w:rsidR="00B5214E">
        <w:t xml:space="preserve"> </w:t>
      </w:r>
      <w:r>
        <w:t xml:space="preserve">Sequencing was performed using NGS Swift assay using 1% and baseline polymorphisms </w:t>
      </w:r>
      <w:r w:rsidR="00B5214E">
        <w:t>defined</w:t>
      </w:r>
      <w:r>
        <w:t xml:space="preserve"> with a cut</w:t>
      </w:r>
      <w:r w:rsidR="00B5214E">
        <w:t>-off</w:t>
      </w:r>
      <w:r>
        <w:t xml:space="preserve"> </w:t>
      </w:r>
      <w:r w:rsidR="00B5214E">
        <w:t xml:space="preserve">of </w:t>
      </w:r>
      <w:r>
        <w:t>15%.</w:t>
      </w:r>
    </w:p>
    <w:p w14:paraId="40E9C938" w14:textId="77777777" w:rsidR="00F473C6" w:rsidRDefault="00F473C6" w:rsidP="00F473C6">
      <w:pPr>
        <w:pStyle w:val="Heading4"/>
      </w:pPr>
      <w:r w:rsidRPr="00AA53F4">
        <w:t>Safety</w:t>
      </w:r>
    </w:p>
    <w:p w14:paraId="63D94102" w14:textId="231EC8C7" w:rsidR="00F473C6" w:rsidRDefault="00F473C6" w:rsidP="00F473C6">
      <w:r>
        <w:t>The most comprehensive safety data is from Study COV3001, where over 40</w:t>
      </w:r>
      <w:r w:rsidR="009B228A">
        <w:t>,</w:t>
      </w:r>
      <w:r>
        <w:t>000 adult participants were followed for a median of two months. Supportive data comes from St</w:t>
      </w:r>
      <w:r w:rsidR="00E035E5">
        <w:t>udies COV1001, COV1002, COV2001 and</w:t>
      </w:r>
      <w:r>
        <w:t xml:space="preserve"> COV3009.</w:t>
      </w:r>
    </w:p>
    <w:p w14:paraId="209FD780" w14:textId="77777777" w:rsidR="00F473C6" w:rsidRDefault="00F473C6" w:rsidP="00F473C6">
      <w:pPr>
        <w:pStyle w:val="Heading5"/>
      </w:pPr>
      <w:r>
        <w:t>Study COV3001</w:t>
      </w:r>
    </w:p>
    <w:p w14:paraId="2F1B00F3" w14:textId="442122D0" w:rsidR="00F473C6" w:rsidRDefault="00F473C6" w:rsidP="00F473C6">
      <w:r>
        <w:t>The safety objectives were</w:t>
      </w:r>
      <w:r w:rsidR="008E0E76">
        <w:t>:</w:t>
      </w:r>
    </w:p>
    <w:p w14:paraId="3A002DA3" w14:textId="4F5EAE50" w:rsidR="00F473C6" w:rsidRDefault="00F473C6" w:rsidP="00F473C6">
      <w:pPr>
        <w:pStyle w:val="ListBullet"/>
      </w:pPr>
      <w:r>
        <w:t xml:space="preserve">to evaluate safety in terms of serious adverse event </w:t>
      </w:r>
      <w:r w:rsidR="008E0E76">
        <w:t xml:space="preserve">(AE) </w:t>
      </w:r>
      <w:r>
        <w:t>during the entire study, m</w:t>
      </w:r>
      <w:r w:rsidRPr="00F473C6">
        <w:t>edically attended adverse event</w:t>
      </w:r>
      <w:r>
        <w:t xml:space="preserve"> (MAAE) until six months post vaccination, and MAAE leading to study discontinuation.</w:t>
      </w:r>
    </w:p>
    <w:p w14:paraId="33E3AB5E" w14:textId="77777777" w:rsidR="00F473C6" w:rsidRDefault="00F473C6" w:rsidP="00F473C6">
      <w:pPr>
        <w:pStyle w:val="ListBullet"/>
      </w:pPr>
      <w:r>
        <w:t xml:space="preserve">in a subset of participants, safety and reactogenicity were evaluated in terms of solicited adverse event (AE) during 7 days after vaccination and unsolicited AEs </w:t>
      </w:r>
      <w:proofErr w:type="gramStart"/>
      <w:r>
        <w:t>during</w:t>
      </w:r>
      <w:proofErr w:type="gramEnd"/>
      <w:r>
        <w:t xml:space="preserve"> 28 days post vaccination.</w:t>
      </w:r>
    </w:p>
    <w:p w14:paraId="4032173B" w14:textId="23B8BC7A" w:rsidR="00F473C6" w:rsidRPr="00DF2867" w:rsidRDefault="00F473C6" w:rsidP="00F473C6">
      <w:pPr>
        <w:pStyle w:val="Heading6"/>
      </w:pPr>
      <w:r w:rsidRPr="00DF2867">
        <w:t xml:space="preserve">Solicited </w:t>
      </w:r>
      <w:r>
        <w:t>adverse ev</w:t>
      </w:r>
      <w:r w:rsidR="008E0E76">
        <w:t>e</w:t>
      </w:r>
      <w:r>
        <w:t>nts</w:t>
      </w:r>
    </w:p>
    <w:p w14:paraId="34379A7E" w14:textId="71C37146" w:rsidR="00F473C6" w:rsidRDefault="00F473C6" w:rsidP="00F473C6">
      <w:r>
        <w:t>Data on solicited AEs were collected on a subset of patients from 45 of the 225 vaccination sites. There were 6736 subjects in the safety subset</w:t>
      </w:r>
      <w:r w:rsidR="001070E0">
        <w:t xml:space="preserve"> (see </w:t>
      </w:r>
      <w:r w:rsidR="001070E0">
        <w:fldChar w:fldCharType="begin"/>
      </w:r>
      <w:r w:rsidR="001070E0">
        <w:instrText xml:space="preserve"> REF _Ref72145447 \h </w:instrText>
      </w:r>
      <w:r w:rsidR="001070E0">
        <w:fldChar w:fldCharType="separate"/>
      </w:r>
      <w:r w:rsidR="00F204A2" w:rsidRPr="00F473C6">
        <w:t xml:space="preserve">Table </w:t>
      </w:r>
      <w:r w:rsidR="00F204A2">
        <w:rPr>
          <w:noProof/>
        </w:rPr>
        <w:t>7</w:t>
      </w:r>
      <w:r w:rsidR="001070E0">
        <w:fldChar w:fldCharType="end"/>
      </w:r>
      <w:r w:rsidR="001070E0">
        <w:t>)</w:t>
      </w:r>
      <w:r>
        <w:t>.</w:t>
      </w:r>
      <w:r w:rsidR="00E035E5">
        <w:t xml:space="preserve"> </w:t>
      </w:r>
      <w:r>
        <w:t>Solicited AEs were more common</w:t>
      </w:r>
      <w:r w:rsidR="008E0E76">
        <w:t>ly reported</w:t>
      </w:r>
      <w:r>
        <w:t xml:space="preserve"> with Ad26.COV2.S</w:t>
      </w:r>
      <w:r w:rsidR="008A4227">
        <w:t xml:space="preserve"> vaccination</w:t>
      </w:r>
      <w:r>
        <w:t xml:space="preserve"> (66%) than </w:t>
      </w:r>
      <w:r w:rsidR="008E0E76">
        <w:t xml:space="preserve">in the </w:t>
      </w:r>
      <w:r>
        <w:t>placebo (41.9%)</w:t>
      </w:r>
      <w:r w:rsidR="008E0E76">
        <w:t xml:space="preserve"> treatment arms</w:t>
      </w:r>
      <w:r w:rsidR="001070E0">
        <w:t xml:space="preserve"> (See </w:t>
      </w:r>
      <w:r w:rsidR="001070E0">
        <w:fldChar w:fldCharType="begin"/>
      </w:r>
      <w:r w:rsidR="001070E0">
        <w:instrText xml:space="preserve"> REF _Ref72145447 \h </w:instrText>
      </w:r>
      <w:r w:rsidR="001070E0">
        <w:fldChar w:fldCharType="separate"/>
      </w:r>
      <w:r w:rsidR="00F204A2" w:rsidRPr="00F473C6">
        <w:t xml:space="preserve">Table </w:t>
      </w:r>
      <w:r w:rsidR="00F204A2">
        <w:rPr>
          <w:noProof/>
        </w:rPr>
        <w:t>7</w:t>
      </w:r>
      <w:r w:rsidR="001070E0">
        <w:fldChar w:fldCharType="end"/>
      </w:r>
      <w:r w:rsidR="001070E0">
        <w:t>)</w:t>
      </w:r>
      <w:r>
        <w:t>.</w:t>
      </w:r>
    </w:p>
    <w:p w14:paraId="542EA4D8" w14:textId="25AA9B27" w:rsidR="00F473C6" w:rsidRDefault="00F473C6" w:rsidP="00F473C6">
      <w:pPr>
        <w:pStyle w:val="TableTitle"/>
      </w:pPr>
      <w:bookmarkStart w:id="49" w:name="_Ref72145447"/>
      <w:r w:rsidRPr="00F473C6">
        <w:t xml:space="preserve">Table </w:t>
      </w:r>
      <w:fldSimple w:instr=" SEQ Table \* ARABIC ">
        <w:r w:rsidR="00F204A2">
          <w:rPr>
            <w:noProof/>
          </w:rPr>
          <w:t>7</w:t>
        </w:r>
      </w:fldSimple>
      <w:bookmarkEnd w:id="49"/>
      <w:r>
        <w:t>: Solicited adverse events</w:t>
      </w:r>
    </w:p>
    <w:p w14:paraId="1C76E0D7" w14:textId="2F7D7E9B" w:rsidR="00F473C6" w:rsidRDefault="00F473C6" w:rsidP="00F473C6">
      <w:r w:rsidRPr="009545C3">
        <w:rPr>
          <w:noProof/>
          <w:lang w:eastAsia="en-AU"/>
        </w:rPr>
        <w:drawing>
          <wp:inline distT="0" distB="0" distL="0" distR="0" wp14:anchorId="2B04A825" wp14:editId="6D262E74">
            <wp:extent cx="5316784" cy="2245767"/>
            <wp:effectExtent l="0" t="0" r="0" b="2540"/>
            <wp:docPr id="45" name="Picture 45" descr="Table 7: image showing Solicited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7: image showing Solicited adverse events"/>
                    <pic:cNvPicPr/>
                  </pic:nvPicPr>
                  <pic:blipFill rotWithShape="1">
                    <a:blip r:embed="rId19"/>
                    <a:srcRect b="18341"/>
                    <a:stretch/>
                  </pic:blipFill>
                  <pic:spPr bwMode="auto">
                    <a:xfrm>
                      <a:off x="0" y="0"/>
                      <a:ext cx="5317200" cy="2245943"/>
                    </a:xfrm>
                    <a:prstGeom prst="rect">
                      <a:avLst/>
                    </a:prstGeom>
                    <a:ln>
                      <a:noFill/>
                    </a:ln>
                    <a:extLst>
                      <a:ext uri="{53640926-AAD7-44D8-BBD7-CCE9431645EC}">
                        <a14:shadowObscured xmlns:a14="http://schemas.microsoft.com/office/drawing/2010/main"/>
                      </a:ext>
                    </a:extLst>
                  </pic:spPr>
                </pic:pic>
              </a:graphicData>
            </a:graphic>
          </wp:inline>
        </w:drawing>
      </w:r>
    </w:p>
    <w:p w14:paraId="7C6EDBA5" w14:textId="14012F2D" w:rsidR="00E035E5" w:rsidRDefault="00E035E5" w:rsidP="00E035E5">
      <w:pPr>
        <w:pStyle w:val="TableDescription"/>
      </w:pPr>
      <w:r>
        <w:t>AE = adverse event. Note: Subjects are counted only once within a period for any given event, regardless of the number of times they actually experience the event in the period. Relationship to vaccine is assessed by the investigator.</w:t>
      </w:r>
    </w:p>
    <w:p w14:paraId="179C60F0" w14:textId="77777777" w:rsidR="00F473C6" w:rsidRDefault="00F473C6" w:rsidP="00F473C6">
      <w:r>
        <w:t>Solicited AEs were less common in those over 60 years (54.5%) than those 18 to 59 years (73.5%).</w:t>
      </w:r>
    </w:p>
    <w:p w14:paraId="653F9FF1" w14:textId="1F77B73B" w:rsidR="00F473C6" w:rsidRDefault="00F473C6" w:rsidP="00F473C6">
      <w:r>
        <w:t>The most common local solicited AE was pain (48.7%) followed by erythema (7.3%) and swelling (5.3%). The median time of onset was 1 to 2 days and median duration 1 to 3</w:t>
      </w:r>
      <w:r w:rsidR="008E0E76">
        <w:t> </w:t>
      </w:r>
      <w:r>
        <w:t>days.</w:t>
      </w:r>
    </w:p>
    <w:p w14:paraId="54E7C8B3" w14:textId="57D56F40" w:rsidR="00F473C6" w:rsidRDefault="00F473C6" w:rsidP="00F473C6">
      <w:r>
        <w:t>The most common systemic solicited AE was headache (39%), followed by fatigue (38.3%), myalgia (33.2%), na</w:t>
      </w:r>
      <w:r w:rsidR="001070E0">
        <w:t xml:space="preserve">usea (14.2%) and pyrexia (9.0%) (See </w:t>
      </w:r>
      <w:r w:rsidR="001070E0">
        <w:fldChar w:fldCharType="begin"/>
      </w:r>
      <w:r w:rsidR="001070E0">
        <w:instrText xml:space="preserve"> REF _Ref72145415 \h </w:instrText>
      </w:r>
      <w:r w:rsidR="001070E0">
        <w:fldChar w:fldCharType="separate"/>
      </w:r>
      <w:r w:rsidR="00F204A2" w:rsidRPr="00F473C6">
        <w:t xml:space="preserve">Table </w:t>
      </w:r>
      <w:r w:rsidR="00F204A2">
        <w:rPr>
          <w:noProof/>
        </w:rPr>
        <w:t>8</w:t>
      </w:r>
      <w:r w:rsidR="001070E0">
        <w:fldChar w:fldCharType="end"/>
      </w:r>
      <w:r w:rsidR="001070E0">
        <w:t>)</w:t>
      </w:r>
    </w:p>
    <w:p w14:paraId="5B0B674C" w14:textId="577F4257" w:rsidR="00F473C6" w:rsidRDefault="00F473C6" w:rsidP="00F473C6">
      <w:pPr>
        <w:pStyle w:val="TableTitle"/>
      </w:pPr>
      <w:bookmarkStart w:id="50" w:name="_Ref72145415"/>
      <w:r w:rsidRPr="00F473C6">
        <w:t xml:space="preserve">Table </w:t>
      </w:r>
      <w:fldSimple w:instr=" SEQ Table \* ARABIC ">
        <w:r w:rsidR="00F204A2">
          <w:rPr>
            <w:noProof/>
          </w:rPr>
          <w:t>8</w:t>
        </w:r>
      </w:fldSimple>
      <w:bookmarkEnd w:id="50"/>
      <w:r>
        <w:t xml:space="preserve">: Study COV3001 </w:t>
      </w:r>
      <w:r w:rsidR="001070E0">
        <w:t>S</w:t>
      </w:r>
      <w:r w:rsidRPr="00F473C6">
        <w:t>y</w:t>
      </w:r>
      <w:r>
        <w:t>stemic solicited adverse events</w:t>
      </w:r>
    </w:p>
    <w:p w14:paraId="5F86BA81" w14:textId="77777777" w:rsidR="00F473C6" w:rsidRDefault="00F473C6" w:rsidP="00F473C6">
      <w:r w:rsidRPr="000628A4">
        <w:rPr>
          <w:noProof/>
          <w:lang w:eastAsia="en-AU"/>
        </w:rPr>
        <w:drawing>
          <wp:inline distT="0" distB="0" distL="0" distR="0" wp14:anchorId="3938030E" wp14:editId="2D5BD423">
            <wp:extent cx="4622400" cy="3859200"/>
            <wp:effectExtent l="0" t="0" r="6985" b="8255"/>
            <wp:docPr id="68" name="Picture 68" descr="Table 8: image showing Study COV3001 Systemic solicited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 8: image showing Study COV3001 Systemic solicited adverse events"/>
                    <pic:cNvPicPr/>
                  </pic:nvPicPr>
                  <pic:blipFill>
                    <a:blip r:embed="rId20"/>
                    <a:stretch>
                      <a:fillRect/>
                    </a:stretch>
                  </pic:blipFill>
                  <pic:spPr>
                    <a:xfrm>
                      <a:off x="0" y="0"/>
                      <a:ext cx="4622400" cy="3859200"/>
                    </a:xfrm>
                    <a:prstGeom prst="rect">
                      <a:avLst/>
                    </a:prstGeom>
                  </pic:spPr>
                </pic:pic>
              </a:graphicData>
            </a:graphic>
          </wp:inline>
        </w:drawing>
      </w:r>
    </w:p>
    <w:p w14:paraId="4EADD648" w14:textId="10AE36C2" w:rsidR="00F473C6" w:rsidRDefault="00F473C6" w:rsidP="00F473C6">
      <w:r w:rsidRPr="00F473C6">
        <w:t>The median time of onset</w:t>
      </w:r>
      <w:r w:rsidR="001070E0">
        <w:t xml:space="preserve"> of systemic solicited AEs was two</w:t>
      </w:r>
      <w:r w:rsidR="00E035E5">
        <w:t xml:space="preserve"> days, and median duration one</w:t>
      </w:r>
      <w:r w:rsidR="001070E0">
        <w:t xml:space="preserve"> to </w:t>
      </w:r>
      <w:r w:rsidR="00E035E5">
        <w:t>two</w:t>
      </w:r>
      <w:r w:rsidRPr="00F473C6">
        <w:t xml:space="preserve"> days.</w:t>
      </w:r>
    </w:p>
    <w:p w14:paraId="7E0265D0" w14:textId="14CE0596" w:rsidR="001070E0" w:rsidRDefault="001070E0" w:rsidP="001070E0">
      <w:pPr>
        <w:pStyle w:val="Heading6"/>
      </w:pPr>
      <w:r>
        <w:t xml:space="preserve">Unsolicited </w:t>
      </w:r>
      <w:r w:rsidR="008E0E76">
        <w:t>adverse events</w:t>
      </w:r>
    </w:p>
    <w:p w14:paraId="3D08DEB7" w14:textId="70FCCCE3" w:rsidR="001070E0" w:rsidRDefault="001070E0" w:rsidP="001070E0">
      <w:r>
        <w:t xml:space="preserve">Severe </w:t>
      </w:r>
      <w:r w:rsidR="008E0E76">
        <w:t>adverse events</w:t>
      </w:r>
      <w:r>
        <w:t xml:space="preserve"> up to 28 days post vaccine occurred in 14 (0.4%) of the vaccine group and 19 (0.6%) of the placebo group, 9 in each group were seven days post vaccine.</w:t>
      </w:r>
    </w:p>
    <w:p w14:paraId="1854D997" w14:textId="77777777" w:rsidR="001070E0" w:rsidRDefault="001070E0" w:rsidP="001070E0">
      <w:r>
        <w:t>Overall, unsolicited AEs were reported in 13.1% of the vaccine group and 12% of the placebo group.</w:t>
      </w:r>
    </w:p>
    <w:p w14:paraId="0A2C37CC" w14:textId="4D7E01A2" w:rsidR="001070E0" w:rsidRDefault="001070E0" w:rsidP="00633269">
      <w:pPr>
        <w:pStyle w:val="TableTitle"/>
        <w:keepLines/>
      </w:pPr>
      <w:r w:rsidRPr="001070E0">
        <w:t xml:space="preserve">Table </w:t>
      </w:r>
      <w:fldSimple w:instr=" SEQ Table \* ARABIC ">
        <w:r w:rsidR="00F204A2">
          <w:rPr>
            <w:noProof/>
          </w:rPr>
          <w:t>9</w:t>
        </w:r>
      </w:fldSimple>
      <w:r>
        <w:t xml:space="preserve">: Study COV3001 </w:t>
      </w:r>
      <w:r w:rsidRPr="001070E0">
        <w:t xml:space="preserve">Unsolicited </w:t>
      </w:r>
      <w:r>
        <w:t xml:space="preserve">adverse events </w:t>
      </w:r>
      <w:r w:rsidRPr="001070E0">
        <w:t xml:space="preserve">occurring in &gt; 1% of vaccine group participants within 28 days following vaccination, by </w:t>
      </w:r>
      <w:r w:rsidR="00633269">
        <w:t>Medical Dictionary for Regulatory A</w:t>
      </w:r>
      <w:r w:rsidR="00633269" w:rsidRPr="00633269">
        <w:t>ctivities</w:t>
      </w:r>
      <w:r w:rsidR="009B228A">
        <w:t>, according to</w:t>
      </w:r>
      <w:r w:rsidR="00467DC9">
        <w:t xml:space="preserve"> </w:t>
      </w:r>
      <w:r w:rsidR="009B228A">
        <w:t>p</w:t>
      </w:r>
      <w:r w:rsidR="00633269">
        <w:t>rimary System Organ Class and Preferred T</w:t>
      </w:r>
      <w:r w:rsidRPr="001070E0">
        <w:t>erm (safety subset</w:t>
      </w:r>
      <w:r>
        <w:t>)</w:t>
      </w:r>
    </w:p>
    <w:p w14:paraId="5D653A97" w14:textId="7587CEB6" w:rsidR="001070E0" w:rsidRDefault="001070E0" w:rsidP="001070E0">
      <w:r w:rsidRPr="009A6464">
        <w:rPr>
          <w:noProof/>
          <w:lang w:eastAsia="en-AU"/>
        </w:rPr>
        <w:drawing>
          <wp:inline distT="0" distB="0" distL="0" distR="0" wp14:anchorId="2A9C27B4" wp14:editId="7DA920D5">
            <wp:extent cx="5150485" cy="3079699"/>
            <wp:effectExtent l="0" t="0" r="0" b="6985"/>
            <wp:docPr id="100" name="Picture 100" descr="Table 9: image showing Study COV3001 Unsolicited adverse events occurring in &gt; 1% of vaccine group participants within 28 days following vaccination, by Medical Dictionary for Regulatory Activities Primary System Organ Class and Preferred Term (safe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ble 9: image showing Study COV3001 Unsolicited adverse events occurring in &gt; 1% of vaccine group participants within 28 days following vaccination, by Medical Dictionary for Regulatory Activities Primary System Organ Class and Preferred Term (safety subset)"/>
                    <pic:cNvPicPr/>
                  </pic:nvPicPr>
                  <pic:blipFill rotWithShape="1">
                    <a:blip r:embed="rId21"/>
                    <a:srcRect t="1069" b="12502"/>
                    <a:stretch/>
                  </pic:blipFill>
                  <pic:spPr bwMode="auto">
                    <a:xfrm>
                      <a:off x="0" y="0"/>
                      <a:ext cx="5151600" cy="3080366"/>
                    </a:xfrm>
                    <a:prstGeom prst="rect">
                      <a:avLst/>
                    </a:prstGeom>
                    <a:ln>
                      <a:noFill/>
                    </a:ln>
                    <a:extLst>
                      <a:ext uri="{53640926-AAD7-44D8-BBD7-CCE9431645EC}">
                        <a14:shadowObscured xmlns:a14="http://schemas.microsoft.com/office/drawing/2010/main"/>
                      </a:ext>
                    </a:extLst>
                  </pic:spPr>
                </pic:pic>
              </a:graphicData>
            </a:graphic>
          </wp:inline>
        </w:drawing>
      </w:r>
    </w:p>
    <w:p w14:paraId="761208AF" w14:textId="7E0F8055" w:rsidR="00633269" w:rsidRDefault="00633269" w:rsidP="00633269">
      <w:pPr>
        <w:pStyle w:val="TableDescription"/>
      </w:pPr>
      <w:r>
        <w:t>Source: Safety subset: subset of full analysis set for analysis of solicited and unsolicited AEs.</w:t>
      </w:r>
    </w:p>
    <w:p w14:paraId="5E3EBA19" w14:textId="6ACE6C1D" w:rsidR="00633269" w:rsidRDefault="00633269" w:rsidP="00633269">
      <w:pPr>
        <w:pStyle w:val="TableDescription"/>
      </w:pPr>
      <w:r>
        <w:t>n = number of participants with specified reaction</w:t>
      </w:r>
    </w:p>
    <w:p w14:paraId="6131FBA9" w14:textId="6A165DC1" w:rsidR="00633269" w:rsidRDefault="00633269" w:rsidP="00633269">
      <w:pPr>
        <w:pStyle w:val="TableDescription"/>
      </w:pPr>
      <w:r>
        <w:t>N = number of exposed subjects who submitted any data for the event, percentage are based on n/N.</w:t>
      </w:r>
    </w:p>
    <w:p w14:paraId="0F859683" w14:textId="454476B1" w:rsidR="001070E0" w:rsidRDefault="001070E0" w:rsidP="001070E0">
      <w:r>
        <w:t xml:space="preserve">19 deaths occurred in the study. None were considered to be related to the study vaccine. Nine participants reported ten </w:t>
      </w:r>
      <w:r w:rsidR="008E0E76">
        <w:t xml:space="preserve">serious adverse events </w:t>
      </w:r>
      <w:r>
        <w:t>which were considered to be related to the study vaccine.</w:t>
      </w:r>
    </w:p>
    <w:p w14:paraId="12EBE966" w14:textId="364EC95D" w:rsidR="001070E0" w:rsidRDefault="001070E0" w:rsidP="001070E0">
      <w:r>
        <w:t xml:space="preserve">The </w:t>
      </w:r>
      <w:r w:rsidR="008E0E76">
        <w:t xml:space="preserve">serious adverse events </w:t>
      </w:r>
      <w:r>
        <w:t xml:space="preserve">considered to be related to </w:t>
      </w:r>
      <w:r w:rsidR="009B228A">
        <w:t>COVID-19 Vaccine Janssen (</w:t>
      </w:r>
      <w:r>
        <w:t>Ad26.COV2.S</w:t>
      </w:r>
      <w:r w:rsidR="009B228A">
        <w:t>)</w:t>
      </w:r>
      <w:r w:rsidR="008E0E76">
        <w:t xml:space="preserve"> treatment</w:t>
      </w:r>
      <w:r>
        <w:t xml:space="preserve"> included:</w:t>
      </w:r>
    </w:p>
    <w:p w14:paraId="7F659E4E" w14:textId="77777777" w:rsidR="001070E0" w:rsidRDefault="001070E0" w:rsidP="001070E0">
      <w:pPr>
        <w:pStyle w:val="ListBullet"/>
      </w:pPr>
      <w:r>
        <w:t>brachial radiculitis (ongoing 75 days post vaccination)</w:t>
      </w:r>
    </w:p>
    <w:p w14:paraId="787715A3" w14:textId="6D0D2D1E" w:rsidR="001070E0" w:rsidRDefault="001070E0" w:rsidP="001070E0">
      <w:pPr>
        <w:pStyle w:val="ListBullet"/>
      </w:pPr>
      <w:r>
        <w:t>post</w:t>
      </w:r>
      <w:r w:rsidR="008E0E76">
        <w:noBreakHyphen/>
      </w:r>
      <w:r>
        <w:t>vaccination syndrome</w:t>
      </w:r>
    </w:p>
    <w:p w14:paraId="0B85FF6F" w14:textId="77777777" w:rsidR="001070E0" w:rsidRDefault="001070E0" w:rsidP="001070E0">
      <w:pPr>
        <w:pStyle w:val="ListBullet"/>
      </w:pPr>
      <w:r>
        <w:t>pericarditis</w:t>
      </w:r>
    </w:p>
    <w:p w14:paraId="2EA50A7C" w14:textId="77777777" w:rsidR="001070E0" w:rsidRDefault="001070E0" w:rsidP="001070E0">
      <w:pPr>
        <w:pStyle w:val="ListBullet"/>
      </w:pPr>
      <w:r>
        <w:t>Bell’s palsy (2 subjects)</w:t>
      </w:r>
    </w:p>
    <w:p w14:paraId="0C9003A1" w14:textId="77777777" w:rsidR="001070E0" w:rsidRDefault="001070E0" w:rsidP="001070E0">
      <w:pPr>
        <w:pStyle w:val="ListBullet"/>
      </w:pPr>
      <w:r>
        <w:t>Guillain Barre syndrome (17 days post vaccine)</w:t>
      </w:r>
    </w:p>
    <w:p w14:paraId="0BE7DD08" w14:textId="1A4D67D0" w:rsidR="001070E0" w:rsidRDefault="001070E0" w:rsidP="001070E0">
      <w:r>
        <w:t xml:space="preserve">There was an additional </w:t>
      </w:r>
      <w:r w:rsidR="008E0E76">
        <w:t xml:space="preserve">serious adverse events </w:t>
      </w:r>
      <w:r>
        <w:t>which the sponsor described as unlikely to be vaccine related, this was a case of thrombosis and thrombocytopenia in a young male.</w:t>
      </w:r>
    </w:p>
    <w:p w14:paraId="59172F75" w14:textId="041D60CA" w:rsidR="001070E0" w:rsidRDefault="008E0E76" w:rsidP="001070E0">
      <w:r>
        <w:t xml:space="preserve">Serious </w:t>
      </w:r>
      <w:r w:rsidR="001070E0">
        <w:t xml:space="preserve">adverse events in the placebo arm included </w:t>
      </w:r>
      <w:r w:rsidR="00477054">
        <w:t>d</w:t>
      </w:r>
      <w:r w:rsidR="00633269">
        <w:t>eep vein thrombosis</w:t>
      </w:r>
      <w:r w:rsidR="001070E0">
        <w:t xml:space="preserve">, </w:t>
      </w:r>
      <w:r w:rsidR="00633269">
        <w:t>Epstein-Barr virus</w:t>
      </w:r>
      <w:r w:rsidR="001070E0">
        <w:t xml:space="preserve"> and atrial flutter.</w:t>
      </w:r>
    </w:p>
    <w:p w14:paraId="69847424" w14:textId="2F4F5301" w:rsidR="001070E0" w:rsidRDefault="001070E0" w:rsidP="001070E0">
      <w:r>
        <w:t>At the tim</w:t>
      </w:r>
      <w:r w:rsidR="00477054">
        <w:t xml:space="preserve">e of data cut-off, one or more </w:t>
      </w:r>
      <w:r w:rsidR="002D2602">
        <w:t>m</w:t>
      </w:r>
      <w:r w:rsidR="002D2602" w:rsidRPr="00F473C6">
        <w:t>edically attended adverse event</w:t>
      </w:r>
      <w:r w:rsidR="002D2602">
        <w:t xml:space="preserve"> (</w:t>
      </w:r>
      <w:r>
        <w:t>MA</w:t>
      </w:r>
      <w:r w:rsidR="002D2602">
        <w:t>A</w:t>
      </w:r>
      <w:r>
        <w:t>E</w:t>
      </w:r>
      <w:r w:rsidR="002D2602">
        <w:t>)</w:t>
      </w:r>
      <w:r>
        <w:t xml:space="preserve"> had been reported in 304 (1.4%) participants in the </w:t>
      </w:r>
      <w:r w:rsidR="009B228A">
        <w:t>COVID-19 Vaccine Janssen (</w:t>
      </w:r>
      <w:r>
        <w:t>Ad26.COV2.S</w:t>
      </w:r>
      <w:r w:rsidR="009B228A">
        <w:t>)</w:t>
      </w:r>
      <w:r>
        <w:t xml:space="preserve"> group compared to 408 (1.9%) participants in the placebo group. The most frequently reported MAAE (≥ 0.5% of participants in any vaccine group) wa</w:t>
      </w:r>
      <w:r w:rsidR="00477054">
        <w:t xml:space="preserve">s infections and infestations </w:t>
      </w:r>
      <w:r>
        <w:t xml:space="preserve">by </w:t>
      </w:r>
      <w:r w:rsidR="00633269">
        <w:t>System Organ Class</w:t>
      </w:r>
      <w:r>
        <w:t>.</w:t>
      </w:r>
    </w:p>
    <w:p w14:paraId="196884B6" w14:textId="5DCF1EDE" w:rsidR="001070E0" w:rsidRDefault="001070E0" w:rsidP="00477054">
      <w:pPr>
        <w:pStyle w:val="Heading6"/>
      </w:pPr>
      <w:r>
        <w:t>Adverse events of special</w:t>
      </w:r>
      <w:r w:rsidR="00477054">
        <w:t xml:space="preserve"> interest</w:t>
      </w:r>
    </w:p>
    <w:p w14:paraId="6DE01711" w14:textId="0D0A4187" w:rsidR="002D2602" w:rsidRPr="002D2602" w:rsidRDefault="002D2602" w:rsidP="00496882">
      <w:r>
        <w:t>Adverse events of special interest included:</w:t>
      </w:r>
    </w:p>
    <w:p w14:paraId="59B808B7" w14:textId="76459D75" w:rsidR="001070E0" w:rsidRDefault="00477054" w:rsidP="00477054">
      <w:pPr>
        <w:pStyle w:val="ListBullet"/>
      </w:pPr>
      <w:r>
        <w:t>a</w:t>
      </w:r>
      <w:r w:rsidR="001070E0">
        <w:t xml:space="preserve">naphylaxis was reported in 15 </w:t>
      </w:r>
      <w:r>
        <w:t>subjects receiving vaccine and eight receiving placebo (</w:t>
      </w:r>
      <w:r w:rsidR="001070E0">
        <w:t xml:space="preserve">but none met Brighton Collaboration </w:t>
      </w:r>
      <w:r>
        <w:t>criteria)</w:t>
      </w:r>
      <w:bookmarkStart w:id="51" w:name="_Ref72399013"/>
      <w:r w:rsidR="002B18C6">
        <w:t>;</w:t>
      </w:r>
      <w:r w:rsidR="00BA2655">
        <w:rPr>
          <w:rStyle w:val="FootnoteReference"/>
        </w:rPr>
        <w:footnoteReference w:id="26"/>
      </w:r>
      <w:bookmarkEnd w:id="51"/>
      <w:r>
        <w:t xml:space="preserve"> hypersensitivity in six vaccine recipients and four in</w:t>
      </w:r>
      <w:r w:rsidR="001070E0">
        <w:t xml:space="preserve"> placebo</w:t>
      </w:r>
    </w:p>
    <w:p w14:paraId="04334314" w14:textId="77777777" w:rsidR="001070E0" w:rsidRDefault="00477054" w:rsidP="00477054">
      <w:pPr>
        <w:pStyle w:val="ListBullet"/>
      </w:pPr>
      <w:r>
        <w:t>tinnitus in six</w:t>
      </w:r>
      <w:r w:rsidR="001070E0">
        <w:t xml:space="preserve"> receiving vaccine, none</w:t>
      </w:r>
      <w:r>
        <w:t xml:space="preserve"> in</w:t>
      </w:r>
      <w:r w:rsidR="001070E0">
        <w:t xml:space="preserve"> placebo</w:t>
      </w:r>
    </w:p>
    <w:p w14:paraId="3DA10DA3" w14:textId="77777777" w:rsidR="001070E0" w:rsidRDefault="00477054" w:rsidP="00477054">
      <w:pPr>
        <w:pStyle w:val="ListBullet"/>
      </w:pPr>
      <w:r>
        <w:t>convulsions/seizures in four vaccinated individuals, one in</w:t>
      </w:r>
      <w:r w:rsidR="001070E0">
        <w:t xml:space="preserve"> placebo</w:t>
      </w:r>
    </w:p>
    <w:p w14:paraId="669508F8" w14:textId="64251A09" w:rsidR="001070E0" w:rsidRDefault="00477054" w:rsidP="00477054">
      <w:pPr>
        <w:pStyle w:val="ListBullet"/>
      </w:pPr>
      <w:r>
        <w:t>t</w:t>
      </w:r>
      <w:r w:rsidR="001070E0">
        <w:t>hrombotic and thromboembolic even</w:t>
      </w:r>
      <w:r>
        <w:t xml:space="preserve">ts in 14 </w:t>
      </w:r>
      <w:r w:rsidR="002D2602">
        <w:t xml:space="preserve">subjects treated </w:t>
      </w:r>
      <w:r>
        <w:t xml:space="preserve">with </w:t>
      </w:r>
      <w:r w:rsidR="009B228A">
        <w:t>COVID-19 Vaccine Janssen (</w:t>
      </w:r>
      <w:r>
        <w:t>Ad26.COV</w:t>
      </w:r>
      <w:proofErr w:type="gramStart"/>
      <w:r>
        <w:t>2.S</w:t>
      </w:r>
      <w:proofErr w:type="gramEnd"/>
      <w:r w:rsidR="009B228A">
        <w:t>)</w:t>
      </w:r>
      <w:r>
        <w:t xml:space="preserve"> and ten </w:t>
      </w:r>
      <w:r w:rsidR="002D2602">
        <w:t>receiving</w:t>
      </w:r>
      <w:r>
        <w:t xml:space="preserve"> </w:t>
      </w:r>
      <w:r w:rsidR="001070E0">
        <w:t>placebo. Most had underlying medical conditions.</w:t>
      </w:r>
    </w:p>
    <w:p w14:paraId="7E85FB5D" w14:textId="77777777" w:rsidR="00477054" w:rsidRDefault="00477054" w:rsidP="00477054">
      <w:r>
        <w:t>Eight pregnancies were reported. Three of these are ongoing.</w:t>
      </w:r>
    </w:p>
    <w:p w14:paraId="750926DA" w14:textId="77777777" w:rsidR="00477054" w:rsidRDefault="00477054" w:rsidP="00477054">
      <w:r>
        <w:t xml:space="preserve">There was no </w:t>
      </w:r>
      <w:r w:rsidR="005A7F34">
        <w:t>v</w:t>
      </w:r>
      <w:r w:rsidR="005A7F34" w:rsidRPr="005A7F34">
        <w:t xml:space="preserve">accine associated enhanced respiratory disease </w:t>
      </w:r>
      <w:r w:rsidR="005A7F34">
        <w:t>(</w:t>
      </w:r>
      <w:r>
        <w:t>VAERD</w:t>
      </w:r>
      <w:r w:rsidR="005A7F34">
        <w:t>)</w:t>
      </w:r>
      <w:r>
        <w:t>. The vaccine induces a humoral and cellular immune response with Th1 bias.</w:t>
      </w:r>
    </w:p>
    <w:p w14:paraId="7B247400" w14:textId="43AF1B87" w:rsidR="00477054" w:rsidRDefault="00477054" w:rsidP="00477054">
      <w:r>
        <w:t xml:space="preserve">The sponsor reanalysed the clinical study data in relation to thrombosis and haemorrhage in relations to </w:t>
      </w:r>
      <w:r w:rsidR="004E10D1">
        <w:t>concerns</w:t>
      </w:r>
      <w:r>
        <w:t xml:space="preserve"> by international regulators.</w:t>
      </w:r>
    </w:p>
    <w:p w14:paraId="4083191D" w14:textId="77777777" w:rsidR="00477054" w:rsidRDefault="00477054" w:rsidP="00477054">
      <w:r>
        <w:t>There were</w:t>
      </w:r>
      <w:r w:rsidR="005A7F34">
        <w:t xml:space="preserve"> 51 participants with at least one</w:t>
      </w:r>
      <w:r>
        <w:t xml:space="preserve"> case of thrombosis. Venous thromboembolic events were more common in the vaccine arm, arterial thrombotic events were more common in the placebo arm.</w:t>
      </w:r>
    </w:p>
    <w:p w14:paraId="006743C8" w14:textId="6979F231" w:rsidR="00D937B0" w:rsidRDefault="00D937B0" w:rsidP="00D937B0">
      <w:pPr>
        <w:pStyle w:val="TableTitle"/>
      </w:pPr>
      <w:r w:rsidRPr="00D937B0">
        <w:t xml:space="preserve">Table </w:t>
      </w:r>
      <w:fldSimple w:instr=" SEQ Table \* ARABIC ">
        <w:r w:rsidR="00F204A2">
          <w:rPr>
            <w:noProof/>
          </w:rPr>
          <w:t>10</w:t>
        </w:r>
      </w:fldSimple>
      <w:r>
        <w:t>: Study COV3001 Thrombotic and thromboembolic events</w:t>
      </w:r>
    </w:p>
    <w:p w14:paraId="14A005C2" w14:textId="77777777" w:rsidR="00D937B0" w:rsidRDefault="00D937B0" w:rsidP="00477054">
      <w:r w:rsidRPr="000F65FA">
        <w:rPr>
          <w:noProof/>
          <w:lang w:eastAsia="en-AU"/>
        </w:rPr>
        <w:drawing>
          <wp:inline distT="0" distB="0" distL="0" distR="0" wp14:anchorId="36B840F4" wp14:editId="12B017CC">
            <wp:extent cx="5303520" cy="2708194"/>
            <wp:effectExtent l="0" t="0" r="0" b="0"/>
            <wp:docPr id="8" name="Picture 8" descr="Table 10: image showing Study COV3001 Thrombotic and thromboembolic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10: image showing Study COV3001 Thrombotic and thromboembolic event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35" t="6572" r="5637" b="22939"/>
                    <a:stretch/>
                  </pic:blipFill>
                  <pic:spPr bwMode="auto">
                    <a:xfrm>
                      <a:off x="0" y="0"/>
                      <a:ext cx="5316428" cy="2714785"/>
                    </a:xfrm>
                    <a:prstGeom prst="rect">
                      <a:avLst/>
                    </a:prstGeom>
                    <a:noFill/>
                    <a:ln>
                      <a:noFill/>
                    </a:ln>
                    <a:extLst>
                      <a:ext uri="{53640926-AAD7-44D8-BBD7-CCE9431645EC}">
                        <a14:shadowObscured xmlns:a14="http://schemas.microsoft.com/office/drawing/2010/main"/>
                      </a:ext>
                    </a:extLst>
                  </pic:spPr>
                </pic:pic>
              </a:graphicData>
            </a:graphic>
          </wp:inline>
        </w:drawing>
      </w:r>
    </w:p>
    <w:p w14:paraId="5A099C7F" w14:textId="77777777" w:rsidR="00594FFE" w:rsidRDefault="00594FFE" w:rsidP="00594FFE">
      <w:pPr>
        <w:pStyle w:val="TableDescription"/>
      </w:pPr>
      <w:r w:rsidRPr="00BE4C97">
        <w:rPr>
          <w:vertAlign w:val="superscript"/>
        </w:rPr>
        <w:t>1</w:t>
      </w:r>
      <w:r>
        <w:t xml:space="preserve"> Data until 17 March 2021</w:t>
      </w:r>
    </w:p>
    <w:p w14:paraId="3DC5A51C" w14:textId="77777777" w:rsidR="00594FFE" w:rsidRDefault="00594FFE" w:rsidP="00594FFE">
      <w:pPr>
        <w:pStyle w:val="TableDescription"/>
      </w:pPr>
      <w:r w:rsidRPr="00BE4C97">
        <w:rPr>
          <w:vertAlign w:val="superscript"/>
        </w:rPr>
        <w:t>2</w:t>
      </w:r>
      <w:r>
        <w:t xml:space="preserve"> Includes one event reported as ‘venous thrombosis limb’ and one event reported as ‘embolism venous’</w:t>
      </w:r>
    </w:p>
    <w:p w14:paraId="625C0194" w14:textId="77777777" w:rsidR="00594FFE" w:rsidRDefault="00594FFE" w:rsidP="00594FFE">
      <w:pPr>
        <w:pStyle w:val="TableDescription"/>
      </w:pPr>
      <w:r w:rsidRPr="00BE4C97">
        <w:rPr>
          <w:vertAlign w:val="superscript"/>
        </w:rPr>
        <w:t>3</w:t>
      </w:r>
      <w:r>
        <w:t xml:space="preserve"> One patient reported both deep vein thrombosis and pulmonary embolism as separate terms</w:t>
      </w:r>
    </w:p>
    <w:p w14:paraId="7EB585DF" w14:textId="77777777" w:rsidR="00594FFE" w:rsidRDefault="00594FFE" w:rsidP="00594FFE">
      <w:pPr>
        <w:pStyle w:val="TableDescription"/>
      </w:pPr>
      <w:r w:rsidRPr="00BE4C97">
        <w:rPr>
          <w:vertAlign w:val="superscript"/>
        </w:rPr>
        <w:t>4</w:t>
      </w:r>
      <w:r>
        <w:t xml:space="preserve"> Two events reported in one participant</w:t>
      </w:r>
    </w:p>
    <w:p w14:paraId="14DDA690" w14:textId="3A4FAF7C" w:rsidR="00594FFE" w:rsidRDefault="00594FFE" w:rsidP="00594FFE">
      <w:pPr>
        <w:pStyle w:val="TableDescription"/>
      </w:pPr>
      <w:r w:rsidRPr="00BE4C97">
        <w:rPr>
          <w:vertAlign w:val="superscript"/>
        </w:rPr>
        <w:t>5</w:t>
      </w:r>
      <w:r>
        <w:t xml:space="preserve"> One participant reported two events of stent occlusion (one venous, one a</w:t>
      </w:r>
      <w:r w:rsidR="002D2602">
        <w:t>r</w:t>
      </w:r>
      <w:r>
        <w:t>terial)</w:t>
      </w:r>
    </w:p>
    <w:p w14:paraId="164BA12E" w14:textId="77777777" w:rsidR="00D937B0" w:rsidRDefault="00D937B0" w:rsidP="00D937B0">
      <w:r>
        <w:t>There were 81 events of bleeding, more common in the placebo group (51 events) than the vaccine group (30 events) and from a variety of causes.</w:t>
      </w:r>
    </w:p>
    <w:p w14:paraId="6E732465" w14:textId="77777777" w:rsidR="00D937B0" w:rsidRPr="00F473C6" w:rsidRDefault="00D937B0" w:rsidP="00477054">
      <w:r>
        <w:t>There were five cases of thrombosis and haemorrhage. The four other cases were in the control group.</w:t>
      </w:r>
    </w:p>
    <w:p w14:paraId="524829DB" w14:textId="77777777" w:rsidR="008E7846" w:rsidRDefault="00386150" w:rsidP="007B6132">
      <w:pPr>
        <w:pStyle w:val="Heading3"/>
        <w:rPr>
          <w:lang w:eastAsia="en-AU"/>
        </w:rPr>
      </w:pPr>
      <w:bookmarkStart w:id="52" w:name="_Toc75438462"/>
      <w:r>
        <w:rPr>
          <w:lang w:eastAsia="en-AU"/>
        </w:rPr>
        <w:t>Risk m</w:t>
      </w:r>
      <w:r w:rsidR="008E7846">
        <w:rPr>
          <w:lang w:eastAsia="en-AU"/>
        </w:rPr>
        <w:t xml:space="preserve">anagement </w:t>
      </w:r>
      <w:r>
        <w:rPr>
          <w:lang w:eastAsia="en-AU"/>
        </w:rPr>
        <w:t>p</w:t>
      </w:r>
      <w:r w:rsidR="008E7846">
        <w:rPr>
          <w:lang w:eastAsia="en-AU"/>
        </w:rPr>
        <w:t>lan</w:t>
      </w:r>
      <w:bookmarkEnd w:id="45"/>
      <w:bookmarkEnd w:id="52"/>
    </w:p>
    <w:p w14:paraId="357A9771" w14:textId="6976337F" w:rsidR="00BE4C97" w:rsidRDefault="00126461" w:rsidP="00BE4C97">
      <w:r>
        <w:t>The sponsor</w:t>
      </w:r>
      <w:r w:rsidR="00BE4C97">
        <w:t xml:space="preserve"> has submitted EU-risk management plan (RMP) version 1.1 (12</w:t>
      </w:r>
      <w:r w:rsidR="002D2602">
        <w:t> </w:t>
      </w:r>
      <w:r w:rsidR="00BE4C97">
        <w:t xml:space="preserve">February 2021; </w:t>
      </w:r>
      <w:r w:rsidR="002D2602">
        <w:t xml:space="preserve">(data lock point (DLP): </w:t>
      </w:r>
      <w:r w:rsidR="00BE4C97">
        <w:t>22 January 2021) and Australian specific annex (ASA) version 1.0 (23</w:t>
      </w:r>
      <w:r w:rsidR="002D2602">
        <w:t> </w:t>
      </w:r>
      <w:r w:rsidR="00BE4C97">
        <w:t xml:space="preserve">February 2021) in support of this application. On 12 March 2021, </w:t>
      </w:r>
      <w:r w:rsidR="002D2602">
        <w:t xml:space="preserve">the </w:t>
      </w:r>
      <w:r w:rsidR="00BE4C97">
        <w:t xml:space="preserve">sponsor provided </w:t>
      </w:r>
      <w:r w:rsidR="002D2602">
        <w:t xml:space="preserve">an updated </w:t>
      </w:r>
      <w:r w:rsidR="00BE4C97">
        <w:t>EU-RMP version 1.3 (10 March 2021; DLP</w:t>
      </w:r>
      <w:r w:rsidR="002D2602">
        <w:t>:</w:t>
      </w:r>
      <w:r w:rsidR="00BE4C97">
        <w:t xml:space="preserve"> 22</w:t>
      </w:r>
      <w:r w:rsidR="002D2602">
        <w:t> </w:t>
      </w:r>
      <w:r w:rsidR="00BE4C97">
        <w:t>January 2021) as part of the EU consolidated package after the conditional approval in the EU.</w:t>
      </w:r>
    </w:p>
    <w:p w14:paraId="3B109E92" w14:textId="178A2AB1" w:rsidR="00BE4C97" w:rsidRDefault="00E94053" w:rsidP="00BE4C97">
      <w:r>
        <w:t>In</w:t>
      </w:r>
      <w:r w:rsidR="00BE4C97">
        <w:t xml:space="preserve"> response to TGA questions, </w:t>
      </w:r>
      <w:r w:rsidR="002D2602">
        <w:t xml:space="preserve">the </w:t>
      </w:r>
      <w:r w:rsidR="00BE4C97">
        <w:t xml:space="preserve">sponsor has provided </w:t>
      </w:r>
      <w:r w:rsidR="002D2602">
        <w:t xml:space="preserve">an updated </w:t>
      </w:r>
      <w:r w:rsidR="00BE4C97">
        <w:t>ASA version 2.0 (19</w:t>
      </w:r>
      <w:r w:rsidR="002D2602">
        <w:t> </w:t>
      </w:r>
      <w:r w:rsidR="00BE4C97">
        <w:t>March 2021) and EU-RMP version 1.4 (12 March 2021; DLP 22 January 2021).</w:t>
      </w:r>
    </w:p>
    <w:p w14:paraId="287D8DE7" w14:textId="0A60693C" w:rsidR="0099191D" w:rsidRDefault="00E94053" w:rsidP="0099191D">
      <w:r>
        <w:t>In</w:t>
      </w:r>
      <w:r w:rsidR="0099191D">
        <w:t xml:space="preserve"> response to the second round of RMP evaluation, </w:t>
      </w:r>
      <w:r w:rsidR="002D2602">
        <w:t xml:space="preserve">the </w:t>
      </w:r>
      <w:r w:rsidR="0099191D">
        <w:t>sponsor has provided</w:t>
      </w:r>
      <w:r w:rsidR="002D2602">
        <w:t xml:space="preserve"> an updated</w:t>
      </w:r>
      <w:r w:rsidR="0099191D">
        <w:t xml:space="preserve"> ASA version 3.0 (9 April 2021). Lastly, </w:t>
      </w:r>
      <w:r w:rsidR="002D2602">
        <w:t xml:space="preserve">the </w:t>
      </w:r>
      <w:r w:rsidR="0099191D">
        <w:t xml:space="preserve">sponsor has provided </w:t>
      </w:r>
      <w:r w:rsidR="002D2602">
        <w:t xml:space="preserve">an updated </w:t>
      </w:r>
      <w:r w:rsidR="0099191D">
        <w:t>ASA version 4.0 (19 April 2021) with the response to the third round of RMP evaluation report.</w:t>
      </w:r>
    </w:p>
    <w:p w14:paraId="07A01CB0" w14:textId="4A3D2A7C" w:rsidR="007D53B6" w:rsidRDefault="007D53B6" w:rsidP="007D53B6">
      <w:r>
        <w:t>The summary of safety concerns and their associated risk monitoring and mitigation strat</w:t>
      </w:r>
      <w:r w:rsidR="00BE4C97">
        <w:t xml:space="preserve">egies are summarised in </w:t>
      </w:r>
      <w:r w:rsidR="00BE4C97">
        <w:fldChar w:fldCharType="begin"/>
      </w:r>
      <w:r w:rsidR="00BE4C97">
        <w:instrText xml:space="preserve"> REF _Ref72150491 \h </w:instrText>
      </w:r>
      <w:r w:rsidR="00BE4C97">
        <w:fldChar w:fldCharType="separate"/>
      </w:r>
      <w:r w:rsidR="00F204A2" w:rsidRPr="00BE4C97">
        <w:t xml:space="preserve">Table </w:t>
      </w:r>
      <w:r w:rsidR="00F204A2">
        <w:rPr>
          <w:noProof/>
        </w:rPr>
        <w:t>11</w:t>
      </w:r>
      <w:r w:rsidR="00BE4C97">
        <w:fldChar w:fldCharType="end"/>
      </w:r>
      <w:r>
        <w:t>.</w:t>
      </w:r>
      <w:r>
        <w:rPr>
          <w:rStyle w:val="FootnoteReference"/>
        </w:rPr>
        <w:footnoteReference w:id="27"/>
      </w:r>
    </w:p>
    <w:p w14:paraId="247930A8" w14:textId="23182B98" w:rsidR="00BE4C97" w:rsidRDefault="00BE4C97" w:rsidP="00BE4C97">
      <w:pPr>
        <w:pStyle w:val="TableTitle"/>
      </w:pPr>
      <w:bookmarkStart w:id="53" w:name="_Ref72150491"/>
      <w:r w:rsidRPr="00BE4C97">
        <w:t xml:space="preserve">Table </w:t>
      </w:r>
      <w:fldSimple w:instr=" SEQ Table \* ARABIC ">
        <w:r w:rsidR="00F204A2">
          <w:rPr>
            <w:noProof/>
          </w:rPr>
          <w:t>11</w:t>
        </w:r>
      </w:fldSimple>
      <w:bookmarkEnd w:id="53"/>
      <w:r>
        <w:t>: Summary of safety concern</w:t>
      </w:r>
      <w:r w:rsidR="009B228A">
        <w:t>s</w:t>
      </w:r>
    </w:p>
    <w:tbl>
      <w:tblPr>
        <w:tblStyle w:val="TableTGAblue"/>
        <w:tblW w:w="5000" w:type="pct"/>
        <w:tblLook w:val="04A0" w:firstRow="1" w:lastRow="0" w:firstColumn="1" w:lastColumn="0" w:noHBand="0" w:noVBand="1"/>
      </w:tblPr>
      <w:tblGrid>
        <w:gridCol w:w="1497"/>
        <w:gridCol w:w="2313"/>
        <w:gridCol w:w="1060"/>
        <w:gridCol w:w="1282"/>
        <w:gridCol w:w="1060"/>
        <w:gridCol w:w="1282"/>
      </w:tblGrid>
      <w:tr w:rsidR="00BE4C97" w:rsidRPr="00256D16" w14:paraId="284EFE8D" w14:textId="77777777" w:rsidTr="00BE4C97">
        <w:trPr>
          <w:cnfStyle w:val="100000000000" w:firstRow="1" w:lastRow="0" w:firstColumn="0" w:lastColumn="0" w:oddVBand="0" w:evenVBand="0" w:oddHBand="0" w:evenHBand="0" w:firstRowFirstColumn="0" w:firstRowLastColumn="0" w:lastRowFirstColumn="0" w:lastRowLastColumn="0"/>
          <w:trHeight w:val="343"/>
        </w:trPr>
        <w:tc>
          <w:tcPr>
            <w:tcW w:w="2336" w:type="pct"/>
            <w:gridSpan w:val="2"/>
            <w:vMerge w:val="restart"/>
            <w:tcBorders>
              <w:top w:val="single" w:sz="4" w:space="0" w:color="auto"/>
              <w:left w:val="single" w:sz="4" w:space="0" w:color="auto"/>
              <w:bottom w:val="single" w:sz="4" w:space="0" w:color="auto"/>
              <w:right w:val="single" w:sz="4" w:space="0" w:color="auto"/>
            </w:tcBorders>
          </w:tcPr>
          <w:p w14:paraId="584C50A8" w14:textId="77777777" w:rsidR="00BE4C97" w:rsidRPr="00256D16" w:rsidRDefault="00BE4C97" w:rsidP="00BE4C97">
            <w:pPr>
              <w:pStyle w:val="Tabletext"/>
              <w:spacing w:before="0" w:after="0" w:line="240" w:lineRule="auto"/>
              <w:ind w:left="0"/>
              <w:rPr>
                <w:b w:val="0"/>
                <w:sz w:val="20"/>
                <w:szCs w:val="20"/>
              </w:rPr>
            </w:pPr>
            <w:r w:rsidRPr="00467DC9">
              <w:rPr>
                <w:sz w:val="24"/>
                <w:szCs w:val="20"/>
              </w:rPr>
              <w:t>Summary of safety concerns</w:t>
            </w:r>
          </w:p>
        </w:tc>
        <w:tc>
          <w:tcPr>
            <w:tcW w:w="1332" w:type="pct"/>
            <w:gridSpan w:val="2"/>
            <w:tcBorders>
              <w:top w:val="single" w:sz="4" w:space="0" w:color="auto"/>
              <w:left w:val="single" w:sz="4" w:space="0" w:color="auto"/>
              <w:bottom w:val="single" w:sz="4" w:space="0" w:color="auto"/>
              <w:right w:val="single" w:sz="4" w:space="0" w:color="auto"/>
            </w:tcBorders>
          </w:tcPr>
          <w:p w14:paraId="02BF1CA5" w14:textId="77777777" w:rsidR="00BE4C97" w:rsidRPr="00467DC9" w:rsidRDefault="00BE4C97" w:rsidP="00BE4C97">
            <w:pPr>
              <w:pStyle w:val="Tabletext"/>
              <w:spacing w:before="0" w:after="0" w:line="240" w:lineRule="auto"/>
              <w:ind w:left="0"/>
              <w:rPr>
                <w:b w:val="0"/>
                <w:sz w:val="22"/>
                <w:szCs w:val="20"/>
              </w:rPr>
            </w:pPr>
            <w:r w:rsidRPr="00467DC9">
              <w:rPr>
                <w:sz w:val="22"/>
                <w:szCs w:val="20"/>
              </w:rPr>
              <w:t>Pharmacovigilance</w:t>
            </w:r>
          </w:p>
        </w:tc>
        <w:tc>
          <w:tcPr>
            <w:tcW w:w="1332" w:type="pct"/>
            <w:gridSpan w:val="2"/>
            <w:tcBorders>
              <w:top w:val="single" w:sz="4" w:space="0" w:color="auto"/>
              <w:left w:val="single" w:sz="4" w:space="0" w:color="auto"/>
              <w:bottom w:val="single" w:sz="4" w:space="0" w:color="auto"/>
              <w:right w:val="single" w:sz="4" w:space="0" w:color="auto"/>
            </w:tcBorders>
          </w:tcPr>
          <w:p w14:paraId="78BA90B9" w14:textId="77777777" w:rsidR="00BE4C97" w:rsidRPr="00467DC9" w:rsidRDefault="00BE4C97" w:rsidP="00BE4C97">
            <w:pPr>
              <w:pStyle w:val="Tabletext"/>
              <w:spacing w:before="0" w:after="0" w:line="240" w:lineRule="auto"/>
              <w:ind w:left="0"/>
              <w:rPr>
                <w:b w:val="0"/>
                <w:sz w:val="22"/>
                <w:szCs w:val="20"/>
              </w:rPr>
            </w:pPr>
            <w:r w:rsidRPr="00467DC9">
              <w:rPr>
                <w:sz w:val="22"/>
                <w:szCs w:val="20"/>
              </w:rPr>
              <w:t>Risk Minimisation</w:t>
            </w:r>
          </w:p>
        </w:tc>
      </w:tr>
      <w:tr w:rsidR="00BE4C97" w:rsidRPr="00256D16" w14:paraId="354B562E" w14:textId="77777777" w:rsidTr="00BE4C97">
        <w:trPr>
          <w:trHeight w:val="273"/>
        </w:trPr>
        <w:tc>
          <w:tcPr>
            <w:tcW w:w="2336" w:type="pct"/>
            <w:gridSpan w:val="2"/>
            <w:vMerge/>
            <w:tcBorders>
              <w:top w:val="single" w:sz="4" w:space="0" w:color="auto"/>
              <w:left w:val="single" w:sz="4" w:space="0" w:color="auto"/>
              <w:bottom w:val="single" w:sz="4" w:space="0" w:color="auto"/>
              <w:right w:val="single" w:sz="4" w:space="0" w:color="auto"/>
            </w:tcBorders>
          </w:tcPr>
          <w:p w14:paraId="79881CA5" w14:textId="77777777" w:rsidR="00BE4C97" w:rsidRPr="00256D16" w:rsidRDefault="00BE4C97" w:rsidP="00BE4C97">
            <w:pPr>
              <w:pStyle w:val="Tabletext"/>
              <w:spacing w:before="0" w:after="0" w:line="240" w:lineRule="auto"/>
              <w:rPr>
                <w:b/>
                <w:sz w:val="20"/>
                <w:szCs w:val="20"/>
              </w:rPr>
            </w:pPr>
          </w:p>
        </w:tc>
        <w:tc>
          <w:tcPr>
            <w:tcW w:w="604" w:type="pct"/>
            <w:tcBorders>
              <w:top w:val="single" w:sz="4" w:space="0" w:color="auto"/>
              <w:left w:val="single" w:sz="4" w:space="0" w:color="auto"/>
              <w:bottom w:val="single" w:sz="4" w:space="0" w:color="auto"/>
              <w:right w:val="single" w:sz="4" w:space="0" w:color="auto"/>
            </w:tcBorders>
            <w:shd w:val="clear" w:color="auto" w:fill="006DA7"/>
          </w:tcPr>
          <w:p w14:paraId="75BFD355" w14:textId="77777777" w:rsidR="00BE4C97" w:rsidRPr="00256D16" w:rsidRDefault="00BE4C97" w:rsidP="00BE4C97">
            <w:pPr>
              <w:pStyle w:val="Tabletext"/>
              <w:spacing w:before="0" w:after="0" w:line="240" w:lineRule="auto"/>
              <w:ind w:left="0"/>
              <w:rPr>
                <w:color w:val="FFFFFF" w:themeColor="background1"/>
                <w:sz w:val="20"/>
                <w:szCs w:val="20"/>
              </w:rPr>
            </w:pPr>
            <w:r w:rsidRPr="00256D16">
              <w:rPr>
                <w:color w:val="FFFFFF" w:themeColor="background1"/>
                <w:sz w:val="20"/>
                <w:szCs w:val="20"/>
              </w:rPr>
              <w:t>Routine</w:t>
            </w:r>
          </w:p>
        </w:tc>
        <w:tc>
          <w:tcPr>
            <w:tcW w:w="728" w:type="pct"/>
            <w:tcBorders>
              <w:top w:val="single" w:sz="4" w:space="0" w:color="auto"/>
              <w:left w:val="single" w:sz="4" w:space="0" w:color="auto"/>
              <w:bottom w:val="single" w:sz="4" w:space="0" w:color="auto"/>
              <w:right w:val="single" w:sz="4" w:space="0" w:color="auto"/>
            </w:tcBorders>
            <w:shd w:val="clear" w:color="auto" w:fill="006DA7"/>
          </w:tcPr>
          <w:p w14:paraId="5B1B6B93" w14:textId="77777777" w:rsidR="00BE4C97" w:rsidRPr="00256D16" w:rsidRDefault="00BE4C97" w:rsidP="00BE4C97">
            <w:pPr>
              <w:pStyle w:val="Tabletext"/>
              <w:spacing w:before="0" w:after="0" w:line="240" w:lineRule="auto"/>
              <w:ind w:left="0"/>
              <w:rPr>
                <w:color w:val="FFFFFF" w:themeColor="background1"/>
                <w:sz w:val="20"/>
                <w:szCs w:val="20"/>
              </w:rPr>
            </w:pPr>
            <w:r w:rsidRPr="00256D16">
              <w:rPr>
                <w:color w:val="FFFFFF" w:themeColor="background1"/>
                <w:sz w:val="20"/>
                <w:szCs w:val="20"/>
              </w:rPr>
              <w:t>Additional</w:t>
            </w:r>
          </w:p>
        </w:tc>
        <w:tc>
          <w:tcPr>
            <w:tcW w:w="604" w:type="pct"/>
            <w:tcBorders>
              <w:top w:val="single" w:sz="4" w:space="0" w:color="auto"/>
              <w:left w:val="single" w:sz="4" w:space="0" w:color="auto"/>
              <w:bottom w:val="single" w:sz="4" w:space="0" w:color="auto"/>
              <w:right w:val="single" w:sz="4" w:space="0" w:color="auto"/>
            </w:tcBorders>
            <w:shd w:val="clear" w:color="auto" w:fill="006DA7"/>
          </w:tcPr>
          <w:p w14:paraId="45FABE71" w14:textId="77777777" w:rsidR="00BE4C97" w:rsidRPr="00256D16" w:rsidRDefault="00BE4C97" w:rsidP="00BE4C97">
            <w:pPr>
              <w:pStyle w:val="Tabletext"/>
              <w:spacing w:before="0" w:after="0" w:line="240" w:lineRule="auto"/>
              <w:ind w:left="0"/>
              <w:rPr>
                <w:color w:val="FFFFFF" w:themeColor="background1"/>
                <w:sz w:val="20"/>
                <w:szCs w:val="20"/>
              </w:rPr>
            </w:pPr>
            <w:r w:rsidRPr="00256D16">
              <w:rPr>
                <w:color w:val="FFFFFF" w:themeColor="background1"/>
                <w:sz w:val="20"/>
                <w:szCs w:val="20"/>
              </w:rPr>
              <w:t>Routine</w:t>
            </w:r>
          </w:p>
        </w:tc>
        <w:tc>
          <w:tcPr>
            <w:tcW w:w="728" w:type="pct"/>
            <w:tcBorders>
              <w:top w:val="single" w:sz="4" w:space="0" w:color="auto"/>
              <w:left w:val="single" w:sz="4" w:space="0" w:color="auto"/>
              <w:bottom w:val="single" w:sz="4" w:space="0" w:color="auto"/>
              <w:right w:val="single" w:sz="4" w:space="0" w:color="auto"/>
            </w:tcBorders>
            <w:shd w:val="clear" w:color="auto" w:fill="006DA7"/>
          </w:tcPr>
          <w:p w14:paraId="3F68DF4D" w14:textId="77777777" w:rsidR="00BE4C97" w:rsidRPr="00256D16" w:rsidRDefault="00BE4C97" w:rsidP="00BE4C97">
            <w:pPr>
              <w:pStyle w:val="Tabletext"/>
              <w:spacing w:before="0" w:after="0" w:line="240" w:lineRule="auto"/>
              <w:ind w:left="0"/>
              <w:rPr>
                <w:color w:val="FFFFFF" w:themeColor="background1"/>
                <w:sz w:val="20"/>
                <w:szCs w:val="20"/>
              </w:rPr>
            </w:pPr>
            <w:r w:rsidRPr="00256D16">
              <w:rPr>
                <w:color w:val="FFFFFF" w:themeColor="background1"/>
                <w:sz w:val="20"/>
                <w:szCs w:val="20"/>
              </w:rPr>
              <w:t>Additional</w:t>
            </w:r>
          </w:p>
        </w:tc>
      </w:tr>
      <w:tr w:rsidR="00BE4C97" w:rsidRPr="00256D16" w14:paraId="24E037C3" w14:textId="77777777" w:rsidTr="00BE4C97">
        <w:trPr>
          <w:trHeight w:val="557"/>
        </w:trPr>
        <w:tc>
          <w:tcPr>
            <w:tcW w:w="849" w:type="pct"/>
            <w:tcBorders>
              <w:top w:val="single" w:sz="4" w:space="0" w:color="auto"/>
            </w:tcBorders>
          </w:tcPr>
          <w:p w14:paraId="2635E7F2" w14:textId="77777777" w:rsidR="00BE4C97" w:rsidRPr="00256D16" w:rsidRDefault="00BE4C97" w:rsidP="00BE4C97">
            <w:pPr>
              <w:pStyle w:val="Tabletext"/>
              <w:spacing w:before="0" w:after="0" w:line="240" w:lineRule="auto"/>
              <w:ind w:left="0"/>
              <w:rPr>
                <w:b/>
                <w:sz w:val="20"/>
                <w:szCs w:val="20"/>
              </w:rPr>
            </w:pPr>
            <w:r w:rsidRPr="00256D16">
              <w:rPr>
                <w:b/>
                <w:sz w:val="20"/>
                <w:szCs w:val="20"/>
              </w:rPr>
              <w:t>Important identified risks</w:t>
            </w:r>
          </w:p>
        </w:tc>
        <w:tc>
          <w:tcPr>
            <w:tcW w:w="1487" w:type="pct"/>
            <w:tcBorders>
              <w:top w:val="single" w:sz="4" w:space="0" w:color="auto"/>
            </w:tcBorders>
          </w:tcPr>
          <w:p w14:paraId="7D100275" w14:textId="77777777" w:rsidR="00BE4C97" w:rsidRPr="00256D16" w:rsidRDefault="00BE4C97" w:rsidP="00BE4C97">
            <w:pPr>
              <w:pStyle w:val="Tabletext"/>
              <w:spacing w:before="0" w:after="0" w:line="240" w:lineRule="auto"/>
              <w:ind w:left="0"/>
              <w:rPr>
                <w:sz w:val="20"/>
                <w:szCs w:val="20"/>
              </w:rPr>
            </w:pPr>
            <w:r w:rsidRPr="00256D16">
              <w:rPr>
                <w:sz w:val="20"/>
                <w:szCs w:val="20"/>
              </w:rPr>
              <w:t>Anaphylaxis</w:t>
            </w:r>
          </w:p>
        </w:tc>
        <w:tc>
          <w:tcPr>
            <w:tcW w:w="604" w:type="pct"/>
            <w:tcBorders>
              <w:top w:val="single" w:sz="4" w:space="0" w:color="auto"/>
            </w:tcBorders>
          </w:tcPr>
          <w:p w14:paraId="6A3B30A5" w14:textId="77777777" w:rsidR="00BE4C97" w:rsidRPr="00256D16" w:rsidRDefault="00BE4C97" w:rsidP="00BE4C97">
            <w:pPr>
              <w:pStyle w:val="Tabletext"/>
              <w:spacing w:before="0" w:after="0" w:line="240" w:lineRule="auto"/>
              <w:jc w:val="center"/>
              <w:rPr>
                <w:sz w:val="20"/>
                <w:szCs w:val="20"/>
              </w:rPr>
            </w:pPr>
            <w:r w:rsidRPr="00256D16">
              <w:rPr>
                <w:sz w:val="20"/>
                <w:szCs w:val="20"/>
              </w:rPr>
              <w:sym w:font="Wingdings" w:char="F0FC"/>
            </w:r>
            <w:r w:rsidRPr="00256D16">
              <w:rPr>
                <w:sz w:val="20"/>
                <w:szCs w:val="20"/>
                <w:vertAlign w:val="superscript"/>
              </w:rPr>
              <w:t>1</w:t>
            </w:r>
          </w:p>
        </w:tc>
        <w:tc>
          <w:tcPr>
            <w:tcW w:w="728" w:type="pct"/>
            <w:tcBorders>
              <w:top w:val="single" w:sz="4" w:space="0" w:color="auto"/>
            </w:tcBorders>
          </w:tcPr>
          <w:p w14:paraId="7BC62ABD" w14:textId="77777777" w:rsidR="00BE4C97" w:rsidRPr="00256D16" w:rsidRDefault="00BE4C97" w:rsidP="00BE4C97">
            <w:pPr>
              <w:pStyle w:val="Tabletext"/>
              <w:spacing w:before="0" w:after="0" w:line="240" w:lineRule="auto"/>
              <w:jc w:val="center"/>
              <w:rPr>
                <w:sz w:val="20"/>
                <w:szCs w:val="20"/>
              </w:rPr>
            </w:pPr>
            <w:r w:rsidRPr="00256D16">
              <w:rPr>
                <w:sz w:val="20"/>
                <w:szCs w:val="20"/>
              </w:rPr>
              <w:sym w:font="Wingdings" w:char="F0FC"/>
            </w:r>
            <w:r w:rsidRPr="00256D16">
              <w:rPr>
                <w:sz w:val="20"/>
                <w:szCs w:val="20"/>
                <w:vertAlign w:val="superscript"/>
              </w:rPr>
              <w:t>2</w:t>
            </w:r>
          </w:p>
        </w:tc>
        <w:tc>
          <w:tcPr>
            <w:tcW w:w="604" w:type="pct"/>
            <w:tcBorders>
              <w:top w:val="single" w:sz="4" w:space="0" w:color="auto"/>
            </w:tcBorders>
          </w:tcPr>
          <w:p w14:paraId="7C629E13" w14:textId="77777777" w:rsidR="00BE4C97" w:rsidRPr="00256D16" w:rsidRDefault="00BE4C97" w:rsidP="00BE4C97">
            <w:pPr>
              <w:spacing w:before="0" w:after="0" w:line="240" w:lineRule="auto"/>
              <w:jc w:val="center"/>
              <w:rPr>
                <w:sz w:val="20"/>
                <w:szCs w:val="20"/>
              </w:rPr>
            </w:pPr>
            <w:r w:rsidRPr="00256D16">
              <w:rPr>
                <w:sz w:val="20"/>
                <w:szCs w:val="20"/>
              </w:rPr>
              <w:sym w:font="Wingdings" w:char="F0FC"/>
            </w:r>
          </w:p>
        </w:tc>
        <w:tc>
          <w:tcPr>
            <w:tcW w:w="728" w:type="pct"/>
            <w:tcBorders>
              <w:top w:val="single" w:sz="4" w:space="0" w:color="auto"/>
            </w:tcBorders>
          </w:tcPr>
          <w:p w14:paraId="6E574433" w14:textId="77777777" w:rsidR="00BE4C97" w:rsidRPr="00256D16" w:rsidRDefault="00BE4C97" w:rsidP="00BE4C97">
            <w:pPr>
              <w:spacing w:before="0" w:after="0" w:line="240" w:lineRule="auto"/>
              <w:jc w:val="center"/>
              <w:rPr>
                <w:sz w:val="20"/>
                <w:szCs w:val="20"/>
              </w:rPr>
            </w:pPr>
            <w:r w:rsidRPr="00256D16">
              <w:rPr>
                <w:sz w:val="20"/>
                <w:szCs w:val="20"/>
              </w:rPr>
              <w:t>–</w:t>
            </w:r>
          </w:p>
        </w:tc>
      </w:tr>
      <w:tr w:rsidR="00BE4C97" w:rsidRPr="00256D16" w14:paraId="645CB3BC" w14:textId="77777777" w:rsidTr="00BE4C97">
        <w:trPr>
          <w:trHeight w:val="159"/>
        </w:trPr>
        <w:tc>
          <w:tcPr>
            <w:tcW w:w="849" w:type="pct"/>
            <w:vMerge w:val="restart"/>
          </w:tcPr>
          <w:p w14:paraId="48C80895" w14:textId="77777777" w:rsidR="00BE4C97" w:rsidRPr="00256D16" w:rsidRDefault="00BE4C97" w:rsidP="00BE4C97">
            <w:pPr>
              <w:pStyle w:val="Tabletext"/>
              <w:spacing w:before="0" w:after="0" w:line="240" w:lineRule="auto"/>
              <w:ind w:left="0"/>
              <w:rPr>
                <w:b/>
                <w:sz w:val="20"/>
                <w:szCs w:val="20"/>
              </w:rPr>
            </w:pPr>
            <w:r w:rsidRPr="00256D16">
              <w:rPr>
                <w:b/>
                <w:sz w:val="20"/>
                <w:szCs w:val="20"/>
              </w:rPr>
              <w:t>Important potential risks</w:t>
            </w:r>
          </w:p>
        </w:tc>
        <w:tc>
          <w:tcPr>
            <w:tcW w:w="1487" w:type="pct"/>
          </w:tcPr>
          <w:p w14:paraId="3CFE26AD" w14:textId="25DD2D39" w:rsidR="00BE4C97" w:rsidRPr="00256D16" w:rsidRDefault="00BE4C97" w:rsidP="00A80207">
            <w:pPr>
              <w:pStyle w:val="Tabletext"/>
              <w:spacing w:before="0" w:after="0" w:line="240" w:lineRule="auto"/>
              <w:ind w:left="0"/>
              <w:rPr>
                <w:sz w:val="20"/>
                <w:szCs w:val="20"/>
              </w:rPr>
            </w:pPr>
            <w:r w:rsidRPr="00256D16">
              <w:rPr>
                <w:sz w:val="20"/>
                <w:szCs w:val="20"/>
              </w:rPr>
              <w:t>Vaccine-as</w:t>
            </w:r>
            <w:r w:rsidR="00A80207">
              <w:rPr>
                <w:sz w:val="20"/>
                <w:szCs w:val="20"/>
              </w:rPr>
              <w:t>sociated enhanced disease</w:t>
            </w:r>
            <w:r w:rsidRPr="00256D16">
              <w:rPr>
                <w:sz w:val="20"/>
                <w:szCs w:val="20"/>
              </w:rPr>
              <w:t>, including vaccine associate</w:t>
            </w:r>
            <w:r w:rsidR="00A80207">
              <w:rPr>
                <w:sz w:val="20"/>
                <w:szCs w:val="20"/>
              </w:rPr>
              <w:t>d enhanced respiratory disease</w:t>
            </w:r>
          </w:p>
        </w:tc>
        <w:tc>
          <w:tcPr>
            <w:tcW w:w="604" w:type="pct"/>
          </w:tcPr>
          <w:p w14:paraId="7D1E9FEC" w14:textId="77777777" w:rsidR="00BE4C97" w:rsidRPr="00256D16" w:rsidRDefault="00BE4C97" w:rsidP="00BE4C97">
            <w:pPr>
              <w:pStyle w:val="Tabletext"/>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1</w:t>
            </w:r>
          </w:p>
        </w:tc>
        <w:tc>
          <w:tcPr>
            <w:tcW w:w="728" w:type="pct"/>
          </w:tcPr>
          <w:p w14:paraId="1AEA2237" w14:textId="77777777" w:rsidR="00BE4C97" w:rsidRPr="00256D16" w:rsidRDefault="00BE4C97" w:rsidP="00BE4C97">
            <w:pPr>
              <w:pStyle w:val="Tabletext"/>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2</w:t>
            </w:r>
          </w:p>
        </w:tc>
        <w:tc>
          <w:tcPr>
            <w:tcW w:w="604" w:type="pct"/>
          </w:tcPr>
          <w:p w14:paraId="232F46AA" w14:textId="77777777" w:rsidR="00BE4C97" w:rsidRPr="00256D16" w:rsidRDefault="00BE4C97" w:rsidP="00BE4C97">
            <w:pPr>
              <w:pStyle w:val="Tabletext"/>
              <w:spacing w:before="0" w:after="0" w:line="240" w:lineRule="auto"/>
              <w:jc w:val="center"/>
              <w:rPr>
                <w:sz w:val="20"/>
                <w:szCs w:val="20"/>
              </w:rPr>
            </w:pPr>
            <w:r w:rsidRPr="00256D16">
              <w:rPr>
                <w:sz w:val="20"/>
                <w:szCs w:val="20"/>
              </w:rPr>
              <w:t>–</w:t>
            </w:r>
          </w:p>
        </w:tc>
        <w:tc>
          <w:tcPr>
            <w:tcW w:w="728" w:type="pct"/>
          </w:tcPr>
          <w:p w14:paraId="67B6A173" w14:textId="77777777" w:rsidR="00BE4C97" w:rsidRPr="00256D16" w:rsidRDefault="00BE4C97" w:rsidP="00BE4C97">
            <w:pPr>
              <w:pStyle w:val="Tabletext"/>
              <w:spacing w:before="0" w:after="0" w:line="240" w:lineRule="auto"/>
              <w:jc w:val="center"/>
              <w:rPr>
                <w:sz w:val="20"/>
                <w:szCs w:val="20"/>
              </w:rPr>
            </w:pPr>
            <w:r w:rsidRPr="00256D16">
              <w:rPr>
                <w:sz w:val="20"/>
                <w:szCs w:val="20"/>
              </w:rPr>
              <w:t>–</w:t>
            </w:r>
          </w:p>
        </w:tc>
      </w:tr>
      <w:tr w:rsidR="00BE4C97" w:rsidRPr="00256D16" w14:paraId="5CD78661" w14:textId="77777777" w:rsidTr="00BE4C97">
        <w:trPr>
          <w:trHeight w:val="112"/>
        </w:trPr>
        <w:tc>
          <w:tcPr>
            <w:tcW w:w="849" w:type="pct"/>
            <w:vMerge/>
          </w:tcPr>
          <w:p w14:paraId="53680FE8" w14:textId="77777777" w:rsidR="00BE4C97" w:rsidRPr="00256D16" w:rsidRDefault="00BE4C97" w:rsidP="00BE4C97">
            <w:pPr>
              <w:pStyle w:val="Tabletext"/>
              <w:spacing w:before="0" w:after="0" w:line="240" w:lineRule="auto"/>
              <w:rPr>
                <w:b/>
                <w:sz w:val="20"/>
                <w:szCs w:val="20"/>
              </w:rPr>
            </w:pPr>
          </w:p>
        </w:tc>
        <w:tc>
          <w:tcPr>
            <w:tcW w:w="1487" w:type="pct"/>
          </w:tcPr>
          <w:p w14:paraId="5A37249A" w14:textId="77777777" w:rsidR="00BE4C97" w:rsidRPr="00256D16" w:rsidRDefault="00BE4C97" w:rsidP="00BE4C97">
            <w:pPr>
              <w:pStyle w:val="Tabletext"/>
              <w:spacing w:before="0" w:after="0" w:line="240" w:lineRule="auto"/>
              <w:ind w:left="0"/>
              <w:rPr>
                <w:sz w:val="20"/>
                <w:szCs w:val="20"/>
              </w:rPr>
            </w:pPr>
            <w:r w:rsidRPr="00256D16">
              <w:rPr>
                <w:sz w:val="20"/>
                <w:szCs w:val="20"/>
              </w:rPr>
              <w:t>Venous thromboembolism</w:t>
            </w:r>
          </w:p>
        </w:tc>
        <w:tc>
          <w:tcPr>
            <w:tcW w:w="604" w:type="pct"/>
          </w:tcPr>
          <w:p w14:paraId="10840250" w14:textId="77777777" w:rsidR="00BE4C97" w:rsidRPr="00256D16" w:rsidRDefault="00BE4C97" w:rsidP="00BE4C97">
            <w:pPr>
              <w:pStyle w:val="Tabletext"/>
              <w:spacing w:before="0" w:after="0" w:line="240" w:lineRule="auto"/>
              <w:jc w:val="center"/>
              <w:rPr>
                <w:sz w:val="20"/>
                <w:szCs w:val="20"/>
                <w:vertAlign w:val="superscript"/>
              </w:rPr>
            </w:pPr>
            <w:r w:rsidRPr="00256D16">
              <w:rPr>
                <w:sz w:val="20"/>
                <w:szCs w:val="20"/>
              </w:rPr>
              <w:sym w:font="Wingdings" w:char="F0FC"/>
            </w:r>
          </w:p>
        </w:tc>
        <w:tc>
          <w:tcPr>
            <w:tcW w:w="728" w:type="pct"/>
          </w:tcPr>
          <w:p w14:paraId="33596CCA" w14:textId="77777777" w:rsidR="00BE4C97" w:rsidRPr="00256D16" w:rsidRDefault="00BE4C97" w:rsidP="00BE4C97">
            <w:pPr>
              <w:pStyle w:val="Tabletext"/>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2</w:t>
            </w:r>
          </w:p>
        </w:tc>
        <w:tc>
          <w:tcPr>
            <w:tcW w:w="604" w:type="pct"/>
          </w:tcPr>
          <w:p w14:paraId="08AF3DEE" w14:textId="77777777" w:rsidR="00BE4C97" w:rsidRPr="00256D16" w:rsidRDefault="00BE4C97" w:rsidP="00BE4C97">
            <w:pPr>
              <w:pStyle w:val="Tabletext"/>
              <w:spacing w:before="0" w:after="0" w:line="240" w:lineRule="auto"/>
              <w:jc w:val="center"/>
              <w:rPr>
                <w:sz w:val="20"/>
                <w:szCs w:val="20"/>
              </w:rPr>
            </w:pPr>
            <w:r w:rsidRPr="00256D16">
              <w:rPr>
                <w:sz w:val="20"/>
                <w:szCs w:val="20"/>
              </w:rPr>
              <w:t>–</w:t>
            </w:r>
          </w:p>
        </w:tc>
        <w:tc>
          <w:tcPr>
            <w:tcW w:w="728" w:type="pct"/>
          </w:tcPr>
          <w:p w14:paraId="45E77DF2" w14:textId="77777777" w:rsidR="00BE4C97" w:rsidRPr="00256D16" w:rsidRDefault="00BE4C97" w:rsidP="00BE4C97">
            <w:pPr>
              <w:pStyle w:val="Tabletext"/>
              <w:spacing w:before="0" w:after="0" w:line="240" w:lineRule="auto"/>
              <w:jc w:val="center"/>
              <w:rPr>
                <w:sz w:val="20"/>
                <w:szCs w:val="20"/>
              </w:rPr>
            </w:pPr>
            <w:r w:rsidRPr="00256D16">
              <w:rPr>
                <w:sz w:val="20"/>
                <w:szCs w:val="20"/>
              </w:rPr>
              <w:t>–</w:t>
            </w:r>
          </w:p>
        </w:tc>
      </w:tr>
      <w:tr w:rsidR="00BE4C97" w:rsidRPr="00256D16" w14:paraId="6B9F57C6" w14:textId="77777777" w:rsidTr="00BE4C97">
        <w:trPr>
          <w:trHeight w:val="178"/>
        </w:trPr>
        <w:tc>
          <w:tcPr>
            <w:tcW w:w="849" w:type="pct"/>
            <w:vMerge w:val="restart"/>
          </w:tcPr>
          <w:p w14:paraId="534B0C6E" w14:textId="77777777" w:rsidR="00BE4C97" w:rsidRPr="00256D16" w:rsidRDefault="00BE4C97" w:rsidP="00BE4C97">
            <w:pPr>
              <w:pStyle w:val="Tabletext"/>
              <w:spacing w:before="0" w:after="0" w:line="240" w:lineRule="auto"/>
              <w:ind w:left="0"/>
              <w:rPr>
                <w:b/>
                <w:sz w:val="20"/>
                <w:szCs w:val="20"/>
              </w:rPr>
            </w:pPr>
            <w:r w:rsidRPr="00256D16">
              <w:rPr>
                <w:b/>
                <w:sz w:val="20"/>
                <w:szCs w:val="20"/>
              </w:rPr>
              <w:t>Missing information</w:t>
            </w:r>
          </w:p>
        </w:tc>
        <w:tc>
          <w:tcPr>
            <w:tcW w:w="1487" w:type="pct"/>
          </w:tcPr>
          <w:p w14:paraId="0128C5F6" w14:textId="77777777" w:rsidR="00BE4C97" w:rsidRPr="00256D16" w:rsidRDefault="00BE4C97" w:rsidP="00BE4C97">
            <w:pPr>
              <w:pStyle w:val="Tabletext"/>
              <w:spacing w:before="0" w:after="0" w:line="240" w:lineRule="auto"/>
              <w:ind w:left="0"/>
              <w:rPr>
                <w:sz w:val="20"/>
                <w:szCs w:val="20"/>
              </w:rPr>
            </w:pPr>
            <w:r w:rsidRPr="00256D16">
              <w:rPr>
                <w:sz w:val="20"/>
                <w:szCs w:val="20"/>
              </w:rPr>
              <w:t>Use during pregnancy and while breastfeeding</w:t>
            </w:r>
          </w:p>
        </w:tc>
        <w:tc>
          <w:tcPr>
            <w:tcW w:w="604" w:type="pct"/>
          </w:tcPr>
          <w:p w14:paraId="143F145C" w14:textId="77777777" w:rsidR="00BE4C97" w:rsidRPr="00256D16" w:rsidRDefault="00BE4C97" w:rsidP="00BE4C97">
            <w:pPr>
              <w:pStyle w:val="Tabletext"/>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1</w:t>
            </w:r>
          </w:p>
        </w:tc>
        <w:tc>
          <w:tcPr>
            <w:tcW w:w="728" w:type="pct"/>
          </w:tcPr>
          <w:p w14:paraId="52FCC46B" w14:textId="77777777" w:rsidR="00BE4C97" w:rsidRPr="00256D16" w:rsidRDefault="00BE4C97" w:rsidP="00BE4C97">
            <w:pPr>
              <w:pStyle w:val="Tabletext"/>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2,3</w:t>
            </w:r>
          </w:p>
        </w:tc>
        <w:tc>
          <w:tcPr>
            <w:tcW w:w="604" w:type="pct"/>
          </w:tcPr>
          <w:p w14:paraId="46082EA6" w14:textId="77777777" w:rsidR="00BE4C97" w:rsidRPr="00256D16" w:rsidRDefault="00BE4C97" w:rsidP="00BE4C97">
            <w:pPr>
              <w:pStyle w:val="Tabletext"/>
              <w:spacing w:before="0" w:after="0" w:line="240" w:lineRule="auto"/>
              <w:jc w:val="center"/>
              <w:rPr>
                <w:sz w:val="20"/>
                <w:szCs w:val="20"/>
              </w:rPr>
            </w:pPr>
            <w:r w:rsidRPr="00256D16">
              <w:rPr>
                <w:sz w:val="20"/>
                <w:szCs w:val="20"/>
              </w:rPr>
              <w:sym w:font="Wingdings" w:char="F0FC"/>
            </w:r>
          </w:p>
        </w:tc>
        <w:tc>
          <w:tcPr>
            <w:tcW w:w="728" w:type="pct"/>
          </w:tcPr>
          <w:p w14:paraId="42F27C82" w14:textId="77777777" w:rsidR="00BE4C97" w:rsidRPr="00256D16" w:rsidRDefault="00BE4C97" w:rsidP="00BE4C97">
            <w:pPr>
              <w:pStyle w:val="Tabletext"/>
              <w:spacing w:before="0" w:after="0" w:line="240" w:lineRule="auto"/>
              <w:jc w:val="center"/>
              <w:rPr>
                <w:sz w:val="20"/>
                <w:szCs w:val="20"/>
              </w:rPr>
            </w:pPr>
            <w:r w:rsidRPr="00256D16">
              <w:rPr>
                <w:sz w:val="20"/>
                <w:szCs w:val="20"/>
              </w:rPr>
              <w:t>–</w:t>
            </w:r>
          </w:p>
        </w:tc>
      </w:tr>
      <w:tr w:rsidR="00BE4C97" w:rsidRPr="00256D16" w14:paraId="53AC2626" w14:textId="77777777" w:rsidTr="00BE4C97">
        <w:trPr>
          <w:trHeight w:val="103"/>
        </w:trPr>
        <w:tc>
          <w:tcPr>
            <w:tcW w:w="849" w:type="pct"/>
            <w:vMerge/>
          </w:tcPr>
          <w:p w14:paraId="5AF72AE2" w14:textId="77777777" w:rsidR="00BE4C97" w:rsidRPr="00256D16" w:rsidRDefault="00BE4C97" w:rsidP="00BE4C97">
            <w:pPr>
              <w:pStyle w:val="Tabletext"/>
              <w:spacing w:before="0" w:after="0" w:line="240" w:lineRule="auto"/>
              <w:rPr>
                <w:sz w:val="20"/>
                <w:szCs w:val="20"/>
              </w:rPr>
            </w:pPr>
          </w:p>
        </w:tc>
        <w:tc>
          <w:tcPr>
            <w:tcW w:w="1487" w:type="pct"/>
          </w:tcPr>
          <w:p w14:paraId="573505EE" w14:textId="77777777" w:rsidR="00BE4C97" w:rsidRPr="00256D16" w:rsidRDefault="00BE4C97" w:rsidP="00BE4C97">
            <w:pPr>
              <w:pStyle w:val="Tabletext"/>
              <w:spacing w:before="0" w:after="0" w:line="240" w:lineRule="auto"/>
              <w:ind w:left="0"/>
              <w:rPr>
                <w:sz w:val="20"/>
                <w:szCs w:val="20"/>
              </w:rPr>
            </w:pPr>
            <w:r w:rsidRPr="00256D16">
              <w:rPr>
                <w:sz w:val="20"/>
                <w:szCs w:val="20"/>
              </w:rPr>
              <w:t>Use in immunocompromised patients</w:t>
            </w:r>
          </w:p>
        </w:tc>
        <w:tc>
          <w:tcPr>
            <w:tcW w:w="604" w:type="pct"/>
          </w:tcPr>
          <w:p w14:paraId="28314F88" w14:textId="77777777" w:rsidR="00BE4C97" w:rsidRPr="00256D16" w:rsidRDefault="00BE4C97" w:rsidP="00BE4C97">
            <w:pPr>
              <w:spacing w:before="0" w:after="0" w:line="240" w:lineRule="auto"/>
              <w:jc w:val="center"/>
              <w:rPr>
                <w:sz w:val="20"/>
                <w:szCs w:val="20"/>
              </w:rPr>
            </w:pPr>
            <w:r w:rsidRPr="00256D16">
              <w:rPr>
                <w:sz w:val="20"/>
                <w:szCs w:val="20"/>
              </w:rPr>
              <w:sym w:font="Wingdings" w:char="F0FC"/>
            </w:r>
          </w:p>
        </w:tc>
        <w:tc>
          <w:tcPr>
            <w:tcW w:w="728" w:type="pct"/>
          </w:tcPr>
          <w:p w14:paraId="06C4E69B" w14:textId="77777777" w:rsidR="00BE4C97" w:rsidRPr="00256D16" w:rsidRDefault="00BE4C97" w:rsidP="00BE4C97">
            <w:pPr>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2</w:t>
            </w:r>
          </w:p>
        </w:tc>
        <w:tc>
          <w:tcPr>
            <w:tcW w:w="604" w:type="pct"/>
          </w:tcPr>
          <w:p w14:paraId="4ACF85C0" w14:textId="77777777" w:rsidR="00BE4C97" w:rsidRPr="00256D16" w:rsidRDefault="00BE4C97" w:rsidP="00BE4C97">
            <w:pPr>
              <w:spacing w:before="0" w:after="0" w:line="240" w:lineRule="auto"/>
              <w:jc w:val="center"/>
              <w:rPr>
                <w:sz w:val="20"/>
                <w:szCs w:val="20"/>
              </w:rPr>
            </w:pPr>
            <w:r w:rsidRPr="00256D16">
              <w:rPr>
                <w:sz w:val="20"/>
                <w:szCs w:val="20"/>
              </w:rPr>
              <w:sym w:font="Wingdings" w:char="F0FC"/>
            </w:r>
          </w:p>
        </w:tc>
        <w:tc>
          <w:tcPr>
            <w:tcW w:w="728" w:type="pct"/>
          </w:tcPr>
          <w:p w14:paraId="164AEE7E" w14:textId="77777777" w:rsidR="00BE4C97" w:rsidRPr="00256D16" w:rsidRDefault="00BE4C97" w:rsidP="00BE4C97">
            <w:pPr>
              <w:spacing w:before="0" w:after="0" w:line="240" w:lineRule="auto"/>
              <w:jc w:val="center"/>
              <w:rPr>
                <w:sz w:val="20"/>
                <w:szCs w:val="20"/>
              </w:rPr>
            </w:pPr>
            <w:r w:rsidRPr="00256D16">
              <w:rPr>
                <w:sz w:val="20"/>
                <w:szCs w:val="20"/>
              </w:rPr>
              <w:t>–</w:t>
            </w:r>
          </w:p>
        </w:tc>
      </w:tr>
      <w:tr w:rsidR="00BE4C97" w:rsidRPr="00256D16" w14:paraId="718438EB" w14:textId="77777777" w:rsidTr="00BE4C97">
        <w:trPr>
          <w:trHeight w:val="103"/>
        </w:trPr>
        <w:tc>
          <w:tcPr>
            <w:tcW w:w="849" w:type="pct"/>
            <w:vMerge/>
          </w:tcPr>
          <w:p w14:paraId="0E40597F" w14:textId="77777777" w:rsidR="00BE4C97" w:rsidRPr="00256D16" w:rsidRDefault="00BE4C97" w:rsidP="00BE4C97">
            <w:pPr>
              <w:pStyle w:val="Tabletext"/>
              <w:spacing w:before="0" w:after="0" w:line="240" w:lineRule="auto"/>
              <w:rPr>
                <w:sz w:val="20"/>
                <w:szCs w:val="20"/>
              </w:rPr>
            </w:pPr>
          </w:p>
        </w:tc>
        <w:tc>
          <w:tcPr>
            <w:tcW w:w="1487" w:type="pct"/>
          </w:tcPr>
          <w:p w14:paraId="55B620DF" w14:textId="77777777" w:rsidR="00BE4C97" w:rsidRPr="00256D16" w:rsidRDefault="00BE4C97" w:rsidP="00BE4C97">
            <w:pPr>
              <w:pStyle w:val="Tabletext"/>
              <w:spacing w:before="0" w:after="0" w:line="240" w:lineRule="auto"/>
              <w:ind w:left="0"/>
              <w:rPr>
                <w:sz w:val="20"/>
                <w:szCs w:val="20"/>
              </w:rPr>
            </w:pPr>
            <w:r w:rsidRPr="00256D16">
              <w:rPr>
                <w:sz w:val="20"/>
                <w:szCs w:val="20"/>
              </w:rPr>
              <w:t>Use in patients with autoimmune or inflammatory disorders</w:t>
            </w:r>
          </w:p>
        </w:tc>
        <w:tc>
          <w:tcPr>
            <w:tcW w:w="604" w:type="pct"/>
          </w:tcPr>
          <w:p w14:paraId="4717ECA5" w14:textId="77777777" w:rsidR="00BE4C97" w:rsidRPr="00256D16" w:rsidRDefault="00BE4C97" w:rsidP="00BE4C97">
            <w:pPr>
              <w:spacing w:before="0" w:after="0" w:line="240" w:lineRule="auto"/>
              <w:jc w:val="center"/>
              <w:rPr>
                <w:sz w:val="20"/>
                <w:szCs w:val="20"/>
              </w:rPr>
            </w:pPr>
            <w:r w:rsidRPr="00256D16">
              <w:rPr>
                <w:sz w:val="20"/>
                <w:szCs w:val="20"/>
              </w:rPr>
              <w:sym w:font="Wingdings" w:char="F0FC"/>
            </w:r>
          </w:p>
        </w:tc>
        <w:tc>
          <w:tcPr>
            <w:tcW w:w="728" w:type="pct"/>
          </w:tcPr>
          <w:p w14:paraId="7BDE436A" w14:textId="77777777" w:rsidR="00BE4C97" w:rsidRPr="00256D16" w:rsidRDefault="00BE4C97" w:rsidP="00BE4C97">
            <w:pPr>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2</w:t>
            </w:r>
          </w:p>
        </w:tc>
        <w:tc>
          <w:tcPr>
            <w:tcW w:w="604" w:type="pct"/>
          </w:tcPr>
          <w:p w14:paraId="18CD32AB" w14:textId="77777777" w:rsidR="00BE4C97" w:rsidRPr="00256D16" w:rsidRDefault="00BE4C97" w:rsidP="00BE4C97">
            <w:pPr>
              <w:spacing w:before="0" w:after="0" w:line="240" w:lineRule="auto"/>
              <w:jc w:val="center"/>
              <w:rPr>
                <w:sz w:val="20"/>
                <w:szCs w:val="20"/>
              </w:rPr>
            </w:pPr>
            <w:r w:rsidRPr="00256D16">
              <w:rPr>
                <w:sz w:val="20"/>
                <w:szCs w:val="20"/>
              </w:rPr>
              <w:t>–</w:t>
            </w:r>
          </w:p>
        </w:tc>
        <w:tc>
          <w:tcPr>
            <w:tcW w:w="728" w:type="pct"/>
          </w:tcPr>
          <w:p w14:paraId="131D9906" w14:textId="77777777" w:rsidR="00BE4C97" w:rsidRPr="00256D16" w:rsidRDefault="00BE4C97" w:rsidP="00BE4C97">
            <w:pPr>
              <w:spacing w:before="0" w:after="0" w:line="240" w:lineRule="auto"/>
              <w:jc w:val="center"/>
              <w:rPr>
                <w:sz w:val="20"/>
                <w:szCs w:val="20"/>
              </w:rPr>
            </w:pPr>
            <w:r w:rsidRPr="00256D16">
              <w:rPr>
                <w:sz w:val="20"/>
                <w:szCs w:val="20"/>
              </w:rPr>
              <w:t>–</w:t>
            </w:r>
          </w:p>
        </w:tc>
      </w:tr>
      <w:tr w:rsidR="00BE4C97" w:rsidRPr="00256D16" w14:paraId="43BD005F" w14:textId="77777777" w:rsidTr="00BE4C97">
        <w:trPr>
          <w:trHeight w:val="103"/>
        </w:trPr>
        <w:tc>
          <w:tcPr>
            <w:tcW w:w="849" w:type="pct"/>
            <w:vMerge/>
          </w:tcPr>
          <w:p w14:paraId="788882FB" w14:textId="77777777" w:rsidR="00BE4C97" w:rsidRPr="00256D16" w:rsidRDefault="00BE4C97" w:rsidP="00BE4C97">
            <w:pPr>
              <w:pStyle w:val="Tabletext"/>
              <w:spacing w:before="0" w:after="0" w:line="240" w:lineRule="auto"/>
              <w:rPr>
                <w:sz w:val="20"/>
                <w:szCs w:val="20"/>
              </w:rPr>
            </w:pPr>
          </w:p>
        </w:tc>
        <w:tc>
          <w:tcPr>
            <w:tcW w:w="1487" w:type="pct"/>
          </w:tcPr>
          <w:p w14:paraId="2815E1E1" w14:textId="5771563A" w:rsidR="00BE4C97" w:rsidRPr="00256D16" w:rsidRDefault="00BE4C97" w:rsidP="00BE4C97">
            <w:pPr>
              <w:pStyle w:val="Tabletext"/>
              <w:spacing w:before="0" w:after="0" w:line="240" w:lineRule="auto"/>
              <w:ind w:left="0"/>
              <w:rPr>
                <w:sz w:val="20"/>
                <w:szCs w:val="20"/>
              </w:rPr>
            </w:pPr>
            <w:r w:rsidRPr="00256D16">
              <w:rPr>
                <w:sz w:val="20"/>
                <w:szCs w:val="20"/>
              </w:rPr>
              <w:t>Use in frail p</w:t>
            </w:r>
            <w:r w:rsidR="00A80207">
              <w:rPr>
                <w:sz w:val="20"/>
                <w:szCs w:val="20"/>
              </w:rPr>
              <w:t>atients with comorbidities (for example,</w:t>
            </w:r>
            <w:r w:rsidRPr="00256D16">
              <w:rPr>
                <w:sz w:val="20"/>
                <w:szCs w:val="20"/>
              </w:rPr>
              <w:t xml:space="preserve"> chronic obst</w:t>
            </w:r>
            <w:r w:rsidR="00A80207">
              <w:rPr>
                <w:sz w:val="20"/>
                <w:szCs w:val="20"/>
              </w:rPr>
              <w:t>ructive pulmonary disease</w:t>
            </w:r>
            <w:r w:rsidRPr="00256D16">
              <w:rPr>
                <w:sz w:val="20"/>
                <w:szCs w:val="20"/>
              </w:rPr>
              <w:t>, diabetes, chronic neurological disease, cardiovascular disorders)</w:t>
            </w:r>
          </w:p>
        </w:tc>
        <w:tc>
          <w:tcPr>
            <w:tcW w:w="604" w:type="pct"/>
          </w:tcPr>
          <w:p w14:paraId="6A87309B" w14:textId="77777777" w:rsidR="00BE4C97" w:rsidRPr="00256D16" w:rsidRDefault="00BE4C97" w:rsidP="00BE4C97">
            <w:pPr>
              <w:spacing w:before="0" w:after="0" w:line="240" w:lineRule="auto"/>
              <w:jc w:val="center"/>
              <w:rPr>
                <w:sz w:val="20"/>
                <w:szCs w:val="20"/>
              </w:rPr>
            </w:pPr>
          </w:p>
          <w:p w14:paraId="5F60892B" w14:textId="77777777" w:rsidR="00BE4C97" w:rsidRPr="00256D16" w:rsidRDefault="00BE4C97" w:rsidP="00BE4C97">
            <w:pPr>
              <w:spacing w:before="0" w:after="0" w:line="240" w:lineRule="auto"/>
              <w:jc w:val="center"/>
              <w:rPr>
                <w:sz w:val="20"/>
                <w:szCs w:val="20"/>
              </w:rPr>
            </w:pPr>
            <w:r w:rsidRPr="00256D16">
              <w:rPr>
                <w:sz w:val="20"/>
                <w:szCs w:val="20"/>
              </w:rPr>
              <w:sym w:font="Wingdings" w:char="F0FC"/>
            </w:r>
          </w:p>
        </w:tc>
        <w:tc>
          <w:tcPr>
            <w:tcW w:w="728" w:type="pct"/>
          </w:tcPr>
          <w:p w14:paraId="157B0ED1" w14:textId="77777777" w:rsidR="00BE4C97" w:rsidRPr="00256D16" w:rsidRDefault="00BE4C97" w:rsidP="00BE4C97">
            <w:pPr>
              <w:spacing w:before="0" w:after="0" w:line="240" w:lineRule="auto"/>
              <w:jc w:val="center"/>
              <w:rPr>
                <w:sz w:val="20"/>
                <w:szCs w:val="20"/>
              </w:rPr>
            </w:pPr>
          </w:p>
          <w:p w14:paraId="2CF41363" w14:textId="77777777" w:rsidR="00BE4C97" w:rsidRPr="00256D16" w:rsidRDefault="00BE4C97" w:rsidP="00BE4C97">
            <w:pPr>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2</w:t>
            </w:r>
          </w:p>
        </w:tc>
        <w:tc>
          <w:tcPr>
            <w:tcW w:w="604" w:type="pct"/>
          </w:tcPr>
          <w:p w14:paraId="2A987DEE" w14:textId="77777777" w:rsidR="00BE4C97" w:rsidRPr="00256D16" w:rsidRDefault="00BE4C97" w:rsidP="00BE4C97">
            <w:pPr>
              <w:spacing w:before="0" w:after="0" w:line="240" w:lineRule="auto"/>
              <w:jc w:val="center"/>
              <w:rPr>
                <w:sz w:val="20"/>
                <w:szCs w:val="20"/>
              </w:rPr>
            </w:pPr>
          </w:p>
          <w:p w14:paraId="3723D972" w14:textId="77777777" w:rsidR="00BE4C97" w:rsidRPr="00256D16" w:rsidRDefault="00BE4C97" w:rsidP="00BE4C97">
            <w:pPr>
              <w:spacing w:before="0" w:after="0" w:line="240" w:lineRule="auto"/>
              <w:jc w:val="center"/>
              <w:rPr>
                <w:sz w:val="20"/>
                <w:szCs w:val="20"/>
              </w:rPr>
            </w:pPr>
            <w:r w:rsidRPr="00256D16">
              <w:rPr>
                <w:sz w:val="20"/>
                <w:szCs w:val="20"/>
              </w:rPr>
              <w:t>–</w:t>
            </w:r>
          </w:p>
        </w:tc>
        <w:tc>
          <w:tcPr>
            <w:tcW w:w="728" w:type="pct"/>
          </w:tcPr>
          <w:p w14:paraId="7559B6EA" w14:textId="77777777" w:rsidR="00BE4C97" w:rsidRPr="00256D16" w:rsidRDefault="00BE4C97" w:rsidP="00BE4C97">
            <w:pPr>
              <w:spacing w:before="0" w:after="0" w:line="240" w:lineRule="auto"/>
              <w:jc w:val="center"/>
              <w:rPr>
                <w:sz w:val="20"/>
                <w:szCs w:val="20"/>
              </w:rPr>
            </w:pPr>
          </w:p>
          <w:p w14:paraId="0DCB1A4F" w14:textId="77777777" w:rsidR="00BE4C97" w:rsidRPr="00256D16" w:rsidRDefault="00BE4C97" w:rsidP="00BE4C97">
            <w:pPr>
              <w:spacing w:before="0" w:after="0" w:line="240" w:lineRule="auto"/>
              <w:jc w:val="center"/>
              <w:rPr>
                <w:sz w:val="20"/>
                <w:szCs w:val="20"/>
              </w:rPr>
            </w:pPr>
            <w:r w:rsidRPr="00256D16">
              <w:rPr>
                <w:sz w:val="20"/>
                <w:szCs w:val="20"/>
              </w:rPr>
              <w:t>–</w:t>
            </w:r>
          </w:p>
        </w:tc>
      </w:tr>
      <w:tr w:rsidR="00BE4C97" w:rsidRPr="00256D16" w14:paraId="5F76FDAE" w14:textId="77777777" w:rsidTr="00BE4C97">
        <w:trPr>
          <w:trHeight w:val="103"/>
        </w:trPr>
        <w:tc>
          <w:tcPr>
            <w:tcW w:w="849" w:type="pct"/>
            <w:vMerge/>
          </w:tcPr>
          <w:p w14:paraId="44C414C7" w14:textId="77777777" w:rsidR="00BE4C97" w:rsidRPr="00256D16" w:rsidRDefault="00BE4C97" w:rsidP="00BE4C97">
            <w:pPr>
              <w:pStyle w:val="Tabletext"/>
              <w:spacing w:before="0" w:after="0" w:line="240" w:lineRule="auto"/>
              <w:rPr>
                <w:sz w:val="20"/>
                <w:szCs w:val="20"/>
              </w:rPr>
            </w:pPr>
          </w:p>
        </w:tc>
        <w:tc>
          <w:tcPr>
            <w:tcW w:w="1487" w:type="pct"/>
          </w:tcPr>
          <w:p w14:paraId="315DEF16" w14:textId="77777777" w:rsidR="00BE4C97" w:rsidRPr="00256D16" w:rsidRDefault="00BE4C97" w:rsidP="00BE4C97">
            <w:pPr>
              <w:autoSpaceDE w:val="0"/>
              <w:autoSpaceDN w:val="0"/>
              <w:adjustRightInd w:val="0"/>
              <w:spacing w:before="0" w:after="0" w:line="240" w:lineRule="auto"/>
              <w:ind w:left="0"/>
              <w:rPr>
                <w:rFonts w:eastAsia="Times New Roman"/>
                <w:snapToGrid w:val="0"/>
                <w:sz w:val="20"/>
                <w:szCs w:val="20"/>
              </w:rPr>
            </w:pPr>
            <w:r w:rsidRPr="00256D16">
              <w:rPr>
                <w:rFonts w:eastAsia="Times New Roman"/>
                <w:snapToGrid w:val="0"/>
                <w:sz w:val="20"/>
                <w:szCs w:val="20"/>
              </w:rPr>
              <w:t>Interaction with other vaccines</w:t>
            </w:r>
          </w:p>
        </w:tc>
        <w:tc>
          <w:tcPr>
            <w:tcW w:w="604" w:type="pct"/>
          </w:tcPr>
          <w:p w14:paraId="7BA9DBD5" w14:textId="77777777" w:rsidR="00BE4C97" w:rsidRPr="00256D16" w:rsidRDefault="00BE4C97" w:rsidP="00BE4C97">
            <w:pPr>
              <w:spacing w:before="0" w:after="0" w:line="240" w:lineRule="auto"/>
              <w:jc w:val="center"/>
              <w:rPr>
                <w:sz w:val="20"/>
                <w:szCs w:val="20"/>
              </w:rPr>
            </w:pPr>
            <w:r w:rsidRPr="00256D16">
              <w:rPr>
                <w:sz w:val="20"/>
                <w:szCs w:val="20"/>
              </w:rPr>
              <w:sym w:font="Wingdings" w:char="F0FC"/>
            </w:r>
          </w:p>
        </w:tc>
        <w:tc>
          <w:tcPr>
            <w:tcW w:w="728" w:type="pct"/>
          </w:tcPr>
          <w:p w14:paraId="3E63671A" w14:textId="77777777" w:rsidR="00BE4C97" w:rsidRPr="00256D16" w:rsidRDefault="00BE4C97" w:rsidP="00BE4C97">
            <w:pPr>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2</w:t>
            </w:r>
          </w:p>
        </w:tc>
        <w:tc>
          <w:tcPr>
            <w:tcW w:w="604" w:type="pct"/>
          </w:tcPr>
          <w:p w14:paraId="06771981" w14:textId="77777777" w:rsidR="00BE4C97" w:rsidRPr="00256D16" w:rsidRDefault="00BE4C97" w:rsidP="00BE4C97">
            <w:pPr>
              <w:pStyle w:val="Tabletext"/>
              <w:spacing w:before="0" w:after="0" w:line="240" w:lineRule="auto"/>
              <w:jc w:val="center"/>
              <w:rPr>
                <w:sz w:val="20"/>
                <w:szCs w:val="20"/>
              </w:rPr>
            </w:pPr>
            <w:r w:rsidRPr="00256D16">
              <w:rPr>
                <w:sz w:val="20"/>
                <w:szCs w:val="20"/>
              </w:rPr>
              <w:sym w:font="Wingdings" w:char="F0FC"/>
            </w:r>
          </w:p>
        </w:tc>
        <w:tc>
          <w:tcPr>
            <w:tcW w:w="728" w:type="pct"/>
          </w:tcPr>
          <w:p w14:paraId="221A212A" w14:textId="77777777" w:rsidR="00BE4C97" w:rsidRPr="00256D16" w:rsidRDefault="00BE4C97" w:rsidP="00BE4C97">
            <w:pPr>
              <w:spacing w:before="0" w:after="0" w:line="240" w:lineRule="auto"/>
              <w:jc w:val="center"/>
              <w:rPr>
                <w:sz w:val="20"/>
                <w:szCs w:val="20"/>
              </w:rPr>
            </w:pPr>
            <w:r w:rsidRPr="00256D16">
              <w:rPr>
                <w:sz w:val="20"/>
                <w:szCs w:val="20"/>
              </w:rPr>
              <w:t>–</w:t>
            </w:r>
          </w:p>
        </w:tc>
      </w:tr>
      <w:tr w:rsidR="00BE4C97" w:rsidRPr="00256D16" w14:paraId="069A3F34" w14:textId="77777777" w:rsidTr="00BE4C97">
        <w:trPr>
          <w:trHeight w:val="140"/>
        </w:trPr>
        <w:tc>
          <w:tcPr>
            <w:tcW w:w="849" w:type="pct"/>
            <w:vMerge/>
          </w:tcPr>
          <w:p w14:paraId="72EEE99A" w14:textId="77777777" w:rsidR="00BE4C97" w:rsidRPr="00256D16" w:rsidRDefault="00BE4C97" w:rsidP="00BE4C97">
            <w:pPr>
              <w:pStyle w:val="Tabletext"/>
              <w:spacing w:before="0" w:after="0" w:line="240" w:lineRule="auto"/>
              <w:rPr>
                <w:sz w:val="20"/>
                <w:szCs w:val="20"/>
              </w:rPr>
            </w:pPr>
          </w:p>
        </w:tc>
        <w:tc>
          <w:tcPr>
            <w:tcW w:w="1487" w:type="pct"/>
          </w:tcPr>
          <w:p w14:paraId="5284C0A4" w14:textId="77777777" w:rsidR="00BE4C97" w:rsidRPr="00256D16" w:rsidRDefault="00BE4C97" w:rsidP="00BE4C97">
            <w:pPr>
              <w:spacing w:before="0" w:after="0" w:line="240" w:lineRule="auto"/>
              <w:ind w:left="0"/>
              <w:rPr>
                <w:rFonts w:eastAsia="Times New Roman"/>
                <w:snapToGrid w:val="0"/>
                <w:sz w:val="20"/>
                <w:szCs w:val="20"/>
              </w:rPr>
            </w:pPr>
            <w:r w:rsidRPr="00256D16">
              <w:rPr>
                <w:rFonts w:eastAsia="Times New Roman"/>
                <w:snapToGrid w:val="0"/>
                <w:sz w:val="20"/>
                <w:szCs w:val="20"/>
              </w:rPr>
              <w:t>Long-term safety</w:t>
            </w:r>
          </w:p>
        </w:tc>
        <w:tc>
          <w:tcPr>
            <w:tcW w:w="604" w:type="pct"/>
          </w:tcPr>
          <w:p w14:paraId="49DF2B9E" w14:textId="77777777" w:rsidR="00BE4C97" w:rsidRPr="00256D16" w:rsidRDefault="00BE4C97" w:rsidP="00BE4C97">
            <w:pPr>
              <w:pStyle w:val="Tabletext"/>
              <w:spacing w:before="0" w:after="0" w:line="240" w:lineRule="auto"/>
              <w:jc w:val="center"/>
              <w:rPr>
                <w:sz w:val="20"/>
                <w:szCs w:val="20"/>
              </w:rPr>
            </w:pPr>
            <w:r w:rsidRPr="00256D16">
              <w:rPr>
                <w:sz w:val="20"/>
                <w:szCs w:val="20"/>
              </w:rPr>
              <w:sym w:font="Wingdings" w:char="F0FC"/>
            </w:r>
          </w:p>
        </w:tc>
        <w:tc>
          <w:tcPr>
            <w:tcW w:w="728" w:type="pct"/>
          </w:tcPr>
          <w:p w14:paraId="119936A6" w14:textId="77777777" w:rsidR="00BE4C97" w:rsidRPr="00256D16" w:rsidRDefault="00BE4C97" w:rsidP="00BE4C97">
            <w:pPr>
              <w:pStyle w:val="Tabletext"/>
              <w:spacing w:before="0" w:after="0" w:line="240" w:lineRule="auto"/>
              <w:jc w:val="center"/>
              <w:rPr>
                <w:sz w:val="20"/>
                <w:szCs w:val="20"/>
                <w:vertAlign w:val="superscript"/>
              </w:rPr>
            </w:pPr>
            <w:r w:rsidRPr="00256D16">
              <w:rPr>
                <w:sz w:val="20"/>
                <w:szCs w:val="20"/>
              </w:rPr>
              <w:sym w:font="Wingdings" w:char="F0FC"/>
            </w:r>
            <w:r w:rsidRPr="00256D16">
              <w:rPr>
                <w:sz w:val="20"/>
                <w:szCs w:val="20"/>
                <w:vertAlign w:val="superscript"/>
              </w:rPr>
              <w:t>2</w:t>
            </w:r>
          </w:p>
        </w:tc>
        <w:tc>
          <w:tcPr>
            <w:tcW w:w="604" w:type="pct"/>
          </w:tcPr>
          <w:p w14:paraId="3DD24783" w14:textId="77777777" w:rsidR="00BE4C97" w:rsidRPr="00256D16" w:rsidRDefault="00BE4C97" w:rsidP="00BE4C97">
            <w:pPr>
              <w:pStyle w:val="Tabletext"/>
              <w:spacing w:before="0" w:after="0" w:line="240" w:lineRule="auto"/>
              <w:jc w:val="center"/>
              <w:rPr>
                <w:sz w:val="20"/>
                <w:szCs w:val="20"/>
              </w:rPr>
            </w:pPr>
            <w:r w:rsidRPr="00256D16">
              <w:rPr>
                <w:sz w:val="20"/>
                <w:szCs w:val="20"/>
              </w:rPr>
              <w:t>–</w:t>
            </w:r>
          </w:p>
        </w:tc>
        <w:tc>
          <w:tcPr>
            <w:tcW w:w="728" w:type="pct"/>
          </w:tcPr>
          <w:p w14:paraId="470E31D3" w14:textId="77777777" w:rsidR="00BE4C97" w:rsidRPr="00256D16" w:rsidRDefault="00BE4C97" w:rsidP="00BE4C97">
            <w:pPr>
              <w:pStyle w:val="Tabletext"/>
              <w:spacing w:before="0" w:after="0" w:line="240" w:lineRule="auto"/>
              <w:jc w:val="center"/>
              <w:rPr>
                <w:sz w:val="20"/>
                <w:szCs w:val="20"/>
              </w:rPr>
            </w:pPr>
            <w:r w:rsidRPr="00256D16">
              <w:rPr>
                <w:sz w:val="20"/>
                <w:szCs w:val="20"/>
              </w:rPr>
              <w:t>–</w:t>
            </w:r>
          </w:p>
        </w:tc>
      </w:tr>
    </w:tbl>
    <w:p w14:paraId="66774F4E" w14:textId="77777777" w:rsidR="00BE4C97" w:rsidRDefault="00BE4C97" w:rsidP="00BE4C97">
      <w:pPr>
        <w:pStyle w:val="TableDescription"/>
      </w:pPr>
      <w:r w:rsidRPr="00BE4C97">
        <w:rPr>
          <w:vertAlign w:val="superscript"/>
        </w:rPr>
        <w:t>1</w:t>
      </w:r>
      <w:r>
        <w:t xml:space="preserve"> Targeted follow-up forms</w:t>
      </w:r>
    </w:p>
    <w:p w14:paraId="0A2A63FE" w14:textId="77777777" w:rsidR="00BE4C97" w:rsidRDefault="00BE4C97" w:rsidP="00BE4C97">
      <w:pPr>
        <w:pStyle w:val="TableDescription"/>
      </w:pPr>
      <w:r w:rsidRPr="00BE4C97">
        <w:rPr>
          <w:vertAlign w:val="superscript"/>
        </w:rPr>
        <w:t>2</w:t>
      </w:r>
      <w:r>
        <w:t xml:space="preserve"> Clinical trials </w:t>
      </w:r>
    </w:p>
    <w:p w14:paraId="174AB608" w14:textId="77777777" w:rsidR="00BE4C97" w:rsidRDefault="00BE4C97" w:rsidP="00BE4C97">
      <w:pPr>
        <w:pStyle w:val="TableDescription"/>
      </w:pPr>
      <w:r w:rsidRPr="00BE4C97">
        <w:rPr>
          <w:vertAlign w:val="superscript"/>
        </w:rPr>
        <w:t>3</w:t>
      </w:r>
      <w:r>
        <w:t xml:space="preserve"> Global pregnancy registry</w:t>
      </w:r>
    </w:p>
    <w:p w14:paraId="43011C63" w14:textId="3D960C23" w:rsidR="0099191D" w:rsidRDefault="0099191D" w:rsidP="0099191D">
      <w:r>
        <w:t>Routine and additional pharmacovigilance activities have been proposed as indicated in the table above. Routine pharmacovigilance measures include targeted follow-up questionnaires to monitor risks of ‘</w:t>
      </w:r>
      <w:r>
        <w:rPr>
          <w:i/>
          <w:iCs/>
        </w:rPr>
        <w:t xml:space="preserve">Anaphylaxis’ </w:t>
      </w:r>
      <w:r>
        <w:t>and ‘</w:t>
      </w:r>
      <w:r>
        <w:rPr>
          <w:i/>
          <w:iCs/>
        </w:rPr>
        <w:t>Vaccine-associated enhanced disease (VAED), including vaccine associated enhanced respiratory disease (VAERD)</w:t>
      </w:r>
      <w:r>
        <w:t xml:space="preserve">’ , provision of monthly summary safety reports and ensuring traceability of batch/lot numbers. </w:t>
      </w:r>
      <w:r w:rsidR="00126461">
        <w:t>The s</w:t>
      </w:r>
      <w:r>
        <w:t>ponsor has also committed to discuss and develop a ‘</w:t>
      </w:r>
      <w:r>
        <w:rPr>
          <w:i/>
          <w:iCs/>
        </w:rPr>
        <w:t>track and trace mechanism</w:t>
      </w:r>
      <w:r>
        <w:t>’ for the supply chain should this vaccine be supplied through the private market. Australian participants are not involved in the clinical trials. However, the outcomes of these trials are expected to be applicable to the Australian context. The sponsor states that the global pregnancy registry will be open to Australian participants.</w:t>
      </w:r>
    </w:p>
    <w:p w14:paraId="1CAACE78" w14:textId="384DF4E8" w:rsidR="0099191D" w:rsidRDefault="00B132BE" w:rsidP="0099191D">
      <w:r>
        <w:t>The s</w:t>
      </w:r>
      <w:r w:rsidR="0099191D">
        <w:t xml:space="preserve">ponsor has proposed only routine risk minimisation activities through the PI and </w:t>
      </w:r>
      <w:r w:rsidR="002D2602">
        <w:t>Consumer Medicines Information (</w:t>
      </w:r>
      <w:r w:rsidR="0099191D">
        <w:t>CMI</w:t>
      </w:r>
      <w:r w:rsidR="002D2602">
        <w:t>)</w:t>
      </w:r>
      <w:r w:rsidR="0099191D">
        <w:t xml:space="preserve">. These and the information/training expected to be provided by the Department of Health/ COVID-19 Vaccine Taskforce are anticipated to adequately mitigate the risks associated with this vaccine. Sponsor has also committed to developing additional risk minimisation materials in line with the risk minimisation materials implemented as part of the national COVID-19 vaccine rollout, should the vaccine be supplied through the private market. If the current understanding of the safety profile of this vaccine changes, the risk minimisation plan will require re-assessment. </w:t>
      </w:r>
    </w:p>
    <w:p w14:paraId="5FBFA1FD" w14:textId="2839777C" w:rsidR="0099191D" w:rsidRDefault="00694954" w:rsidP="0099191D">
      <w:r>
        <w:t>The s</w:t>
      </w:r>
      <w:r w:rsidR="00DD5570">
        <w:t>ponsor has committed to</w:t>
      </w:r>
    </w:p>
    <w:p w14:paraId="55B6634A" w14:textId="3323902C" w:rsidR="0099191D" w:rsidRDefault="00DD5570" w:rsidP="0099191D">
      <w:pPr>
        <w:pStyle w:val="ListBullet"/>
      </w:pPr>
      <w:r>
        <w:t>discuss and develop a ‘</w:t>
      </w:r>
      <w:r w:rsidR="0099191D">
        <w:rPr>
          <w:i/>
          <w:iCs/>
        </w:rPr>
        <w:t>track and trace mechanism</w:t>
      </w:r>
      <w:r>
        <w:t>’</w:t>
      </w:r>
      <w:r w:rsidR="0099191D">
        <w:t xml:space="preserve"> for the supply chain should this vaccine be s</w:t>
      </w:r>
      <w:r>
        <w:t>upplied via the private market.</w:t>
      </w:r>
    </w:p>
    <w:p w14:paraId="510BFBCD" w14:textId="4AB623DB" w:rsidR="0099191D" w:rsidRDefault="00DD5570" w:rsidP="0099191D">
      <w:pPr>
        <w:pStyle w:val="ListBullet"/>
      </w:pPr>
      <w:r>
        <w:t>d</w:t>
      </w:r>
      <w:r w:rsidR="0099191D">
        <w:t>evelop and implement appropriate additional risk minimisation materials, in line with the risk minimisation materials implemented as part of the national COVID-19 vaccine rollout, should the vaccine be suppl</w:t>
      </w:r>
      <w:r>
        <w:t>ied through the private market.</w:t>
      </w:r>
    </w:p>
    <w:p w14:paraId="53C7D338" w14:textId="7C4FE5F1" w:rsidR="0099191D" w:rsidRDefault="00DD5570" w:rsidP="00DD5570">
      <w:pPr>
        <w:pStyle w:val="ListBullet"/>
      </w:pPr>
      <w:r>
        <w:t>u</w:t>
      </w:r>
      <w:r w:rsidR="0099191D">
        <w:t xml:space="preserve">pdate the </w:t>
      </w:r>
      <w:r w:rsidRPr="00DD5570">
        <w:t>Consumer Medicines Information</w:t>
      </w:r>
      <w:r>
        <w:t xml:space="preserve"> (</w:t>
      </w:r>
      <w:r w:rsidR="0099191D">
        <w:t>CMI</w:t>
      </w:r>
      <w:r>
        <w:t>)</w:t>
      </w:r>
      <w:r w:rsidR="0099191D">
        <w:t xml:space="preserve"> in line with any changes made </w:t>
      </w:r>
      <w:r>
        <w:t>to the proposed PI.</w:t>
      </w:r>
    </w:p>
    <w:p w14:paraId="445E4525" w14:textId="191CE259" w:rsidR="00DD5570" w:rsidRPr="007D2380" w:rsidRDefault="00DD5570" w:rsidP="00DD5570">
      <w:pPr>
        <w:pStyle w:val="Heading4"/>
      </w:pPr>
      <w:r w:rsidRPr="007D2380">
        <w:t xml:space="preserve">Proposed wording for </w:t>
      </w:r>
      <w:r w:rsidR="00E94053" w:rsidRPr="007D2380">
        <w:t xml:space="preserve">conditions of </w:t>
      </w:r>
      <w:r w:rsidRPr="007D2380">
        <w:t>registration</w:t>
      </w:r>
    </w:p>
    <w:p w14:paraId="75035EDD" w14:textId="77777777" w:rsidR="00E94053" w:rsidRPr="00805279" w:rsidRDefault="00E94053" w:rsidP="00E94053">
      <w:r w:rsidRPr="007D2380">
        <w:t>Any changes to which the sponsor has agreed should be included in a revised RMP and ASA. However, irrespective of whether or not they are included in the currently available version of the RMP document, the agreed changes become part of the risk management system.</w:t>
      </w:r>
      <w:r w:rsidRPr="00805279">
        <w:t xml:space="preserve"> </w:t>
      </w:r>
    </w:p>
    <w:p w14:paraId="1D5B4863" w14:textId="6B3D4ACB" w:rsidR="00E94053" w:rsidRPr="00805279" w:rsidRDefault="00E94053" w:rsidP="00E94053">
      <w:r w:rsidRPr="00805279">
        <w:t>The suggested wording is:</w:t>
      </w:r>
    </w:p>
    <w:p w14:paraId="51F4BA6E" w14:textId="15CC48BE" w:rsidR="00E94053" w:rsidRPr="006101AE" w:rsidRDefault="00E94053" w:rsidP="00E94053">
      <w:pPr>
        <w:ind w:left="720"/>
      </w:pPr>
      <w:r w:rsidRPr="006101AE">
        <w:t>T</w:t>
      </w:r>
      <w:r w:rsidR="00F204A2">
        <w:t>he COVID-19 Vaccine Janssen EU-risk management p</w:t>
      </w:r>
      <w:r w:rsidRPr="006101AE">
        <w:t>lan (RMP) (version 1.4, dated 12 March 2021, data lock point 22 January 2</w:t>
      </w:r>
      <w:r w:rsidR="00A36C4A">
        <w:t>021), with Australian-</w:t>
      </w:r>
      <w:r w:rsidR="00F204A2">
        <w:t>Specific a</w:t>
      </w:r>
      <w:r w:rsidRPr="006101AE">
        <w:t>nnex (version 4.0, dated 19 April 2021), included with submission PM</w:t>
      </w:r>
      <w:r w:rsidR="009B228A">
        <w:noBreakHyphen/>
      </w:r>
      <w:r w:rsidRPr="006101AE">
        <w:t>2020</w:t>
      </w:r>
      <w:r w:rsidR="009B228A">
        <w:noBreakHyphen/>
      </w:r>
      <w:r w:rsidRPr="006101AE">
        <w:t>01673</w:t>
      </w:r>
      <w:r w:rsidR="009B228A">
        <w:noBreakHyphen/>
      </w:r>
      <w:r w:rsidRPr="006101AE">
        <w:t>1</w:t>
      </w:r>
      <w:r w:rsidR="009B228A">
        <w:noBreakHyphen/>
      </w:r>
      <w:r w:rsidRPr="006101AE">
        <w:t>2, to be revised to the satisfaction of the TGA, will be implemented in Australia.</w:t>
      </w:r>
    </w:p>
    <w:p w14:paraId="34A0FE34" w14:textId="690ED22C" w:rsidR="00E94053" w:rsidRPr="006101AE" w:rsidRDefault="00E94053" w:rsidP="00E94053">
      <w:pPr>
        <w:ind w:left="720"/>
      </w:pPr>
      <w:r w:rsidRPr="006101AE">
        <w:t>An obligatory component of risk management plans is routine pharmacovigilance. Routine pharmacovigilance includes the submission of periodic safety update reports (PSURs).</w:t>
      </w:r>
    </w:p>
    <w:p w14:paraId="1F44EE7A" w14:textId="77777777" w:rsidR="00E94053" w:rsidRPr="006101AE" w:rsidRDefault="00E94053" w:rsidP="00E94053">
      <w:pPr>
        <w:ind w:left="720"/>
      </w:pPr>
      <w:r w:rsidRPr="006101AE">
        <w:t>Unless agreed separately between the sponsor and the TGA, the first report must be submitted to TGA no later than six calendar months after the date of this approval letter. The subsequent reports must be submitted no less frequently than six monthly until the period covered by such reports is not less than three years from the date of the approval letter, or the entire period of provisional registration, whichever is longer.</w:t>
      </w:r>
    </w:p>
    <w:p w14:paraId="327D9324" w14:textId="77777777" w:rsidR="00E94053" w:rsidRPr="006101AE" w:rsidRDefault="00E94053" w:rsidP="00E94053">
      <w:pPr>
        <w:ind w:left="720"/>
      </w:pPr>
      <w:r w:rsidRPr="006101AE">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682973C" w14:textId="7DD6FCA5" w:rsidR="00E94053" w:rsidRPr="006101AE" w:rsidRDefault="00E94053" w:rsidP="00E94053">
      <w:pPr>
        <w:ind w:left="720"/>
      </w:pPr>
      <w:r w:rsidRPr="006101AE">
        <w:rPr>
          <w:lang w:eastAsia="en-AU"/>
        </w:rPr>
        <w:t>Additional to the routine submission of the routine PSURs, expedited monthly, safety summary reports (including safety data for patients in Australia) are to be provided for the first 6 months post registration, and thereafter at intervals specified by the TGA.</w:t>
      </w:r>
    </w:p>
    <w:p w14:paraId="20355C2B" w14:textId="15F89317" w:rsidR="00DD5570" w:rsidRPr="00126461" w:rsidRDefault="00E94053" w:rsidP="00E94053">
      <w:pPr>
        <w:ind w:left="720"/>
      </w:pPr>
      <w:r w:rsidRPr="006101AE">
        <w:t>COVID-19 Vaccine Janssen is to be included in the Black Triangle Scheme. The PI and CMI for COVID-19 Vaccine Janssen must include the black triangle symbol and mandatory accompanying text for the products entire period of provisional registration.</w:t>
      </w:r>
    </w:p>
    <w:p w14:paraId="3D4CDE83" w14:textId="68F3915E" w:rsidR="0060480C" w:rsidRDefault="0060480C" w:rsidP="0060480C">
      <w:pPr>
        <w:pStyle w:val="Heading4"/>
      </w:pPr>
      <w:r w:rsidRPr="00527A00">
        <w:t xml:space="preserve">Clinical </w:t>
      </w:r>
      <w:r w:rsidR="00694954">
        <w:t>s</w:t>
      </w:r>
      <w:r w:rsidRPr="00527A00">
        <w:t xml:space="preserve">tudy </w:t>
      </w:r>
      <w:r w:rsidR="00694954">
        <w:t>p</w:t>
      </w:r>
      <w:r w:rsidRPr="00527A00">
        <w:t xml:space="preserve">lan to </w:t>
      </w:r>
      <w:r w:rsidR="00694954">
        <w:t>s</w:t>
      </w:r>
      <w:r w:rsidRPr="00527A00">
        <w:t xml:space="preserve">upport </w:t>
      </w:r>
      <w:r w:rsidR="00694954">
        <w:t>f</w:t>
      </w:r>
      <w:r w:rsidRPr="00527A00">
        <w:t xml:space="preserve">ull </w:t>
      </w:r>
      <w:r w:rsidR="00694954">
        <w:t>r</w:t>
      </w:r>
      <w:r w:rsidRPr="00527A00">
        <w:t>egistration</w:t>
      </w:r>
    </w:p>
    <w:p w14:paraId="49012493" w14:textId="3C6BFF19" w:rsidR="0060480C" w:rsidRDefault="0060480C" w:rsidP="00BE4C97">
      <w:r>
        <w:t xml:space="preserve">The sponsor has included a comprehensive study plan detailing the current and planned studies evaluating the efficacy and safety of </w:t>
      </w:r>
      <w:r w:rsidR="000C622C">
        <w:t xml:space="preserve">COVID-19 </w:t>
      </w:r>
      <w:r w:rsidR="00603DB3">
        <w:t xml:space="preserve">Vaccine </w:t>
      </w:r>
      <w:r w:rsidR="000C622C">
        <w:t>Janssen</w:t>
      </w:r>
      <w:r>
        <w:t>. These studies include use of a two dose</w:t>
      </w:r>
      <w:r w:rsidR="00D95112">
        <w:t>s</w:t>
      </w:r>
      <w:r>
        <w:t xml:space="preserve"> regimen, efficacy and safety in pregnant women and those with co-morbidities, and co-administration with influenza and </w:t>
      </w:r>
      <w:r w:rsidR="000C622C">
        <w:t>respiratory syncytial v</w:t>
      </w:r>
      <w:r w:rsidR="000C622C" w:rsidRPr="000C622C">
        <w:t xml:space="preserve">irus </w:t>
      </w:r>
      <w:r w:rsidR="000C622C">
        <w:t>(</w:t>
      </w:r>
      <w:r>
        <w:t>RSV</w:t>
      </w:r>
      <w:r w:rsidR="000C622C">
        <w:t>)</w:t>
      </w:r>
      <w:r>
        <w:t xml:space="preserve"> vaccines. The estimated final </w:t>
      </w:r>
      <w:r w:rsidR="00A80207">
        <w:t>clinical study report</w:t>
      </w:r>
      <w:r w:rsidR="000C622C">
        <w:t xml:space="preserve"> dates are 2022 to </w:t>
      </w:r>
      <w:r w:rsidR="00A80207">
        <w:t>2024, well within the six</w:t>
      </w:r>
      <w:r>
        <w:t xml:space="preserve"> year</w:t>
      </w:r>
      <w:r w:rsidR="00A80207">
        <w:t>s</w:t>
      </w:r>
      <w:r>
        <w:t xml:space="preserve"> provisional registration period.</w:t>
      </w:r>
      <w:r w:rsidR="000C622C">
        <w:t xml:space="preserve"> </w:t>
      </w:r>
      <w:r>
        <w:t xml:space="preserve">The </w:t>
      </w:r>
      <w:r w:rsidR="000C622C">
        <w:t>risk management evaluator and D</w:t>
      </w:r>
      <w:r>
        <w:t>elegate for the provisional application considered that the study plan was acceptable.</w:t>
      </w:r>
    </w:p>
    <w:p w14:paraId="74B826C2" w14:textId="50EBA606" w:rsidR="00EB2E45" w:rsidRDefault="00EB2E45" w:rsidP="009B228A">
      <w:pPr>
        <w:pStyle w:val="TableTitle"/>
      </w:pPr>
      <w:r w:rsidRPr="00EB2E45">
        <w:t xml:space="preserve">Table </w:t>
      </w:r>
      <w:fldSimple w:instr=" SEQ Table \* ARABIC ">
        <w:r w:rsidR="00F204A2">
          <w:rPr>
            <w:noProof/>
          </w:rPr>
          <w:t>12</w:t>
        </w:r>
      </w:fldSimple>
      <w:r>
        <w:t xml:space="preserve">: </w:t>
      </w:r>
      <w:r w:rsidRPr="00EB2E45">
        <w:t>Ongoing and planned additional pharmacovigilance studies</w:t>
      </w:r>
    </w:p>
    <w:tbl>
      <w:tblPr>
        <w:tblStyle w:val="TableTGAblue"/>
        <w:tblW w:w="5000" w:type="pct"/>
        <w:tblLayout w:type="fixed"/>
        <w:tblLook w:val="04A0" w:firstRow="1" w:lastRow="0" w:firstColumn="1" w:lastColumn="0" w:noHBand="0" w:noVBand="1"/>
      </w:tblPr>
      <w:tblGrid>
        <w:gridCol w:w="2239"/>
        <w:gridCol w:w="3691"/>
        <w:gridCol w:w="2554"/>
      </w:tblGrid>
      <w:tr w:rsidR="0042423E" w:rsidRPr="00D90C10" w14:paraId="101C094A" w14:textId="77777777" w:rsidTr="009B228A">
        <w:trPr>
          <w:cnfStyle w:val="100000000000" w:firstRow="1" w:lastRow="0" w:firstColumn="0" w:lastColumn="0" w:oddVBand="0" w:evenVBand="0" w:oddHBand="0" w:evenHBand="0" w:firstRowFirstColumn="0" w:firstRowLastColumn="0" w:lastRowFirstColumn="0" w:lastRowLastColumn="0"/>
        </w:trPr>
        <w:tc>
          <w:tcPr>
            <w:tcW w:w="1320" w:type="pct"/>
          </w:tcPr>
          <w:p w14:paraId="2C077745" w14:textId="77777777" w:rsidR="0042423E" w:rsidRPr="009674B3" w:rsidRDefault="0042423E" w:rsidP="009B228A">
            <w:pPr>
              <w:pStyle w:val="TableTitle"/>
              <w:ind w:left="0" w:right="0"/>
              <w:rPr>
                <w:b/>
                <w:sz w:val="19"/>
                <w:szCs w:val="19"/>
              </w:rPr>
            </w:pPr>
            <w:r w:rsidRPr="009674B3">
              <w:rPr>
                <w:b/>
                <w:sz w:val="19"/>
                <w:szCs w:val="19"/>
              </w:rPr>
              <w:t>Study</w:t>
            </w:r>
          </w:p>
        </w:tc>
        <w:tc>
          <w:tcPr>
            <w:tcW w:w="2175" w:type="pct"/>
          </w:tcPr>
          <w:p w14:paraId="3577550E" w14:textId="77777777" w:rsidR="0042423E" w:rsidRPr="009674B3" w:rsidRDefault="0042423E" w:rsidP="009B228A">
            <w:pPr>
              <w:pStyle w:val="TableTitle"/>
              <w:ind w:left="0" w:right="0"/>
              <w:rPr>
                <w:b/>
                <w:sz w:val="19"/>
                <w:szCs w:val="19"/>
              </w:rPr>
            </w:pPr>
            <w:r w:rsidRPr="009674B3">
              <w:rPr>
                <w:b/>
                <w:sz w:val="19"/>
                <w:szCs w:val="19"/>
              </w:rPr>
              <w:t>Objectives</w:t>
            </w:r>
          </w:p>
        </w:tc>
        <w:tc>
          <w:tcPr>
            <w:tcW w:w="1505" w:type="pct"/>
          </w:tcPr>
          <w:p w14:paraId="23766561" w14:textId="77777777" w:rsidR="0042423E" w:rsidRPr="009674B3" w:rsidRDefault="0042423E" w:rsidP="009B228A">
            <w:pPr>
              <w:pStyle w:val="TableTitle"/>
              <w:ind w:left="0" w:right="0"/>
              <w:rPr>
                <w:b/>
                <w:sz w:val="19"/>
                <w:szCs w:val="19"/>
              </w:rPr>
            </w:pPr>
            <w:r w:rsidRPr="009674B3">
              <w:rPr>
                <w:b/>
                <w:sz w:val="19"/>
                <w:szCs w:val="19"/>
              </w:rPr>
              <w:t>Milestones</w:t>
            </w:r>
          </w:p>
        </w:tc>
      </w:tr>
      <w:tr w:rsidR="003A27B8" w:rsidRPr="00D90C10" w14:paraId="0620B8D7" w14:textId="77777777" w:rsidTr="009B228A">
        <w:tc>
          <w:tcPr>
            <w:tcW w:w="5000" w:type="pct"/>
            <w:gridSpan w:val="3"/>
          </w:tcPr>
          <w:p w14:paraId="5A799A49" w14:textId="46B01ECC" w:rsidR="003A27B8" w:rsidRPr="003A27B8" w:rsidRDefault="003A27B8" w:rsidP="00467DC9">
            <w:pPr>
              <w:keepNext/>
              <w:ind w:left="0"/>
              <w:rPr>
                <w:b/>
                <w:sz w:val="19"/>
                <w:szCs w:val="19"/>
              </w:rPr>
            </w:pPr>
            <w:r w:rsidRPr="003A27B8">
              <w:rPr>
                <w:b/>
                <w:sz w:val="19"/>
                <w:szCs w:val="19"/>
              </w:rPr>
              <w:t>Ongoing</w:t>
            </w:r>
          </w:p>
        </w:tc>
      </w:tr>
      <w:tr w:rsidR="0042423E" w:rsidRPr="00D90C10" w14:paraId="342CA716" w14:textId="77777777" w:rsidTr="009B228A">
        <w:trPr>
          <w:cantSplit/>
        </w:trPr>
        <w:tc>
          <w:tcPr>
            <w:tcW w:w="1320" w:type="pct"/>
          </w:tcPr>
          <w:p w14:paraId="37F822CB" w14:textId="55FCFA27" w:rsidR="0042423E" w:rsidRPr="00680725" w:rsidRDefault="0042423E" w:rsidP="00EF7F28">
            <w:pPr>
              <w:ind w:left="0" w:right="0"/>
              <w:rPr>
                <w:sz w:val="19"/>
                <w:szCs w:val="19"/>
              </w:rPr>
            </w:pPr>
            <w:r w:rsidRPr="00680725">
              <w:rPr>
                <w:sz w:val="19"/>
                <w:szCs w:val="19"/>
              </w:rPr>
              <w:t>Study COV</w:t>
            </w:r>
            <w:r>
              <w:rPr>
                <w:sz w:val="19"/>
                <w:szCs w:val="19"/>
              </w:rPr>
              <w:t>1</w:t>
            </w:r>
            <w:r w:rsidRPr="00680725">
              <w:rPr>
                <w:sz w:val="19"/>
                <w:szCs w:val="19"/>
              </w:rPr>
              <w:t>001</w:t>
            </w:r>
          </w:p>
          <w:p w14:paraId="455B99E4" w14:textId="0E14D157" w:rsidR="0042423E" w:rsidRPr="009674B3" w:rsidRDefault="0042423E" w:rsidP="0042423E">
            <w:pPr>
              <w:ind w:left="0" w:right="0"/>
              <w:rPr>
                <w:sz w:val="19"/>
                <w:szCs w:val="19"/>
              </w:rPr>
            </w:pPr>
            <w:r>
              <w:rPr>
                <w:sz w:val="19"/>
                <w:szCs w:val="19"/>
              </w:rPr>
              <w:t>A Phase I/</w:t>
            </w:r>
            <w:proofErr w:type="spellStart"/>
            <w:r>
              <w:rPr>
                <w:sz w:val="19"/>
                <w:szCs w:val="19"/>
              </w:rPr>
              <w:t>IIa</w:t>
            </w:r>
            <w:proofErr w:type="spellEnd"/>
            <w:r>
              <w:rPr>
                <w:sz w:val="19"/>
                <w:szCs w:val="19"/>
              </w:rPr>
              <w:t xml:space="preserve"> first in human study to evaluate safety, reactogenicity and immunogenicity of Ad26.Cov2 S in healthy adult aged ≥ 18 to ≤55 years and adults ≥</w:t>
            </w:r>
            <w:r w:rsidR="00BF38E9">
              <w:rPr>
                <w:sz w:val="19"/>
                <w:szCs w:val="19"/>
              </w:rPr>
              <w:t xml:space="preserve"> </w:t>
            </w:r>
            <w:r>
              <w:rPr>
                <w:sz w:val="19"/>
                <w:szCs w:val="19"/>
              </w:rPr>
              <w:t>65 years old. Several dose regimens/schedules are being tested</w:t>
            </w:r>
          </w:p>
        </w:tc>
        <w:tc>
          <w:tcPr>
            <w:tcW w:w="2175" w:type="pct"/>
          </w:tcPr>
          <w:p w14:paraId="662B98FE" w14:textId="77777777" w:rsidR="0042423E" w:rsidRPr="00680725" w:rsidRDefault="0042423E" w:rsidP="00EF7F28">
            <w:pPr>
              <w:ind w:left="0" w:right="0"/>
              <w:rPr>
                <w:sz w:val="19"/>
                <w:szCs w:val="19"/>
              </w:rPr>
            </w:pPr>
            <w:r>
              <w:rPr>
                <w:sz w:val="19"/>
                <w:szCs w:val="19"/>
              </w:rPr>
              <w:t>Primary o</w:t>
            </w:r>
            <w:r w:rsidRPr="00680725">
              <w:rPr>
                <w:sz w:val="19"/>
                <w:szCs w:val="19"/>
              </w:rPr>
              <w:t>bjectives:</w:t>
            </w:r>
          </w:p>
          <w:p w14:paraId="319927F5" w14:textId="01E89E17" w:rsidR="0042423E" w:rsidRDefault="0042423E" w:rsidP="00EF7F28">
            <w:pPr>
              <w:ind w:left="0" w:right="0"/>
              <w:rPr>
                <w:sz w:val="19"/>
                <w:szCs w:val="19"/>
              </w:rPr>
            </w:pPr>
            <w:r>
              <w:rPr>
                <w:sz w:val="19"/>
                <w:szCs w:val="19"/>
              </w:rPr>
              <w:t>To assess immunogenicity of Ad26.Cov2 S.</w:t>
            </w:r>
          </w:p>
          <w:p w14:paraId="5B9EBA1E" w14:textId="66610D64" w:rsidR="0042423E" w:rsidRPr="00680725" w:rsidRDefault="0042423E" w:rsidP="00EF7F28">
            <w:pPr>
              <w:ind w:left="0" w:right="0"/>
              <w:rPr>
                <w:sz w:val="19"/>
                <w:szCs w:val="19"/>
              </w:rPr>
            </w:pPr>
            <w:r w:rsidRPr="00680725">
              <w:rPr>
                <w:sz w:val="19"/>
                <w:szCs w:val="19"/>
              </w:rPr>
              <w:t xml:space="preserve">To assess the safety of </w:t>
            </w:r>
            <w:r>
              <w:rPr>
                <w:sz w:val="19"/>
                <w:szCs w:val="19"/>
              </w:rPr>
              <w:t>Ad26.Cov2 S</w:t>
            </w:r>
          </w:p>
          <w:p w14:paraId="3367DA7E" w14:textId="77777777" w:rsidR="0042423E" w:rsidRDefault="0042423E" w:rsidP="00EF7F28">
            <w:pPr>
              <w:ind w:left="0" w:right="0"/>
              <w:rPr>
                <w:sz w:val="19"/>
                <w:szCs w:val="19"/>
              </w:rPr>
            </w:pPr>
            <w:r>
              <w:rPr>
                <w:sz w:val="19"/>
                <w:szCs w:val="19"/>
              </w:rPr>
              <w:t>To assess persistence of immune response generate against Ad26.Cov2 S.</w:t>
            </w:r>
          </w:p>
          <w:p w14:paraId="4A34724E" w14:textId="1A114D55" w:rsidR="0042423E" w:rsidRPr="009674B3" w:rsidRDefault="0042423E" w:rsidP="0042423E">
            <w:pPr>
              <w:ind w:left="0" w:right="0"/>
              <w:rPr>
                <w:sz w:val="19"/>
                <w:szCs w:val="19"/>
              </w:rPr>
            </w:pPr>
            <w:r>
              <w:rPr>
                <w:sz w:val="19"/>
                <w:szCs w:val="19"/>
              </w:rPr>
              <w:t>To assess the immunogenicity of booster shots in 18 to 55 years old.</w:t>
            </w:r>
          </w:p>
        </w:tc>
        <w:tc>
          <w:tcPr>
            <w:tcW w:w="1505" w:type="pct"/>
          </w:tcPr>
          <w:p w14:paraId="21722CC8" w14:textId="503DE9AE" w:rsidR="0042423E" w:rsidRPr="009674B3" w:rsidRDefault="0042423E" w:rsidP="00EF7F28">
            <w:pPr>
              <w:ind w:left="0" w:right="0"/>
              <w:rPr>
                <w:sz w:val="19"/>
                <w:szCs w:val="19"/>
              </w:rPr>
            </w:pPr>
            <w:r>
              <w:rPr>
                <w:sz w:val="19"/>
                <w:szCs w:val="19"/>
              </w:rPr>
              <w:t xml:space="preserve">Final </w:t>
            </w:r>
            <w:r w:rsidR="00E07EDD">
              <w:rPr>
                <w:sz w:val="19"/>
                <w:szCs w:val="19"/>
              </w:rPr>
              <w:t xml:space="preserve">clinical </w:t>
            </w:r>
            <w:r>
              <w:rPr>
                <w:sz w:val="19"/>
                <w:szCs w:val="19"/>
              </w:rPr>
              <w:t>study report due second quarter</w:t>
            </w:r>
            <w:r w:rsidR="006F16AE">
              <w:rPr>
                <w:sz w:val="19"/>
                <w:szCs w:val="19"/>
              </w:rPr>
              <w:t xml:space="preserve"> of </w:t>
            </w:r>
            <w:r>
              <w:rPr>
                <w:sz w:val="19"/>
                <w:szCs w:val="19"/>
              </w:rPr>
              <w:t>2024</w:t>
            </w:r>
          </w:p>
        </w:tc>
      </w:tr>
      <w:tr w:rsidR="0042423E" w:rsidRPr="00D90C10" w14:paraId="21D50B79" w14:textId="77777777" w:rsidTr="009B228A">
        <w:tc>
          <w:tcPr>
            <w:tcW w:w="1320" w:type="pct"/>
          </w:tcPr>
          <w:p w14:paraId="137CE232" w14:textId="5BDCEC29" w:rsidR="00E07EDD" w:rsidRPr="00680725" w:rsidRDefault="00E07EDD" w:rsidP="00E07EDD">
            <w:pPr>
              <w:ind w:left="0" w:right="0"/>
              <w:rPr>
                <w:sz w:val="19"/>
                <w:szCs w:val="19"/>
              </w:rPr>
            </w:pPr>
            <w:r w:rsidRPr="00680725">
              <w:rPr>
                <w:sz w:val="19"/>
                <w:szCs w:val="19"/>
              </w:rPr>
              <w:t>Study COV</w:t>
            </w:r>
            <w:r>
              <w:rPr>
                <w:sz w:val="19"/>
                <w:szCs w:val="19"/>
              </w:rPr>
              <w:t>1002</w:t>
            </w:r>
          </w:p>
          <w:p w14:paraId="5889DF19" w14:textId="319D6123" w:rsidR="0042423E" w:rsidRPr="009674B3" w:rsidRDefault="00E07EDD" w:rsidP="00E07EDD">
            <w:pPr>
              <w:ind w:left="0" w:right="0"/>
              <w:rPr>
                <w:sz w:val="19"/>
                <w:szCs w:val="19"/>
              </w:rPr>
            </w:pPr>
            <w:r>
              <w:rPr>
                <w:sz w:val="19"/>
                <w:szCs w:val="19"/>
              </w:rPr>
              <w:t>A Phase I study to assess safety and reactogenicity</w:t>
            </w:r>
            <w:r w:rsidR="00603DB3">
              <w:rPr>
                <w:sz w:val="19"/>
                <w:szCs w:val="19"/>
              </w:rPr>
              <w:t xml:space="preserve"> </w:t>
            </w:r>
            <w:r>
              <w:rPr>
                <w:sz w:val="19"/>
                <w:szCs w:val="19"/>
              </w:rPr>
              <w:t>of Ad26 COV2 S in healthy adults aged ≥ 18 to ≤55 years and adults ≥</w:t>
            </w:r>
            <w:r w:rsidR="00BF38E9">
              <w:rPr>
                <w:sz w:val="19"/>
                <w:szCs w:val="19"/>
              </w:rPr>
              <w:t xml:space="preserve"> </w:t>
            </w:r>
            <w:r>
              <w:rPr>
                <w:sz w:val="19"/>
                <w:szCs w:val="19"/>
              </w:rPr>
              <w:t>65 years old.</w:t>
            </w:r>
          </w:p>
        </w:tc>
        <w:tc>
          <w:tcPr>
            <w:tcW w:w="2175" w:type="pct"/>
          </w:tcPr>
          <w:p w14:paraId="03BFCB38" w14:textId="77777777" w:rsidR="00E07EDD" w:rsidRPr="00680725" w:rsidRDefault="00E07EDD" w:rsidP="00E07EDD">
            <w:pPr>
              <w:ind w:left="0" w:right="0"/>
              <w:rPr>
                <w:sz w:val="19"/>
                <w:szCs w:val="19"/>
              </w:rPr>
            </w:pPr>
            <w:r>
              <w:rPr>
                <w:sz w:val="19"/>
                <w:szCs w:val="19"/>
              </w:rPr>
              <w:t>Primary o</w:t>
            </w:r>
            <w:r w:rsidRPr="00680725">
              <w:rPr>
                <w:sz w:val="19"/>
                <w:szCs w:val="19"/>
              </w:rPr>
              <w:t>bjectives:</w:t>
            </w:r>
          </w:p>
          <w:p w14:paraId="23EDA8B3" w14:textId="0197F843" w:rsidR="0042423E" w:rsidRPr="009674B3" w:rsidRDefault="00E07EDD" w:rsidP="00EF7F28">
            <w:pPr>
              <w:ind w:left="0" w:right="0"/>
              <w:rPr>
                <w:sz w:val="19"/>
                <w:szCs w:val="19"/>
              </w:rPr>
            </w:pPr>
            <w:r>
              <w:rPr>
                <w:sz w:val="19"/>
                <w:szCs w:val="19"/>
              </w:rPr>
              <w:t>To assess safety and immunogenicity of Ad26 COV2 S</w:t>
            </w:r>
            <w:r w:rsidR="003A27B8">
              <w:rPr>
                <w:sz w:val="19"/>
                <w:szCs w:val="19"/>
              </w:rPr>
              <w:t>.</w:t>
            </w:r>
          </w:p>
        </w:tc>
        <w:tc>
          <w:tcPr>
            <w:tcW w:w="1505" w:type="pct"/>
          </w:tcPr>
          <w:p w14:paraId="59CCD35A" w14:textId="2E067A77" w:rsidR="0042423E" w:rsidRPr="009674B3" w:rsidRDefault="00E07EDD" w:rsidP="00EF7F28">
            <w:pPr>
              <w:ind w:left="0" w:right="0"/>
              <w:rPr>
                <w:sz w:val="19"/>
                <w:szCs w:val="19"/>
              </w:rPr>
            </w:pPr>
            <w:r>
              <w:rPr>
                <w:sz w:val="19"/>
                <w:szCs w:val="19"/>
              </w:rPr>
              <w:t>Final clinical study report to be determined.</w:t>
            </w:r>
          </w:p>
        </w:tc>
      </w:tr>
      <w:tr w:rsidR="0042423E" w:rsidRPr="00D90C10" w14:paraId="6835265A" w14:textId="77777777" w:rsidTr="009B228A">
        <w:tc>
          <w:tcPr>
            <w:tcW w:w="1320" w:type="pct"/>
          </w:tcPr>
          <w:p w14:paraId="27932C48" w14:textId="6A83603F" w:rsidR="00E07EDD" w:rsidRPr="00680725" w:rsidRDefault="00E07EDD" w:rsidP="00E07EDD">
            <w:pPr>
              <w:ind w:left="0" w:right="0"/>
              <w:rPr>
                <w:sz w:val="19"/>
                <w:szCs w:val="19"/>
              </w:rPr>
            </w:pPr>
            <w:r w:rsidRPr="00680725">
              <w:rPr>
                <w:sz w:val="19"/>
                <w:szCs w:val="19"/>
              </w:rPr>
              <w:t>Study COV</w:t>
            </w:r>
            <w:r>
              <w:rPr>
                <w:sz w:val="19"/>
                <w:szCs w:val="19"/>
              </w:rPr>
              <w:t>2001</w:t>
            </w:r>
          </w:p>
          <w:p w14:paraId="1A9DB21B" w14:textId="654E9D9D" w:rsidR="0042423E" w:rsidRPr="009674B3" w:rsidRDefault="00E07EDD" w:rsidP="00E07EDD">
            <w:pPr>
              <w:ind w:left="0" w:right="0"/>
              <w:rPr>
                <w:sz w:val="19"/>
                <w:szCs w:val="19"/>
              </w:rPr>
            </w:pPr>
            <w:r>
              <w:rPr>
                <w:sz w:val="19"/>
                <w:szCs w:val="19"/>
              </w:rPr>
              <w:t>A Phase II study to further assess vaccine administration dose and schedule in healthy adults aged ≥ 18 to ≤</w:t>
            </w:r>
            <w:r w:rsidR="00BF38E9">
              <w:rPr>
                <w:sz w:val="19"/>
                <w:szCs w:val="19"/>
              </w:rPr>
              <w:t xml:space="preserve"> </w:t>
            </w:r>
            <w:r>
              <w:rPr>
                <w:sz w:val="19"/>
                <w:szCs w:val="19"/>
              </w:rPr>
              <w:t>55 years old</w:t>
            </w:r>
            <w:r w:rsidR="003A27B8">
              <w:rPr>
                <w:sz w:val="19"/>
                <w:szCs w:val="19"/>
              </w:rPr>
              <w:t xml:space="preserve">. Initial safety data from Study COV1001 will trigger Study COV2001 study start </w:t>
            </w:r>
          </w:p>
        </w:tc>
        <w:tc>
          <w:tcPr>
            <w:tcW w:w="2175" w:type="pct"/>
          </w:tcPr>
          <w:p w14:paraId="79373244" w14:textId="24A1392A" w:rsidR="003A27B8" w:rsidRDefault="003A27B8" w:rsidP="003A27B8">
            <w:pPr>
              <w:ind w:left="0" w:right="0"/>
              <w:rPr>
                <w:sz w:val="19"/>
                <w:szCs w:val="19"/>
              </w:rPr>
            </w:pPr>
            <w:r>
              <w:rPr>
                <w:sz w:val="19"/>
                <w:szCs w:val="19"/>
              </w:rPr>
              <w:t>Primary o</w:t>
            </w:r>
            <w:r w:rsidRPr="00680725">
              <w:rPr>
                <w:sz w:val="19"/>
                <w:szCs w:val="19"/>
              </w:rPr>
              <w:t>bjectives:</w:t>
            </w:r>
          </w:p>
          <w:p w14:paraId="586398A7" w14:textId="0F89C619" w:rsidR="003A27B8" w:rsidRDefault="003A27B8" w:rsidP="003A27B8">
            <w:pPr>
              <w:ind w:left="0" w:right="0"/>
              <w:rPr>
                <w:sz w:val="19"/>
                <w:szCs w:val="19"/>
              </w:rPr>
            </w:pPr>
            <w:r>
              <w:rPr>
                <w:sz w:val="19"/>
                <w:szCs w:val="19"/>
              </w:rPr>
              <w:t>To assess im</w:t>
            </w:r>
            <w:r w:rsidR="00BF38E9">
              <w:rPr>
                <w:sz w:val="19"/>
                <w:szCs w:val="19"/>
              </w:rPr>
              <w:t>munogenicity of Ad26.Cov2 S at one, two and three</w:t>
            </w:r>
            <w:r>
              <w:rPr>
                <w:sz w:val="19"/>
                <w:szCs w:val="19"/>
              </w:rPr>
              <w:t xml:space="preserve"> months intervals.</w:t>
            </w:r>
          </w:p>
          <w:p w14:paraId="43FD08FF" w14:textId="1C5668AA" w:rsidR="0042423E" w:rsidRPr="009674B3" w:rsidRDefault="003A27B8" w:rsidP="00BF38E9">
            <w:pPr>
              <w:ind w:left="0" w:right="0"/>
              <w:rPr>
                <w:sz w:val="19"/>
                <w:szCs w:val="19"/>
              </w:rPr>
            </w:pPr>
            <w:r w:rsidRPr="00680725">
              <w:rPr>
                <w:sz w:val="19"/>
                <w:szCs w:val="19"/>
              </w:rPr>
              <w:t xml:space="preserve">To assess the safety of </w:t>
            </w:r>
            <w:r w:rsidR="00BF38E9">
              <w:rPr>
                <w:sz w:val="19"/>
                <w:szCs w:val="19"/>
              </w:rPr>
              <w:t>Ad26.Cov2 S at one, two</w:t>
            </w:r>
            <w:r>
              <w:rPr>
                <w:sz w:val="19"/>
                <w:szCs w:val="19"/>
              </w:rPr>
              <w:t xml:space="preserve"> an</w:t>
            </w:r>
            <w:r w:rsidR="00BF38E9">
              <w:rPr>
                <w:sz w:val="19"/>
                <w:szCs w:val="19"/>
              </w:rPr>
              <w:t>d three</w:t>
            </w:r>
            <w:r>
              <w:rPr>
                <w:sz w:val="19"/>
                <w:szCs w:val="19"/>
              </w:rPr>
              <w:t xml:space="preserve"> months intervals.</w:t>
            </w:r>
          </w:p>
        </w:tc>
        <w:tc>
          <w:tcPr>
            <w:tcW w:w="1505" w:type="pct"/>
          </w:tcPr>
          <w:p w14:paraId="3A79A82A" w14:textId="357013B5" w:rsidR="0042423E" w:rsidRPr="009674B3" w:rsidRDefault="003A27B8" w:rsidP="003A27B8">
            <w:pPr>
              <w:ind w:left="0" w:right="0"/>
              <w:rPr>
                <w:sz w:val="19"/>
                <w:szCs w:val="19"/>
              </w:rPr>
            </w:pPr>
            <w:r>
              <w:rPr>
                <w:sz w:val="19"/>
                <w:szCs w:val="19"/>
              </w:rPr>
              <w:t xml:space="preserve">Final clinical study report due first quarter </w:t>
            </w:r>
            <w:r w:rsidR="006F16AE">
              <w:rPr>
                <w:sz w:val="19"/>
                <w:szCs w:val="19"/>
              </w:rPr>
              <w:t xml:space="preserve">of </w:t>
            </w:r>
            <w:r>
              <w:rPr>
                <w:sz w:val="19"/>
                <w:szCs w:val="19"/>
              </w:rPr>
              <w:t>2023</w:t>
            </w:r>
          </w:p>
        </w:tc>
      </w:tr>
      <w:tr w:rsidR="0042423E" w:rsidRPr="00D90C10" w14:paraId="0412BBE5" w14:textId="77777777" w:rsidTr="00467DC9">
        <w:trPr>
          <w:trHeight w:val="4051"/>
        </w:trPr>
        <w:tc>
          <w:tcPr>
            <w:tcW w:w="1320" w:type="pct"/>
          </w:tcPr>
          <w:p w14:paraId="6AB82719" w14:textId="6531F054" w:rsidR="0042423E" w:rsidRDefault="006F16AE" w:rsidP="00EF7F28">
            <w:pPr>
              <w:ind w:left="0" w:right="0"/>
              <w:rPr>
                <w:sz w:val="19"/>
                <w:szCs w:val="19"/>
              </w:rPr>
            </w:pPr>
            <w:r>
              <w:rPr>
                <w:sz w:val="19"/>
                <w:szCs w:val="19"/>
              </w:rPr>
              <w:t>Study COV3001</w:t>
            </w:r>
          </w:p>
          <w:p w14:paraId="47C63058" w14:textId="4EB53766" w:rsidR="003A27B8" w:rsidRPr="009674B3" w:rsidRDefault="003A27B8" w:rsidP="00EF7F28">
            <w:pPr>
              <w:ind w:left="0" w:right="0"/>
              <w:rPr>
                <w:sz w:val="19"/>
                <w:szCs w:val="19"/>
              </w:rPr>
            </w:pPr>
            <w:r>
              <w:rPr>
                <w:sz w:val="19"/>
                <w:szCs w:val="19"/>
              </w:rPr>
              <w:t>A multicentre, randomised double blinded, placebo controlled Phase III study to assess efficacy and safety of a single dose Ad26 COV2 S for the prevention of SAR</w:t>
            </w:r>
            <w:r w:rsidR="006F16AE">
              <w:rPr>
                <w:sz w:val="19"/>
                <w:szCs w:val="19"/>
              </w:rPr>
              <w:t>S</w:t>
            </w:r>
            <w:r>
              <w:rPr>
                <w:sz w:val="19"/>
                <w:szCs w:val="19"/>
              </w:rPr>
              <w:t>-CoV-2 mediated COVID-19 in adults aged ≥ 18 to ≤</w:t>
            </w:r>
            <w:r w:rsidR="00BF38E9">
              <w:rPr>
                <w:sz w:val="19"/>
                <w:szCs w:val="19"/>
              </w:rPr>
              <w:t xml:space="preserve"> </w:t>
            </w:r>
            <w:r>
              <w:rPr>
                <w:sz w:val="19"/>
                <w:szCs w:val="19"/>
              </w:rPr>
              <w:t>59 years and adults ≥</w:t>
            </w:r>
            <w:r w:rsidR="00BF38E9">
              <w:rPr>
                <w:sz w:val="19"/>
                <w:szCs w:val="19"/>
              </w:rPr>
              <w:t xml:space="preserve"> </w:t>
            </w:r>
            <w:r>
              <w:rPr>
                <w:sz w:val="19"/>
                <w:szCs w:val="19"/>
              </w:rPr>
              <w:t>60 years old.</w:t>
            </w:r>
          </w:p>
        </w:tc>
        <w:tc>
          <w:tcPr>
            <w:tcW w:w="2175" w:type="pct"/>
          </w:tcPr>
          <w:p w14:paraId="4A7A0603" w14:textId="77777777" w:rsidR="003A27B8" w:rsidRDefault="003A27B8" w:rsidP="003A27B8">
            <w:pPr>
              <w:ind w:left="0" w:right="0"/>
              <w:rPr>
                <w:sz w:val="19"/>
                <w:szCs w:val="19"/>
              </w:rPr>
            </w:pPr>
            <w:r>
              <w:rPr>
                <w:sz w:val="19"/>
                <w:szCs w:val="19"/>
              </w:rPr>
              <w:t>Primary o</w:t>
            </w:r>
            <w:r w:rsidRPr="00680725">
              <w:rPr>
                <w:sz w:val="19"/>
                <w:szCs w:val="19"/>
              </w:rPr>
              <w:t>bjectives:</w:t>
            </w:r>
          </w:p>
          <w:p w14:paraId="6DF695B2" w14:textId="77777777" w:rsidR="0042423E" w:rsidRDefault="003A27B8" w:rsidP="003A27B8">
            <w:pPr>
              <w:ind w:left="0" w:right="0"/>
              <w:rPr>
                <w:sz w:val="19"/>
                <w:szCs w:val="19"/>
              </w:rPr>
            </w:pPr>
            <w:r>
              <w:rPr>
                <w:sz w:val="19"/>
                <w:szCs w:val="19"/>
              </w:rPr>
              <w:t>To assess efficacy of Ad26.Cov2 S.</w:t>
            </w:r>
          </w:p>
          <w:p w14:paraId="46F0CDF7" w14:textId="669AAFD6" w:rsidR="003A27B8" w:rsidRPr="00680725" w:rsidRDefault="003A27B8" w:rsidP="003A27B8">
            <w:pPr>
              <w:ind w:left="0" w:right="0"/>
              <w:rPr>
                <w:sz w:val="19"/>
                <w:szCs w:val="19"/>
              </w:rPr>
            </w:pPr>
            <w:r w:rsidRPr="00680725">
              <w:rPr>
                <w:sz w:val="19"/>
                <w:szCs w:val="19"/>
              </w:rPr>
              <w:t xml:space="preserve">To assess the safety of </w:t>
            </w:r>
            <w:r>
              <w:rPr>
                <w:sz w:val="19"/>
                <w:szCs w:val="19"/>
              </w:rPr>
              <w:t>Ad26.Cov2 S.</w:t>
            </w:r>
          </w:p>
          <w:p w14:paraId="46430E75" w14:textId="77777777" w:rsidR="003A27B8" w:rsidRDefault="003A27B8" w:rsidP="003A27B8">
            <w:pPr>
              <w:ind w:left="0" w:right="0"/>
              <w:rPr>
                <w:sz w:val="19"/>
                <w:szCs w:val="19"/>
              </w:rPr>
            </w:pPr>
            <w:r>
              <w:rPr>
                <w:sz w:val="19"/>
                <w:szCs w:val="19"/>
              </w:rPr>
              <w:t>To assess immunogenicity of Ad26.Cov2 S.</w:t>
            </w:r>
          </w:p>
          <w:p w14:paraId="49AFB923" w14:textId="4F37A10C" w:rsidR="003A27B8" w:rsidRPr="009674B3" w:rsidRDefault="006F16AE" w:rsidP="006F16AE">
            <w:pPr>
              <w:ind w:left="0" w:right="0"/>
              <w:rPr>
                <w:sz w:val="19"/>
                <w:szCs w:val="19"/>
              </w:rPr>
            </w:pPr>
            <w:r>
              <w:rPr>
                <w:sz w:val="19"/>
                <w:szCs w:val="19"/>
              </w:rPr>
              <w:t>With two</w:t>
            </w:r>
            <w:r w:rsidR="003A27B8">
              <w:rPr>
                <w:sz w:val="19"/>
                <w:szCs w:val="19"/>
              </w:rPr>
              <w:t xml:space="preserve"> </w:t>
            </w:r>
            <w:r>
              <w:rPr>
                <w:sz w:val="19"/>
                <w:szCs w:val="19"/>
              </w:rPr>
              <w:t>years</w:t>
            </w:r>
            <w:r w:rsidR="003A27B8">
              <w:rPr>
                <w:sz w:val="19"/>
                <w:szCs w:val="19"/>
              </w:rPr>
              <w:t xml:space="preserve"> follow up.</w:t>
            </w:r>
          </w:p>
        </w:tc>
        <w:tc>
          <w:tcPr>
            <w:tcW w:w="1505" w:type="pct"/>
          </w:tcPr>
          <w:p w14:paraId="3D5F176E" w14:textId="5A539A26" w:rsidR="0042423E" w:rsidRPr="009674B3" w:rsidRDefault="003A27B8" w:rsidP="003A27B8">
            <w:pPr>
              <w:ind w:left="0" w:right="0"/>
              <w:rPr>
                <w:sz w:val="19"/>
                <w:szCs w:val="19"/>
              </w:rPr>
            </w:pPr>
            <w:r>
              <w:rPr>
                <w:sz w:val="19"/>
                <w:szCs w:val="19"/>
              </w:rPr>
              <w:t xml:space="preserve">Final clinical study report due second quarter </w:t>
            </w:r>
            <w:r w:rsidR="006F16AE">
              <w:rPr>
                <w:sz w:val="19"/>
                <w:szCs w:val="19"/>
              </w:rPr>
              <w:t xml:space="preserve">of </w:t>
            </w:r>
            <w:r>
              <w:rPr>
                <w:sz w:val="19"/>
                <w:szCs w:val="19"/>
              </w:rPr>
              <w:t>2022</w:t>
            </w:r>
          </w:p>
        </w:tc>
      </w:tr>
      <w:tr w:rsidR="003A27B8" w:rsidRPr="00D90C10" w14:paraId="1959C20D" w14:textId="77777777" w:rsidTr="009B228A">
        <w:tc>
          <w:tcPr>
            <w:tcW w:w="5000" w:type="pct"/>
            <w:gridSpan w:val="3"/>
          </w:tcPr>
          <w:p w14:paraId="39309F3D" w14:textId="65E5B306" w:rsidR="003A27B8" w:rsidRPr="003A27B8" w:rsidRDefault="003A27B8" w:rsidP="00EF7F28">
            <w:pPr>
              <w:ind w:left="0" w:right="0"/>
              <w:rPr>
                <w:b/>
                <w:sz w:val="19"/>
                <w:szCs w:val="19"/>
              </w:rPr>
            </w:pPr>
            <w:r w:rsidRPr="003A27B8">
              <w:rPr>
                <w:b/>
                <w:sz w:val="19"/>
                <w:szCs w:val="19"/>
              </w:rPr>
              <w:t>Planned</w:t>
            </w:r>
          </w:p>
        </w:tc>
      </w:tr>
      <w:tr w:rsidR="0042423E" w:rsidRPr="00D90C10" w14:paraId="7E618AAE" w14:textId="77777777" w:rsidTr="009B228A">
        <w:tc>
          <w:tcPr>
            <w:tcW w:w="1320" w:type="pct"/>
          </w:tcPr>
          <w:p w14:paraId="039DD0A1" w14:textId="77777777" w:rsidR="0042423E" w:rsidRDefault="006F16AE" w:rsidP="00EF7F28">
            <w:pPr>
              <w:ind w:left="0" w:right="0"/>
              <w:rPr>
                <w:sz w:val="19"/>
                <w:szCs w:val="19"/>
              </w:rPr>
            </w:pPr>
            <w:r>
              <w:rPr>
                <w:sz w:val="19"/>
                <w:szCs w:val="19"/>
              </w:rPr>
              <w:t>COV3009</w:t>
            </w:r>
          </w:p>
          <w:p w14:paraId="4DE71005" w14:textId="1F23C2FD" w:rsidR="006F16AE" w:rsidRDefault="006F16AE" w:rsidP="006F16AE">
            <w:pPr>
              <w:ind w:left="0" w:right="0"/>
              <w:rPr>
                <w:sz w:val="19"/>
                <w:szCs w:val="19"/>
              </w:rPr>
            </w:pPr>
            <w:r>
              <w:rPr>
                <w:sz w:val="19"/>
                <w:szCs w:val="19"/>
              </w:rPr>
              <w:t>A multicentre, randomised double blinded, placebo controlled Phase III study evaluating the efficacy and safety of two doses of Ad26 COV2 S for prevention of SARS-CoV-2 mediated COVID-19 in adults aged ≥ 18 to ≤</w:t>
            </w:r>
            <w:r w:rsidR="00BF38E9">
              <w:rPr>
                <w:sz w:val="19"/>
                <w:szCs w:val="19"/>
              </w:rPr>
              <w:t xml:space="preserve"> </w:t>
            </w:r>
            <w:r>
              <w:rPr>
                <w:sz w:val="19"/>
                <w:szCs w:val="19"/>
              </w:rPr>
              <w:t>59 years and adults ≥</w:t>
            </w:r>
            <w:r w:rsidR="00BF38E9">
              <w:rPr>
                <w:sz w:val="19"/>
                <w:szCs w:val="19"/>
              </w:rPr>
              <w:t xml:space="preserve"> </w:t>
            </w:r>
            <w:r>
              <w:rPr>
                <w:sz w:val="19"/>
                <w:szCs w:val="19"/>
              </w:rPr>
              <w:t>60 years old.</w:t>
            </w:r>
          </w:p>
          <w:p w14:paraId="3BB77754" w14:textId="1F084928" w:rsidR="006F16AE" w:rsidRPr="009674B3" w:rsidRDefault="006F16AE" w:rsidP="006F16AE">
            <w:pPr>
              <w:ind w:left="0" w:right="0"/>
              <w:rPr>
                <w:sz w:val="19"/>
                <w:szCs w:val="19"/>
              </w:rPr>
            </w:pPr>
            <w:r>
              <w:rPr>
                <w:sz w:val="19"/>
                <w:szCs w:val="19"/>
              </w:rPr>
              <w:t xml:space="preserve">Same dose level as </w:t>
            </w:r>
            <w:r w:rsidR="00BF38E9">
              <w:rPr>
                <w:sz w:val="19"/>
                <w:szCs w:val="19"/>
              </w:rPr>
              <w:t>per Study COV3001, doses given eight</w:t>
            </w:r>
            <w:r>
              <w:rPr>
                <w:sz w:val="19"/>
                <w:szCs w:val="19"/>
              </w:rPr>
              <w:t xml:space="preserve"> weeks apart.</w:t>
            </w:r>
          </w:p>
        </w:tc>
        <w:tc>
          <w:tcPr>
            <w:tcW w:w="2175" w:type="pct"/>
          </w:tcPr>
          <w:p w14:paraId="0869B699" w14:textId="77777777" w:rsidR="0042423E" w:rsidRPr="005A40AC" w:rsidRDefault="0042423E" w:rsidP="00EF7F28">
            <w:pPr>
              <w:ind w:left="0" w:right="0"/>
              <w:rPr>
                <w:sz w:val="19"/>
                <w:szCs w:val="19"/>
              </w:rPr>
            </w:pPr>
            <w:r>
              <w:rPr>
                <w:sz w:val="19"/>
                <w:szCs w:val="19"/>
              </w:rPr>
              <w:t>Primary o</w:t>
            </w:r>
            <w:r w:rsidRPr="005A40AC">
              <w:rPr>
                <w:sz w:val="19"/>
                <w:szCs w:val="19"/>
              </w:rPr>
              <w:t>bjectives:</w:t>
            </w:r>
          </w:p>
          <w:p w14:paraId="01D12B2D" w14:textId="2D494637" w:rsidR="0042423E" w:rsidRPr="009674B3" w:rsidRDefault="0042423E" w:rsidP="006F16AE">
            <w:pPr>
              <w:ind w:left="0"/>
              <w:rPr>
                <w:sz w:val="19"/>
                <w:szCs w:val="19"/>
              </w:rPr>
            </w:pPr>
            <w:r w:rsidRPr="005A40AC">
              <w:rPr>
                <w:sz w:val="19"/>
                <w:szCs w:val="19"/>
              </w:rPr>
              <w:t>To assess the</w:t>
            </w:r>
            <w:r w:rsidR="006F16AE">
              <w:rPr>
                <w:sz w:val="19"/>
                <w:szCs w:val="19"/>
              </w:rPr>
              <w:t xml:space="preserve"> </w:t>
            </w:r>
            <w:r w:rsidRPr="005A40AC">
              <w:rPr>
                <w:sz w:val="19"/>
                <w:szCs w:val="19"/>
              </w:rPr>
              <w:t>safety</w:t>
            </w:r>
            <w:r w:rsidR="006F16AE">
              <w:rPr>
                <w:sz w:val="19"/>
                <w:szCs w:val="19"/>
              </w:rPr>
              <w:t xml:space="preserve"> and immunogenicity of Ad26 COV2 S, with a two year follow up period.</w:t>
            </w:r>
          </w:p>
        </w:tc>
        <w:tc>
          <w:tcPr>
            <w:tcW w:w="1505" w:type="pct"/>
          </w:tcPr>
          <w:p w14:paraId="2C98D649" w14:textId="721C4D95" w:rsidR="0042423E" w:rsidRPr="009674B3" w:rsidRDefault="006F16AE" w:rsidP="006F16AE">
            <w:pPr>
              <w:ind w:left="0" w:right="0"/>
              <w:rPr>
                <w:sz w:val="19"/>
                <w:szCs w:val="19"/>
              </w:rPr>
            </w:pPr>
            <w:r>
              <w:rPr>
                <w:sz w:val="19"/>
                <w:szCs w:val="19"/>
              </w:rPr>
              <w:t>Final clinical study report due third quarter of 2022</w:t>
            </w:r>
          </w:p>
        </w:tc>
      </w:tr>
      <w:tr w:rsidR="0042423E" w:rsidRPr="00D90C10" w14:paraId="4FD0FC52" w14:textId="77777777" w:rsidTr="009B228A">
        <w:tc>
          <w:tcPr>
            <w:tcW w:w="1320" w:type="pct"/>
          </w:tcPr>
          <w:p w14:paraId="168487B3" w14:textId="6F06A784" w:rsidR="0042423E" w:rsidRDefault="009B228A" w:rsidP="00EF7F28">
            <w:pPr>
              <w:ind w:left="0" w:right="0"/>
              <w:rPr>
                <w:sz w:val="19"/>
                <w:szCs w:val="19"/>
              </w:rPr>
            </w:pPr>
            <w:r>
              <w:rPr>
                <w:sz w:val="19"/>
                <w:szCs w:val="19"/>
              </w:rPr>
              <w:t>COV</w:t>
            </w:r>
            <w:r w:rsidR="006F16AE">
              <w:rPr>
                <w:sz w:val="19"/>
                <w:szCs w:val="19"/>
              </w:rPr>
              <w:t>2004</w:t>
            </w:r>
          </w:p>
          <w:p w14:paraId="1AB15BA2" w14:textId="50BE0BF0" w:rsidR="00354CD5" w:rsidRPr="009674B3" w:rsidRDefault="00354CD5" w:rsidP="00EF7F28">
            <w:pPr>
              <w:ind w:left="0" w:right="0"/>
              <w:rPr>
                <w:sz w:val="19"/>
                <w:szCs w:val="19"/>
              </w:rPr>
            </w:pPr>
            <w:r>
              <w:rPr>
                <w:sz w:val="19"/>
                <w:szCs w:val="19"/>
              </w:rPr>
              <w:t xml:space="preserve">A randomised, double blinded, placebo controlled Phase II study to evaluate the safety, reactogenicity of </w:t>
            </w:r>
            <w:r w:rsidR="0095433A">
              <w:rPr>
                <w:sz w:val="19"/>
                <w:szCs w:val="19"/>
              </w:rPr>
              <w:t>Ad26 COV2 S in healthy pregnant woman aged 18 to 35 years.</w:t>
            </w:r>
          </w:p>
        </w:tc>
        <w:tc>
          <w:tcPr>
            <w:tcW w:w="2175" w:type="pct"/>
          </w:tcPr>
          <w:p w14:paraId="374D6E8D" w14:textId="77777777" w:rsidR="0095433A" w:rsidRPr="005A40AC" w:rsidRDefault="0095433A" w:rsidP="0095433A">
            <w:pPr>
              <w:ind w:left="0" w:right="0"/>
              <w:rPr>
                <w:sz w:val="19"/>
                <w:szCs w:val="19"/>
              </w:rPr>
            </w:pPr>
            <w:r>
              <w:rPr>
                <w:sz w:val="19"/>
                <w:szCs w:val="19"/>
              </w:rPr>
              <w:t>Primary o</w:t>
            </w:r>
            <w:r w:rsidRPr="005A40AC">
              <w:rPr>
                <w:sz w:val="19"/>
                <w:szCs w:val="19"/>
              </w:rPr>
              <w:t>bjectives:</w:t>
            </w:r>
          </w:p>
          <w:p w14:paraId="49A6EF7B" w14:textId="1AD32B99" w:rsidR="0042423E" w:rsidRPr="009674B3" w:rsidRDefault="0095433A" w:rsidP="00EF7F28">
            <w:pPr>
              <w:ind w:left="0" w:right="0"/>
              <w:rPr>
                <w:sz w:val="19"/>
                <w:szCs w:val="19"/>
              </w:rPr>
            </w:pPr>
            <w:r>
              <w:rPr>
                <w:sz w:val="19"/>
                <w:szCs w:val="19"/>
              </w:rPr>
              <w:t>To assess safety and immunogenicity in pregnant woman and their infant up to 6 months post-partum</w:t>
            </w:r>
          </w:p>
        </w:tc>
        <w:tc>
          <w:tcPr>
            <w:tcW w:w="1505" w:type="pct"/>
          </w:tcPr>
          <w:p w14:paraId="7DC6D471" w14:textId="2B54A3F8" w:rsidR="0042423E" w:rsidRPr="009674B3" w:rsidRDefault="0095433A" w:rsidP="00EF7F28">
            <w:pPr>
              <w:ind w:left="0" w:right="0"/>
              <w:rPr>
                <w:sz w:val="19"/>
                <w:szCs w:val="19"/>
              </w:rPr>
            </w:pPr>
            <w:r>
              <w:rPr>
                <w:sz w:val="19"/>
                <w:szCs w:val="19"/>
              </w:rPr>
              <w:t>Final clinical study report due third quarter of 2022</w:t>
            </w:r>
          </w:p>
        </w:tc>
      </w:tr>
      <w:tr w:rsidR="0042423E" w:rsidRPr="00D90C10" w14:paraId="5D1AD53D" w14:textId="77777777" w:rsidTr="009B228A">
        <w:tc>
          <w:tcPr>
            <w:tcW w:w="1320" w:type="pct"/>
          </w:tcPr>
          <w:p w14:paraId="5C20A6F8" w14:textId="2894498D" w:rsidR="0042423E" w:rsidRDefault="009B228A" w:rsidP="00EF7F28">
            <w:pPr>
              <w:ind w:left="0" w:right="0"/>
              <w:rPr>
                <w:sz w:val="19"/>
                <w:szCs w:val="19"/>
              </w:rPr>
            </w:pPr>
            <w:r>
              <w:rPr>
                <w:sz w:val="19"/>
                <w:szCs w:val="19"/>
              </w:rPr>
              <w:t>COV</w:t>
            </w:r>
            <w:r w:rsidR="0095433A">
              <w:rPr>
                <w:sz w:val="19"/>
                <w:szCs w:val="19"/>
              </w:rPr>
              <w:t>3002</w:t>
            </w:r>
          </w:p>
          <w:p w14:paraId="3CF1AC68" w14:textId="37041122" w:rsidR="0095433A" w:rsidRPr="009674B3" w:rsidRDefault="0095433A" w:rsidP="00EF7F28">
            <w:pPr>
              <w:ind w:left="0" w:right="0"/>
              <w:rPr>
                <w:sz w:val="19"/>
                <w:szCs w:val="19"/>
              </w:rPr>
            </w:pPr>
            <w:r>
              <w:rPr>
                <w:sz w:val="19"/>
                <w:szCs w:val="19"/>
              </w:rPr>
              <w:t>A Phase III study to evaluate safety and immunogenicity of Ad26 COV2 S in children and adults at high risk for severe COVID-19.</w:t>
            </w:r>
          </w:p>
        </w:tc>
        <w:tc>
          <w:tcPr>
            <w:tcW w:w="2175" w:type="pct"/>
          </w:tcPr>
          <w:p w14:paraId="1423A13C" w14:textId="77777777" w:rsidR="0095433A" w:rsidRPr="005A40AC" w:rsidRDefault="0095433A" w:rsidP="0095433A">
            <w:pPr>
              <w:ind w:left="0" w:right="0"/>
              <w:rPr>
                <w:sz w:val="19"/>
                <w:szCs w:val="19"/>
              </w:rPr>
            </w:pPr>
            <w:r>
              <w:rPr>
                <w:sz w:val="19"/>
                <w:szCs w:val="19"/>
              </w:rPr>
              <w:t>Primary o</w:t>
            </w:r>
            <w:r w:rsidRPr="005A40AC">
              <w:rPr>
                <w:sz w:val="19"/>
                <w:szCs w:val="19"/>
              </w:rPr>
              <w:t>bjectives:</w:t>
            </w:r>
          </w:p>
          <w:p w14:paraId="650DEC6E" w14:textId="60C796F0" w:rsidR="0042423E" w:rsidRPr="009674B3" w:rsidRDefault="0095433A" w:rsidP="0095433A">
            <w:pPr>
              <w:ind w:left="0" w:right="0"/>
              <w:rPr>
                <w:sz w:val="19"/>
                <w:szCs w:val="19"/>
              </w:rPr>
            </w:pPr>
            <w:r>
              <w:rPr>
                <w:sz w:val="19"/>
                <w:szCs w:val="19"/>
              </w:rPr>
              <w:t>To assess safety and immunogenicity in children and adult at high risk for severe COVID-19.</w:t>
            </w:r>
          </w:p>
        </w:tc>
        <w:tc>
          <w:tcPr>
            <w:tcW w:w="1505" w:type="pct"/>
          </w:tcPr>
          <w:p w14:paraId="080258F1" w14:textId="4A41E1EB" w:rsidR="0042423E" w:rsidRPr="009674B3" w:rsidRDefault="0095433A" w:rsidP="0095433A">
            <w:pPr>
              <w:ind w:left="0" w:right="0"/>
              <w:rPr>
                <w:sz w:val="19"/>
                <w:szCs w:val="19"/>
              </w:rPr>
            </w:pPr>
            <w:r>
              <w:rPr>
                <w:sz w:val="19"/>
                <w:szCs w:val="19"/>
              </w:rPr>
              <w:t>Final clinical study report due second quarter of 2023</w:t>
            </w:r>
          </w:p>
        </w:tc>
      </w:tr>
      <w:tr w:rsidR="0042423E" w:rsidRPr="00D90C10" w14:paraId="3DA7CE3C" w14:textId="77777777" w:rsidTr="009B228A">
        <w:tc>
          <w:tcPr>
            <w:tcW w:w="1320" w:type="pct"/>
          </w:tcPr>
          <w:p w14:paraId="78557876" w14:textId="4A95769B" w:rsidR="0042423E" w:rsidRDefault="009B228A" w:rsidP="00EF7F28">
            <w:pPr>
              <w:ind w:left="0" w:right="0"/>
              <w:rPr>
                <w:sz w:val="19"/>
                <w:szCs w:val="19"/>
              </w:rPr>
            </w:pPr>
            <w:r>
              <w:rPr>
                <w:sz w:val="19"/>
                <w:szCs w:val="19"/>
              </w:rPr>
              <w:t>COV</w:t>
            </w:r>
            <w:r w:rsidR="0095433A">
              <w:rPr>
                <w:sz w:val="19"/>
                <w:szCs w:val="19"/>
              </w:rPr>
              <w:t>3003</w:t>
            </w:r>
          </w:p>
          <w:p w14:paraId="69736E22" w14:textId="45F35C04" w:rsidR="0095433A" w:rsidRPr="009674B3" w:rsidRDefault="0095433A" w:rsidP="00EF7F28">
            <w:pPr>
              <w:ind w:left="0" w:right="0"/>
              <w:rPr>
                <w:sz w:val="19"/>
                <w:szCs w:val="19"/>
              </w:rPr>
            </w:pPr>
            <w:r>
              <w:rPr>
                <w:sz w:val="19"/>
                <w:szCs w:val="19"/>
              </w:rPr>
              <w:t>A randomised, doubled blinded, placebo controlled Phase III study to evalu</w:t>
            </w:r>
            <w:r w:rsidR="009B228A">
              <w:rPr>
                <w:sz w:val="19"/>
                <w:szCs w:val="19"/>
              </w:rPr>
              <w:t>a</w:t>
            </w:r>
            <w:r>
              <w:rPr>
                <w:sz w:val="19"/>
                <w:szCs w:val="19"/>
              </w:rPr>
              <w:t>te three dose levels of Ad26 COV2 S administrated as single dose or two dose</w:t>
            </w:r>
            <w:r w:rsidR="00D95112">
              <w:rPr>
                <w:sz w:val="19"/>
                <w:szCs w:val="19"/>
              </w:rPr>
              <w:t>s</w:t>
            </w:r>
            <w:r>
              <w:rPr>
                <w:sz w:val="19"/>
                <w:szCs w:val="19"/>
              </w:rPr>
              <w:t xml:space="preserve"> schedules in healthy adults.</w:t>
            </w:r>
          </w:p>
        </w:tc>
        <w:tc>
          <w:tcPr>
            <w:tcW w:w="2175" w:type="pct"/>
          </w:tcPr>
          <w:p w14:paraId="7DC40677" w14:textId="5921678E" w:rsidR="00B0340B" w:rsidRDefault="00B0340B" w:rsidP="00B0340B">
            <w:pPr>
              <w:ind w:left="0" w:right="0"/>
              <w:rPr>
                <w:sz w:val="19"/>
                <w:szCs w:val="19"/>
              </w:rPr>
            </w:pPr>
            <w:r>
              <w:rPr>
                <w:sz w:val="19"/>
                <w:szCs w:val="19"/>
              </w:rPr>
              <w:t>Primary o</w:t>
            </w:r>
            <w:r w:rsidRPr="005A40AC">
              <w:rPr>
                <w:sz w:val="19"/>
                <w:szCs w:val="19"/>
              </w:rPr>
              <w:t>bjectives:</w:t>
            </w:r>
          </w:p>
          <w:p w14:paraId="0C54FA8D" w14:textId="6175C2EE" w:rsidR="0042423E" w:rsidRPr="009674B3" w:rsidRDefault="00B0340B" w:rsidP="00B0340B">
            <w:pPr>
              <w:ind w:left="0" w:right="0"/>
              <w:rPr>
                <w:sz w:val="19"/>
                <w:szCs w:val="19"/>
              </w:rPr>
            </w:pPr>
            <w:r>
              <w:rPr>
                <w:sz w:val="19"/>
                <w:szCs w:val="19"/>
              </w:rPr>
              <w:t>To demonstrate non-inferiority of lot representative of end of shelf life to lot representative of release potency.</w:t>
            </w:r>
          </w:p>
        </w:tc>
        <w:tc>
          <w:tcPr>
            <w:tcW w:w="1505" w:type="pct"/>
          </w:tcPr>
          <w:p w14:paraId="6EDD5F8E" w14:textId="72F95AE2" w:rsidR="0042423E" w:rsidRPr="009674B3" w:rsidRDefault="0095433A" w:rsidP="0095433A">
            <w:pPr>
              <w:ind w:left="0" w:right="0"/>
              <w:rPr>
                <w:sz w:val="19"/>
                <w:szCs w:val="19"/>
              </w:rPr>
            </w:pPr>
            <w:r>
              <w:rPr>
                <w:sz w:val="19"/>
                <w:szCs w:val="19"/>
              </w:rPr>
              <w:t>Final clinical study report due third quarter of 2022</w:t>
            </w:r>
          </w:p>
        </w:tc>
      </w:tr>
      <w:tr w:rsidR="0042423E" w:rsidRPr="00D90C10" w14:paraId="3F0CBFFC" w14:textId="77777777" w:rsidTr="009B228A">
        <w:tc>
          <w:tcPr>
            <w:tcW w:w="1320" w:type="pct"/>
          </w:tcPr>
          <w:p w14:paraId="2433B1D7" w14:textId="5ED9878C" w:rsidR="0042423E" w:rsidRDefault="009B228A" w:rsidP="00EF7F28">
            <w:pPr>
              <w:ind w:left="0" w:right="0"/>
              <w:rPr>
                <w:sz w:val="19"/>
                <w:szCs w:val="19"/>
              </w:rPr>
            </w:pPr>
            <w:r>
              <w:rPr>
                <w:sz w:val="19"/>
                <w:szCs w:val="19"/>
              </w:rPr>
              <w:t>COV</w:t>
            </w:r>
            <w:r w:rsidR="00B0340B">
              <w:rPr>
                <w:sz w:val="19"/>
                <w:szCs w:val="19"/>
              </w:rPr>
              <w:t>3004</w:t>
            </w:r>
          </w:p>
          <w:p w14:paraId="699FB32E" w14:textId="2384F465" w:rsidR="00B0340B" w:rsidRPr="009674B3" w:rsidRDefault="00B0340B" w:rsidP="00EF7F28">
            <w:pPr>
              <w:ind w:left="0" w:right="0"/>
              <w:rPr>
                <w:sz w:val="19"/>
                <w:szCs w:val="19"/>
              </w:rPr>
            </w:pPr>
            <w:r>
              <w:rPr>
                <w:sz w:val="19"/>
                <w:szCs w:val="19"/>
              </w:rPr>
              <w:t xml:space="preserve">A Phase III, randomised, double blinded, placebo-controlled study to evaluate the immunogenicity, safety, reactogenicity and consistency of three consecutive lots of Ad26 COV2 S in healthy adults. </w:t>
            </w:r>
          </w:p>
        </w:tc>
        <w:tc>
          <w:tcPr>
            <w:tcW w:w="2175" w:type="pct"/>
          </w:tcPr>
          <w:p w14:paraId="5939C263" w14:textId="4EAF3ADA" w:rsidR="00B0340B" w:rsidRDefault="00B0340B" w:rsidP="00EF7F28">
            <w:pPr>
              <w:ind w:left="0" w:right="0"/>
              <w:rPr>
                <w:sz w:val="19"/>
                <w:szCs w:val="19"/>
              </w:rPr>
            </w:pPr>
            <w:r>
              <w:rPr>
                <w:sz w:val="19"/>
                <w:szCs w:val="19"/>
              </w:rPr>
              <w:t>Primary o</w:t>
            </w:r>
            <w:r w:rsidRPr="005A40AC">
              <w:rPr>
                <w:sz w:val="19"/>
                <w:szCs w:val="19"/>
              </w:rPr>
              <w:t>bjectives:</w:t>
            </w:r>
          </w:p>
          <w:p w14:paraId="435CD4C3" w14:textId="1A556614" w:rsidR="0042423E" w:rsidRPr="009674B3" w:rsidRDefault="00B0340B" w:rsidP="00EF7F28">
            <w:pPr>
              <w:ind w:left="0" w:right="0"/>
              <w:rPr>
                <w:sz w:val="19"/>
                <w:szCs w:val="19"/>
              </w:rPr>
            </w:pPr>
            <w:r>
              <w:rPr>
                <w:sz w:val="19"/>
                <w:szCs w:val="19"/>
              </w:rPr>
              <w:t>To demonstrate that three consecutively manufactured lots of Ad26 COV2 S induce an equivalent humoral immune response.</w:t>
            </w:r>
          </w:p>
        </w:tc>
        <w:tc>
          <w:tcPr>
            <w:tcW w:w="1505" w:type="pct"/>
          </w:tcPr>
          <w:p w14:paraId="52EBE714" w14:textId="0F3E5454" w:rsidR="0042423E" w:rsidRPr="009674B3" w:rsidRDefault="00B0340B" w:rsidP="00EF7F28">
            <w:pPr>
              <w:ind w:left="0" w:right="0"/>
              <w:rPr>
                <w:sz w:val="19"/>
                <w:szCs w:val="19"/>
              </w:rPr>
            </w:pPr>
            <w:r>
              <w:rPr>
                <w:sz w:val="19"/>
                <w:szCs w:val="19"/>
              </w:rPr>
              <w:t>Final clinical study report due third quarter of 2022</w:t>
            </w:r>
          </w:p>
        </w:tc>
      </w:tr>
      <w:tr w:rsidR="0042423E" w:rsidRPr="00D90C10" w14:paraId="10F68287" w14:textId="77777777" w:rsidTr="009B228A">
        <w:tc>
          <w:tcPr>
            <w:tcW w:w="1320" w:type="pct"/>
          </w:tcPr>
          <w:p w14:paraId="5D94FC96" w14:textId="2FA7A31A" w:rsidR="0042423E" w:rsidRDefault="009B228A" w:rsidP="00EF7F28">
            <w:pPr>
              <w:ind w:left="0" w:right="0"/>
              <w:rPr>
                <w:sz w:val="19"/>
                <w:szCs w:val="19"/>
              </w:rPr>
            </w:pPr>
            <w:r>
              <w:rPr>
                <w:sz w:val="19"/>
                <w:szCs w:val="19"/>
              </w:rPr>
              <w:t>COV</w:t>
            </w:r>
            <w:r w:rsidR="00B0340B">
              <w:rPr>
                <w:sz w:val="19"/>
                <w:szCs w:val="19"/>
              </w:rPr>
              <w:t>3005</w:t>
            </w:r>
          </w:p>
          <w:p w14:paraId="68F90072" w14:textId="336DA116" w:rsidR="00B0340B" w:rsidRDefault="00B0340B" w:rsidP="00B0340B">
            <w:pPr>
              <w:ind w:left="0" w:right="0"/>
              <w:rPr>
                <w:sz w:val="19"/>
                <w:szCs w:val="19"/>
              </w:rPr>
            </w:pPr>
            <w:r>
              <w:rPr>
                <w:sz w:val="19"/>
                <w:szCs w:val="19"/>
              </w:rPr>
              <w:t>To evaluate the safety and immunogenicity of Ad26 COV2 S when co-administrated with influenza and RSV vaccines.</w:t>
            </w:r>
          </w:p>
        </w:tc>
        <w:tc>
          <w:tcPr>
            <w:tcW w:w="2175" w:type="pct"/>
          </w:tcPr>
          <w:p w14:paraId="573D7969" w14:textId="77777777" w:rsidR="00B0340B" w:rsidRDefault="00B0340B" w:rsidP="00B0340B">
            <w:pPr>
              <w:ind w:left="0" w:right="0"/>
              <w:rPr>
                <w:sz w:val="19"/>
                <w:szCs w:val="19"/>
              </w:rPr>
            </w:pPr>
            <w:r>
              <w:rPr>
                <w:sz w:val="19"/>
                <w:szCs w:val="19"/>
              </w:rPr>
              <w:t>Primary o</w:t>
            </w:r>
            <w:r w:rsidRPr="005A40AC">
              <w:rPr>
                <w:sz w:val="19"/>
                <w:szCs w:val="19"/>
              </w:rPr>
              <w:t>bjectives:</w:t>
            </w:r>
          </w:p>
          <w:p w14:paraId="3392F626" w14:textId="62D2EE0E" w:rsidR="0042423E" w:rsidRPr="004975EB" w:rsidRDefault="00B0340B" w:rsidP="00EF7F28">
            <w:pPr>
              <w:ind w:left="0" w:right="0"/>
              <w:rPr>
                <w:sz w:val="19"/>
                <w:szCs w:val="19"/>
              </w:rPr>
            </w:pPr>
            <w:r>
              <w:rPr>
                <w:sz w:val="19"/>
                <w:szCs w:val="19"/>
              </w:rPr>
              <w:t>To evaluate the safety and immunogenicity of Ad26 COV2 S when co-administrated with influenza and RSV vaccines.</w:t>
            </w:r>
          </w:p>
        </w:tc>
        <w:tc>
          <w:tcPr>
            <w:tcW w:w="1505" w:type="pct"/>
          </w:tcPr>
          <w:p w14:paraId="36A271DA" w14:textId="0F92EEC5" w:rsidR="0042423E" w:rsidRDefault="00B0340B" w:rsidP="00B0340B">
            <w:pPr>
              <w:ind w:left="0" w:right="0"/>
              <w:rPr>
                <w:sz w:val="19"/>
                <w:szCs w:val="19"/>
              </w:rPr>
            </w:pPr>
            <w:r>
              <w:rPr>
                <w:sz w:val="19"/>
                <w:szCs w:val="19"/>
              </w:rPr>
              <w:t>Final clinical study report due second quarter of 2023</w:t>
            </w:r>
          </w:p>
        </w:tc>
      </w:tr>
      <w:tr w:rsidR="00B0340B" w:rsidRPr="00D90C10" w14:paraId="56748699" w14:textId="77777777" w:rsidTr="009B228A">
        <w:tc>
          <w:tcPr>
            <w:tcW w:w="1320" w:type="pct"/>
          </w:tcPr>
          <w:p w14:paraId="509F2572" w14:textId="36179922" w:rsidR="00B0340B" w:rsidRDefault="009B228A" w:rsidP="00B0340B">
            <w:pPr>
              <w:ind w:left="0"/>
              <w:rPr>
                <w:sz w:val="19"/>
                <w:szCs w:val="19"/>
              </w:rPr>
            </w:pPr>
            <w:r>
              <w:rPr>
                <w:sz w:val="19"/>
                <w:szCs w:val="19"/>
              </w:rPr>
              <w:t>COV</w:t>
            </w:r>
            <w:r w:rsidR="00B0340B">
              <w:rPr>
                <w:sz w:val="19"/>
                <w:szCs w:val="19"/>
              </w:rPr>
              <w:t>3006</w:t>
            </w:r>
          </w:p>
          <w:p w14:paraId="3215D7B3" w14:textId="049AD37C" w:rsidR="00B0340B" w:rsidRDefault="00B0340B" w:rsidP="00B0340B">
            <w:pPr>
              <w:ind w:left="0"/>
              <w:rPr>
                <w:sz w:val="19"/>
                <w:szCs w:val="19"/>
              </w:rPr>
            </w:pPr>
            <w:r>
              <w:rPr>
                <w:sz w:val="19"/>
                <w:szCs w:val="19"/>
              </w:rPr>
              <w:t xml:space="preserve">A randomised, double blinded, placebo controlled, Phase II/III study to evaluate the safety, reactogenicity and immunogenicity of different dose levels of Ad26 COV2 S </w:t>
            </w:r>
            <w:proofErr w:type="spellStart"/>
            <w:r>
              <w:rPr>
                <w:sz w:val="19"/>
                <w:szCs w:val="19"/>
              </w:rPr>
              <w:t>adminstrated</w:t>
            </w:r>
            <w:proofErr w:type="spellEnd"/>
            <w:r>
              <w:rPr>
                <w:sz w:val="19"/>
                <w:szCs w:val="19"/>
              </w:rPr>
              <w:t xml:space="preserve"> as a single dose or two doses regimen in children aged 2 months to 11 years(inclusive)</w:t>
            </w:r>
            <w:r w:rsidR="000F4ED1">
              <w:rPr>
                <w:sz w:val="19"/>
                <w:szCs w:val="19"/>
              </w:rPr>
              <w:t xml:space="preserve"> and to evaluate one dose level of Ad26 COV2 S </w:t>
            </w:r>
            <w:proofErr w:type="spellStart"/>
            <w:r w:rsidR="000F4ED1">
              <w:rPr>
                <w:sz w:val="19"/>
                <w:szCs w:val="19"/>
              </w:rPr>
              <w:t>adminstrated</w:t>
            </w:r>
            <w:proofErr w:type="spellEnd"/>
            <w:r w:rsidR="000F4ED1">
              <w:rPr>
                <w:sz w:val="19"/>
                <w:szCs w:val="19"/>
              </w:rPr>
              <w:t xml:space="preserve"> as a two dose</w:t>
            </w:r>
            <w:r w:rsidR="00D95112">
              <w:rPr>
                <w:sz w:val="19"/>
                <w:szCs w:val="19"/>
              </w:rPr>
              <w:t>s</w:t>
            </w:r>
            <w:r w:rsidR="000F4ED1">
              <w:rPr>
                <w:sz w:val="19"/>
                <w:szCs w:val="19"/>
              </w:rPr>
              <w:t xml:space="preserve"> regimen in healthy adults aged 18 to 55 years (inclusive)</w:t>
            </w:r>
          </w:p>
        </w:tc>
        <w:tc>
          <w:tcPr>
            <w:tcW w:w="2175" w:type="pct"/>
          </w:tcPr>
          <w:p w14:paraId="1D3388BF" w14:textId="77777777" w:rsidR="00B0340B" w:rsidRDefault="000F4ED1" w:rsidP="000F4ED1">
            <w:pPr>
              <w:ind w:left="0"/>
              <w:rPr>
                <w:sz w:val="19"/>
                <w:szCs w:val="19"/>
              </w:rPr>
            </w:pPr>
            <w:r>
              <w:rPr>
                <w:sz w:val="19"/>
                <w:szCs w:val="19"/>
              </w:rPr>
              <w:t>Primary objectives</w:t>
            </w:r>
          </w:p>
          <w:p w14:paraId="1CA2A081" w14:textId="77777777" w:rsidR="000F4ED1" w:rsidRDefault="000F4ED1" w:rsidP="000F4ED1">
            <w:pPr>
              <w:ind w:left="0"/>
              <w:rPr>
                <w:sz w:val="19"/>
                <w:szCs w:val="19"/>
              </w:rPr>
            </w:pPr>
            <w:r>
              <w:rPr>
                <w:sz w:val="19"/>
                <w:szCs w:val="19"/>
              </w:rPr>
              <w:t>To evaluate the safety and immunogenicity of Ad26 COV2 S with a booster shot at 12 months and the persistence of the immune response one year post booster vaccination.</w:t>
            </w:r>
          </w:p>
          <w:p w14:paraId="0B00C21A" w14:textId="5425701C" w:rsidR="000F4ED1" w:rsidRDefault="000F4ED1" w:rsidP="000F4ED1">
            <w:pPr>
              <w:ind w:left="0"/>
              <w:rPr>
                <w:sz w:val="19"/>
                <w:szCs w:val="19"/>
              </w:rPr>
            </w:pPr>
            <w:r>
              <w:rPr>
                <w:sz w:val="19"/>
                <w:szCs w:val="19"/>
              </w:rPr>
              <w:t>To demonstrate non-inferiority of humoral immune response in children, toddlers and infants to adults.</w:t>
            </w:r>
          </w:p>
        </w:tc>
        <w:tc>
          <w:tcPr>
            <w:tcW w:w="1505" w:type="pct"/>
          </w:tcPr>
          <w:p w14:paraId="37230B47" w14:textId="7178B188" w:rsidR="00B0340B" w:rsidRDefault="000F4ED1" w:rsidP="000F4ED1">
            <w:pPr>
              <w:ind w:left="0"/>
              <w:rPr>
                <w:sz w:val="19"/>
                <w:szCs w:val="19"/>
              </w:rPr>
            </w:pPr>
            <w:r>
              <w:rPr>
                <w:sz w:val="19"/>
                <w:szCs w:val="19"/>
              </w:rPr>
              <w:t>Final clinical study report due third quarter of 2022</w:t>
            </w:r>
          </w:p>
        </w:tc>
      </w:tr>
    </w:tbl>
    <w:p w14:paraId="1FB0F4C5" w14:textId="77777777" w:rsidR="00EB2E45" w:rsidRDefault="00EB2E45" w:rsidP="00EB2E45"/>
    <w:p w14:paraId="6BEF1EEC" w14:textId="2D17A703" w:rsidR="004F322B" w:rsidRDefault="004F322B" w:rsidP="004F322B">
      <w:pPr>
        <w:pStyle w:val="Heading4"/>
      </w:pPr>
      <w:r>
        <w:t xml:space="preserve">Post </w:t>
      </w:r>
      <w:r w:rsidR="00603DB3">
        <w:t>m</w:t>
      </w:r>
      <w:r>
        <w:t xml:space="preserve">arket </w:t>
      </w:r>
      <w:r w:rsidR="00603DB3">
        <w:t>s</w:t>
      </w:r>
      <w:r>
        <w:t xml:space="preserve">afety </w:t>
      </w:r>
      <w:r w:rsidR="00603DB3">
        <w:t>s</w:t>
      </w:r>
      <w:r>
        <w:t>ignal</w:t>
      </w:r>
    </w:p>
    <w:p w14:paraId="4F590F44" w14:textId="57D773B3" w:rsidR="004F322B" w:rsidRDefault="004F322B" w:rsidP="004F322B">
      <w:r>
        <w:t>The E</w:t>
      </w:r>
      <w:r w:rsidR="00AF71A4">
        <w:t xml:space="preserve">uropean </w:t>
      </w:r>
      <w:r>
        <w:t>M</w:t>
      </w:r>
      <w:r w:rsidR="00AF71A4">
        <w:t xml:space="preserve">edicine </w:t>
      </w:r>
      <w:r>
        <w:t>A</w:t>
      </w:r>
      <w:r w:rsidR="00AF71A4">
        <w:t>gency</w:t>
      </w:r>
      <w:r>
        <w:t>’s</w:t>
      </w:r>
      <w:r w:rsidR="00AF71A4">
        <w:t xml:space="preserve"> (EMA)</w:t>
      </w:r>
      <w:r>
        <w:t xml:space="preserve"> safety committee reviewed the post market data in relation to blood clots with the </w:t>
      </w:r>
      <w:r w:rsidR="00AF71A4">
        <w:t xml:space="preserve">COVID-19 </w:t>
      </w:r>
      <w:r w:rsidR="00603DB3">
        <w:t>V</w:t>
      </w:r>
      <w:r w:rsidR="00AF71A4">
        <w:t>accine Janssen</w:t>
      </w:r>
      <w:r>
        <w:t>.</w:t>
      </w:r>
      <w:bookmarkStart w:id="54" w:name="_Ref72399892"/>
      <w:r w:rsidR="00AF71A4">
        <w:rPr>
          <w:rStyle w:val="FootnoteReference"/>
        </w:rPr>
        <w:footnoteReference w:id="28"/>
      </w:r>
      <w:bookmarkEnd w:id="54"/>
      <w:r>
        <w:t xml:space="preserve"> It concluded that unusual blood clots with low platelet count should be added as a potential risk for the </w:t>
      </w:r>
      <w:r w:rsidR="00AF71A4">
        <w:t xml:space="preserve">COVID-19 </w:t>
      </w:r>
      <w:r w:rsidR="00603DB3">
        <w:t>V</w:t>
      </w:r>
      <w:r w:rsidR="00AF71A4">
        <w:t>accine Janssen</w:t>
      </w:r>
      <w:r>
        <w:t>. This syndrome is simila</w:t>
      </w:r>
      <w:r w:rsidR="00AF71A4">
        <w:t xml:space="preserve">r to that seen with the </w:t>
      </w:r>
      <w:r w:rsidR="00603DB3">
        <w:t xml:space="preserve">COVID-19 </w:t>
      </w:r>
      <w:r w:rsidR="009B228A">
        <w:t>V</w:t>
      </w:r>
      <w:r>
        <w:t>accine</w:t>
      </w:r>
      <w:r w:rsidR="009B228A">
        <w:t xml:space="preserve"> AstraZeneca</w:t>
      </w:r>
      <w:r>
        <w:t xml:space="preserve">. </w:t>
      </w:r>
      <w:r w:rsidR="00BF38E9">
        <w:t xml:space="preserve">However, that overall the risk </w:t>
      </w:r>
      <w:r>
        <w:t xml:space="preserve">benefit assessment remains positive. As of </w:t>
      </w:r>
      <w:r w:rsidR="00AF71A4">
        <w:t>13 April 2021, there were eight cases in over seven</w:t>
      </w:r>
      <w:r>
        <w:t xml:space="preserve"> million vaccinated.</w:t>
      </w:r>
      <w:r w:rsidR="00BF38E9">
        <w:fldChar w:fldCharType="begin"/>
      </w:r>
      <w:r w:rsidR="00BF38E9">
        <w:instrText xml:space="preserve"> NOTEREF _Ref72399892 \f \h </w:instrText>
      </w:r>
      <w:r w:rsidR="00BF38E9">
        <w:fldChar w:fldCharType="separate"/>
      </w:r>
      <w:r w:rsidR="00F204A2" w:rsidRPr="00F204A2">
        <w:rPr>
          <w:rStyle w:val="FootnoteReference"/>
        </w:rPr>
        <w:t>28</w:t>
      </w:r>
      <w:r w:rsidR="00BF38E9">
        <w:fldChar w:fldCharType="end"/>
      </w:r>
    </w:p>
    <w:p w14:paraId="1EC7CEF8" w14:textId="2A0F5BC2" w:rsidR="004F322B" w:rsidRDefault="004F322B" w:rsidP="004F322B">
      <w:r>
        <w:t xml:space="preserve">The </w:t>
      </w:r>
      <w:r w:rsidR="009B228A">
        <w:t xml:space="preserve">United States (US) </w:t>
      </w:r>
      <w:r w:rsidR="00BF38E9" w:rsidRPr="00BF38E9">
        <w:t>Food and Drug Administration</w:t>
      </w:r>
      <w:r>
        <w:t xml:space="preserve"> temporarily paused the use of the </w:t>
      </w:r>
      <w:r w:rsidR="009B228A">
        <w:t xml:space="preserve">COVID-19 Vaccine </w:t>
      </w:r>
      <w:r>
        <w:t>Janssen in their vaccination program. The pause has now been lifted.</w:t>
      </w:r>
      <w:r w:rsidR="00AF71A4">
        <w:rPr>
          <w:rStyle w:val="FootnoteReference"/>
        </w:rPr>
        <w:footnoteReference w:id="29"/>
      </w:r>
    </w:p>
    <w:p w14:paraId="446649CE" w14:textId="36FC2C58" w:rsidR="004F322B" w:rsidRDefault="00AF71A4" w:rsidP="004F322B">
      <w:r>
        <w:t>The sponsor</w:t>
      </w:r>
      <w:r w:rsidR="004F322B">
        <w:t xml:space="preserve"> has updated the Australia PI to include a warning about </w:t>
      </w:r>
      <w:bookmarkStart w:id="55" w:name="_Hlk75190374"/>
      <w:r w:rsidR="004F322B">
        <w:t>the risk of thrombosis and thrombocytopenia</w:t>
      </w:r>
      <w:bookmarkEnd w:id="55"/>
    </w:p>
    <w:p w14:paraId="232A3523" w14:textId="0876661E" w:rsidR="004F322B" w:rsidRPr="00E96104" w:rsidRDefault="00FB5F40" w:rsidP="00E96104">
      <w:pPr>
        <w:ind w:left="720"/>
      </w:pPr>
      <w:r w:rsidRPr="00E96104">
        <w:t>‘</w:t>
      </w:r>
      <w:r w:rsidR="009603EA" w:rsidRPr="009603EA">
        <w:t>Thrombosis with thrombocytopenia syndrome</w:t>
      </w:r>
    </w:p>
    <w:p w14:paraId="25453644" w14:textId="42E27457" w:rsidR="004F322B" w:rsidRDefault="004F322B" w:rsidP="00E96104">
      <w:pPr>
        <w:ind w:left="720"/>
      </w:pPr>
      <w:r w:rsidRPr="00E96104">
        <w:t>A combination of thrombosis and thrombocytopenia, in some cases accompanied by bleeding, has been observed very rarely following vaccination with COVID-19 Vaccine Janssen. This includes severe cases of venous thrombosis at unusual sites such as cerebral venous sinus thrombosis, splanchnic vein thrombosis as well as arterial thrombosis concomitant with thrombocytopenia. Fatal outcome has been reported. These cases occurred within the first three weeks following vaccination, and mostly in women under 60 years of age.</w:t>
      </w:r>
    </w:p>
    <w:p w14:paraId="04960A12" w14:textId="25940FFB" w:rsidR="009603EA" w:rsidRPr="00E96104" w:rsidRDefault="009603EA" w:rsidP="00E96104">
      <w:pPr>
        <w:ind w:left="720"/>
      </w:pPr>
      <w:r w:rsidRPr="009603EA">
        <w:t>Cases have occurred in patients with and without other risk factors for thrombosis and thrombocytopenia. As a precautionary measure, administration of the COVID</w:t>
      </w:r>
      <w:r w:rsidR="00A76D7C">
        <w:noBreakHyphen/>
      </w:r>
      <w:r w:rsidRPr="009603EA">
        <w:t>19 Vaccine Janssen in patients with a history of cerebral venous sinus thrombosis with thrombocytopenia, or heparin induced thrombocytopenia (HIT) should only be considered when the benefit outweighs the potential risk.</w:t>
      </w:r>
    </w:p>
    <w:p w14:paraId="7FCAE0DC" w14:textId="2F119D74" w:rsidR="004F322B" w:rsidRPr="00E96104" w:rsidRDefault="004F322B" w:rsidP="00E96104">
      <w:pPr>
        <w:ind w:left="720"/>
      </w:pPr>
      <w:r w:rsidRPr="00E96104">
        <w:t xml:space="preserve">Healthcare professionals should be alert to the signs and symptoms of thromboembolism and/or thrombocytopenia. Those vaccinated should be instructed to seek immediate medical attention if they develop symptoms such as shortness of breath, chest pain, leg swelling, or persistent abdominal pain following vaccination. Additionally, anyone with neurological symptoms including severe or persistent headaches or blurred vision after vaccination, or who experiences skin bruising (petechia) beyond the site of vaccination after a few days, should </w:t>
      </w:r>
      <w:r w:rsidR="00FB5F40" w:rsidRPr="00E96104">
        <w:t>seek prompt medical attention.</w:t>
      </w:r>
    </w:p>
    <w:p w14:paraId="3D5DC990" w14:textId="77777777" w:rsidR="009603EA" w:rsidRDefault="004F322B" w:rsidP="00E96104">
      <w:pPr>
        <w:ind w:left="720"/>
      </w:pPr>
      <w:r w:rsidRPr="00E96104">
        <w:t>Thrombosis in combination with thrombocytopenia requires specialised clinical management. Healthcare professionals should consult applicable guidance</w:t>
      </w:r>
      <w:r w:rsidR="00BF38E9" w:rsidRPr="00E96104">
        <w:t xml:space="preserve"> and/or consult specialists (for example</w:t>
      </w:r>
      <w:r w:rsidRPr="00E96104">
        <w:t>, haematologists, specialists in coagulation) to diagnose and treat this condition.</w:t>
      </w:r>
    </w:p>
    <w:p w14:paraId="120396BC" w14:textId="4069C740" w:rsidR="004F322B" w:rsidRPr="00E96104" w:rsidRDefault="009603EA" w:rsidP="00E96104">
      <w:pPr>
        <w:ind w:left="720"/>
      </w:pPr>
      <w:r w:rsidRPr="009603EA">
        <w:t>Individuals diagnosed with thrombocytopenia within 3 weeks after vaccination with COVID-19 Vaccine Janssen should be actively investigated for signs of thrombosis. Similarly, individuals who present with thrombosis within 3 weeks of vaccination should be evaluated for thrombocytopenia.’</w:t>
      </w:r>
      <w:r w:rsidR="00FB5F40" w:rsidRPr="00E96104">
        <w:t>’</w:t>
      </w:r>
    </w:p>
    <w:p w14:paraId="4BE50533" w14:textId="77777777" w:rsidR="008E7846" w:rsidRDefault="00AA0ED0" w:rsidP="008E7846">
      <w:pPr>
        <w:pStyle w:val="Heading3"/>
      </w:pPr>
      <w:bookmarkStart w:id="56" w:name="_Toc247691531"/>
      <w:bookmarkStart w:id="57" w:name="_Toc314842515"/>
      <w:bookmarkStart w:id="58" w:name="_Toc75438463"/>
      <w:bookmarkStart w:id="59" w:name="_Toc196046505"/>
      <w:bookmarkStart w:id="60" w:name="_Toc196046949"/>
      <w:r>
        <w:t>Risk-benefit a</w:t>
      </w:r>
      <w:r w:rsidR="008E7846">
        <w:t>nalysis</w:t>
      </w:r>
      <w:bookmarkEnd w:id="56"/>
      <w:bookmarkEnd w:id="57"/>
      <w:bookmarkEnd w:id="58"/>
    </w:p>
    <w:p w14:paraId="1AE98724" w14:textId="6E704C24" w:rsidR="00962FD5" w:rsidRPr="003378E0" w:rsidRDefault="007D53B6" w:rsidP="006F46EC">
      <w:pPr>
        <w:pStyle w:val="Heading4"/>
      </w:pPr>
      <w:r>
        <w:t>Delegate’s considerations</w:t>
      </w:r>
    </w:p>
    <w:p w14:paraId="10FF1240" w14:textId="612F7822" w:rsidR="003378E0" w:rsidRDefault="006F46EC" w:rsidP="00962FD5">
      <w:r w:rsidRPr="00D263D1">
        <w:t>In relation to quality, t</w:t>
      </w:r>
      <w:r w:rsidR="003378E0" w:rsidRPr="00D263D1">
        <w:t>he sponsor is working with the quality evaluators to address a number of outstanding issues.</w:t>
      </w:r>
      <w:r w:rsidR="00325830">
        <w:rPr>
          <w:rStyle w:val="FootnoteReference"/>
        </w:rPr>
        <w:footnoteReference w:id="30"/>
      </w:r>
      <w:r w:rsidR="003378E0" w:rsidRPr="00D263D1">
        <w:t xml:space="preserve"> These issues are not of significant concern to pr</w:t>
      </w:r>
      <w:r w:rsidRPr="00D263D1">
        <w:t>event provisional registration.</w:t>
      </w:r>
    </w:p>
    <w:p w14:paraId="74DBB3B0" w14:textId="004FD084" w:rsidR="00962FD5" w:rsidRDefault="00ED555E" w:rsidP="00962FD5">
      <w:r>
        <w:t>In relation to efficacy, i</w:t>
      </w:r>
      <w:r w:rsidR="00962FD5">
        <w:t xml:space="preserve">mmunological data in humans demonstrated the development of a cellular and humoral immune response. The immune response is similar, or slightly lower, than that of the human convalescent serum. It is noted that two doses produce a greater antibody titre. There are </w:t>
      </w:r>
      <w:r w:rsidR="00C103C4">
        <w:t>ongoing clinical studies for a two</w:t>
      </w:r>
      <w:r w:rsidR="00962FD5">
        <w:t xml:space="preserve"> dose</w:t>
      </w:r>
      <w:r w:rsidR="00D95112">
        <w:t>s</w:t>
      </w:r>
      <w:r w:rsidR="00962FD5">
        <w:t xml:space="preserve"> regimen.</w:t>
      </w:r>
    </w:p>
    <w:p w14:paraId="2B895BD4" w14:textId="0DA291AB" w:rsidR="00962FD5" w:rsidRDefault="00962FD5" w:rsidP="00962FD5">
      <w:r>
        <w:t>The primary efficacy endpoint was</w:t>
      </w:r>
      <w:r w:rsidR="00D32529">
        <w:t xml:space="preserve"> prevention of</w:t>
      </w:r>
      <w:r>
        <w:t xml:space="preserve"> moderate/severe COVID. Pr</w:t>
      </w:r>
      <w:r w:rsidR="00C103C4">
        <w:t>imary efficacy was reported at D</w:t>
      </w:r>
      <w:r>
        <w:t>ays 14 and 28.</w:t>
      </w:r>
    </w:p>
    <w:p w14:paraId="4F949547" w14:textId="0006B751" w:rsidR="00962FD5" w:rsidRDefault="00962FD5" w:rsidP="00962FD5">
      <w:r>
        <w:t>The primary efficacy endpoint met the WHO criteria for an effective COVID vaccine.</w:t>
      </w:r>
      <w:r w:rsidR="00EF7F28">
        <w:rPr>
          <w:rStyle w:val="FootnoteReference"/>
        </w:rPr>
        <w:footnoteReference w:id="31"/>
      </w:r>
      <w:r>
        <w:t xml:space="preserve"> Similar va</w:t>
      </w:r>
      <w:r w:rsidR="00C103C4">
        <w:t>ccine efficacy was reported at D</w:t>
      </w:r>
      <w:r>
        <w:t>ays 14 and 28, and in different countries, and in those &lt;</w:t>
      </w:r>
      <w:r w:rsidR="00C103C4">
        <w:t xml:space="preserve"> </w:t>
      </w:r>
      <w:r>
        <w:t>60 years and older than 60 years.</w:t>
      </w:r>
    </w:p>
    <w:p w14:paraId="122FA6A7" w14:textId="77777777" w:rsidR="00962FD5" w:rsidRDefault="00962FD5" w:rsidP="00962FD5">
      <w:r>
        <w:t>The study assessed the serotype of COVID amongst cases detected. Further data about immunity and efficacy against variants will be reported in ongoing analysis.</w:t>
      </w:r>
    </w:p>
    <w:p w14:paraId="491910AF" w14:textId="52DFF70C" w:rsidR="00962FD5" w:rsidRDefault="00962FD5" w:rsidP="00962FD5">
      <w:r>
        <w:t>In relation to safety, there was local and sy</w:t>
      </w:r>
      <w:r w:rsidR="00ED555E">
        <w:t xml:space="preserve">stemic signs of </w:t>
      </w:r>
      <w:proofErr w:type="spellStart"/>
      <w:r w:rsidR="00ED555E">
        <w:t>reactagenicity</w:t>
      </w:r>
      <w:proofErr w:type="spellEnd"/>
      <w:r w:rsidR="00ED555E">
        <w:t xml:space="preserve"> 1</w:t>
      </w:r>
      <w:r w:rsidR="00D95112">
        <w:t xml:space="preserve"> to </w:t>
      </w:r>
      <w:r>
        <w:t>2 days after the vaccine, these symptoms lasted 103 days.</w:t>
      </w:r>
    </w:p>
    <w:p w14:paraId="61A1F65E" w14:textId="596EDD21" w:rsidR="00962FD5" w:rsidRDefault="00962FD5" w:rsidP="00962FD5">
      <w:r>
        <w:t xml:space="preserve">A case of cerebral venous thrombosis was reported in a vaccinated participant, </w:t>
      </w:r>
      <w:r w:rsidR="006C7376">
        <w:t xml:space="preserve">with an </w:t>
      </w:r>
      <w:r>
        <w:t>onset</w:t>
      </w:r>
      <w:r w:rsidR="006C7376">
        <w:t xml:space="preserve"> of</w:t>
      </w:r>
      <w:r>
        <w:t xml:space="preserve"> 19 days after vaccination. This event was not considered related to the vaccine by the sponsor due to the multiple other risk factors in this subject.</w:t>
      </w:r>
      <w:r w:rsidR="003378E0" w:rsidRPr="003378E0">
        <w:t xml:space="preserve"> </w:t>
      </w:r>
      <w:r w:rsidR="003378E0">
        <w:t xml:space="preserve">However, of review of further information this patient had positive Pf4 </w:t>
      </w:r>
      <w:proofErr w:type="spellStart"/>
      <w:r w:rsidR="003378E0">
        <w:t>antibdoies</w:t>
      </w:r>
      <w:proofErr w:type="spellEnd"/>
      <w:r w:rsidR="003378E0">
        <w:t xml:space="preserve">, which makes a causal link likely </w:t>
      </w:r>
    </w:p>
    <w:p w14:paraId="500E1109" w14:textId="34603898" w:rsidR="00962FD5" w:rsidRPr="00456765" w:rsidRDefault="00962FD5" w:rsidP="00962FD5">
      <w:r>
        <w:t xml:space="preserve">Other severe adverse events reported included brachial radiculitis, post vaccination syndrome, pericarditis, </w:t>
      </w:r>
      <w:proofErr w:type="spellStart"/>
      <w:r>
        <w:t>Bells</w:t>
      </w:r>
      <w:proofErr w:type="spellEnd"/>
      <w:r>
        <w:t xml:space="preserve"> Palsy and </w:t>
      </w:r>
      <w:proofErr w:type="spellStart"/>
      <w:r>
        <w:t>Guillian</w:t>
      </w:r>
      <w:proofErr w:type="spellEnd"/>
      <w:r>
        <w:t xml:space="preserve"> Barre syndrome. Reported adverse effects of special interest included anaphylaxis</w:t>
      </w:r>
      <w:r w:rsidR="00A80207">
        <w:t xml:space="preserve"> </w:t>
      </w:r>
      <w:r>
        <w:t>(although none met the Brighton Collaboration criteria)</w:t>
      </w:r>
      <w:r w:rsidR="00A80207">
        <w:fldChar w:fldCharType="begin"/>
      </w:r>
      <w:r w:rsidR="00A80207">
        <w:instrText xml:space="preserve"> NOTEREF _Ref72399013 \f \h </w:instrText>
      </w:r>
      <w:r w:rsidR="00A80207">
        <w:fldChar w:fldCharType="separate"/>
      </w:r>
      <w:r w:rsidR="00F204A2" w:rsidRPr="00F204A2">
        <w:rPr>
          <w:rStyle w:val="FootnoteReference"/>
        </w:rPr>
        <w:t>26</w:t>
      </w:r>
      <w:r w:rsidR="00A80207">
        <w:fldChar w:fldCharType="end"/>
      </w:r>
      <w:r>
        <w:t>, tinnitus, seizures and thrombosis.</w:t>
      </w:r>
    </w:p>
    <w:p w14:paraId="79D730FF" w14:textId="77777777" w:rsidR="00D23139" w:rsidRDefault="00D23139" w:rsidP="00D23139">
      <w:pPr>
        <w:pStyle w:val="Heading4"/>
      </w:pPr>
      <w:r w:rsidRPr="00D23139">
        <w:t>Proposed action</w:t>
      </w:r>
    </w:p>
    <w:p w14:paraId="73D06B78" w14:textId="0A64032B" w:rsidR="00962FD5" w:rsidRDefault="00962FD5" w:rsidP="00962FD5">
      <w:r>
        <w:t xml:space="preserve">The data available at this time to support the efficacy and safety of the COVID-19 </w:t>
      </w:r>
      <w:r w:rsidR="00603DB3">
        <w:t>V</w:t>
      </w:r>
      <w:r>
        <w:t>accine</w:t>
      </w:r>
      <w:r w:rsidR="005557E5">
        <w:t xml:space="preserve"> Janssen</w:t>
      </w:r>
      <w:r>
        <w:t xml:space="preserve"> is sufficient to su</w:t>
      </w:r>
      <w:r w:rsidR="00E96104">
        <w:t>pport provisional registration.</w:t>
      </w:r>
    </w:p>
    <w:p w14:paraId="1DB7D4CE" w14:textId="5A0BF529" w:rsidR="00962FD5" w:rsidRDefault="00962FD5" w:rsidP="00962FD5">
      <w:r>
        <w:t xml:space="preserve">Cases of thrombosis and thrombocytopenia, similar to that observed with the </w:t>
      </w:r>
      <w:r w:rsidR="00A76D7C">
        <w:t xml:space="preserve">COVID-19 Vaccine </w:t>
      </w:r>
      <w:r>
        <w:t xml:space="preserve">AstraZeneca have been reported in the post market setting. </w:t>
      </w:r>
      <w:r w:rsidR="00603DB3">
        <w:t xml:space="preserve">The sponsor </w:t>
      </w:r>
      <w:r>
        <w:t>has updated the PI in relation to this information. There are ongoing pharmacovigilance activities.</w:t>
      </w:r>
    </w:p>
    <w:p w14:paraId="29C0E0A3" w14:textId="306BA034" w:rsidR="00962FD5" w:rsidRPr="00456765" w:rsidRDefault="00962FD5" w:rsidP="00962FD5">
      <w:r>
        <w:t>As with other vaccines, their use in the Australian COVID-19 vaccination program will be informed by ATAGI and the vaccine taskforce.</w:t>
      </w:r>
    </w:p>
    <w:p w14:paraId="6FA63279" w14:textId="77777777" w:rsidR="007D53B6" w:rsidRDefault="007D53B6" w:rsidP="007D53B6">
      <w:pPr>
        <w:pStyle w:val="Heading4"/>
      </w:pPr>
      <w:r>
        <w:t xml:space="preserve">Questions for </w:t>
      </w:r>
      <w:r w:rsidR="00744121">
        <w:t xml:space="preserve">the </w:t>
      </w:r>
      <w:r>
        <w:t>sponsor</w:t>
      </w:r>
    </w:p>
    <w:p w14:paraId="55EB3C33" w14:textId="0D7B7755" w:rsidR="00744121" w:rsidRDefault="00744121" w:rsidP="00744121">
      <w:r>
        <w:t>The sponsor provided the following response to questions from the Delegate.</w:t>
      </w:r>
    </w:p>
    <w:p w14:paraId="03D2F6D5" w14:textId="77F78DB1" w:rsidR="003F431A" w:rsidRDefault="003F431A" w:rsidP="003F431A">
      <w:pPr>
        <w:pStyle w:val="Numberbullet0"/>
        <w:rPr>
          <w:b/>
          <w:i/>
        </w:rPr>
      </w:pPr>
      <w:r w:rsidRPr="003F431A">
        <w:rPr>
          <w:b/>
          <w:i/>
        </w:rPr>
        <w:t>Please update the TGA on the current international safety data in relation to the Janssen COVID-19. In particular, the number of cases of thrombosis and thrombocytopenia.</w:t>
      </w:r>
    </w:p>
    <w:p w14:paraId="19A51523" w14:textId="5971A70A" w:rsidR="00425DB1" w:rsidRDefault="00425DB1" w:rsidP="00425DB1">
      <w:r>
        <w:t xml:space="preserve">The overall international safety data for the </w:t>
      </w:r>
      <w:r w:rsidR="006167B8">
        <w:t>Ad26.COV2.S. COVID-19 V</w:t>
      </w:r>
      <w:r>
        <w:t xml:space="preserve">accine Janssen are closely monitored and summarized each month in a monthly summary safety report (MSSR) covering </w:t>
      </w:r>
      <w:r w:rsidR="00603DB3">
        <w:t xml:space="preserve">one </w:t>
      </w:r>
      <w:r>
        <w:t>calendar month period.</w:t>
      </w:r>
    </w:p>
    <w:p w14:paraId="691F3D80" w14:textId="647C5448" w:rsidR="00425DB1" w:rsidRDefault="00425DB1" w:rsidP="00425DB1">
      <w:r>
        <w:t xml:space="preserve">As of 7 May 2021, Janssen cumulative (US) post-marketing exposure according to the </w:t>
      </w:r>
      <w:r w:rsidR="006C7376">
        <w:t xml:space="preserve">US </w:t>
      </w:r>
      <w:proofErr w:type="spellStart"/>
      <w:r>
        <w:t>Center</w:t>
      </w:r>
      <w:r w:rsidR="006C7376">
        <w:t>s</w:t>
      </w:r>
      <w:proofErr w:type="spellEnd"/>
      <w:r>
        <w:t xml:space="preserve"> of Disease Control (CDC) is a total of 8,739,657 doses of Ad26.COV2.S COVID-19 </w:t>
      </w:r>
      <w:r w:rsidR="00603DB3">
        <w:t>V</w:t>
      </w:r>
      <w:r>
        <w:t>accine Janssen.</w:t>
      </w:r>
    </w:p>
    <w:p w14:paraId="6E0C49DF" w14:textId="1AB6F4D6" w:rsidR="00425DB1" w:rsidRDefault="00425DB1" w:rsidP="00425DB1">
      <w:r>
        <w:t>As of 7 May 2021, Janssen cumulative post-marketing exposure from the European Union/</w:t>
      </w:r>
      <w:r w:rsidR="006C7376">
        <w:t>European Economic Area</w:t>
      </w:r>
      <w:r>
        <w:t xml:space="preserve"> according to the </w:t>
      </w:r>
      <w:r w:rsidR="006C7376">
        <w:t>European Centres of Disease Control (</w:t>
      </w:r>
      <w:r>
        <w:t>ECDC</w:t>
      </w:r>
      <w:r w:rsidR="006C7376">
        <w:t>)</w:t>
      </w:r>
      <w:r>
        <w:t xml:space="preserve"> is a total of 596,377</w:t>
      </w:r>
      <w:r w:rsidR="006167B8">
        <w:t xml:space="preserve"> doses of Ad26.COV2.S COVID-19 V</w:t>
      </w:r>
      <w:r>
        <w:t>accine Janssen.</w:t>
      </w:r>
    </w:p>
    <w:p w14:paraId="4C19C549" w14:textId="18711178" w:rsidR="00425DB1" w:rsidRDefault="00425DB1" w:rsidP="00425DB1">
      <w:r>
        <w:t>As of 7 May 2021, a total of 381,528 participants had receiv</w:t>
      </w:r>
      <w:r w:rsidR="00963D92">
        <w:t>ed a single dose of Ad26.COV2.S at the selected dose level (that is</w:t>
      </w:r>
      <w:r>
        <w:t xml:space="preserve"> 5</w:t>
      </w:r>
      <w:r w:rsidR="00963D92">
        <w:t xml:space="preserve"> </w:t>
      </w:r>
      <w:r>
        <w:t>x</w:t>
      </w:r>
      <w:r w:rsidR="00963D92">
        <w:t xml:space="preserve"> </w:t>
      </w:r>
      <w:r>
        <w:t>10</w:t>
      </w:r>
      <w:r w:rsidRPr="00963D92">
        <w:rPr>
          <w:vertAlign w:val="superscript"/>
        </w:rPr>
        <w:t>10</w:t>
      </w:r>
      <w:r w:rsidRPr="00963D92">
        <w:t xml:space="preserve"> </w:t>
      </w:r>
      <w:r w:rsidR="00963D92">
        <w:t>VP</w:t>
      </w:r>
      <w:r>
        <w:t>) in an open label collaborative study.</w:t>
      </w:r>
    </w:p>
    <w:p w14:paraId="13B264E1" w14:textId="77777777" w:rsidR="00425DB1" w:rsidRDefault="00425DB1" w:rsidP="00425DB1">
      <w:r>
        <w:t>A search of the Global Safety Database was performed using the following search criteria:</w:t>
      </w:r>
    </w:p>
    <w:p w14:paraId="3DD4B9AB" w14:textId="6D9FCB5D" w:rsidR="00425DB1" w:rsidRDefault="00425DB1" w:rsidP="00963D92">
      <w:pPr>
        <w:pStyle w:val="ListBullet"/>
      </w:pPr>
      <w:r>
        <w:t xml:space="preserve">Cumulative cases completed with </w:t>
      </w:r>
      <w:proofErr w:type="spellStart"/>
      <w:r>
        <w:t>cutoff</w:t>
      </w:r>
      <w:proofErr w:type="spellEnd"/>
      <w:r>
        <w:t xml:space="preserve"> date of 7 May 2021</w:t>
      </w:r>
    </w:p>
    <w:p w14:paraId="4FB8AE26" w14:textId="5D178E43" w:rsidR="00425DB1" w:rsidRDefault="00425DB1" w:rsidP="00963D92">
      <w:pPr>
        <w:pStyle w:val="ListBullet"/>
      </w:pPr>
      <w:r>
        <w:t>Spontaneous/</w:t>
      </w:r>
      <w:r w:rsidR="003D7018">
        <w:t>s</w:t>
      </w:r>
      <w:r>
        <w:t>olicited cases from</w:t>
      </w:r>
      <w:r w:rsidR="00963D92">
        <w:t xml:space="preserve"> </w:t>
      </w:r>
      <w:r w:rsidR="006C7376">
        <w:t xml:space="preserve">the </w:t>
      </w:r>
      <w:r w:rsidR="00963D92">
        <w:t xml:space="preserve">open label collaborative </w:t>
      </w:r>
      <w:r w:rsidR="006C7376">
        <w:t>S</w:t>
      </w:r>
      <w:r w:rsidR="00963D92">
        <w:t>tudy</w:t>
      </w:r>
      <w:r w:rsidR="003D7018">
        <w:t> </w:t>
      </w:r>
      <w:r>
        <w:t>VAC31518COV3012</w:t>
      </w:r>
      <w:r w:rsidR="006C7376">
        <w:t>.</w:t>
      </w:r>
      <w:bookmarkStart w:id="61" w:name="_Ref74831841"/>
      <w:r w:rsidR="006C7376">
        <w:rPr>
          <w:rStyle w:val="FootnoteReference"/>
        </w:rPr>
        <w:footnoteReference w:id="32"/>
      </w:r>
      <w:bookmarkEnd w:id="61"/>
    </w:p>
    <w:p w14:paraId="73D54A4B" w14:textId="21FB0EC6" w:rsidR="00425DB1" w:rsidRPr="00496882" w:rsidRDefault="00425DB1" w:rsidP="00963D92">
      <w:pPr>
        <w:pStyle w:val="ListBullet"/>
        <w:rPr>
          <w:i/>
        </w:rPr>
      </w:pPr>
      <w:proofErr w:type="spellStart"/>
      <w:r>
        <w:t>S</w:t>
      </w:r>
      <w:r w:rsidR="00ED28EA">
        <w:t>tandarised</w:t>
      </w:r>
      <w:proofErr w:type="spellEnd"/>
      <w:r w:rsidR="00ED28EA">
        <w:t xml:space="preserve"> </w:t>
      </w:r>
      <w:r>
        <w:t>M</w:t>
      </w:r>
      <w:r w:rsidR="00ED28EA">
        <w:t xml:space="preserve">edDRA </w:t>
      </w:r>
      <w:r>
        <w:t>Q</w:t>
      </w:r>
      <w:r w:rsidR="00ED28EA">
        <w:t>ueries (SMQ) of</w:t>
      </w:r>
      <w:r>
        <w:t xml:space="preserve"> </w:t>
      </w:r>
      <w:r w:rsidRPr="00496882">
        <w:rPr>
          <w:i/>
        </w:rPr>
        <w:t>Embolic and thrombotic events</w:t>
      </w:r>
      <w:r w:rsidR="00ED28EA">
        <w:t>;</w:t>
      </w:r>
      <w:r w:rsidR="00ED28EA">
        <w:rPr>
          <w:rStyle w:val="FootnoteReference"/>
        </w:rPr>
        <w:footnoteReference w:id="33"/>
      </w:r>
      <w:r>
        <w:t xml:space="preserve"> </w:t>
      </w:r>
      <w:r w:rsidR="00ED28EA">
        <w:rPr>
          <w:i/>
        </w:rPr>
        <w:t>and</w:t>
      </w:r>
      <w:r w:rsidR="00ED28EA">
        <w:t xml:space="preserve"> the Higher Level Term (</w:t>
      </w:r>
      <w:r>
        <w:t>HLT</w:t>
      </w:r>
      <w:r w:rsidR="00ED28EA">
        <w:t>) of</w:t>
      </w:r>
      <w:r>
        <w:t xml:space="preserve"> </w:t>
      </w:r>
      <w:proofErr w:type="spellStart"/>
      <w:r w:rsidRPr="00496882">
        <w:rPr>
          <w:i/>
        </w:rPr>
        <w:t>Th</w:t>
      </w:r>
      <w:r w:rsidR="00963D92" w:rsidRPr="00496882">
        <w:rPr>
          <w:i/>
        </w:rPr>
        <w:t>rombocytopenias</w:t>
      </w:r>
      <w:proofErr w:type="spellEnd"/>
      <w:r w:rsidR="00ED28EA">
        <w:t>; or the</w:t>
      </w:r>
      <w:r w:rsidR="00963D92">
        <w:t xml:space="preserve"> SMQ </w:t>
      </w:r>
      <w:r w:rsidR="00ED28EA">
        <w:t xml:space="preserve">of </w:t>
      </w:r>
      <w:r w:rsidRPr="00496882">
        <w:rPr>
          <w:i/>
        </w:rPr>
        <w:t>Haematopoietic thrombocytopenia</w:t>
      </w:r>
    </w:p>
    <w:p w14:paraId="3C8966EC" w14:textId="2ED3A844" w:rsidR="00425DB1" w:rsidRDefault="00425DB1" w:rsidP="00425DB1">
      <w:r>
        <w:t>There are a total of 863 post marketing cases (853 spontaneousl</w:t>
      </w:r>
      <w:r w:rsidR="00963D92">
        <w:t xml:space="preserve">y reported and 10 reported from </w:t>
      </w:r>
      <w:r>
        <w:t>the VAC31518COV3012 study)</w:t>
      </w:r>
      <w:r w:rsidR="00574994">
        <w:t>;</w:t>
      </w:r>
      <w:r w:rsidR="00574994" w:rsidRPr="00AC2738">
        <w:rPr>
          <w:vertAlign w:val="superscript"/>
        </w:rPr>
        <w:fldChar w:fldCharType="begin"/>
      </w:r>
      <w:r w:rsidR="00574994" w:rsidRPr="00AC2738">
        <w:rPr>
          <w:vertAlign w:val="superscript"/>
        </w:rPr>
        <w:instrText xml:space="preserve"> NOTEREF _Ref74831841 \h </w:instrText>
      </w:r>
      <w:r w:rsidR="00574994">
        <w:rPr>
          <w:vertAlign w:val="superscript"/>
        </w:rPr>
        <w:instrText xml:space="preserve"> \* MERGEFORMAT </w:instrText>
      </w:r>
      <w:r w:rsidR="00574994" w:rsidRPr="00AC2738">
        <w:rPr>
          <w:vertAlign w:val="superscript"/>
        </w:rPr>
      </w:r>
      <w:r w:rsidR="00574994" w:rsidRPr="00AC2738">
        <w:rPr>
          <w:vertAlign w:val="superscript"/>
        </w:rPr>
        <w:fldChar w:fldCharType="separate"/>
      </w:r>
      <w:r w:rsidR="00F204A2">
        <w:rPr>
          <w:vertAlign w:val="superscript"/>
        </w:rPr>
        <w:t>32</w:t>
      </w:r>
      <w:r w:rsidR="00574994" w:rsidRPr="00AC2738">
        <w:rPr>
          <w:vertAlign w:val="superscript"/>
        </w:rPr>
        <w:fldChar w:fldCharType="end"/>
      </w:r>
      <w:r>
        <w:t xml:space="preserve"> with at least one event in th</w:t>
      </w:r>
      <w:r w:rsidR="00963D92">
        <w:t xml:space="preserve">e SMQ of </w:t>
      </w:r>
      <w:r w:rsidR="00963D92" w:rsidRPr="00AC2738">
        <w:rPr>
          <w:i/>
        </w:rPr>
        <w:t>Embolic and Thrombotic</w:t>
      </w:r>
      <w:r w:rsidR="00963D92">
        <w:t xml:space="preserve"> </w:t>
      </w:r>
      <w:r>
        <w:t>events. Of those 863 cases, there are a total of 52 cases w</w:t>
      </w:r>
      <w:r w:rsidR="00963D92">
        <w:t xml:space="preserve">ith at least 1 event in the SMQ </w:t>
      </w:r>
      <w:r w:rsidRPr="00AC2738">
        <w:rPr>
          <w:i/>
        </w:rPr>
        <w:t>Embolic and thrombotic</w:t>
      </w:r>
      <w:r>
        <w:t xml:space="preserve"> events and at least 1 event from t</w:t>
      </w:r>
      <w:r w:rsidR="00963D92">
        <w:t xml:space="preserve">he HLT </w:t>
      </w:r>
      <w:proofErr w:type="spellStart"/>
      <w:r w:rsidR="00963D92" w:rsidRPr="00AC2738">
        <w:rPr>
          <w:i/>
        </w:rPr>
        <w:t>Thrombocytopenias</w:t>
      </w:r>
      <w:proofErr w:type="spellEnd"/>
      <w:r w:rsidR="00963D92">
        <w:t xml:space="preserve"> or SMQ </w:t>
      </w:r>
      <w:r w:rsidRPr="00AC2738">
        <w:rPr>
          <w:i/>
        </w:rPr>
        <w:t>Haematopoietic thrombocytopenia.</w:t>
      </w:r>
      <w:r>
        <w:t xml:space="preserve"> All 52 cases were reported from spontaneous sources.</w:t>
      </w:r>
    </w:p>
    <w:p w14:paraId="37251CE2" w14:textId="708400AF" w:rsidR="00425DB1" w:rsidRDefault="00425DB1" w:rsidP="00425DB1">
      <w:r>
        <w:t>As of 07 May</w:t>
      </w:r>
      <w:r w:rsidR="00126461">
        <w:t xml:space="preserve"> </w:t>
      </w:r>
      <w:r>
        <w:t>2021, the total estimated exposure from t</w:t>
      </w:r>
      <w:r w:rsidR="00963D92">
        <w:t xml:space="preserve">he clinical trial databases for </w:t>
      </w:r>
      <w:r>
        <w:t>Ad26.COV2.S is 77,344.</w:t>
      </w:r>
    </w:p>
    <w:p w14:paraId="25D1E524" w14:textId="77777777" w:rsidR="00425DB1" w:rsidRDefault="00425DB1" w:rsidP="00425DB1">
      <w:r>
        <w:t>A search of the Global Clinical Database was performed using the following search criteria:</w:t>
      </w:r>
    </w:p>
    <w:p w14:paraId="00506428" w14:textId="46C33DB1" w:rsidR="00425DB1" w:rsidRDefault="00425DB1" w:rsidP="00963D92">
      <w:pPr>
        <w:pStyle w:val="ListBullet"/>
      </w:pPr>
      <w:r>
        <w:t xml:space="preserve">Cumulative cases completed with </w:t>
      </w:r>
      <w:proofErr w:type="spellStart"/>
      <w:r>
        <w:t>cutoff</w:t>
      </w:r>
      <w:proofErr w:type="spellEnd"/>
      <w:r>
        <w:t xml:space="preserve"> date of 07 May 2021</w:t>
      </w:r>
    </w:p>
    <w:p w14:paraId="6DC2FA8D" w14:textId="356F6324" w:rsidR="00425DB1" w:rsidRDefault="00425DB1" w:rsidP="00963D92">
      <w:pPr>
        <w:pStyle w:val="ListBullet"/>
      </w:pPr>
      <w:r>
        <w:t xml:space="preserve">SMQ Embolic and thrombotic events, </w:t>
      </w:r>
      <w:r w:rsidR="003D7018" w:rsidRPr="00467DC9">
        <w:rPr>
          <w:i/>
        </w:rPr>
        <w:t>and</w:t>
      </w:r>
      <w:r w:rsidR="00963D92">
        <w:t xml:space="preserve"> HLT </w:t>
      </w:r>
      <w:proofErr w:type="spellStart"/>
      <w:r w:rsidR="00963D92">
        <w:t>Thrombocytopenias</w:t>
      </w:r>
      <w:proofErr w:type="spellEnd"/>
      <w:r w:rsidR="00963D92">
        <w:t xml:space="preserve"> </w:t>
      </w:r>
      <w:r w:rsidR="003D7018" w:rsidRPr="00467DC9">
        <w:rPr>
          <w:i/>
        </w:rPr>
        <w:t>or</w:t>
      </w:r>
      <w:r w:rsidR="003D7018">
        <w:t xml:space="preserve"> </w:t>
      </w:r>
      <w:r w:rsidR="00963D92">
        <w:t xml:space="preserve">SMQ </w:t>
      </w:r>
      <w:r>
        <w:t>Haematopoietic thrombocytopenia</w:t>
      </w:r>
    </w:p>
    <w:p w14:paraId="67A214BD" w14:textId="6DE95B40" w:rsidR="00963D92" w:rsidRDefault="00425DB1" w:rsidP="00963D92">
      <w:r>
        <w:t xml:space="preserve">There are a total of 143 clinical trial cases with at least one </w:t>
      </w:r>
      <w:r w:rsidR="00963D92">
        <w:t xml:space="preserve">event in the SMQ of </w:t>
      </w:r>
      <w:r w:rsidR="00963D92" w:rsidRPr="00AC2738">
        <w:rPr>
          <w:i/>
        </w:rPr>
        <w:t xml:space="preserve">Embolic and </w:t>
      </w:r>
      <w:r w:rsidRPr="00AC2738">
        <w:rPr>
          <w:i/>
        </w:rPr>
        <w:t>Thrombotic</w:t>
      </w:r>
      <w:r>
        <w:t xml:space="preserve"> events. One case was identified that reported a th</w:t>
      </w:r>
      <w:r w:rsidR="00963D92">
        <w:t xml:space="preserve">romboembolic event with </w:t>
      </w:r>
      <w:r>
        <w:t>thrombocytopenia (cerebral venous sinus thrombosis and cereb</w:t>
      </w:r>
      <w:r w:rsidR="00963D92">
        <w:t>ral h</w:t>
      </w:r>
      <w:r w:rsidR="00017ADD">
        <w:t>a</w:t>
      </w:r>
      <w:r w:rsidR="00963D92">
        <w:t xml:space="preserve">emorrhage) within </w:t>
      </w:r>
      <w:r w:rsidR="00017ADD">
        <w:t>Study</w:t>
      </w:r>
      <w:r>
        <w:t xml:space="preserve"> COV3001 following administration of Ad26.COV2.S. </w:t>
      </w:r>
      <w:r w:rsidR="00963D92">
        <w:t xml:space="preserve">Further methodology was applied </w:t>
      </w:r>
      <w:r>
        <w:t>to assess potential cases of thrombosis and thrombocytopenia i</w:t>
      </w:r>
      <w:r w:rsidR="00963D92">
        <w:t xml:space="preserve">n those participants presenting </w:t>
      </w:r>
      <w:r>
        <w:t>with thromboembolic adverse events classified within th</w:t>
      </w:r>
      <w:r w:rsidR="00963D92">
        <w:t xml:space="preserve">e SMQ of </w:t>
      </w:r>
      <w:r w:rsidR="00963D92" w:rsidRPr="00AC2738">
        <w:rPr>
          <w:i/>
        </w:rPr>
        <w:t>Embolic and thrombotic</w:t>
      </w:r>
      <w:r w:rsidR="00963D92">
        <w:t xml:space="preserve"> </w:t>
      </w:r>
      <w:r>
        <w:t>events. Follow-up requests went out to sites to collect platelet counts for those subjects who</w:t>
      </w:r>
      <w:r w:rsidR="00963D92">
        <w:t xml:space="preserve"> </w:t>
      </w:r>
      <w:r>
        <w:t>experienced embolic and thrombotic events alone or in combination with thrombocytopenia</w:t>
      </w:r>
      <w:r w:rsidR="00963D92">
        <w:t xml:space="preserve"> (reported as adverse event). Based on this methodology, 16 additional cases of thrombosis and thrombocytopenia have been identified.</w:t>
      </w:r>
    </w:p>
    <w:p w14:paraId="7B1D0373" w14:textId="1A004595" w:rsidR="00963D92" w:rsidRDefault="00996A34" w:rsidP="00963D92">
      <w:r>
        <w:t>As noted in the Delegates o</w:t>
      </w:r>
      <w:r w:rsidR="00963D92">
        <w:t>verview, the sponsor has been providing TGA with regular updates as information on the cases of thrombosis and thrombocytopenia have evolved. Since the 14 April, the sponsor has submitted a further 12 updates including proposed revisions to the draft Australian PI and CMI with updated Clinical Overview (12 May, 2021), as well as two Monthly Safety Reports (15 April 2021 and 14 May 2021, respectively) which provides further details on the cases reported to the sponsor.</w:t>
      </w:r>
    </w:p>
    <w:p w14:paraId="6F03A593" w14:textId="6118A3BF" w:rsidR="00425DB1" w:rsidRPr="00963D92" w:rsidRDefault="00963D92" w:rsidP="00963D92">
      <w:r>
        <w:t>An updated Company Clinical Overview Addendum for the Ad26.COV2.S. COVID-19 Vaccine Janssen is currently being prepared to provide a summary of the events available to the Company for the signal of thrombosis with thrombocytopenia syndrome (TTS). Based on this new information, the European Risk Management Plan (EU-RMP) for the Ad26.COV2.S COVID-19 Vaccine Janssen has been updated and is being finalised with EMA. The final approved documents will be provided to TGA as soon as they are available.</w:t>
      </w:r>
    </w:p>
    <w:p w14:paraId="549DAF8D" w14:textId="010C166D" w:rsidR="003F431A" w:rsidRDefault="003F431A" w:rsidP="003F431A">
      <w:pPr>
        <w:pStyle w:val="Numberbullet0"/>
        <w:rPr>
          <w:b/>
          <w:i/>
        </w:rPr>
      </w:pPr>
      <w:r w:rsidRPr="003F431A">
        <w:rPr>
          <w:b/>
          <w:i/>
        </w:rPr>
        <w:t>Would the sponsor consider manufacturing a single dose vial for use for private prescriptions?</w:t>
      </w:r>
    </w:p>
    <w:p w14:paraId="5F275417" w14:textId="163FF626" w:rsidR="00963D92" w:rsidRDefault="00963D92" w:rsidP="00963D92">
      <w:r>
        <w:t>As noted in the previous response to the TGA questions, the development of a single dose presentation is currently ongoing.</w:t>
      </w:r>
    </w:p>
    <w:p w14:paraId="46B3F9C2" w14:textId="4648138A" w:rsidR="00963D92" w:rsidRDefault="00963D92" w:rsidP="00963D92">
      <w:r>
        <w:t>Janssen is not planning to supply the COVID-19 Vaccine Janssen privately in Australia during the pandemic phase (including through 2021).</w:t>
      </w:r>
    </w:p>
    <w:p w14:paraId="47C4F9A9" w14:textId="2C74BFB6" w:rsidR="00963D92" w:rsidRPr="00963D92" w:rsidRDefault="00963D92" w:rsidP="00963D92">
      <w:r>
        <w:t>Janssen continues discussions with the Australian Government COVID-19 Vaccine Taskforce. Stock is not currently allocated for supply in Australia in 2021. However, if an APA should be</w:t>
      </w:r>
      <w:r w:rsidR="00B268AD">
        <w:t xml:space="preserve"> </w:t>
      </w:r>
      <w:r>
        <w:t>signed in the future, Janssen will notify the TGA.</w:t>
      </w:r>
    </w:p>
    <w:p w14:paraId="23846D2A"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34"/>
      </w:r>
    </w:p>
    <w:p w14:paraId="2A5CB375" w14:textId="2CFA01C1" w:rsidR="00744121" w:rsidRDefault="00744121" w:rsidP="00744121">
      <w:pPr>
        <w:rPr>
          <w:bCs/>
        </w:rPr>
      </w:pPr>
      <w:bookmarkStart w:id="62" w:name="_Toc247691532"/>
      <w:bookmarkStart w:id="63" w:name="_Toc314842516"/>
      <w:bookmarkEnd w:id="34"/>
      <w:bookmarkEnd w:id="59"/>
      <w:bookmarkEnd w:id="60"/>
      <w:r w:rsidRPr="00456765">
        <w:rPr>
          <w:bCs/>
        </w:rPr>
        <w:t xml:space="preserve">The Advisory Committee on </w:t>
      </w:r>
      <w:r w:rsidR="003F431A">
        <w:rPr>
          <w:bCs/>
        </w:rPr>
        <w:t>Vaccine (ACV</w:t>
      </w:r>
      <w:r w:rsidRPr="00456765">
        <w:rPr>
          <w:bCs/>
        </w:rPr>
        <w:t>), having considered the evaluations and the Delegate’s overview, as well as the sponsor’s response to these documents, advised the following</w:t>
      </w:r>
      <w:r>
        <w:rPr>
          <w:bCs/>
        </w:rPr>
        <w:t>.</w:t>
      </w:r>
    </w:p>
    <w:p w14:paraId="415D691E" w14:textId="77777777" w:rsidR="00744121" w:rsidRDefault="00744121" w:rsidP="00744121">
      <w:pPr>
        <w:pStyle w:val="Heading5"/>
      </w:pPr>
      <w:r>
        <w:t>Specific advice to the Delegate</w:t>
      </w:r>
    </w:p>
    <w:p w14:paraId="647D7B64" w14:textId="77777777" w:rsidR="003F431A" w:rsidRDefault="003F431A" w:rsidP="003F431A">
      <w:r>
        <w:t>The ACV advised the following in response to the Delegate’s specific request for advice.</w:t>
      </w:r>
    </w:p>
    <w:p w14:paraId="6D854793" w14:textId="382E5A31" w:rsidR="0015416B" w:rsidRDefault="0015416B" w:rsidP="0015416B">
      <w:pPr>
        <w:pStyle w:val="Numberbullet0"/>
        <w:numPr>
          <w:ilvl w:val="0"/>
          <w:numId w:val="35"/>
        </w:numPr>
        <w:rPr>
          <w:b/>
          <w:i/>
        </w:rPr>
      </w:pPr>
      <w:r w:rsidRPr="0015416B">
        <w:rPr>
          <w:b/>
          <w:i/>
        </w:rPr>
        <w:t>Please comment on the wording of the indication. The primary efficacy endpoint was moderate/severe disease, however efficacy was also demonstrated against any infection. Should it state for the prevention of moderate/severe COVID-19?</w:t>
      </w:r>
    </w:p>
    <w:p w14:paraId="5C6E3299" w14:textId="77777777" w:rsidR="00477E1C" w:rsidRDefault="00477E1C" w:rsidP="00477E1C">
      <w:r>
        <w:t>The ACV advised that the current proposed indication is acceptable, and aligns with other provisionally-approved COVID-19 vaccines.</w:t>
      </w:r>
    </w:p>
    <w:p w14:paraId="6546EA75" w14:textId="771580F3" w:rsidR="00477E1C" w:rsidRPr="0015416B" w:rsidRDefault="00477E1C" w:rsidP="00477E1C">
      <w:r>
        <w:t>The ACV advised that the indication does not need to specify ‘</w:t>
      </w:r>
      <w:r w:rsidRPr="0082207D">
        <w:rPr>
          <w:i/>
        </w:rPr>
        <w:t>for the prevention of moderate/severe COVID-19</w:t>
      </w:r>
      <w:r>
        <w:t xml:space="preserve">’. The secondary endpoints from the pivotal trial were reassuring that the vaccine shows efficacy against all levels of severity of COVID-19 disease; </w:t>
      </w:r>
      <w:r w:rsidR="00D84C43">
        <w:t>vaccine efficacy (</w:t>
      </w:r>
      <w:r>
        <w:t>VE</w:t>
      </w:r>
      <w:r w:rsidR="00D84C43">
        <w:t>)</w:t>
      </w:r>
      <w:r>
        <w:t xml:space="preserve"> against any SARS</w:t>
      </w:r>
      <w:r w:rsidR="00017ADD">
        <w:t>-CoV-</w:t>
      </w:r>
      <w:r>
        <w:t xml:space="preserve">2 infection (including asymptomatic) </w:t>
      </w:r>
      <w:r w:rsidR="00017ADD">
        <w:t xml:space="preserve">was </w:t>
      </w:r>
      <w:r>
        <w:t>67.2% (</w:t>
      </w:r>
      <w:r w:rsidR="00017ADD">
        <w:t xml:space="preserve">adjusted 95% CIs: </w:t>
      </w:r>
      <w:r>
        <w:t>56.86; 75.26).</w:t>
      </w:r>
    </w:p>
    <w:p w14:paraId="2D17B2D6" w14:textId="632AF313" w:rsidR="0015416B" w:rsidRDefault="0015416B" w:rsidP="0015416B">
      <w:pPr>
        <w:pStyle w:val="Numberbullet0"/>
        <w:rPr>
          <w:b/>
          <w:i/>
        </w:rPr>
      </w:pPr>
      <w:r w:rsidRPr="0015416B">
        <w:rPr>
          <w:b/>
          <w:i/>
        </w:rPr>
        <w:t>What role do you think this vaccine will have in Australia’s vaccination strategy?</w:t>
      </w:r>
    </w:p>
    <w:p w14:paraId="3767C04C" w14:textId="77777777" w:rsidR="00477E1C" w:rsidRDefault="00477E1C" w:rsidP="00477E1C">
      <w:r>
        <w:t>The ACV noted the importance of having alternative COVID-19 vaccines available in Australia, for example, to address supply chain issues and, as proposed, to provide a single dose regimen.</w:t>
      </w:r>
    </w:p>
    <w:p w14:paraId="2248E22D" w14:textId="77777777" w:rsidR="00477E1C" w:rsidRDefault="00477E1C" w:rsidP="00477E1C">
      <w:r>
        <w:t>There is no advance purchasing agreement from the Australian government to purchase this vaccine. The ACV noted the information from the sponsor that it is not planning to supply COVID-19 Vaccine Janssen privately in Australia during the pandemic phase (including throughout 2021).</w:t>
      </w:r>
    </w:p>
    <w:p w14:paraId="01BC0F1A" w14:textId="6119A586" w:rsidR="00477E1C" w:rsidRPr="0015416B" w:rsidRDefault="00477E1C" w:rsidP="00477E1C">
      <w:r>
        <w:t>Thus, it is unlikely that the Janssen vaccine will have a major role in the Australian vaccination strategy.</w:t>
      </w:r>
    </w:p>
    <w:p w14:paraId="01348CE5" w14:textId="48EABE2D" w:rsidR="0015416B" w:rsidRDefault="0015416B" w:rsidP="0015416B">
      <w:pPr>
        <w:pStyle w:val="Numberbullet0"/>
        <w:rPr>
          <w:b/>
          <w:i/>
        </w:rPr>
      </w:pPr>
      <w:r w:rsidRPr="0015416B">
        <w:rPr>
          <w:b/>
          <w:i/>
        </w:rPr>
        <w:t>Please comment on the wording of the P</w:t>
      </w:r>
      <w:r w:rsidR="00D84C43">
        <w:rPr>
          <w:b/>
          <w:i/>
        </w:rPr>
        <w:t xml:space="preserve">roduct </w:t>
      </w:r>
      <w:r w:rsidRPr="0015416B">
        <w:rPr>
          <w:b/>
          <w:i/>
        </w:rPr>
        <w:t>I</w:t>
      </w:r>
      <w:r w:rsidR="00D84C43">
        <w:rPr>
          <w:b/>
          <w:i/>
        </w:rPr>
        <w:t>nformation</w:t>
      </w:r>
      <w:r w:rsidRPr="0015416B">
        <w:rPr>
          <w:b/>
          <w:i/>
        </w:rPr>
        <w:t xml:space="preserve"> in relation to thrombosis and thrombocytopenia.</w:t>
      </w:r>
    </w:p>
    <w:p w14:paraId="25E416AE" w14:textId="1D582EC4" w:rsidR="00477E1C" w:rsidRDefault="00477E1C" w:rsidP="00477E1C">
      <w:r>
        <w:t>The ACV supported the wording in the proposed P</w:t>
      </w:r>
      <w:r w:rsidR="00D84C43">
        <w:t xml:space="preserve">roduct </w:t>
      </w:r>
      <w:r>
        <w:t>I</w:t>
      </w:r>
      <w:r w:rsidR="00D84C43">
        <w:t>nformation</w:t>
      </w:r>
      <w:r w:rsidR="00E8210D">
        <w:t xml:space="preserve"> (PI)</w:t>
      </w:r>
      <w:r>
        <w:t xml:space="preserve"> (draft dated 21</w:t>
      </w:r>
      <w:r w:rsidR="003D7018">
        <w:t> </w:t>
      </w:r>
      <w:r>
        <w:t>May 2021) for the precaution on thrombocytopenia and coagulation disorders.</w:t>
      </w:r>
    </w:p>
    <w:p w14:paraId="1CAF94C1" w14:textId="49EE5FF5" w:rsidR="00477E1C" w:rsidRPr="0015416B" w:rsidRDefault="00477E1C" w:rsidP="00477E1C">
      <w:r>
        <w:t xml:space="preserve">Based on the number of cases of thrombosis and thrombocytopenia with positive </w:t>
      </w:r>
      <w:r w:rsidR="00017ADD">
        <w:t>platelet factor 4 (</w:t>
      </w:r>
      <w:r>
        <w:t>PF4</w:t>
      </w:r>
      <w:r w:rsidR="00017ADD">
        <w:t>)</w:t>
      </w:r>
      <w:r>
        <w:t xml:space="preserve"> antibodies that have been identified in Australia following use of COVID-19 Vaccine AstraZeneca, the ACV recommended that the PI should include advice for close follow-up </w:t>
      </w:r>
      <w:r w:rsidRPr="00477E1C">
        <w:t>of patients who develop thrombosis in typical sites together with thrombocytopenia post vaccination.</w:t>
      </w:r>
    </w:p>
    <w:p w14:paraId="673A923E" w14:textId="4302D2B0" w:rsidR="003F431A" w:rsidRDefault="0015416B" w:rsidP="0015416B">
      <w:pPr>
        <w:pStyle w:val="Numberbullet0"/>
        <w:rPr>
          <w:b/>
          <w:i/>
        </w:rPr>
      </w:pPr>
      <w:r w:rsidRPr="0015416B">
        <w:rPr>
          <w:b/>
          <w:i/>
        </w:rPr>
        <w:t>Are any additional risk mitigation strategies required?</w:t>
      </w:r>
    </w:p>
    <w:p w14:paraId="31BCFF21" w14:textId="19374DE6" w:rsidR="00477E1C" w:rsidRDefault="00477E1C" w:rsidP="00477E1C">
      <w:r>
        <w:t xml:space="preserve">The ACV noted the </w:t>
      </w:r>
      <w:r w:rsidR="00017ADD">
        <w:t>RMP</w:t>
      </w:r>
      <w:r>
        <w:t xml:space="preserve"> and supported the implementation of robust post-market safety monitoring.</w:t>
      </w:r>
    </w:p>
    <w:p w14:paraId="3A945A26" w14:textId="01B3B69E" w:rsidR="00477E1C" w:rsidRDefault="00477E1C" w:rsidP="00477E1C">
      <w:r>
        <w:t xml:space="preserve">The ACV supported the recent changes that the sponsor has implemented to add the risk of </w:t>
      </w:r>
      <w:r w:rsidR="001B51B3" w:rsidRPr="001B51B3">
        <w:t xml:space="preserve">thrombosis with thrombocytopenia syndrome </w:t>
      </w:r>
      <w:r w:rsidR="001B51B3">
        <w:t>(</w:t>
      </w:r>
      <w:r>
        <w:t>TTS</w:t>
      </w:r>
      <w:r w:rsidR="001B51B3">
        <w:t>)</w:t>
      </w:r>
      <w:r>
        <w:t xml:space="preserve"> to the list of safety concerns within the RMP, and the inclusion of safety information regarding TTS in the PI and CMI.</w:t>
      </w:r>
    </w:p>
    <w:p w14:paraId="68533061" w14:textId="643BBEAB" w:rsidR="00477E1C" w:rsidRDefault="00477E1C" w:rsidP="00477E1C">
      <w:r>
        <w:t>The ACV noted that in the EU the sponsor has implemented a direct healthcare professional communication in the form of a</w:t>
      </w:r>
      <w:r w:rsidR="001B51B3">
        <w:t xml:space="preserve"> direct healthcare professional communications</w:t>
      </w:r>
      <w:r>
        <w:t xml:space="preserve"> letter; this could also be implemented in Australia if the vaccine is supplied here.</w:t>
      </w:r>
    </w:p>
    <w:p w14:paraId="5A73EB81" w14:textId="77777777" w:rsidR="00477E1C" w:rsidRPr="00477E1C" w:rsidRDefault="00477E1C" w:rsidP="00477E1C">
      <w:pPr>
        <w:rPr>
          <w:b/>
        </w:rPr>
      </w:pPr>
      <w:r w:rsidRPr="00477E1C">
        <w:rPr>
          <w:b/>
        </w:rPr>
        <w:t>Other advice</w:t>
      </w:r>
    </w:p>
    <w:p w14:paraId="5E598426" w14:textId="4DC1502D" w:rsidR="00477E1C" w:rsidRPr="0015416B" w:rsidRDefault="00477E1C" w:rsidP="00477E1C">
      <w:r>
        <w:t xml:space="preserve">The ACV noted the recent joint statement from </w:t>
      </w:r>
      <w:r w:rsidR="00017ADD">
        <w:t xml:space="preserve">the </w:t>
      </w:r>
      <w:r w:rsidR="00BE55C5" w:rsidRPr="00BE55C5">
        <w:t xml:space="preserve">Australian Technical Advisory Group on Immunisation </w:t>
      </w:r>
      <w:r w:rsidR="00BE55C5">
        <w:t>(</w:t>
      </w:r>
      <w:r>
        <w:t>ATAGI</w:t>
      </w:r>
      <w:r w:rsidR="00BE55C5">
        <w:t>)</w:t>
      </w:r>
      <w:r>
        <w:t xml:space="preserve"> and</w:t>
      </w:r>
      <w:r w:rsidR="00017ADD">
        <w:t xml:space="preserve"> the</w:t>
      </w:r>
      <w:r>
        <w:t xml:space="preserve"> </w:t>
      </w:r>
      <w:r w:rsidR="00BE55C5" w:rsidRPr="00BE55C5">
        <w:t xml:space="preserve">Thrombosis </w:t>
      </w:r>
      <w:r w:rsidR="00017ADD">
        <w:t>and</w:t>
      </w:r>
      <w:r w:rsidR="00BE55C5" w:rsidRPr="00BE55C5">
        <w:t xml:space="preserve"> Haemostasis society of Australia and New Zealand </w:t>
      </w:r>
      <w:r w:rsidR="00BE55C5">
        <w:t>(</w:t>
      </w:r>
      <w:r>
        <w:t>THANZ</w:t>
      </w:r>
      <w:r w:rsidR="00BE55C5">
        <w:t>)</w:t>
      </w:r>
      <w:r>
        <w:t xml:space="preserve"> on </w:t>
      </w:r>
      <w:r w:rsidR="00BE55C5" w:rsidRPr="00BE55C5">
        <w:t xml:space="preserve">Thrombosis with thrombocytopenia syndrome </w:t>
      </w:r>
      <w:r w:rsidR="00BE55C5">
        <w:t>(</w:t>
      </w:r>
      <w:r>
        <w:t>TTS</w:t>
      </w:r>
      <w:r w:rsidR="00BE55C5">
        <w:t>)</w:t>
      </w:r>
      <w:r>
        <w:t xml:space="preserve"> and the use of COVID-19 Vaccin</w:t>
      </w:r>
      <w:r w:rsidR="00BE55C5">
        <w:t>e AstraZeneca.</w:t>
      </w:r>
      <w:r w:rsidR="00BE55C5">
        <w:rPr>
          <w:rStyle w:val="FootnoteReference"/>
        </w:rPr>
        <w:footnoteReference w:id="35"/>
      </w:r>
      <w:r w:rsidR="00BE55C5">
        <w:t xml:space="preserve"> </w:t>
      </w:r>
      <w:r>
        <w:t>The statement includes advice against the use of COVID-19 Vaccine AstraZeneca in persons with a history of anti-phospholipid syndrome or mesenteric thrombosis. The ACV advised that the relevance of this precaution to COVID-19 Vaccine Janssen should be investigated and reflected in the PI as appropriate.</w:t>
      </w:r>
    </w:p>
    <w:p w14:paraId="24C6FD4C" w14:textId="77777777" w:rsidR="00744121" w:rsidRDefault="00744121" w:rsidP="00744121">
      <w:pPr>
        <w:pStyle w:val="Heading5"/>
      </w:pPr>
      <w:r>
        <w:t>Conclusion</w:t>
      </w:r>
    </w:p>
    <w:p w14:paraId="144FE4D5" w14:textId="509A4E87" w:rsidR="00477E1C" w:rsidRDefault="00477E1C" w:rsidP="00A9255A">
      <w:r>
        <w:t>The ACV considered COVID-19 Vaccine Janssen to currently have an overall positive benefit-risk profile, and therefore supported the following:</w:t>
      </w:r>
    </w:p>
    <w:p w14:paraId="3E98110F" w14:textId="2F9ADE65" w:rsidR="00A9255A" w:rsidRPr="00A9255A" w:rsidRDefault="00477E1C" w:rsidP="00AC2738">
      <w:pPr>
        <w:ind w:firstLine="720"/>
        <w:rPr>
          <w:i/>
        </w:rPr>
      </w:pPr>
      <w:r w:rsidRPr="00A9255A">
        <w:rPr>
          <w:i/>
        </w:rPr>
        <w:t xml:space="preserve">COVID-19 Vaccine Janssen has </w:t>
      </w:r>
      <w:r w:rsidRPr="00A9255A">
        <w:rPr>
          <w:bCs/>
          <w:i/>
        </w:rPr>
        <w:t>provisional approval</w:t>
      </w:r>
      <w:r w:rsidRPr="00A9255A">
        <w:rPr>
          <w:b/>
          <w:bCs/>
          <w:i/>
        </w:rPr>
        <w:t xml:space="preserve"> </w:t>
      </w:r>
      <w:r w:rsidR="00A9255A" w:rsidRPr="00A9255A">
        <w:rPr>
          <w:i/>
        </w:rPr>
        <w:t>for the indication:</w:t>
      </w:r>
    </w:p>
    <w:p w14:paraId="4A48A14D" w14:textId="611EE1B3" w:rsidR="00477E1C" w:rsidRPr="00A9255A" w:rsidRDefault="00477E1C" w:rsidP="00A9255A">
      <w:pPr>
        <w:ind w:left="720"/>
        <w:rPr>
          <w:i/>
        </w:rPr>
      </w:pPr>
      <w:r w:rsidRPr="00A9255A">
        <w:rPr>
          <w:i/>
        </w:rPr>
        <w:t>Active immunisation to prevent COVID-19 caused by SARS-CoV-2 in individ</w:t>
      </w:r>
      <w:r w:rsidR="00A9255A" w:rsidRPr="00A9255A">
        <w:rPr>
          <w:i/>
        </w:rPr>
        <w:t>uals 18</w:t>
      </w:r>
      <w:r w:rsidR="00017ADD">
        <w:rPr>
          <w:i/>
        </w:rPr>
        <w:t> </w:t>
      </w:r>
      <w:r w:rsidR="00A9255A" w:rsidRPr="00A9255A">
        <w:rPr>
          <w:i/>
        </w:rPr>
        <w:t>years of age and older.</w:t>
      </w:r>
    </w:p>
    <w:p w14:paraId="5F60DE56" w14:textId="3EB00947" w:rsidR="00477E1C" w:rsidRDefault="00477E1C" w:rsidP="00A9255A">
      <w:pPr>
        <w:ind w:left="720"/>
      </w:pPr>
      <w:r w:rsidRPr="00A9255A">
        <w:rPr>
          <w:i/>
        </w:rPr>
        <w:t>The use of this vaccine should be in accordance</w:t>
      </w:r>
      <w:r w:rsidR="00A9255A" w:rsidRPr="00A9255A">
        <w:rPr>
          <w:i/>
        </w:rPr>
        <w:t xml:space="preserve"> with official recommendations.</w:t>
      </w:r>
    </w:p>
    <w:p w14:paraId="29F58971" w14:textId="223E8181" w:rsidR="00477E1C" w:rsidRPr="00A9255A" w:rsidRDefault="00477E1C" w:rsidP="00AC2738">
      <w:pPr>
        <w:ind w:left="720"/>
        <w:rPr>
          <w:i/>
        </w:rPr>
      </w:pPr>
      <w:r w:rsidRPr="00A9255A">
        <w:rPr>
          <w:i/>
        </w:rPr>
        <w:t>The decision has been made on the basis of short term efficacy and safety data. Continued approval is dependent upon the evidence of longer-term efficacy and safety from ongoing clinical trials and post-market assessment.</w:t>
      </w:r>
    </w:p>
    <w:p w14:paraId="6EA62F00" w14:textId="77777777" w:rsidR="008E7846" w:rsidRPr="00E96104" w:rsidRDefault="008E7846" w:rsidP="008E7846">
      <w:pPr>
        <w:pStyle w:val="Heading3"/>
        <w:rPr>
          <w:highlight w:val="yellow"/>
        </w:rPr>
      </w:pPr>
      <w:bookmarkStart w:id="64" w:name="_Toc75438464"/>
      <w:r w:rsidRPr="00E96104">
        <w:t>Outcome</w:t>
      </w:r>
      <w:bookmarkEnd w:id="62"/>
      <w:bookmarkEnd w:id="63"/>
      <w:bookmarkEnd w:id="64"/>
    </w:p>
    <w:p w14:paraId="7EBF266D" w14:textId="337AA9E0" w:rsidR="007D53B6" w:rsidRPr="00795316" w:rsidRDefault="00744121" w:rsidP="00744121">
      <w:bookmarkStart w:id="65" w:name="_Toc247691533"/>
      <w:bookmarkStart w:id="66" w:name="_Toc314842517"/>
      <w:r w:rsidRPr="00795316">
        <w:t xml:space="preserve">Based on a review of quality, safety and efficacy, the TGA approved the registration of </w:t>
      </w:r>
      <w:r w:rsidR="00E94053" w:rsidRPr="00795316">
        <w:t>COVID-19 Vaccine Janssen (Ad26.COV2.S) 5 x 10</w:t>
      </w:r>
      <w:r w:rsidR="00E94053" w:rsidRPr="00795316">
        <w:rPr>
          <w:vertAlign w:val="superscript"/>
        </w:rPr>
        <w:t xml:space="preserve">10 </w:t>
      </w:r>
      <w:r w:rsidR="00E94053" w:rsidRPr="00795316">
        <w:t>virus particles (VP)/0.5 mL, suspension for injection, multi-dose vial</w:t>
      </w:r>
      <w:r w:rsidRPr="00795316">
        <w:t>, indicated for:</w:t>
      </w:r>
    </w:p>
    <w:p w14:paraId="6851F425" w14:textId="1461C7A7" w:rsidR="009D3C4D" w:rsidRDefault="009D3C4D" w:rsidP="00A2484C">
      <w:pPr>
        <w:ind w:left="720"/>
        <w:rPr>
          <w:i/>
        </w:rPr>
      </w:pPr>
      <w:r w:rsidRPr="009D3C4D">
        <w:rPr>
          <w:i/>
        </w:rPr>
        <w:t>COVID-19 Vaccine Janssen has provisional approval for the indication:</w:t>
      </w:r>
    </w:p>
    <w:p w14:paraId="219F95A6" w14:textId="39A0C929" w:rsidR="00A2484C" w:rsidRPr="00A2484C" w:rsidRDefault="00A2484C" w:rsidP="00A2484C">
      <w:pPr>
        <w:ind w:left="720"/>
        <w:rPr>
          <w:i/>
        </w:rPr>
      </w:pPr>
      <w:r w:rsidRPr="00A2484C">
        <w:rPr>
          <w:i/>
        </w:rPr>
        <w:t>COVID-19 Vaccine Janssen is indicated for active immunisation to prevent COVID-19 caused by SARS-CoV-2 in individuals 18 years of age and older.</w:t>
      </w:r>
    </w:p>
    <w:p w14:paraId="023CBE3A" w14:textId="77777777" w:rsidR="00A2484C" w:rsidRPr="00A2484C" w:rsidRDefault="00A2484C" w:rsidP="00A2484C">
      <w:pPr>
        <w:ind w:left="720"/>
        <w:rPr>
          <w:i/>
        </w:rPr>
      </w:pPr>
      <w:r w:rsidRPr="00A2484C">
        <w:rPr>
          <w:i/>
        </w:rPr>
        <w:t>The use of this vaccine should be in accordance with official recommendations.</w:t>
      </w:r>
    </w:p>
    <w:p w14:paraId="3F7F5D9C" w14:textId="3D2F095E" w:rsidR="00A2484C" w:rsidRDefault="00A2484C" w:rsidP="00A2484C">
      <w:pPr>
        <w:ind w:left="720"/>
      </w:pPr>
      <w:r w:rsidRPr="00A2484C">
        <w:rPr>
          <w:i/>
        </w:rPr>
        <w:t>The decision has been made on the basis of short term efficacy and safety data. Continued approval is dependent upon the evidence of longer-term efficacy and safety from ongoing clinical trials and post-market assessment.</w:t>
      </w:r>
    </w:p>
    <w:p w14:paraId="496F1277" w14:textId="5049EFBF" w:rsidR="00D23139" w:rsidRPr="00E96104" w:rsidRDefault="00D23139" w:rsidP="00A2484C">
      <w:pPr>
        <w:pStyle w:val="Heading4"/>
      </w:pPr>
      <w:r w:rsidRPr="00E96104">
        <w:t>Specific conditions of registration applying to these goods</w:t>
      </w:r>
    </w:p>
    <w:p w14:paraId="535E682C" w14:textId="0F4532AD" w:rsidR="002B6A95" w:rsidRDefault="002B6A95" w:rsidP="002B6A95">
      <w:pPr>
        <w:pStyle w:val="ListBullet"/>
      </w:pPr>
      <w:r>
        <w:t xml:space="preserve">COVID-19 Vaccine Janssen (Ad26.COV2.S) is to be included in the Black Triangle </w:t>
      </w:r>
      <w:r w:rsidRPr="002B6A95">
        <w:t>Scheme. The P</w:t>
      </w:r>
      <w:r>
        <w:t xml:space="preserve">roduct </w:t>
      </w:r>
      <w:r w:rsidRPr="002B6A95">
        <w:t>I</w:t>
      </w:r>
      <w:r>
        <w:t xml:space="preserve">nformation and </w:t>
      </w:r>
      <w:r w:rsidRPr="002B6A95">
        <w:rPr>
          <w:rFonts w:eastAsiaTheme="minorHAnsi" w:cs="Cambria"/>
          <w:color w:val="000000"/>
        </w:rPr>
        <w:t>Consumer Medicines Information</w:t>
      </w:r>
      <w:r w:rsidRPr="002B6A95">
        <w:t xml:space="preserve"> for COVID-19 V</w:t>
      </w:r>
      <w:r>
        <w:t xml:space="preserve">accine </w:t>
      </w:r>
      <w:r w:rsidRPr="002B6A95">
        <w:t>J</w:t>
      </w:r>
      <w:r>
        <w:t xml:space="preserve">anssen </w:t>
      </w:r>
      <w:r w:rsidRPr="002B6A95">
        <w:t>must include the black</w:t>
      </w:r>
      <w:r>
        <w:t xml:space="preserve"> </w:t>
      </w:r>
      <w:r w:rsidRPr="002B6A95">
        <w:t>triangle symbol and mandatory accompanying text for the products entire period of</w:t>
      </w:r>
      <w:r>
        <w:t xml:space="preserve"> </w:t>
      </w:r>
      <w:r w:rsidRPr="002B6A95">
        <w:t>provisional registration.</w:t>
      </w:r>
    </w:p>
    <w:p w14:paraId="67CF3FBE" w14:textId="3A1A40D6" w:rsidR="002B6A95" w:rsidRDefault="002B6A95" w:rsidP="002B6A95">
      <w:pPr>
        <w:pStyle w:val="ListBullet"/>
        <w:rPr>
          <w:rFonts w:eastAsiaTheme="minorHAnsi" w:cs="Cambria"/>
          <w:color w:val="000000"/>
        </w:rPr>
      </w:pPr>
      <w:r w:rsidRPr="002B6A95">
        <w:rPr>
          <w:rFonts w:eastAsiaTheme="minorHAnsi" w:cs="Cambria"/>
          <w:color w:val="000000"/>
        </w:rPr>
        <w:t>T</w:t>
      </w:r>
      <w:r w:rsidR="000324E9">
        <w:rPr>
          <w:rFonts w:eastAsiaTheme="minorHAnsi" w:cs="Cambria"/>
          <w:color w:val="000000"/>
        </w:rPr>
        <w:t>he COVID-19 Vaccine Janssen EU-risk management p</w:t>
      </w:r>
      <w:r w:rsidRPr="002B6A95">
        <w:rPr>
          <w:rFonts w:eastAsiaTheme="minorHAnsi" w:cs="Cambria"/>
          <w:color w:val="000000"/>
        </w:rPr>
        <w:t>lan (RMP) (version 1.4, dated</w:t>
      </w:r>
      <w:r>
        <w:rPr>
          <w:rFonts w:eastAsiaTheme="minorHAnsi" w:cs="Cambria"/>
          <w:color w:val="000000"/>
        </w:rPr>
        <w:t xml:space="preserve"> </w:t>
      </w:r>
      <w:r w:rsidRPr="002B6A95">
        <w:rPr>
          <w:rFonts w:eastAsiaTheme="minorHAnsi" w:cs="Cambria"/>
          <w:color w:val="000000"/>
        </w:rPr>
        <w:t xml:space="preserve">12 March 2021, data lock point 22 </w:t>
      </w:r>
      <w:r w:rsidR="00A36C4A">
        <w:rPr>
          <w:rFonts w:eastAsiaTheme="minorHAnsi" w:cs="Cambria"/>
          <w:color w:val="000000"/>
        </w:rPr>
        <w:t>January 2021), with Australian-</w:t>
      </w:r>
      <w:r w:rsidR="000324E9">
        <w:rPr>
          <w:rFonts w:eastAsiaTheme="minorHAnsi" w:cs="Cambria"/>
          <w:color w:val="000000"/>
        </w:rPr>
        <w:t>Specific a</w:t>
      </w:r>
      <w:r w:rsidRPr="002B6A95">
        <w:rPr>
          <w:rFonts w:eastAsiaTheme="minorHAnsi" w:cs="Cambria"/>
          <w:color w:val="000000"/>
        </w:rPr>
        <w:t>nnex</w:t>
      </w:r>
      <w:r>
        <w:rPr>
          <w:rFonts w:eastAsiaTheme="minorHAnsi" w:cs="Cambria"/>
          <w:color w:val="000000"/>
        </w:rPr>
        <w:t xml:space="preserve"> </w:t>
      </w:r>
      <w:r w:rsidRPr="002B6A95">
        <w:rPr>
          <w:rFonts w:eastAsiaTheme="minorHAnsi" w:cs="Cambria"/>
          <w:color w:val="000000"/>
        </w:rPr>
        <w:t>(version 4.0, dated</w:t>
      </w:r>
      <w:r w:rsidR="000324E9">
        <w:rPr>
          <w:rFonts w:eastAsiaTheme="minorHAnsi" w:cs="Cambria"/>
          <w:color w:val="000000"/>
        </w:rPr>
        <w:t xml:space="preserve"> 19 April 2021), included with S</w:t>
      </w:r>
      <w:r w:rsidRPr="002B6A95">
        <w:rPr>
          <w:rFonts w:eastAsiaTheme="minorHAnsi" w:cs="Cambria"/>
          <w:color w:val="000000"/>
        </w:rPr>
        <w:t>ubmission PM-2020-01673-1-2,</w:t>
      </w:r>
      <w:r>
        <w:rPr>
          <w:rFonts w:eastAsiaTheme="minorHAnsi" w:cs="Cambria"/>
          <w:color w:val="000000"/>
        </w:rPr>
        <w:t xml:space="preserve"> </w:t>
      </w:r>
      <w:r w:rsidRPr="002B6A95">
        <w:rPr>
          <w:rFonts w:eastAsiaTheme="minorHAnsi" w:cs="Cambria"/>
          <w:color w:val="000000"/>
        </w:rPr>
        <w:t>to be revised to the satisfaction of the TGA, will be implemented in Australia.</w:t>
      </w:r>
    </w:p>
    <w:p w14:paraId="14CD3B1C" w14:textId="77777777" w:rsidR="002B6A95" w:rsidRDefault="002B6A95" w:rsidP="002B6A95">
      <w:pPr>
        <w:pStyle w:val="ListBullet"/>
        <w:numPr>
          <w:ilvl w:val="0"/>
          <w:numId w:val="0"/>
        </w:numPr>
        <w:ind w:left="360"/>
        <w:rPr>
          <w:rFonts w:eastAsiaTheme="minorHAnsi" w:cs="Cambria"/>
          <w:color w:val="000000"/>
        </w:rPr>
      </w:pPr>
      <w:r w:rsidRPr="002B6A95">
        <w:rPr>
          <w:rFonts w:eastAsiaTheme="minorHAnsi" w:cs="Cambria"/>
          <w:color w:val="000000"/>
        </w:rPr>
        <w:t>An obligatory component of risk management plans is routine pharmacovigilance.</w:t>
      </w:r>
      <w:r>
        <w:rPr>
          <w:rFonts w:eastAsiaTheme="minorHAnsi" w:cs="Cambria"/>
          <w:color w:val="000000"/>
        </w:rPr>
        <w:t xml:space="preserve"> Routine pharmacovigilance includes the submission of periodic safety update reports (PSURs).</w:t>
      </w:r>
    </w:p>
    <w:p w14:paraId="206167E8" w14:textId="249A85A5" w:rsidR="002B6A95" w:rsidRDefault="002B6A95" w:rsidP="002B6A95">
      <w:pPr>
        <w:pStyle w:val="ListBullet"/>
        <w:numPr>
          <w:ilvl w:val="0"/>
          <w:numId w:val="0"/>
        </w:numPr>
        <w:ind w:left="360"/>
        <w:rPr>
          <w:rFonts w:eastAsiaTheme="minorHAnsi" w:cs="Cambria"/>
          <w:color w:val="000000"/>
        </w:rPr>
      </w:pPr>
      <w:r>
        <w:rPr>
          <w:rFonts w:eastAsiaTheme="minorHAnsi" w:cs="Cambria"/>
          <w:color w:val="000000"/>
        </w:rPr>
        <w:lastRenderedPageBreak/>
        <w:t>Unless agreed separately between the sponsor and the TGA, the first report must be submitted to TGA no later than six calendar months after the date of the approval letter. The subsequent reports must be submitted no less frequently than six monthly until the period covered by such reports is not less than three years from the date of the approval letter, or the entire period of provisional registration, whichever is longer.</w:t>
      </w:r>
    </w:p>
    <w:p w14:paraId="53DBF4BD" w14:textId="41A2BB6C" w:rsidR="002B6A95" w:rsidRDefault="002B6A95" w:rsidP="002B6A95">
      <w:pPr>
        <w:pStyle w:val="ListBullet"/>
        <w:numPr>
          <w:ilvl w:val="0"/>
          <w:numId w:val="0"/>
        </w:numPr>
        <w:ind w:left="360"/>
        <w:rPr>
          <w:rFonts w:eastAsiaTheme="minorHAnsi" w:cs="Cambria"/>
          <w:color w:val="000000"/>
        </w:rPr>
      </w:pPr>
      <w:r>
        <w:rPr>
          <w:rFonts w:eastAsiaTheme="minorHAnsi" w:cs="Cambria"/>
          <w:color w:val="000000"/>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3848DF1C" w14:textId="1DE9C213" w:rsidR="002B6A95" w:rsidRPr="002B6A95" w:rsidRDefault="002B6A95" w:rsidP="002B6A95">
      <w:pPr>
        <w:pStyle w:val="ListBullet"/>
        <w:numPr>
          <w:ilvl w:val="0"/>
          <w:numId w:val="0"/>
        </w:numPr>
        <w:ind w:left="360"/>
        <w:rPr>
          <w:rFonts w:eastAsiaTheme="minorHAnsi" w:cs="Cambria"/>
          <w:color w:val="000000"/>
        </w:rPr>
      </w:pPr>
      <w:r>
        <w:rPr>
          <w:rFonts w:eastAsiaTheme="minorHAnsi" w:cs="Cambria"/>
          <w:color w:val="000000"/>
        </w:rPr>
        <w:t>Additional to the routine submission of the routine PSURs, expedited monthly, safety summary reports (including safety data for patients in Australia) ar</w:t>
      </w:r>
      <w:r w:rsidR="007407AC">
        <w:rPr>
          <w:rFonts w:eastAsiaTheme="minorHAnsi" w:cs="Cambria"/>
          <w:color w:val="000000"/>
        </w:rPr>
        <w:t>e to be provided for the first six</w:t>
      </w:r>
      <w:r>
        <w:rPr>
          <w:rFonts w:eastAsiaTheme="minorHAnsi" w:cs="Cambria"/>
          <w:color w:val="000000"/>
        </w:rPr>
        <w:t xml:space="preserve"> months post registration, and thereafter at intervals specified by the TGA.</w:t>
      </w:r>
    </w:p>
    <w:p w14:paraId="09C07BC5" w14:textId="0452FAF0" w:rsidR="002B6A95" w:rsidRDefault="00B339E1" w:rsidP="00B339E1">
      <w:pPr>
        <w:pStyle w:val="ListBullet"/>
      </w:pPr>
      <w:r>
        <w:t>Batch Release Testing and Compliance</w:t>
      </w:r>
    </w:p>
    <w:p w14:paraId="61FD98B0" w14:textId="0899020A" w:rsidR="002B6A95" w:rsidRDefault="00B339E1" w:rsidP="002B6A95">
      <w:pPr>
        <w:pStyle w:val="ListBullet"/>
        <w:numPr>
          <w:ilvl w:val="0"/>
          <w:numId w:val="0"/>
        </w:numPr>
        <w:ind w:left="360"/>
      </w:pPr>
      <w:r>
        <w:t>It is a condition of registration that all independent batches of COVID-19 Vaccine Janssen (Ad26.COV2.S) vaccine imported into Australia are not released for sale until samples and the manufacturer’s release</w:t>
      </w:r>
      <w:r w:rsidR="000C1229">
        <w:t xml:space="preserve"> data have been assessed and you [the </w:t>
      </w:r>
      <w:r w:rsidR="007407AC">
        <w:t>sponsor</w:t>
      </w:r>
      <w:r w:rsidR="000C1229">
        <w:t xml:space="preserve">] </w:t>
      </w:r>
      <w:r>
        <w:t>have received notification acknowledging release from the Laboratories Branch, TGA.</w:t>
      </w:r>
    </w:p>
    <w:p w14:paraId="64C92F7D" w14:textId="3386CA78" w:rsidR="00B339E1" w:rsidRDefault="00B339E1" w:rsidP="002B6A95">
      <w:pPr>
        <w:pStyle w:val="ListBullet"/>
        <w:numPr>
          <w:ilvl w:val="0"/>
          <w:numId w:val="0"/>
        </w:numPr>
        <w:ind w:left="360"/>
      </w:pPr>
      <w:r>
        <w:t>For each independent batch of the produc</w:t>
      </w:r>
      <w:r w:rsidR="007407AC">
        <w:t>t imported into Australia, the s</w:t>
      </w:r>
      <w:r>
        <w:t>ponsor must supply the following:</w:t>
      </w:r>
    </w:p>
    <w:p w14:paraId="152FB1FE" w14:textId="41C24599" w:rsidR="00B339E1" w:rsidRDefault="00B339E1" w:rsidP="002B6A95">
      <w:pPr>
        <w:pStyle w:val="ListBullet2"/>
      </w:pPr>
      <w:r>
        <w:t>A completed Request for Release Form, available from vaccines@health.gov.au.</w:t>
      </w:r>
    </w:p>
    <w:p w14:paraId="6EF8ACE8" w14:textId="2E2FB602" w:rsidR="00B339E1" w:rsidRDefault="00B339E1" w:rsidP="002B6A95">
      <w:pPr>
        <w:pStyle w:val="ListBullet2"/>
      </w:pPr>
      <w:r>
        <w:t>Complete summary</w:t>
      </w:r>
      <w:r w:rsidR="007407AC">
        <w:t xml:space="preserve"> protocols for manufacture and quality control</w:t>
      </w:r>
      <w:r>
        <w:t>, including all steps in production in the agreed format.</w:t>
      </w:r>
    </w:p>
    <w:p w14:paraId="3C84DE5B" w14:textId="21338A9A" w:rsidR="00B339E1" w:rsidRDefault="002B6A95" w:rsidP="002B6A95">
      <w:pPr>
        <w:pStyle w:val="ListBullet2"/>
      </w:pPr>
      <w:r>
        <w:t>At least 20 (twenty) vials (s</w:t>
      </w:r>
      <w:r w:rsidR="00B339E1">
        <w:t xml:space="preserve">amples) of each manufacturing batch of </w:t>
      </w:r>
      <w:r>
        <w:t>COVID-19 Vaccine Janssen (</w:t>
      </w:r>
      <w:r w:rsidR="00B339E1">
        <w:t>Ad26.COV2.S</w:t>
      </w:r>
      <w:r>
        <w:t>)</w:t>
      </w:r>
      <w:r w:rsidR="00B339E1">
        <w:t xml:space="preserve"> with the labels approved for Australian supply, PI and packaging (unless an exemption to supply these has been granted) representative of all batches of product seeking distribution in Australia.</w:t>
      </w:r>
    </w:p>
    <w:p w14:paraId="597A09B1" w14:textId="34DB954A" w:rsidR="00B339E1" w:rsidRDefault="002B6A95" w:rsidP="002B6A95">
      <w:pPr>
        <w:pStyle w:val="ListBullet2"/>
      </w:pPr>
      <w:r>
        <w:t>At least 5 (five) vials (s</w:t>
      </w:r>
      <w:r w:rsidR="00B339E1">
        <w:t xml:space="preserve">amples) of any further consignments of a manufacturing batch of </w:t>
      </w:r>
      <w:r>
        <w:t>COVID-19 Vaccine Janssen (</w:t>
      </w:r>
      <w:r w:rsidR="00B339E1">
        <w:t>Ad26.COV2.S</w:t>
      </w:r>
      <w:r>
        <w:t>)</w:t>
      </w:r>
      <w:r w:rsidR="00B339E1">
        <w:t xml:space="preserve"> with the labels approved for Australian supply, PI and packaging (unless an exemption to supply these has been granted). Further consignments cover batches previously supplied to TGA for the purposes of batch release testing but are seeking to be supplied again.</w:t>
      </w:r>
    </w:p>
    <w:p w14:paraId="5733A4E4" w14:textId="77718512" w:rsidR="00B339E1" w:rsidRDefault="00B339E1" w:rsidP="002B6A95">
      <w:pPr>
        <w:pStyle w:val="ListBullet2"/>
      </w:pPr>
      <w:r>
        <w:t>If the manufacturing batch has been released in Europe or United Kingdom a copy of the EU Official Control Authority Batch Release (OCABR) certificate (or equivalent from the UK) must be provided.</w:t>
      </w:r>
    </w:p>
    <w:p w14:paraId="667C5B67" w14:textId="77777777" w:rsidR="002B6A95" w:rsidRDefault="00B339E1" w:rsidP="002B6A95">
      <w:pPr>
        <w:pStyle w:val="ListBullet2"/>
      </w:pPr>
      <w:r>
        <w:t>Any reagents, reference material and standards required to undertake testing, as requested by Laboratories Branch, TGA.</w:t>
      </w:r>
    </w:p>
    <w:p w14:paraId="679D65D0" w14:textId="2EE88A4F" w:rsidR="002B6A95" w:rsidRDefault="00B339E1" w:rsidP="002B6A95">
      <w:pPr>
        <w:pStyle w:val="ListBullet"/>
        <w:numPr>
          <w:ilvl w:val="0"/>
          <w:numId w:val="0"/>
        </w:numPr>
        <w:ind w:left="360"/>
      </w:pPr>
      <w:r>
        <w:t>Spons</w:t>
      </w:r>
      <w:r w:rsidR="002B6A95">
        <w:t>ors must provide all requested s</w:t>
      </w:r>
      <w:r>
        <w:t>amples and dat</w:t>
      </w:r>
      <w:r w:rsidR="007407AC">
        <w:t>a in sufficient time (at least five</w:t>
      </w:r>
      <w:r>
        <w:t xml:space="preserve"> business days) prior to any distribution date to allow the TGA to perform testing and review. Distribution of each batch of vaccine is conditional upon fulfilment of these conditions and receipt of a letter from the Laboratories Branch acknowledging release. Samples and data should be forwarded to the Biotherapeutics Section, Laboratories Branch before release of each batch and with sufficient lead time to allow for Laboratories Branch testing.</w:t>
      </w:r>
    </w:p>
    <w:p w14:paraId="76C9C020" w14:textId="3158F766" w:rsidR="00B339E1" w:rsidRDefault="00B339E1" w:rsidP="002B6A95">
      <w:pPr>
        <w:pStyle w:val="ListBullet"/>
        <w:numPr>
          <w:ilvl w:val="0"/>
          <w:numId w:val="0"/>
        </w:numPr>
        <w:ind w:left="360"/>
      </w:pPr>
      <w:r>
        <w:lastRenderedPageBreak/>
        <w:t>The shipments (including reagents) to TGA are the re</w:t>
      </w:r>
      <w:r w:rsidR="002B6A95">
        <w:t>sponsibility of the Australian sponsor/a</w:t>
      </w:r>
      <w:r>
        <w:t>gent who will be required to facilitate the import and customs clearance process.</w:t>
      </w:r>
    </w:p>
    <w:p w14:paraId="774D0FAA" w14:textId="77777777" w:rsidR="002B6A95" w:rsidRDefault="00B339E1" w:rsidP="00B339E1">
      <w:pPr>
        <w:pStyle w:val="ListBullet"/>
      </w:pPr>
      <w:r>
        <w:t>Certified Product Details</w:t>
      </w:r>
    </w:p>
    <w:p w14:paraId="406C1F2A" w14:textId="39731B5D" w:rsidR="00B339E1" w:rsidRDefault="00B339E1" w:rsidP="002B6A95">
      <w:pPr>
        <w:pStyle w:val="ListBullet"/>
        <w:numPr>
          <w:ilvl w:val="0"/>
          <w:numId w:val="0"/>
        </w:numPr>
        <w:ind w:left="360"/>
      </w:pPr>
      <w:r>
        <w:t xml:space="preserve">An electronic copy of the Certified Product Details (CPD) as described in Guidance 7: Certified Product Details of the Australian Regulatory Guidelines for Prescription Medicines (ARGPM) </w:t>
      </w:r>
      <w:hyperlink r:id="rId23" w:history="1">
        <w:r w:rsidRPr="00FA217F">
          <w:rPr>
            <w:rStyle w:val="Hyperlink"/>
          </w:rPr>
          <w:t>https://www.tga.gov.au/guidance-7-certified-product-details</w:t>
        </w:r>
      </w:hyperlink>
      <w:r>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24" w:history="1">
        <w:r w:rsidRPr="00FA217F">
          <w:rPr>
            <w:rStyle w:val="Hyperlink"/>
          </w:rPr>
          <w:t>https://www.tga.gov.au/form/certified-product-details-cpd-biological-prescriptionmedicines</w:t>
        </w:r>
      </w:hyperlink>
      <w:r>
        <w:t>. The CPD should be sent as a single bookmarked PDF document to Vaccines@health.gov.au as soon as possible after registration/approval of the product or any subsequent changes as indicated above.</w:t>
      </w:r>
    </w:p>
    <w:p w14:paraId="757546B0" w14:textId="4BC1BA16" w:rsidR="001E481A" w:rsidRPr="001E481A" w:rsidRDefault="001E481A" w:rsidP="002B6A95">
      <w:pPr>
        <w:pStyle w:val="ListBullet"/>
        <w:rPr>
          <w:rFonts w:eastAsiaTheme="minorHAnsi" w:cs="Cambria"/>
          <w:color w:val="000000"/>
        </w:rPr>
      </w:pPr>
      <w:r>
        <w:rPr>
          <w:rFonts w:eastAsiaTheme="minorHAnsi" w:cs="Cambria"/>
          <w:color w:val="000000"/>
        </w:rPr>
        <w:t>Clinical</w:t>
      </w:r>
    </w:p>
    <w:p w14:paraId="0CB1F96C" w14:textId="120328EF" w:rsidR="002B6A95" w:rsidRDefault="00B339E1" w:rsidP="001E481A">
      <w:pPr>
        <w:pStyle w:val="ListBullet"/>
        <w:numPr>
          <w:ilvl w:val="0"/>
          <w:numId w:val="0"/>
        </w:numPr>
        <w:ind w:left="360"/>
        <w:rPr>
          <w:rFonts w:eastAsiaTheme="minorHAnsi" w:cs="Cambria"/>
          <w:color w:val="000000"/>
        </w:rPr>
      </w:pPr>
      <w:r>
        <w:t xml:space="preserve">Confirmatory trial data (as identified in the sponsor’s plan to submit comprehensive </w:t>
      </w:r>
      <w:r w:rsidRPr="00B339E1">
        <w:rPr>
          <w:rFonts w:eastAsiaTheme="minorHAnsi" w:cs="Cambria"/>
          <w:color w:val="000000"/>
        </w:rPr>
        <w:t xml:space="preserve">clinical data on the safety and efficacy of the </w:t>
      </w:r>
      <w:r w:rsidR="007407AC">
        <w:rPr>
          <w:rFonts w:eastAsiaTheme="minorHAnsi" w:cs="Cambria"/>
          <w:color w:val="000000"/>
        </w:rPr>
        <w:t>medicine before the end of the six</w:t>
      </w:r>
      <w:r w:rsidRPr="00B339E1">
        <w:rPr>
          <w:rFonts w:eastAsiaTheme="minorHAnsi" w:cs="Cambria"/>
          <w:color w:val="000000"/>
        </w:rPr>
        <w:t xml:space="preserve"> years that</w:t>
      </w:r>
      <w:r>
        <w:rPr>
          <w:rFonts w:eastAsiaTheme="minorHAnsi" w:cs="Cambria"/>
          <w:color w:val="000000"/>
        </w:rPr>
        <w:t xml:space="preserve"> </w:t>
      </w:r>
      <w:r w:rsidRPr="00B339E1">
        <w:rPr>
          <w:rFonts w:eastAsiaTheme="minorHAnsi" w:cs="Cambria"/>
          <w:color w:val="000000"/>
        </w:rPr>
        <w:t>would start on the day that registration would commence) must be</w:t>
      </w:r>
      <w:r w:rsidR="002B6A95">
        <w:rPr>
          <w:rFonts w:eastAsiaTheme="minorHAnsi" w:cs="Cambria"/>
          <w:color w:val="000000"/>
        </w:rPr>
        <w:t xml:space="preserve"> provided.</w:t>
      </w:r>
      <w:r w:rsidR="00350315">
        <w:rPr>
          <w:rStyle w:val="FootnoteReference"/>
          <w:rFonts w:eastAsiaTheme="minorHAnsi" w:cs="Cambria"/>
          <w:color w:val="000000"/>
        </w:rPr>
        <w:footnoteReference w:id="36"/>
      </w:r>
    </w:p>
    <w:p w14:paraId="704F3564" w14:textId="77777777" w:rsidR="001E481A" w:rsidRPr="00111388" w:rsidRDefault="001E481A" w:rsidP="001E481A">
      <w:pPr>
        <w:pStyle w:val="ListBullet"/>
        <w:rPr>
          <w:rFonts w:eastAsiaTheme="minorHAnsi" w:cs="Cambria"/>
          <w:color w:val="000000"/>
        </w:rPr>
      </w:pPr>
      <w:r w:rsidRPr="00111388">
        <w:rPr>
          <w:rFonts w:eastAsiaTheme="minorHAnsi" w:cs="Cambria"/>
          <w:color w:val="000000"/>
        </w:rPr>
        <w:t>Post approval quality commitments</w:t>
      </w:r>
    </w:p>
    <w:p w14:paraId="62D986E4" w14:textId="6FF3ED82" w:rsidR="001E481A" w:rsidRPr="00111388" w:rsidRDefault="001E481A" w:rsidP="001E481A">
      <w:pPr>
        <w:pStyle w:val="ListBullet"/>
        <w:numPr>
          <w:ilvl w:val="0"/>
          <w:numId w:val="0"/>
        </w:numPr>
        <w:ind w:left="360"/>
        <w:rPr>
          <w:rFonts w:eastAsiaTheme="minorHAnsi" w:cs="Cambria"/>
          <w:color w:val="000000"/>
        </w:rPr>
      </w:pPr>
      <w:r w:rsidRPr="00111388">
        <w:rPr>
          <w:rFonts w:eastAsiaTheme="minorHAnsi" w:cs="Cambria"/>
          <w:color w:val="000000"/>
        </w:rPr>
        <w:t>As a provisionally registered medicine, extensive post-approval commitments will be required of the sponsor. The additional requested quality data and notifications to the TGA should be provided as post-approval commitments. This includes the following commitments:</w:t>
      </w:r>
    </w:p>
    <w:p w14:paraId="2503D0E9" w14:textId="1A3E74B0" w:rsidR="00705E80" w:rsidRPr="00111388" w:rsidRDefault="00705E80" w:rsidP="00705E80">
      <w:pPr>
        <w:pStyle w:val="ListBullet2"/>
      </w:pPr>
      <w:r w:rsidRPr="00111388">
        <w:t>Commitment is required from the sponsor that they maintain the validity of all manufacturer GMP clearances and adhere to the conditions of the GMP clearance approvals for the duration of product supply to Australia.</w:t>
      </w:r>
    </w:p>
    <w:p w14:paraId="377E707C" w14:textId="055DF07C" w:rsidR="00924C21" w:rsidRPr="00111388" w:rsidRDefault="00924C21" w:rsidP="00924C21">
      <w:pPr>
        <w:pStyle w:val="ListBullet2"/>
      </w:pPr>
      <w:r w:rsidRPr="00111388">
        <w:t>The sponsor should inform TGA of any temperature deviation during shipment and not supply product that has been exposed to a temperature excursion outside of the approved storage cond</w:t>
      </w:r>
      <w:r w:rsidR="00BC0112" w:rsidRPr="00111388">
        <w:t>itions of -20±5°C (frozen) or 2 to 8°C (thawed/in use)</w:t>
      </w:r>
      <w:r w:rsidR="00111388" w:rsidRPr="00111388">
        <w:t>.</w:t>
      </w:r>
    </w:p>
    <w:p w14:paraId="66C8DB35" w14:textId="54B4A14C" w:rsidR="00BC0112" w:rsidRPr="00111388" w:rsidRDefault="00111388" w:rsidP="00BC0112">
      <w:pPr>
        <w:pStyle w:val="ListBullet2"/>
      </w:pPr>
      <w:r w:rsidRPr="00111388">
        <w:t>To provide the requested a</w:t>
      </w:r>
      <w:r w:rsidR="00BC0112" w:rsidRPr="00111388">
        <w:t>dditional data in relation to drug substance and drug product</w:t>
      </w:r>
      <w:r w:rsidRPr="00111388">
        <w:t xml:space="preserve"> including stability data.</w:t>
      </w:r>
    </w:p>
    <w:p w14:paraId="6C0009FA" w14:textId="714FC8E9" w:rsidR="008E7846" w:rsidRDefault="00A80B5B" w:rsidP="00D23139">
      <w:pPr>
        <w:pStyle w:val="Heading2"/>
      </w:pPr>
      <w:bookmarkStart w:id="67" w:name="_Toc75438465"/>
      <w:r>
        <w:t xml:space="preserve">Attachment 1. </w:t>
      </w:r>
      <w:r w:rsidR="008E7846">
        <w:t xml:space="preserve">Product </w:t>
      </w:r>
      <w:r w:rsidR="00AA0ED0">
        <w:t>I</w:t>
      </w:r>
      <w:r w:rsidR="008E7846">
        <w:t>nformation</w:t>
      </w:r>
      <w:bookmarkEnd w:id="65"/>
      <w:bookmarkEnd w:id="66"/>
      <w:bookmarkEnd w:id="67"/>
    </w:p>
    <w:p w14:paraId="588BA23F" w14:textId="0B079470" w:rsidR="00C80137" w:rsidRDefault="006136D7" w:rsidP="00C80137">
      <w:pPr>
        <w:rPr>
          <w:color w:val="000000"/>
          <w:lang w:eastAsia="en-AU"/>
        </w:rPr>
      </w:pPr>
      <w:r w:rsidRPr="002B3624">
        <w:t xml:space="preserve">The </w:t>
      </w:r>
      <w:r>
        <w:t>PI</w:t>
      </w:r>
      <w:r w:rsidRPr="002B3624">
        <w:t xml:space="preserve"> for </w:t>
      </w:r>
      <w:r w:rsidR="00E94053">
        <w:t>COVID-19 V</w:t>
      </w:r>
      <w:r w:rsidR="0015416B">
        <w:t>accine Janssen</w:t>
      </w:r>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5" w:history="1">
        <w:r w:rsidR="007C6B9B" w:rsidRPr="007C6B9B">
          <w:rPr>
            <w:rStyle w:val="Hyperlink"/>
          </w:rPr>
          <w:t>https://www.tga.gov.au/product-information-pi</w:t>
        </w:r>
      </w:hyperlink>
      <w:r w:rsidR="0015416B">
        <w:t>&gt;.</w:t>
      </w:r>
    </w:p>
    <w:p w14:paraId="7F076336" w14:textId="504C35D4" w:rsidR="00744121" w:rsidRDefault="008E7846" w:rsidP="0015416B">
      <w:pPr>
        <w:autoSpaceDE w:val="0"/>
        <w:autoSpaceDN w:val="0"/>
        <w:adjustRightInd w:val="0"/>
        <w:spacing w:after="0"/>
        <w:rPr>
          <w:lang w:eastAsia="ja-JP"/>
        </w:rPr>
      </w:pPr>
      <w:r w:rsidRPr="00C80137">
        <w:rPr>
          <w:b/>
        </w:rPr>
        <w:br w:type="page"/>
      </w:r>
    </w:p>
    <w:p w14:paraId="59760B4C" w14:textId="77777777" w:rsidR="00C80137" w:rsidRPr="001D043B" w:rsidRDefault="00C80137" w:rsidP="003A7F6C">
      <w:pPr>
        <w:pStyle w:val="TableTitle"/>
        <w:sectPr w:rsidR="00C80137" w:rsidRPr="001D043B"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637C8E6" w14:textId="77777777" w:rsidTr="00A05FA4">
        <w:trPr>
          <w:trHeight w:hRule="exact" w:val="704"/>
        </w:trPr>
        <w:tc>
          <w:tcPr>
            <w:tcW w:w="9175" w:type="dxa"/>
          </w:tcPr>
          <w:p w14:paraId="209C460B" w14:textId="77777777" w:rsidR="001C32CD" w:rsidRPr="00487162" w:rsidRDefault="001C32CD" w:rsidP="00A05FA4">
            <w:pPr>
              <w:pStyle w:val="TGASignoff"/>
            </w:pPr>
            <w:r w:rsidRPr="00487162">
              <w:lastRenderedPageBreak/>
              <w:t>Therapeutic Goods Administration</w:t>
            </w:r>
          </w:p>
        </w:tc>
      </w:tr>
      <w:tr w:rsidR="001C32CD" w:rsidRPr="004C239D" w14:paraId="46AFD37E" w14:textId="77777777" w:rsidTr="00A05FA4">
        <w:trPr>
          <w:trHeight w:val="1221"/>
        </w:trPr>
        <w:tc>
          <w:tcPr>
            <w:tcW w:w="9175" w:type="dxa"/>
            <w:tcMar>
              <w:top w:w="28" w:type="dxa"/>
            </w:tcMar>
          </w:tcPr>
          <w:p w14:paraId="4522DC2C" w14:textId="77777777" w:rsidR="001C32CD" w:rsidRPr="00487162" w:rsidRDefault="001C32CD" w:rsidP="00A05FA4">
            <w:pPr>
              <w:pStyle w:val="Address"/>
            </w:pPr>
            <w:r w:rsidRPr="00487162">
              <w:t>PO Box 100 Woden ACT 2606 Australia</w:t>
            </w:r>
          </w:p>
          <w:p w14:paraId="65655BCC" w14:textId="3CD652AC" w:rsidR="001C32CD" w:rsidRPr="00487162" w:rsidRDefault="001C32CD" w:rsidP="00A05FA4">
            <w:pPr>
              <w:pStyle w:val="Address"/>
            </w:pPr>
            <w:r w:rsidRPr="00487162">
              <w:t xml:space="preserve">Email: </w:t>
            </w:r>
            <w:hyperlink r:id="rId30" w:history="1">
              <w:r w:rsidRPr="004C239D">
                <w:rPr>
                  <w:rStyle w:val="Hyperlink"/>
                </w:rPr>
                <w:t>info@tga.gov.au</w:t>
              </w:r>
            </w:hyperlink>
            <w:r w:rsidRPr="00487162">
              <w:t xml:space="preserve">  Phone: 1800 020 653  Fax: 02 6232 8605</w:t>
            </w:r>
          </w:p>
          <w:p w14:paraId="7C7F9CD0" w14:textId="052E5CFD" w:rsidR="001C32CD" w:rsidRPr="004C239D" w:rsidRDefault="00655033" w:rsidP="00A05FA4">
            <w:pPr>
              <w:pStyle w:val="Address"/>
              <w:spacing w:line="260" w:lineRule="atLeast"/>
              <w:rPr>
                <w:b/>
                <w:color w:val="0000FF"/>
                <w:u w:val="single"/>
              </w:rPr>
            </w:pPr>
            <w:hyperlink r:id="rId31" w:history="1">
              <w:r w:rsidR="007C6B9B" w:rsidRPr="007C6B9B">
                <w:rPr>
                  <w:rStyle w:val="Hyperlink"/>
                  <w:b/>
                </w:rPr>
                <w:t>https://www.tga.gov.au</w:t>
              </w:r>
            </w:hyperlink>
          </w:p>
        </w:tc>
      </w:tr>
    </w:tbl>
    <w:p w14:paraId="62517365" w14:textId="77777777"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329E0" w14:textId="77777777" w:rsidR="00655033" w:rsidRDefault="00655033" w:rsidP="00C40A36">
      <w:pPr>
        <w:spacing w:after="0"/>
      </w:pPr>
      <w:r>
        <w:separator/>
      </w:r>
    </w:p>
  </w:endnote>
  <w:endnote w:type="continuationSeparator" w:id="0">
    <w:p w14:paraId="2AF2AA84" w14:textId="77777777" w:rsidR="00655033" w:rsidRDefault="0065503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Cambria-BoldItalic">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55033" w:rsidRPr="00487162" w14:paraId="584411BF" w14:textId="77777777" w:rsidTr="00DB750B">
      <w:trPr>
        <w:trHeight w:val="269"/>
      </w:trPr>
      <w:tc>
        <w:tcPr>
          <w:tcW w:w="7371" w:type="dxa"/>
          <w:tcMar>
            <w:top w:w="142" w:type="dxa"/>
            <w:bottom w:w="0" w:type="dxa"/>
          </w:tcMar>
        </w:tcPr>
        <w:p w14:paraId="69660A57" w14:textId="66278675" w:rsidR="00655033" w:rsidRPr="00487162" w:rsidRDefault="00655033" w:rsidP="00467DC9">
          <w:pPr>
            <w:pStyle w:val="Footer"/>
          </w:pPr>
          <w:proofErr w:type="spellStart"/>
          <w:r w:rsidRPr="00487162">
            <w:t>AusPA</w:t>
          </w:r>
          <w:r>
            <w:t>R</w:t>
          </w:r>
          <w:proofErr w:type="spellEnd"/>
          <w:r>
            <w:t xml:space="preserve"> - COVID-19 V</w:t>
          </w:r>
          <w:r w:rsidRPr="00984B83">
            <w:t>accine</w:t>
          </w:r>
          <w:r>
            <w:t xml:space="preserve"> Janssen - Ad26.COV</w:t>
          </w:r>
          <w:proofErr w:type="gramStart"/>
          <w:r>
            <w:t>2.S</w:t>
          </w:r>
          <w:proofErr w:type="gramEnd"/>
          <w:r>
            <w:t xml:space="preserve"> </w:t>
          </w:r>
          <w:r w:rsidRPr="00984B83">
            <w:t>- Janssen-</w:t>
          </w:r>
          <w:proofErr w:type="spellStart"/>
          <w:r w:rsidRPr="00984B83">
            <w:t>Cilag</w:t>
          </w:r>
          <w:proofErr w:type="spellEnd"/>
          <w:r w:rsidRPr="00984B83">
            <w:t xml:space="preserve"> Pty Ltd  </w:t>
          </w:r>
          <w:r w:rsidR="00BC4C3D">
            <w:br/>
          </w:r>
          <w:r w:rsidRPr="00984B83">
            <w:t>PM-2020-06173-1-2</w:t>
          </w:r>
          <w:r w:rsidR="00BC4C3D">
            <w:t xml:space="preserve"> </w:t>
          </w:r>
          <w:r>
            <w:t>FINAL 25 June 2021</w:t>
          </w:r>
        </w:p>
      </w:tc>
      <w:tc>
        <w:tcPr>
          <w:tcW w:w="1490" w:type="dxa"/>
          <w:tcMar>
            <w:top w:w="142" w:type="dxa"/>
            <w:bottom w:w="0" w:type="dxa"/>
          </w:tcMar>
        </w:tcPr>
        <w:p w14:paraId="0AA7891F" w14:textId="21FF3090" w:rsidR="00655033" w:rsidRPr="00487162" w:rsidRDefault="00655033" w:rsidP="00DB750B">
          <w:pPr>
            <w:pStyle w:val="Footer"/>
            <w:jc w:val="right"/>
          </w:pPr>
          <w:r w:rsidRPr="00487162">
            <w:t xml:space="preserve">Page </w:t>
          </w:r>
          <w:r>
            <w:fldChar w:fldCharType="begin"/>
          </w:r>
          <w:r>
            <w:instrText xml:space="preserve"> PAGE  \* Arabic </w:instrText>
          </w:r>
          <w:r>
            <w:fldChar w:fldCharType="separate"/>
          </w:r>
          <w:r>
            <w:rPr>
              <w:noProof/>
            </w:rPr>
            <w:t>39</w:t>
          </w:r>
          <w:r>
            <w:fldChar w:fldCharType="end"/>
          </w:r>
          <w:r w:rsidRPr="00487162">
            <w:t xml:space="preserve"> of </w:t>
          </w:r>
          <w:fldSimple w:instr=" NUMPAGES  \* Arabic ">
            <w:r>
              <w:rPr>
                <w:noProof/>
              </w:rPr>
              <w:t>42</w:t>
            </w:r>
          </w:fldSimple>
        </w:p>
      </w:tc>
    </w:tr>
  </w:tbl>
  <w:p w14:paraId="4669C206" w14:textId="77777777" w:rsidR="00655033" w:rsidRDefault="0065503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55033" w:rsidRPr="00487162" w14:paraId="11C896B5" w14:textId="77777777" w:rsidTr="00E45619">
      <w:trPr>
        <w:trHeight w:val="269"/>
      </w:trPr>
      <w:tc>
        <w:tcPr>
          <w:tcW w:w="4519" w:type="dxa"/>
          <w:tcBorders>
            <w:top w:val="single" w:sz="4" w:space="0" w:color="auto"/>
          </w:tcBorders>
          <w:tcMar>
            <w:top w:w="142" w:type="dxa"/>
            <w:bottom w:w="0" w:type="dxa"/>
          </w:tcMar>
        </w:tcPr>
        <w:p w14:paraId="2F230063" w14:textId="77777777" w:rsidR="00655033" w:rsidRPr="00487162" w:rsidRDefault="00655033" w:rsidP="00FE1DEE">
          <w:pPr>
            <w:pStyle w:val="Footer"/>
          </w:pPr>
          <w:r w:rsidRPr="00487162">
            <w:t>Document title, Part #, Section # - Section title</w:t>
          </w:r>
        </w:p>
        <w:p w14:paraId="6CD2A576" w14:textId="77777777" w:rsidR="00655033" w:rsidRPr="00487162" w:rsidRDefault="00655033" w:rsidP="00FE1DEE">
          <w:pPr>
            <w:pStyle w:val="Footer"/>
          </w:pPr>
          <w:r w:rsidRPr="00487162">
            <w:t>V1.0 October 2010</w:t>
          </w:r>
        </w:p>
      </w:tc>
      <w:tc>
        <w:tcPr>
          <w:tcW w:w="4342" w:type="dxa"/>
          <w:tcBorders>
            <w:top w:val="single" w:sz="4" w:space="0" w:color="auto"/>
          </w:tcBorders>
          <w:tcMar>
            <w:top w:w="142" w:type="dxa"/>
            <w:bottom w:w="0" w:type="dxa"/>
          </w:tcMar>
        </w:tcPr>
        <w:p w14:paraId="6822955A" w14:textId="77777777" w:rsidR="00655033" w:rsidRPr="00487162" w:rsidRDefault="0065503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574A5EA4" w14:textId="77777777" w:rsidR="00655033" w:rsidRDefault="006550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E42A7" w14:textId="77777777" w:rsidR="00655033" w:rsidRPr="001C32CD" w:rsidRDefault="0065503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55033" w14:paraId="61F2C279" w14:textId="77777777" w:rsidTr="0010601F">
      <w:trPr>
        <w:trHeight w:val="108"/>
      </w:trPr>
      <w:tc>
        <w:tcPr>
          <w:tcW w:w="8875" w:type="dxa"/>
          <w:gridSpan w:val="2"/>
          <w:tcBorders>
            <w:bottom w:val="single" w:sz="4" w:space="0" w:color="auto"/>
          </w:tcBorders>
          <w:tcMar>
            <w:right w:w="284" w:type="dxa"/>
          </w:tcMar>
        </w:tcPr>
        <w:p w14:paraId="44AE9152" w14:textId="77777777" w:rsidR="00655033" w:rsidRDefault="00655033" w:rsidP="006E08B3">
          <w:pPr>
            <w:pStyle w:val="Heading3"/>
          </w:pPr>
          <w:r>
            <w:t>Copyright</w:t>
          </w:r>
        </w:p>
        <w:p w14:paraId="7809D7F8" w14:textId="77777777" w:rsidR="00655033" w:rsidRDefault="00655033" w:rsidP="006E08B3">
          <w:r>
            <w:rPr>
              <w:rFonts w:cs="Arial"/>
            </w:rPr>
            <w:t>©</w:t>
          </w:r>
          <w:r>
            <w:t xml:space="preserve"> Commonwealth of Australia [add year]</w:t>
          </w:r>
        </w:p>
        <w:p w14:paraId="2CAF357D" w14:textId="77777777" w:rsidR="00655033" w:rsidRDefault="00655033" w:rsidP="006E08B3"/>
        <w:p w14:paraId="58A3C191" w14:textId="77777777" w:rsidR="00655033" w:rsidRDefault="0065503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D45CA9E" w14:textId="77777777" w:rsidR="00655033" w:rsidRDefault="00655033" w:rsidP="006E08B3"/>
        <w:p w14:paraId="197ADB4E" w14:textId="77777777" w:rsidR="00655033" w:rsidRDefault="00655033" w:rsidP="006E08B3">
          <w:pPr>
            <w:pStyle w:val="Heading3"/>
          </w:pPr>
          <w:r>
            <w:t>Confidentiality</w:t>
          </w:r>
        </w:p>
        <w:p w14:paraId="193BF2E4" w14:textId="77777777" w:rsidR="00655033" w:rsidRDefault="0065503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BE1C71B" w14:textId="77777777" w:rsidR="00655033" w:rsidRDefault="00655033" w:rsidP="006E08B3"/>
        <w:p w14:paraId="0FA02C15" w14:textId="77777777" w:rsidR="00655033" w:rsidRDefault="00655033" w:rsidP="006E08B3">
          <w:r>
            <w:t>For submission made by individuals, all personal details, other than your name, will be removed from your submission before it is published on the TGA’s Internet site.</w:t>
          </w:r>
        </w:p>
        <w:p w14:paraId="0EC7C9DE" w14:textId="77777777" w:rsidR="00655033" w:rsidRDefault="00655033" w:rsidP="006E08B3"/>
        <w:p w14:paraId="219811E2" w14:textId="77777777" w:rsidR="00655033" w:rsidRDefault="0065503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55033" w14:paraId="175B30B7" w14:textId="77777777" w:rsidTr="0010601F">
      <w:trPr>
        <w:trHeight w:val="417"/>
      </w:trPr>
      <w:tc>
        <w:tcPr>
          <w:tcW w:w="4519" w:type="dxa"/>
          <w:tcBorders>
            <w:top w:val="single" w:sz="4" w:space="0" w:color="auto"/>
          </w:tcBorders>
          <w:tcMar>
            <w:top w:w="142" w:type="dxa"/>
            <w:bottom w:w="0" w:type="dxa"/>
          </w:tcMar>
        </w:tcPr>
        <w:p w14:paraId="391B7EB7" w14:textId="77777777" w:rsidR="00655033" w:rsidRDefault="00655033" w:rsidP="006E08B3">
          <w:r>
            <w:t>Document title, Part #, Section # - Section title</w:t>
          </w:r>
        </w:p>
        <w:p w14:paraId="6ED8F564" w14:textId="77777777" w:rsidR="00655033" w:rsidRDefault="00655033" w:rsidP="006E08B3">
          <w:r>
            <w:t>V1.0 October 2010</w:t>
          </w:r>
        </w:p>
      </w:tc>
      <w:tc>
        <w:tcPr>
          <w:tcW w:w="4356" w:type="dxa"/>
          <w:tcBorders>
            <w:top w:val="single" w:sz="4" w:space="0" w:color="auto"/>
          </w:tcBorders>
          <w:tcMar>
            <w:top w:w="142" w:type="dxa"/>
            <w:bottom w:w="0" w:type="dxa"/>
          </w:tcMar>
        </w:tcPr>
        <w:p w14:paraId="144ADF0A" w14:textId="77777777" w:rsidR="00655033" w:rsidRDefault="0065503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2068AB28" w14:textId="77777777" w:rsidR="00655033" w:rsidRDefault="006550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A54D0" w14:textId="77777777" w:rsidR="00655033" w:rsidRDefault="00655033" w:rsidP="00C40A36">
      <w:pPr>
        <w:spacing w:after="0"/>
      </w:pPr>
      <w:r>
        <w:separator/>
      </w:r>
    </w:p>
  </w:footnote>
  <w:footnote w:type="continuationSeparator" w:id="0">
    <w:p w14:paraId="4AE955DE" w14:textId="77777777" w:rsidR="00655033" w:rsidRDefault="00655033" w:rsidP="00C40A36">
      <w:pPr>
        <w:spacing w:after="0"/>
      </w:pPr>
      <w:r>
        <w:continuationSeparator/>
      </w:r>
    </w:p>
  </w:footnote>
  <w:footnote w:id="1">
    <w:p w14:paraId="5E680602" w14:textId="77777777" w:rsidR="00655033" w:rsidRDefault="00655033">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08030358" w14:textId="4A670AF2" w:rsidR="00655033" w:rsidRPr="00E3205B" w:rsidRDefault="00655033">
      <w:pPr>
        <w:pStyle w:val="FootnoteText"/>
        <w:rPr>
          <w:lang w:val="en-US"/>
        </w:rPr>
      </w:pPr>
      <w:r>
        <w:rPr>
          <w:rStyle w:val="FootnoteReference"/>
        </w:rPr>
        <w:footnoteRef/>
      </w:r>
      <w:r>
        <w:t xml:space="preserve"> </w:t>
      </w:r>
      <w:proofErr w:type="spellStart"/>
      <w:r w:rsidRPr="003552E8">
        <w:t>Coronaviridae</w:t>
      </w:r>
      <w:proofErr w:type="spellEnd"/>
      <w:r w:rsidRPr="003552E8">
        <w:t xml:space="preserve"> Study Group of the International Committee on Taxonomy of Viruses., </w:t>
      </w:r>
      <w:proofErr w:type="spellStart"/>
      <w:r w:rsidRPr="003552E8">
        <w:t>Gorbalenya</w:t>
      </w:r>
      <w:proofErr w:type="spellEnd"/>
      <w:r w:rsidRPr="003552E8">
        <w:t xml:space="preserve">, A.E., Baker, S.C. </w:t>
      </w:r>
      <w:r w:rsidRPr="00E3205B">
        <w:rPr>
          <w:i/>
        </w:rPr>
        <w:t>et al.</w:t>
      </w:r>
      <w:r w:rsidRPr="003552E8">
        <w:t xml:space="preserve"> The species </w:t>
      </w:r>
      <w:r w:rsidRPr="00E3205B">
        <w:rPr>
          <w:i/>
        </w:rPr>
        <w:t>Severe acute respiratory syndrome-related coronavirus</w:t>
      </w:r>
      <w:r w:rsidRPr="003552E8">
        <w:t xml:space="preserve">: classifying 2019-nCoV and naming it SARS-CoV-2. </w:t>
      </w:r>
      <w:r>
        <w:t>Nat Microbiol 5, 536–544 (2020).</w:t>
      </w:r>
    </w:p>
  </w:footnote>
  <w:footnote w:id="3">
    <w:p w14:paraId="669900B3" w14:textId="0D4AC924" w:rsidR="00655033" w:rsidRPr="00295B95" w:rsidRDefault="00655033">
      <w:pPr>
        <w:pStyle w:val="FootnoteText"/>
        <w:rPr>
          <w:lang w:val="en-US"/>
        </w:rPr>
      </w:pPr>
      <w:r>
        <w:rPr>
          <w:rStyle w:val="FootnoteReference"/>
        </w:rPr>
        <w:footnoteRef/>
      </w:r>
      <w:r>
        <w:t xml:space="preserve"> World Health Organization’s General Director 11 March 2020; available at: </w:t>
      </w:r>
      <w:r w:rsidRPr="00295B95">
        <w:t>https://www.who.int/director-general/speeches/detail/who-director-general-s-opening-remarks-at-the-media-briefing-on-covid-19---11-march-2020</w:t>
      </w:r>
    </w:p>
  </w:footnote>
  <w:footnote w:id="4">
    <w:p w14:paraId="4A3A7E3E" w14:textId="553D163C" w:rsidR="00655033" w:rsidRDefault="00655033">
      <w:pPr>
        <w:pStyle w:val="FootnoteText"/>
      </w:pPr>
      <w:r>
        <w:rPr>
          <w:rStyle w:val="FootnoteReference"/>
        </w:rPr>
        <w:footnoteRef/>
      </w:r>
      <w:r>
        <w:t xml:space="preserve"> Accessible via the </w:t>
      </w:r>
      <w:r w:rsidRPr="00415E70">
        <w:t>WHO Coronavirus (COVID-19) Dashboard</w:t>
      </w:r>
      <w:r>
        <w:t xml:space="preserve"> as of 16 June 2021; available via </w:t>
      </w:r>
      <w:r w:rsidRPr="00415E70">
        <w:t>https://covid19.who.int/</w:t>
      </w:r>
    </w:p>
  </w:footnote>
  <w:footnote w:id="5">
    <w:p w14:paraId="7A0CD6EC" w14:textId="2BCBE830" w:rsidR="00655033" w:rsidRPr="00467DC9" w:rsidRDefault="00655033">
      <w:pPr>
        <w:pStyle w:val="FootnoteText"/>
        <w:rPr>
          <w:lang w:val="en-US"/>
        </w:rPr>
      </w:pPr>
      <w:r>
        <w:rPr>
          <w:rStyle w:val="FootnoteReference"/>
        </w:rPr>
        <w:footnoteRef/>
      </w:r>
      <w:r>
        <w:t xml:space="preserve"> Gandhi R, Lynch J, Del Rio C. Mild or Moderate Covid-19</w:t>
      </w:r>
      <w:r w:rsidRPr="003C5243">
        <w:t xml:space="preserve">. </w:t>
      </w:r>
      <w:r>
        <w:t xml:space="preserve">N. </w:t>
      </w:r>
      <w:proofErr w:type="spellStart"/>
      <w:r>
        <w:t>Engl</w:t>
      </w:r>
      <w:proofErr w:type="spellEnd"/>
      <w:r>
        <w:t xml:space="preserve"> J. Med. M</w:t>
      </w:r>
      <w:r w:rsidRPr="003C5243">
        <w:t xml:space="preserve">. 383 </w:t>
      </w:r>
      <w:r>
        <w:t xml:space="preserve">(2020) </w:t>
      </w:r>
      <w:r w:rsidRPr="003C5243">
        <w:t xml:space="preserve">(18): </w:t>
      </w:r>
      <w:r>
        <w:t xml:space="preserve">pp. </w:t>
      </w:r>
      <w:r w:rsidRPr="003C5243">
        <w:t>1757–1766.</w:t>
      </w:r>
      <w:r>
        <w:t xml:space="preserve"> Available at: </w:t>
      </w:r>
      <w:r w:rsidRPr="003C5243">
        <w:t>https://www.nejm.org/doi/10.1056/NEJMcp2009249</w:t>
      </w:r>
    </w:p>
  </w:footnote>
  <w:footnote w:id="6">
    <w:p w14:paraId="3630FCB9" w14:textId="7DEB3D75" w:rsidR="00655033" w:rsidRPr="00467DC9" w:rsidRDefault="00655033">
      <w:pPr>
        <w:pStyle w:val="FootnoteText"/>
        <w:rPr>
          <w:lang w:val="en-US"/>
        </w:rPr>
      </w:pPr>
      <w:r>
        <w:rPr>
          <w:rStyle w:val="FootnoteReference"/>
        </w:rPr>
        <w:footnoteRef/>
      </w:r>
      <w:r>
        <w:t xml:space="preserve"> </w:t>
      </w:r>
      <w:proofErr w:type="spellStart"/>
      <w:r w:rsidRPr="003C5243">
        <w:t>Wi</w:t>
      </w:r>
      <w:r>
        <w:t>ersinga</w:t>
      </w:r>
      <w:proofErr w:type="spellEnd"/>
      <w:r>
        <w:t xml:space="preserve"> W, Rhodes A, Cheng A, Peacock S, Prescott H. </w:t>
      </w:r>
      <w:r w:rsidRPr="003C5243">
        <w:t>Pathophysiology, Transmission, Diagnosis, and Treatment of Coronavirus Di</w:t>
      </w:r>
      <w:r>
        <w:t>sease 2019 (COVID-19): A Review</w:t>
      </w:r>
      <w:r w:rsidRPr="003C5243">
        <w:t xml:space="preserve">. JAMA. </w:t>
      </w:r>
      <w:r>
        <w:t xml:space="preserve">(2020) </w:t>
      </w:r>
      <w:r w:rsidRPr="003C5243">
        <w:t>324 (8): 782–793.</w:t>
      </w:r>
      <w:r>
        <w:t xml:space="preserve"> Available at: </w:t>
      </w:r>
      <w:r w:rsidRPr="003C5243">
        <w:t>https://jamanetwork.com/journals/jama/fullarticle/2768391</w:t>
      </w:r>
    </w:p>
  </w:footnote>
  <w:footnote w:id="7">
    <w:p w14:paraId="6CC3422C" w14:textId="3EC5E903" w:rsidR="00655033" w:rsidRPr="0083191B" w:rsidRDefault="00655033" w:rsidP="0063755A">
      <w:pPr>
        <w:pStyle w:val="FootnoteText"/>
      </w:pPr>
      <w:r>
        <w:rPr>
          <w:rStyle w:val="FootnoteReference"/>
        </w:rPr>
        <w:footnoteRef/>
      </w:r>
      <w:r>
        <w:t xml:space="preserve"> </w:t>
      </w:r>
      <w:proofErr w:type="spellStart"/>
      <w:r>
        <w:t>Drosten</w:t>
      </w:r>
      <w:proofErr w:type="spellEnd"/>
      <w:r>
        <w:t xml:space="preserve"> C, Günther S, </w:t>
      </w:r>
      <w:proofErr w:type="spellStart"/>
      <w:r>
        <w:t>Preiser</w:t>
      </w:r>
      <w:proofErr w:type="spellEnd"/>
      <w:r>
        <w:t xml:space="preserve"> W, van der Werf S, Brodt HR, Becker S, </w:t>
      </w:r>
      <w:proofErr w:type="spellStart"/>
      <w:r>
        <w:t>Rabenau</w:t>
      </w:r>
      <w:proofErr w:type="spellEnd"/>
      <w:r>
        <w:t xml:space="preserve"> H, Panning M, </w:t>
      </w:r>
      <w:proofErr w:type="spellStart"/>
      <w:r>
        <w:t>Kolesnikova</w:t>
      </w:r>
      <w:proofErr w:type="spellEnd"/>
      <w:r>
        <w:t xml:space="preserve"> L, </w:t>
      </w:r>
      <w:proofErr w:type="spellStart"/>
      <w:r>
        <w:t>Fouchier</w:t>
      </w:r>
      <w:proofErr w:type="spellEnd"/>
      <w:r>
        <w:t xml:space="preserve"> RA, </w:t>
      </w:r>
      <w:r w:rsidRPr="00E3205B">
        <w:rPr>
          <w:i/>
        </w:rPr>
        <w:t>et al.</w:t>
      </w:r>
      <w:r>
        <w:t xml:space="preserve"> Identification of a novel coronavirus in patients with severe acute respiratory syndrome. N. Engl. J. Med., 348 (2003), pp. 1967-1976. Available at: </w:t>
      </w:r>
      <w:r w:rsidRPr="0083191B">
        <w:t>https://www.nejm.org/doi/full/10.1056/NEJMoa030747</w:t>
      </w:r>
    </w:p>
  </w:footnote>
  <w:footnote w:id="8">
    <w:p w14:paraId="2894C67F" w14:textId="0E60D95C" w:rsidR="00655033" w:rsidRPr="0083191B" w:rsidRDefault="00655033" w:rsidP="0083191B">
      <w:pPr>
        <w:pStyle w:val="FootnoteText"/>
      </w:pPr>
      <w:r>
        <w:rPr>
          <w:rStyle w:val="FootnoteReference"/>
        </w:rPr>
        <w:footnoteRef/>
      </w:r>
      <w:r>
        <w:t xml:space="preserve"> </w:t>
      </w:r>
      <w:proofErr w:type="spellStart"/>
      <w:r>
        <w:t>Ksiazek</w:t>
      </w:r>
      <w:proofErr w:type="spellEnd"/>
      <w:r>
        <w:t xml:space="preserve"> TG, Erdman D, Goldsmith CS, </w:t>
      </w:r>
      <w:proofErr w:type="spellStart"/>
      <w:r>
        <w:t>Zaki</w:t>
      </w:r>
      <w:proofErr w:type="spellEnd"/>
      <w:r>
        <w:t xml:space="preserve"> SR, </w:t>
      </w:r>
      <w:proofErr w:type="spellStart"/>
      <w:r>
        <w:t>Peret</w:t>
      </w:r>
      <w:proofErr w:type="spellEnd"/>
      <w:r>
        <w:t xml:space="preserve"> T, Emery</w:t>
      </w:r>
      <w:r w:rsidRPr="0063755A">
        <w:t xml:space="preserve"> </w:t>
      </w:r>
      <w:r>
        <w:t xml:space="preserve">S, Tong S, </w:t>
      </w:r>
      <w:proofErr w:type="spellStart"/>
      <w:r>
        <w:t>Urbani</w:t>
      </w:r>
      <w:proofErr w:type="spellEnd"/>
      <w:r>
        <w:t xml:space="preserve"> C, Comer JA, Lim W</w:t>
      </w:r>
      <w:r w:rsidRPr="0063755A">
        <w:t>,</w:t>
      </w:r>
      <w:r>
        <w:t xml:space="preserve"> </w:t>
      </w:r>
      <w:r w:rsidRPr="00E3205B">
        <w:rPr>
          <w:i/>
        </w:rPr>
        <w:t>et al.</w:t>
      </w:r>
      <w:r>
        <w:rPr>
          <w:i/>
        </w:rPr>
        <w:t xml:space="preserve"> </w:t>
      </w:r>
      <w:r>
        <w:t>SARS Working Group. A novel coronavirus associated with severe acute respiratory syndrome. N. Engl. J. Med., 348 (2003), pp. 1953-1966. Available at: </w:t>
      </w:r>
      <w:r w:rsidRPr="0083191B">
        <w:t>https://www.nejm.org/doi/full/10.1056/NEJMoa030781</w:t>
      </w:r>
    </w:p>
  </w:footnote>
  <w:footnote w:id="9">
    <w:p w14:paraId="6A81D6B9" w14:textId="2A485221" w:rsidR="00655033" w:rsidRPr="00E3205B" w:rsidRDefault="00655033">
      <w:pPr>
        <w:pStyle w:val="FootnoteText"/>
        <w:rPr>
          <w:lang w:val="en-US"/>
        </w:rPr>
      </w:pPr>
      <w:r>
        <w:rPr>
          <w:rStyle w:val="FootnoteReference"/>
        </w:rPr>
        <w:footnoteRef/>
      </w:r>
      <w:r>
        <w:t xml:space="preserve"> TGA News and Public Notices (Prescription Medicines), published online: 18 November 2020. Available at: </w:t>
      </w:r>
      <w:r w:rsidRPr="00FB74D4">
        <w:t>https://www.tga.gov.au/tga-grants-third-provisional-determination-covid-19-vaccine</w:t>
      </w:r>
    </w:p>
  </w:footnote>
  <w:footnote w:id="10">
    <w:p w14:paraId="342606D2" w14:textId="77777777" w:rsidR="00655033" w:rsidRDefault="00655033" w:rsidP="008947C1">
      <w:pPr>
        <w:spacing w:before="0" w:after="0" w:line="240" w:lineRule="auto"/>
        <w:rPr>
          <w:rFonts w:eastAsia="Times New Roman" w:cs="Calibri"/>
          <w:color w:val="000000"/>
          <w:sz w:val="18"/>
          <w:szCs w:val="18"/>
          <w:lang w:eastAsia="en-AU"/>
        </w:rPr>
      </w:pPr>
      <w:r>
        <w:rPr>
          <w:rStyle w:val="FootnoteReference"/>
        </w:rPr>
        <w:footnoteRef/>
      </w:r>
      <w:r>
        <w:t xml:space="preserve"> </w:t>
      </w:r>
      <w:r w:rsidRPr="00DD3F57">
        <w:rPr>
          <w:rFonts w:eastAsia="Times New Roman" w:cs="Calibri"/>
          <w:color w:val="000000"/>
          <w:sz w:val="18"/>
          <w:szCs w:val="18"/>
          <w:lang w:eastAsia="en-AU"/>
        </w:rPr>
        <w:t xml:space="preserve">As part of the </w:t>
      </w:r>
      <w:r w:rsidRPr="00DD3F57">
        <w:rPr>
          <w:rFonts w:eastAsia="Times New Roman" w:cs="Calibri"/>
          <w:b/>
          <w:bCs/>
          <w:color w:val="000000"/>
          <w:sz w:val="18"/>
          <w:szCs w:val="18"/>
          <w:lang w:eastAsia="en-AU"/>
        </w:rPr>
        <w:t>provisional approval pathway</w:t>
      </w:r>
      <w:r w:rsidRPr="00DD3F57">
        <w:rPr>
          <w:rFonts w:eastAsia="Times New Roman" w:cs="Calibri"/>
          <w:color w:val="000000"/>
          <w:sz w:val="18"/>
          <w:szCs w:val="18"/>
          <w:lang w:eastAsia="en-AU"/>
        </w:rPr>
        <w:t xml:space="preserve">, the provisional registration process will allow certain medicines to be provisionally registered in the Australian Register of Therapeutic Goods (ARTG) for a limited duration. These medicines are registered on the basis of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w:t>
      </w:r>
      <w:r>
        <w:rPr>
          <w:rFonts w:eastAsia="Times New Roman" w:cs="Calibri"/>
          <w:color w:val="000000"/>
          <w:sz w:val="18"/>
          <w:szCs w:val="18"/>
          <w:lang w:eastAsia="en-AU"/>
        </w:rPr>
        <w:t>by direct clinical outcomes.</w:t>
      </w:r>
    </w:p>
    <w:p w14:paraId="31E077BD" w14:textId="77777777" w:rsidR="00655033" w:rsidRPr="00DD3F57" w:rsidRDefault="00655033" w:rsidP="008947C1">
      <w:pPr>
        <w:spacing w:before="0" w:after="0" w:line="240" w:lineRule="auto"/>
        <w:rPr>
          <w:rFonts w:eastAsia="Times New Roman" w:cs="Calibri"/>
          <w:color w:val="000000"/>
          <w:sz w:val="18"/>
          <w:szCs w:val="18"/>
          <w:lang w:eastAsia="en-AU"/>
        </w:rPr>
      </w:pPr>
      <w:r w:rsidRPr="00DD3F57">
        <w:rPr>
          <w:rFonts w:eastAsia="Times New Roman" w:cs="Calibri"/>
          <w:color w:val="000000"/>
          <w:sz w:val="18"/>
          <w:szCs w:val="18"/>
          <w:lang w:eastAsia="en-AU"/>
        </w:rP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1">
    <w:p w14:paraId="0B80F1B6" w14:textId="77777777" w:rsidR="00655033" w:rsidRDefault="00655033" w:rsidP="00654A9B">
      <w:pPr>
        <w:pStyle w:val="FootnoteText"/>
      </w:pPr>
      <w:r>
        <w:rPr>
          <w:rStyle w:val="FootnoteReference"/>
        </w:rPr>
        <w:footnoteRef/>
      </w:r>
      <w:r>
        <w:t xml:space="preserve"> </w:t>
      </w:r>
      <w:r w:rsidRPr="001B3F2E">
        <w:t xml:space="preserve">Under normal circumstances, </w:t>
      </w:r>
      <w:r>
        <w:t xml:space="preserve">the </w:t>
      </w:r>
      <w:r w:rsidRPr="001B3F2E">
        <w:t xml:space="preserve">TGA's assessment (for both provisional and general registration) begins once all information to support registration is available. </w:t>
      </w:r>
      <w:r>
        <w:t>A</w:t>
      </w:r>
      <w:r w:rsidRPr="00EE68DD">
        <w:t>s part of the Department of Health's response to the pandemic</w:t>
      </w:r>
      <w:r w:rsidRPr="001B3F2E">
        <w:t xml:space="preserve">, the TGA has agreed to accept </w:t>
      </w:r>
      <w:r w:rsidRPr="00BF4AFD">
        <w:rPr>
          <w:b/>
        </w:rPr>
        <w:t>rolling data</w:t>
      </w:r>
      <w:r w:rsidRPr="001B3F2E">
        <w:t xml:space="preserve"> </w:t>
      </w:r>
      <w:r>
        <w:t xml:space="preserve">for COVID-19 vaccines, </w:t>
      </w:r>
      <w:r w:rsidRPr="001B3F2E">
        <w:t>to enable early evaluation of data as it comes to hand.</w:t>
      </w:r>
    </w:p>
  </w:footnote>
  <w:footnote w:id="12">
    <w:p w14:paraId="0B5E5226" w14:textId="77777777" w:rsidR="00655033" w:rsidRDefault="00655033">
      <w:pPr>
        <w:pStyle w:val="FootnoteText"/>
      </w:pPr>
      <w:r>
        <w:rPr>
          <w:rStyle w:val="FootnoteReference"/>
        </w:rPr>
        <w:footnoteRef/>
      </w:r>
      <w:r>
        <w:t xml:space="preserve"> Documents related to the licence decision for </w:t>
      </w:r>
      <w:r w:rsidRPr="00FB2EE0">
        <w:t>DIR 180</w:t>
      </w:r>
      <w:r>
        <w:t xml:space="preserve"> are available on the OGTR website at: </w:t>
      </w:r>
      <w:r w:rsidRPr="00AB0ABA">
        <w:t>http://www.ogtr.gov.au/internet/ogtr/publishing.nsf/Content/DIR182</w:t>
      </w:r>
    </w:p>
  </w:footnote>
  <w:footnote w:id="13">
    <w:p w14:paraId="2E013325" w14:textId="68A9D0FA" w:rsidR="00655033" w:rsidRPr="00DD0B18" w:rsidRDefault="00655033" w:rsidP="00DD0B18">
      <w:pPr>
        <w:pStyle w:val="FootnoteText"/>
      </w:pPr>
      <w:r>
        <w:rPr>
          <w:rStyle w:val="FootnoteReference"/>
        </w:rPr>
        <w:footnoteRef/>
      </w:r>
      <w:r>
        <w:t xml:space="preserve"> </w:t>
      </w:r>
      <w:proofErr w:type="spellStart"/>
      <w:r>
        <w:t>AusPAR</w:t>
      </w:r>
      <w:proofErr w:type="spellEnd"/>
      <w:r>
        <w:t xml:space="preserve"> for BNT162b2 (mRNA) </w:t>
      </w:r>
      <w:proofErr w:type="spellStart"/>
      <w:r>
        <w:t>Corminary</w:t>
      </w:r>
      <w:proofErr w:type="spellEnd"/>
      <w:r>
        <w:t xml:space="preserve"> Pfizer Australia Pty Ltd, published January 2021. Available at: </w:t>
      </w:r>
      <w:r w:rsidRPr="004718C9">
        <w:t>https://www.tga.gov.au/auspar/auspar-bnt162b2-mrna-comirnaty</w:t>
      </w:r>
    </w:p>
  </w:footnote>
  <w:footnote w:id="14">
    <w:p w14:paraId="0ADBC583" w14:textId="2CBC8A6D" w:rsidR="00655033" w:rsidRPr="00E3205B" w:rsidRDefault="00655033">
      <w:pPr>
        <w:pStyle w:val="FootnoteText"/>
        <w:rPr>
          <w:lang w:val="en-US"/>
        </w:rPr>
      </w:pPr>
      <w:r>
        <w:rPr>
          <w:rStyle w:val="FootnoteReference"/>
        </w:rPr>
        <w:footnoteRef/>
      </w:r>
      <w:r>
        <w:t xml:space="preserve"> </w:t>
      </w:r>
      <w:proofErr w:type="spellStart"/>
      <w:r>
        <w:t>AusPAR</w:t>
      </w:r>
      <w:proofErr w:type="spellEnd"/>
      <w:r>
        <w:t xml:space="preserve"> for</w:t>
      </w:r>
      <w:r w:rsidRPr="0063021D">
        <w:t xml:space="preserve"> ChAdOx1-S - COVID-19 Vaccine AstraZeneca </w:t>
      </w:r>
      <w:r>
        <w:t>Pty Ltd, published February 2021. Available at: </w:t>
      </w:r>
      <w:r w:rsidRPr="0063021D">
        <w:t>https://www.tga.gov.au/auspar/auspar-chadox1-s</w:t>
      </w:r>
    </w:p>
  </w:footnote>
  <w:footnote w:id="15">
    <w:p w14:paraId="28709D2A" w14:textId="4EE10AE1" w:rsidR="00655033" w:rsidRPr="00FB74D4" w:rsidRDefault="00655033" w:rsidP="00FB74D4">
      <w:pPr>
        <w:pStyle w:val="FootnoteText"/>
      </w:pPr>
      <w:r>
        <w:rPr>
          <w:rStyle w:val="FootnoteReference"/>
        </w:rPr>
        <w:footnoteRef/>
      </w:r>
      <w:r>
        <w:t xml:space="preserve"> </w:t>
      </w:r>
      <w:r w:rsidRPr="00FB74D4">
        <w:t xml:space="preserve">The </w:t>
      </w:r>
      <w:r w:rsidRPr="00E3205B">
        <w:rPr>
          <w:b/>
        </w:rPr>
        <w:t>Australian Technical Advisory Group on Immunisation</w:t>
      </w:r>
      <w:r w:rsidRPr="00FB74D4">
        <w:t xml:space="preserve"> (</w:t>
      </w:r>
      <w:r w:rsidRPr="00E3205B">
        <w:rPr>
          <w:b/>
        </w:rPr>
        <w:t>ATAGI</w:t>
      </w:r>
      <w:r w:rsidRPr="00FB74D4">
        <w:t>) advises the Minister for Health on the National Immunisation Program (NIP</w:t>
      </w:r>
      <w:r>
        <w:t>) and other immunisation issues; provide advice to research organisations on current immunisation research and areas that need more research; provides industry sponsors with pre-submission advice for potential submissions to the Pharmaceutical Benefits Advisory Committee (PBAC) on vaccine effectiveness and use in Australia (ATAGI advice must be sought prior to a sponsor making a submission to the PBAC); consults with relevant organisations to produce the Australian Immunisation Handbook (AIH); and consults with relevant organisations in implementing immunisation policies, procedures and vaccine safety.</w:t>
      </w:r>
    </w:p>
  </w:footnote>
  <w:footnote w:id="16">
    <w:p w14:paraId="1E1FC72A" w14:textId="73D90055" w:rsidR="00655033" w:rsidRPr="004718C9" w:rsidRDefault="00655033" w:rsidP="004718C9">
      <w:pPr>
        <w:pStyle w:val="FootnoteText"/>
      </w:pPr>
      <w:r>
        <w:rPr>
          <w:rStyle w:val="FootnoteReference"/>
        </w:rPr>
        <w:footnoteRef/>
      </w:r>
      <w:r>
        <w:t xml:space="preserve"> </w:t>
      </w:r>
      <w:r w:rsidRPr="006101AE">
        <w:t>ATAGI statement on revised recommendations on the use of COVID-19 Vaccine AstraZeneca</w:t>
      </w:r>
      <w:r>
        <w:t xml:space="preserve">. Available at: </w:t>
      </w:r>
      <w:r w:rsidRPr="006101AE">
        <w:t>https://www.health.gov.au/news/atagi-statement-on-revised-recommendations-on-the-use-of-covid-19-vaccine-astrazeneca-17-june-2021</w:t>
      </w:r>
    </w:p>
  </w:footnote>
  <w:footnote w:id="17">
    <w:p w14:paraId="2BAEA2D9" w14:textId="29C49EF3" w:rsidR="00655033" w:rsidRDefault="00655033" w:rsidP="003E654A">
      <w:pPr>
        <w:pStyle w:val="FootnoteText"/>
      </w:pPr>
      <w:r>
        <w:rPr>
          <w:rStyle w:val="FootnoteReference"/>
        </w:rPr>
        <w:footnoteRef/>
      </w:r>
      <w:r>
        <w:t xml:space="preserve"> </w:t>
      </w:r>
      <w:r w:rsidRPr="003E654A">
        <w:t>Australia’s COVID-19 Vaccine and Treatment Strategy</w:t>
      </w:r>
      <w:r>
        <w:t>, Publication date: 18 August 2020</w:t>
      </w:r>
    </w:p>
    <w:p w14:paraId="20484531" w14:textId="2ABFC348" w:rsidR="00655033" w:rsidRPr="003E654A" w:rsidRDefault="00655033" w:rsidP="003E654A">
      <w:pPr>
        <w:pStyle w:val="FootnoteText"/>
      </w:pPr>
      <w:r>
        <w:t xml:space="preserve">Last updated: 23 April 2021; available via: </w:t>
      </w:r>
      <w:r w:rsidRPr="003E654A">
        <w:t>https://www.health.gov.au/resources/publications/australias-covid-19-vaccine-and-treatment-strategy</w:t>
      </w:r>
    </w:p>
  </w:footnote>
  <w:footnote w:id="18">
    <w:p w14:paraId="289DCB8C" w14:textId="5EF1D536" w:rsidR="00655033" w:rsidRPr="00467DC9" w:rsidRDefault="00655033">
      <w:pPr>
        <w:pStyle w:val="FootnoteText"/>
        <w:rPr>
          <w:lang w:val="en-US"/>
        </w:rPr>
      </w:pPr>
      <w:r>
        <w:rPr>
          <w:rStyle w:val="FootnoteReference"/>
        </w:rPr>
        <w:footnoteRef/>
      </w:r>
      <w:r>
        <w:t xml:space="preserve"> </w:t>
      </w:r>
      <w:r w:rsidRPr="00467DC9">
        <w:rPr>
          <w:b/>
        </w:rPr>
        <w:t>E1 gene products</w:t>
      </w:r>
      <w:r w:rsidRPr="00D6444C">
        <w:t xml:space="preserve"> are early proteins that include the E1A and E1B. These are </w:t>
      </w:r>
      <w:r>
        <w:t>involved in the replication of a</w:t>
      </w:r>
      <w:r w:rsidRPr="00D6444C">
        <w:t xml:space="preserve">denovirus. E1 protein is </w:t>
      </w:r>
      <w:r>
        <w:t xml:space="preserve">considered to be </w:t>
      </w:r>
      <w:r w:rsidRPr="00D6444C">
        <w:t>an early protein. Early proteins are those proteins that are transcribed early in the early transcribed regions and required for proceeding the l</w:t>
      </w:r>
      <w:r>
        <w:t>ater steps in viral replication, hence deletion of such early proteins renders vector replication incompetent.</w:t>
      </w:r>
    </w:p>
  </w:footnote>
  <w:footnote w:id="19">
    <w:p w14:paraId="3C823008" w14:textId="77777777" w:rsidR="00655033" w:rsidRDefault="00655033" w:rsidP="004A509D">
      <w:pPr>
        <w:pStyle w:val="FootnoteText"/>
      </w:pPr>
      <w:r>
        <w:rPr>
          <w:rStyle w:val="FootnoteReference"/>
        </w:rPr>
        <w:footnoteRef/>
      </w:r>
      <w:r>
        <w:t xml:space="preserve"> Pregnancy Category B1: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 Studies in animals have not shown evidence of an increased occurrence of </w:t>
      </w:r>
      <w:proofErr w:type="spellStart"/>
      <w:r>
        <w:t>fetal</w:t>
      </w:r>
      <w:proofErr w:type="spellEnd"/>
      <w:r>
        <w:t xml:space="preserve"> damage.</w:t>
      </w:r>
    </w:p>
  </w:footnote>
  <w:footnote w:id="20">
    <w:p w14:paraId="5DD07F74" w14:textId="64EFA0C0" w:rsidR="00655033" w:rsidRPr="00E3205B" w:rsidRDefault="00655033">
      <w:pPr>
        <w:pStyle w:val="FootnoteText"/>
        <w:rPr>
          <w:lang w:val="en-US"/>
        </w:rPr>
      </w:pPr>
      <w:r>
        <w:rPr>
          <w:rStyle w:val="FootnoteReference"/>
        </w:rPr>
        <w:footnoteRef/>
      </w:r>
      <w:r>
        <w:t xml:space="preserve"> </w:t>
      </w:r>
      <w:r w:rsidRPr="00C76DB5">
        <w:t>Public Health England (PHE) is an executive agency of the Department of Health and Social Care in the United Kingdom</w:t>
      </w:r>
      <w:r>
        <w:t>.</w:t>
      </w:r>
    </w:p>
  </w:footnote>
  <w:footnote w:id="21">
    <w:p w14:paraId="4F9DBCEB" w14:textId="1CE33772" w:rsidR="00655033" w:rsidRPr="00E3205B" w:rsidRDefault="00655033">
      <w:pPr>
        <w:pStyle w:val="FootnoteText"/>
        <w:rPr>
          <w:lang w:val="en-US"/>
        </w:rPr>
      </w:pPr>
      <w:r>
        <w:rPr>
          <w:rStyle w:val="FootnoteReference"/>
        </w:rPr>
        <w:footnoteRef/>
      </w:r>
      <w:r>
        <w:t xml:space="preserve"> </w:t>
      </w:r>
      <w:proofErr w:type="spellStart"/>
      <w:r w:rsidRPr="00B82D18">
        <w:t>Caly</w:t>
      </w:r>
      <w:proofErr w:type="spellEnd"/>
      <w:r w:rsidRPr="00B82D18">
        <w:t xml:space="preserve"> L, </w:t>
      </w:r>
      <w:proofErr w:type="spellStart"/>
      <w:r w:rsidRPr="00B82D18">
        <w:t>Druce</w:t>
      </w:r>
      <w:proofErr w:type="spellEnd"/>
      <w:r w:rsidRPr="00B82D18">
        <w:t xml:space="preserve"> J, Roberts J, Bond K, Tran T, </w:t>
      </w:r>
      <w:proofErr w:type="spellStart"/>
      <w:r w:rsidRPr="00B82D18">
        <w:t>Kostecki</w:t>
      </w:r>
      <w:proofErr w:type="spellEnd"/>
      <w:r w:rsidRPr="00B82D18">
        <w:t xml:space="preserve"> R, et al. Isolation and rapid sharing of the 2019 novel coronavirus (SARS-CoV-2) from the first patient diagnosed with COVID-19 in Australia. Med J Aust. </w:t>
      </w:r>
      <w:proofErr w:type="gramStart"/>
      <w:r w:rsidRPr="00B82D18">
        <w:t>2020;212:459</w:t>
      </w:r>
      <w:proofErr w:type="gramEnd"/>
      <w:r w:rsidRPr="00B82D18">
        <w:t xml:space="preserve">–462. </w:t>
      </w:r>
      <w:r>
        <w:t xml:space="preserve">Available online at: </w:t>
      </w:r>
      <w:hyperlink r:id="rId1" w:history="1">
        <w:r w:rsidRPr="00383F2B">
          <w:rPr>
            <w:rStyle w:val="Hyperlink"/>
          </w:rPr>
          <w:t>https://www.ncbi.nlm.nih.gov/pmc/articles/PMC7228321/</w:t>
        </w:r>
      </w:hyperlink>
      <w:r>
        <w:t xml:space="preserve"> </w:t>
      </w:r>
    </w:p>
  </w:footnote>
  <w:footnote w:id="22">
    <w:p w14:paraId="69796D88" w14:textId="77777777" w:rsidR="00655033" w:rsidRDefault="00655033" w:rsidP="00A84E11">
      <w:pPr>
        <w:pStyle w:val="FootnoteText"/>
      </w:pPr>
      <w:r>
        <w:rPr>
          <w:rStyle w:val="FootnoteReference"/>
        </w:rPr>
        <w:footnoteRef/>
      </w:r>
      <w:r>
        <w:t xml:space="preserve"> </w:t>
      </w:r>
      <w:proofErr w:type="spellStart"/>
      <w:r>
        <w:t>Sadoff</w:t>
      </w:r>
      <w:proofErr w:type="spellEnd"/>
      <w:r>
        <w:t xml:space="preserve"> J </w:t>
      </w:r>
      <w:r w:rsidRPr="00734FB9">
        <w:t>et al, Interim Results of a Phase 1–2a Trial of Ad26.COV2.S Covid-19 Vaccine</w:t>
      </w:r>
      <w:r>
        <w:rPr>
          <w:i/>
        </w:rPr>
        <w:t xml:space="preserve">. </w:t>
      </w:r>
      <w:r w:rsidRPr="00734FB9">
        <w:rPr>
          <w:i/>
        </w:rPr>
        <w:t>New England Journal of Medicine</w:t>
      </w:r>
      <w:r>
        <w:rPr>
          <w:i/>
        </w:rPr>
        <w:t xml:space="preserve">, </w:t>
      </w:r>
      <w:r>
        <w:t xml:space="preserve">2021; </w:t>
      </w:r>
      <w:r w:rsidRPr="00734FB9">
        <w:t>384</w:t>
      </w:r>
      <w:r>
        <w:t>: 1824-1835.</w:t>
      </w:r>
    </w:p>
  </w:footnote>
  <w:footnote w:id="23">
    <w:p w14:paraId="198DB3CB" w14:textId="2FC129D0" w:rsidR="00655033" w:rsidRPr="00531FE6" w:rsidRDefault="00655033" w:rsidP="00E96104">
      <w:pPr>
        <w:pStyle w:val="FootnoteText"/>
      </w:pPr>
      <w:r>
        <w:rPr>
          <w:rStyle w:val="FootnoteReference"/>
        </w:rPr>
        <w:footnoteRef/>
      </w:r>
      <w:r>
        <w:t xml:space="preserve"> </w:t>
      </w:r>
      <w:r>
        <w:rPr>
          <w:rStyle w:val="FootnoteTextChar"/>
        </w:rPr>
        <w:t>Under the</w:t>
      </w:r>
      <w:r w:rsidRPr="00E3205B">
        <w:rPr>
          <w:rStyle w:val="FootnoteTextChar"/>
        </w:rPr>
        <w:t xml:space="preserve"> </w:t>
      </w:r>
      <w:r>
        <w:rPr>
          <w:rStyle w:val="FootnoteTextChar"/>
        </w:rPr>
        <w:t xml:space="preserve">World Health Organization SARS-COV-2 labelling system, the Alpha virus variant strain, is classed as a variant of concern, with a </w:t>
      </w:r>
      <w:proofErr w:type="spellStart"/>
      <w:r>
        <w:rPr>
          <w:rStyle w:val="FootnoteTextChar"/>
        </w:rPr>
        <w:t>Pango</w:t>
      </w:r>
      <w:proofErr w:type="spellEnd"/>
      <w:r>
        <w:rPr>
          <w:rStyle w:val="FootnoteTextChar"/>
        </w:rPr>
        <w:t xml:space="preserve"> lineage of B.1.1.7, and a GISAID clade/lineage of </w:t>
      </w:r>
      <w:r w:rsidRPr="00202C73">
        <w:rPr>
          <w:rStyle w:val="FootnoteTextChar"/>
        </w:rPr>
        <w:t>GRY (formerly GR/501Y.V1) variant 20I/501Y.V1 strain</w:t>
      </w:r>
      <w:r>
        <w:rPr>
          <w:rStyle w:val="FootnoteTextChar"/>
        </w:rPr>
        <w:t xml:space="preserve">). For further information, see the WHO’s </w:t>
      </w:r>
      <w:r w:rsidRPr="00906E57">
        <w:rPr>
          <w:rStyle w:val="FootnoteTextChar"/>
        </w:rPr>
        <w:t xml:space="preserve">Tracking SARS-CoV-2 variants </w:t>
      </w:r>
      <w:r>
        <w:rPr>
          <w:rStyle w:val="FootnoteTextChar"/>
        </w:rPr>
        <w:t xml:space="preserve">information site, available at: </w:t>
      </w:r>
      <w:hyperlink r:id="rId2" w:history="1">
        <w:r w:rsidRPr="00493E15">
          <w:rPr>
            <w:rStyle w:val="Hyperlink"/>
          </w:rPr>
          <w:t>https://www.who.int/en/activities/tracking-SARS-CoV-2-variants/</w:t>
        </w:r>
      </w:hyperlink>
    </w:p>
  </w:footnote>
  <w:footnote w:id="24">
    <w:p w14:paraId="11EB83CD" w14:textId="16A5F696" w:rsidR="00655033" w:rsidRPr="00467DC9" w:rsidRDefault="00655033">
      <w:pPr>
        <w:pStyle w:val="FootnoteText"/>
      </w:pPr>
      <w:r>
        <w:rPr>
          <w:rStyle w:val="FootnoteReference"/>
        </w:rPr>
        <w:footnoteRef/>
      </w:r>
      <w:r>
        <w:t xml:space="preserve"> </w:t>
      </w:r>
      <w:r>
        <w:rPr>
          <w:rStyle w:val="FootnoteTextChar"/>
        </w:rPr>
        <w:t>Under the</w:t>
      </w:r>
      <w:r w:rsidRPr="00E3205B">
        <w:rPr>
          <w:rStyle w:val="FootnoteTextChar"/>
        </w:rPr>
        <w:t xml:space="preserve"> </w:t>
      </w:r>
      <w:r>
        <w:rPr>
          <w:rStyle w:val="FootnoteTextChar"/>
        </w:rPr>
        <w:t xml:space="preserve">World Health Organization SARS-COV-2 labelling system, the Beta virus variant strain, is classed as a variant of concern, with a </w:t>
      </w:r>
      <w:proofErr w:type="spellStart"/>
      <w:r>
        <w:rPr>
          <w:rStyle w:val="FootnoteTextChar"/>
        </w:rPr>
        <w:t>Pango</w:t>
      </w:r>
      <w:proofErr w:type="spellEnd"/>
      <w:r>
        <w:rPr>
          <w:rStyle w:val="FootnoteTextChar"/>
        </w:rPr>
        <w:t xml:space="preserve"> lineage of B.1.351, and a GISAID clade/lineage of GH/501Y.V2. For further information, see the WHO’s </w:t>
      </w:r>
      <w:r w:rsidRPr="00906E57">
        <w:rPr>
          <w:rStyle w:val="FootnoteTextChar"/>
        </w:rPr>
        <w:t xml:space="preserve">Tracking SARS-CoV-2 variants </w:t>
      </w:r>
      <w:r>
        <w:rPr>
          <w:rStyle w:val="FootnoteTextChar"/>
        </w:rPr>
        <w:t xml:space="preserve">information site, available at: </w:t>
      </w:r>
      <w:hyperlink r:id="rId3" w:history="1">
        <w:r w:rsidRPr="00493E15">
          <w:rPr>
            <w:rStyle w:val="Hyperlink"/>
          </w:rPr>
          <w:t>https://www.who.int/en/activities/tracking-SARS-CoV-2-variants/</w:t>
        </w:r>
      </w:hyperlink>
    </w:p>
  </w:footnote>
  <w:footnote w:id="25">
    <w:p w14:paraId="0006D76D" w14:textId="6BE16238" w:rsidR="00655033" w:rsidRPr="006F46EC" w:rsidRDefault="00655033">
      <w:pPr>
        <w:pStyle w:val="FootnoteText"/>
        <w:rPr>
          <w:lang w:val="en-US"/>
        </w:rPr>
      </w:pPr>
      <w:r>
        <w:rPr>
          <w:rStyle w:val="FootnoteReference"/>
        </w:rPr>
        <w:footnoteRef/>
      </w:r>
      <w:r>
        <w:t xml:space="preserve"> </w:t>
      </w:r>
      <w:r>
        <w:rPr>
          <w:rStyle w:val="FootnoteTextChar"/>
        </w:rPr>
        <w:t>Under the</w:t>
      </w:r>
      <w:r w:rsidRPr="00E3205B">
        <w:rPr>
          <w:rStyle w:val="FootnoteTextChar"/>
        </w:rPr>
        <w:t xml:space="preserve"> </w:t>
      </w:r>
      <w:r>
        <w:rPr>
          <w:rStyle w:val="FootnoteTextChar"/>
        </w:rPr>
        <w:t xml:space="preserve">World Health Organization SARS-COV-2 labelling system, the Zeta virus variant strain, is classed as a variant of interest, with a </w:t>
      </w:r>
      <w:proofErr w:type="spellStart"/>
      <w:r>
        <w:rPr>
          <w:rStyle w:val="FootnoteTextChar"/>
        </w:rPr>
        <w:t>Pango</w:t>
      </w:r>
      <w:proofErr w:type="spellEnd"/>
      <w:r>
        <w:rPr>
          <w:rStyle w:val="FootnoteTextChar"/>
        </w:rPr>
        <w:t xml:space="preserve"> lineage of P.2, and a GISAID clade/lineage of GR/484K.V2. For further information, see the WHO’s </w:t>
      </w:r>
      <w:r w:rsidRPr="00906E57">
        <w:rPr>
          <w:rStyle w:val="FootnoteTextChar"/>
        </w:rPr>
        <w:t xml:space="preserve">Tracking SARS-CoV-2 variants </w:t>
      </w:r>
      <w:r>
        <w:rPr>
          <w:rStyle w:val="FootnoteTextChar"/>
        </w:rPr>
        <w:t xml:space="preserve">information site, available at: </w:t>
      </w:r>
      <w:hyperlink r:id="rId4" w:history="1">
        <w:r w:rsidRPr="00493E15">
          <w:rPr>
            <w:rStyle w:val="Hyperlink"/>
          </w:rPr>
          <w:t>https://www.who.int/en/activities/tracking-SARS-CoV-2-variants/</w:t>
        </w:r>
      </w:hyperlink>
    </w:p>
  </w:footnote>
  <w:footnote w:id="26">
    <w:p w14:paraId="669F56DD" w14:textId="17AEE9B1" w:rsidR="00655033" w:rsidRDefault="00655033">
      <w:pPr>
        <w:pStyle w:val="FootnoteText"/>
      </w:pPr>
      <w:r>
        <w:rPr>
          <w:rStyle w:val="FootnoteReference"/>
        </w:rPr>
        <w:footnoteRef/>
      </w:r>
      <w:r>
        <w:t xml:space="preserve"> SO2- D2.5.2.1 </w:t>
      </w:r>
      <w:r w:rsidRPr="00EF7F28">
        <w:t>Anaphylaxis: Case Definition Companion Guide</w:t>
      </w:r>
      <w:r>
        <w:t xml:space="preserve"> for 1st Tier AESI Anaphylaxis Assessable via www.</w:t>
      </w:r>
      <w:r w:rsidRPr="00EF7F28">
        <w:t>brightoncollaboration.us</w:t>
      </w:r>
    </w:p>
  </w:footnote>
  <w:footnote w:id="27">
    <w:p w14:paraId="726BF74F" w14:textId="77777777" w:rsidR="00655033" w:rsidRDefault="00655033"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32FB8A09" w14:textId="77777777" w:rsidR="00655033" w:rsidRDefault="00655033" w:rsidP="007D53B6">
      <w:pPr>
        <w:pStyle w:val="FootnoteText"/>
      </w:pPr>
      <w:r w:rsidRPr="007D53B6">
        <w:rPr>
          <w:i/>
        </w:rPr>
        <w:t>Routine pharmacovigilance</w:t>
      </w:r>
      <w:r>
        <w:t xml:space="preserve"> practices involve the following activities:</w:t>
      </w:r>
    </w:p>
    <w:p w14:paraId="76EB4A51" w14:textId="77777777" w:rsidR="00655033" w:rsidRDefault="00655033" w:rsidP="007D53B6">
      <w:pPr>
        <w:pStyle w:val="FootnoteText"/>
        <w:numPr>
          <w:ilvl w:val="0"/>
          <w:numId w:val="32"/>
        </w:numPr>
        <w:ind w:left="284" w:hanging="284"/>
      </w:pPr>
      <w:r>
        <w:t>All suspected adverse reactions that are reported to the personnel of the company are collected and collated in an accessible manner;</w:t>
      </w:r>
    </w:p>
    <w:p w14:paraId="3B8EF778" w14:textId="77777777" w:rsidR="00655033" w:rsidRDefault="00655033" w:rsidP="007D53B6">
      <w:pPr>
        <w:pStyle w:val="FootnoteText"/>
        <w:numPr>
          <w:ilvl w:val="0"/>
          <w:numId w:val="32"/>
        </w:numPr>
        <w:ind w:left="284" w:hanging="284"/>
      </w:pPr>
      <w:r>
        <w:t>Reporting to regulatory authorities;</w:t>
      </w:r>
    </w:p>
    <w:p w14:paraId="76B87BC0" w14:textId="77777777" w:rsidR="00655033" w:rsidRDefault="00655033" w:rsidP="007D53B6">
      <w:pPr>
        <w:pStyle w:val="FootnoteText"/>
        <w:numPr>
          <w:ilvl w:val="0"/>
          <w:numId w:val="32"/>
        </w:numPr>
        <w:ind w:left="284" w:hanging="284"/>
      </w:pPr>
      <w:r>
        <w:t>Continuous monitoring of the safety profiles of approved products including signal detection and updating of labelling;</w:t>
      </w:r>
    </w:p>
    <w:p w14:paraId="1E7067B1" w14:textId="77777777" w:rsidR="00655033" w:rsidRDefault="00655033" w:rsidP="007D53B6">
      <w:pPr>
        <w:pStyle w:val="FootnoteText"/>
        <w:numPr>
          <w:ilvl w:val="0"/>
          <w:numId w:val="32"/>
        </w:numPr>
        <w:ind w:left="284" w:hanging="284"/>
      </w:pPr>
      <w:r>
        <w:t>Submission of PSURs;</w:t>
      </w:r>
    </w:p>
    <w:p w14:paraId="5946BD5A" w14:textId="77777777" w:rsidR="00655033" w:rsidRDefault="00655033" w:rsidP="007D53B6">
      <w:pPr>
        <w:pStyle w:val="FootnoteText"/>
        <w:numPr>
          <w:ilvl w:val="0"/>
          <w:numId w:val="32"/>
        </w:numPr>
        <w:ind w:left="284" w:hanging="284"/>
      </w:pPr>
      <w:r>
        <w:t>Meeting other local regulatory agency requirements.</w:t>
      </w:r>
    </w:p>
  </w:footnote>
  <w:footnote w:id="28">
    <w:p w14:paraId="5654DF0E" w14:textId="77D60245" w:rsidR="00655033" w:rsidRDefault="00655033">
      <w:pPr>
        <w:pStyle w:val="FootnoteText"/>
      </w:pPr>
      <w:r>
        <w:rPr>
          <w:rStyle w:val="FootnoteReference"/>
        </w:rPr>
        <w:footnoteRef/>
      </w:r>
      <w:r>
        <w:t xml:space="preserve"> European Medicine Agency media release on 20 April 2021, COVID-19 v</w:t>
      </w:r>
      <w:r w:rsidRPr="00AF71A4">
        <w:t>accine Janssen: EMA finds possible link to very rare cases of unusual blood clots with low blood platelets</w:t>
      </w:r>
      <w:r>
        <w:t>. Accessible via www.ema.europa.eu.</w:t>
      </w:r>
    </w:p>
  </w:footnote>
  <w:footnote w:id="29">
    <w:p w14:paraId="74909221" w14:textId="37047D29" w:rsidR="00655033" w:rsidRDefault="00655033">
      <w:pPr>
        <w:pStyle w:val="FootnoteText"/>
      </w:pPr>
      <w:r>
        <w:rPr>
          <w:rStyle w:val="FootnoteReference"/>
        </w:rPr>
        <w:footnoteRef/>
      </w:r>
      <w:r>
        <w:t xml:space="preserve"> Food Drug Administration United States of America media release on 23 April 2021, </w:t>
      </w:r>
      <w:r w:rsidRPr="00AF71A4">
        <w:t>FDA and CDC Lift Recommended Pause on Johnson &amp; Johnson (Janssen) COVID-19 Vaccine Use Following Thorough Safety Review</w:t>
      </w:r>
      <w:r>
        <w:t>. Accessible via www.fda.gov.</w:t>
      </w:r>
    </w:p>
  </w:footnote>
  <w:footnote w:id="30">
    <w:p w14:paraId="7520A4CA" w14:textId="27CD247D" w:rsidR="00655033" w:rsidRDefault="00655033">
      <w:pPr>
        <w:pStyle w:val="FootnoteText"/>
      </w:pPr>
      <w:r>
        <w:rPr>
          <w:rStyle w:val="FootnoteReference"/>
        </w:rPr>
        <w:footnoteRef/>
      </w:r>
      <w:r>
        <w:t xml:space="preserve"> All outstanding quality issues have been resolved prior to approval or included as post approval commitments.</w:t>
      </w:r>
    </w:p>
  </w:footnote>
  <w:footnote w:id="31">
    <w:p w14:paraId="1CB35760" w14:textId="5E3793EB" w:rsidR="00655033" w:rsidRDefault="00655033" w:rsidP="00EF7F28">
      <w:pPr>
        <w:pStyle w:val="FootnoteText"/>
      </w:pPr>
      <w:r>
        <w:rPr>
          <w:rStyle w:val="FootnoteReference"/>
        </w:rPr>
        <w:footnoteRef/>
      </w:r>
      <w:r>
        <w:t xml:space="preserve"> Considerations for evaluation of COVID19 vaccines, points to consider for manufacturers of COVID19 vaccines (</w:t>
      </w:r>
      <w:r w:rsidRPr="00CD0C2A">
        <w:t>Version 24 September 2020</w:t>
      </w:r>
      <w:r>
        <w:t xml:space="preserve">). </w:t>
      </w:r>
      <w:proofErr w:type="spellStart"/>
      <w:r>
        <w:t>Assessible</w:t>
      </w:r>
      <w:proofErr w:type="spellEnd"/>
      <w:r>
        <w:t xml:space="preserve"> via </w:t>
      </w:r>
      <w:r w:rsidRPr="00CD0C2A">
        <w:t>www.who.int</w:t>
      </w:r>
      <w:r>
        <w:t>.</w:t>
      </w:r>
    </w:p>
  </w:footnote>
  <w:footnote w:id="32">
    <w:p w14:paraId="2F7EDBA2" w14:textId="2927C612" w:rsidR="00655033" w:rsidRPr="006F46EC" w:rsidRDefault="00655033">
      <w:pPr>
        <w:pStyle w:val="FootnoteText"/>
        <w:rPr>
          <w:lang w:val="en-US"/>
        </w:rPr>
      </w:pPr>
      <w:r>
        <w:rPr>
          <w:rStyle w:val="FootnoteReference"/>
        </w:rPr>
        <w:footnoteRef/>
      </w:r>
      <w:r>
        <w:t xml:space="preserve"> </w:t>
      </w:r>
      <w:r w:rsidRPr="006C7376">
        <w:t>Sisonke (Together)</w:t>
      </w:r>
      <w:r>
        <w:t xml:space="preserve"> trail</w:t>
      </w:r>
      <w:r w:rsidRPr="006C7376">
        <w:t xml:space="preserve">: </w:t>
      </w:r>
      <w:r>
        <w:t xml:space="preserve">An </w:t>
      </w:r>
      <w:r w:rsidRPr="006C7376">
        <w:t>Open-label, Single-arm Phase 3B Implementation Study to Monitor the Effectiveness of the Single-dose Ad26.COV2.S COVID-19 Vaccine Among Health Care Workers in South Africa (VAC31518COV3012)</w:t>
      </w:r>
    </w:p>
  </w:footnote>
  <w:footnote w:id="33">
    <w:p w14:paraId="7082AA88" w14:textId="632F00BC" w:rsidR="00655033" w:rsidRPr="006F46EC" w:rsidRDefault="00655033" w:rsidP="00574994">
      <w:pPr>
        <w:pStyle w:val="FootnoteText"/>
        <w:rPr>
          <w:lang w:val="en-US"/>
        </w:rPr>
      </w:pPr>
      <w:r>
        <w:rPr>
          <w:rStyle w:val="FootnoteReference"/>
        </w:rPr>
        <w:footnoteRef/>
      </w:r>
      <w:r>
        <w:t xml:space="preserve"> Standardised MedDRA Queries (SMQs) are tools developed to facilitate retrieval of MedDRA-coded data as a first step in investigating drug safety issues in pharmacovigilance and clinical development. SMQs are validated, pre-determined sets of MedDRA terms grouped together after extensive review, testing, analysis, and expert discussion. SMQs are a unique feature of MedDRA and provide a strong tool to support safety analysis and reporting. The SMQ topics are intended to address the important pharmacovigilance topics needed by regulatory and industry users. The SMQs are maintained with each release of MedDRA.</w:t>
      </w:r>
    </w:p>
  </w:footnote>
  <w:footnote w:id="34">
    <w:p w14:paraId="365C90CF" w14:textId="77777777" w:rsidR="00655033" w:rsidRDefault="00655033" w:rsidP="003F431A">
      <w:pPr>
        <w:spacing w:before="0" w:after="0" w:line="240" w:lineRule="auto"/>
        <w:rPr>
          <w:rFonts w:eastAsia="Times New Roman" w:cs="Calibri"/>
          <w:color w:val="000000"/>
          <w:sz w:val="18"/>
          <w:szCs w:val="18"/>
          <w:lang w:eastAsia="en-AU"/>
        </w:rPr>
      </w:pPr>
      <w:r>
        <w:rPr>
          <w:rStyle w:val="FootnoteReference"/>
        </w:rPr>
        <w:footnoteRef/>
      </w:r>
      <w:r>
        <w:t xml:space="preserve"> </w:t>
      </w:r>
      <w:r w:rsidRPr="00810BB0">
        <w:rPr>
          <w:rFonts w:eastAsia="Times New Roman" w:cs="Calibri"/>
          <w:color w:val="000000"/>
          <w:sz w:val="18"/>
          <w:szCs w:val="18"/>
          <w:lang w:eastAsia="en-AU"/>
        </w:rPr>
        <w:t xml:space="preserve">The </w:t>
      </w:r>
      <w:r w:rsidRPr="00810BB0">
        <w:rPr>
          <w:rFonts w:eastAsia="Times New Roman" w:cs="Calibri"/>
          <w:b/>
          <w:bCs/>
          <w:color w:val="000000"/>
          <w:sz w:val="18"/>
          <w:szCs w:val="18"/>
          <w:lang w:eastAsia="en-AU"/>
        </w:rPr>
        <w:t>Advisory Committee on Vaccines (ACV)</w:t>
      </w:r>
      <w:r w:rsidRPr="00810BB0">
        <w:rPr>
          <w:rFonts w:eastAsia="Times New Roman" w:cs="Calibri"/>
          <w:color w:val="000000"/>
          <w:sz w:val="18"/>
          <w:szCs w:val="18"/>
          <w:lang w:eastAsia="en-AU"/>
        </w:rPr>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w:t>
      </w:r>
      <w:r>
        <w:rPr>
          <w:rFonts w:eastAsia="Times New Roman" w:cs="Calibri"/>
          <w:color w:val="000000"/>
          <w:sz w:val="18"/>
          <w:szCs w:val="18"/>
          <w:lang w:eastAsia="en-AU"/>
        </w:rPr>
        <w:t>s.</w:t>
      </w:r>
    </w:p>
    <w:p w14:paraId="182C22FA" w14:textId="77777777" w:rsidR="00655033" w:rsidRDefault="00655033" w:rsidP="003F431A">
      <w:pPr>
        <w:spacing w:before="0" w:after="0" w:line="240" w:lineRule="auto"/>
        <w:rPr>
          <w:rFonts w:eastAsia="Times New Roman" w:cs="Calibri"/>
          <w:color w:val="000000"/>
          <w:sz w:val="18"/>
          <w:szCs w:val="18"/>
          <w:lang w:eastAsia="en-AU"/>
        </w:rPr>
      </w:pPr>
      <w:r w:rsidRPr="00810BB0">
        <w:rPr>
          <w:rFonts w:eastAsia="Times New Roman" w:cs="Calibri"/>
          <w:color w:val="000000"/>
          <w:sz w:val="18"/>
          <w:szCs w:val="18"/>
          <w:lang w:eastAsia="en-AU"/>
        </w:rPr>
        <w:t>The Committee is established under Regulation 39F of the Therapeutic Goods Regulations 1990 and the members are appoint</w:t>
      </w:r>
      <w:r>
        <w:rPr>
          <w:rFonts w:eastAsia="Times New Roman" w:cs="Calibri"/>
          <w:color w:val="000000"/>
          <w:sz w:val="18"/>
          <w:szCs w:val="18"/>
          <w:lang w:eastAsia="en-AU"/>
        </w:rPr>
        <w:t>ed by the Minister for Health.</w:t>
      </w:r>
    </w:p>
    <w:p w14:paraId="70469920" w14:textId="77777777" w:rsidR="00655033" w:rsidRDefault="00655033" w:rsidP="003F431A">
      <w:pPr>
        <w:spacing w:before="0" w:after="0" w:line="240" w:lineRule="auto"/>
        <w:rPr>
          <w:rFonts w:eastAsia="Times New Roman" w:cs="Calibri"/>
          <w:color w:val="000000"/>
          <w:sz w:val="18"/>
          <w:szCs w:val="18"/>
          <w:lang w:eastAsia="en-AU"/>
        </w:rPr>
      </w:pPr>
      <w:r w:rsidRPr="00810BB0">
        <w:rPr>
          <w:rFonts w:eastAsia="Times New Roman" w:cs="Calibri"/>
          <w:color w:val="000000"/>
          <w:sz w:val="18"/>
          <w:szCs w:val="18"/>
          <w:lang w:eastAsia="en-AU"/>
        </w:rPr>
        <w:t xml:space="preserve">The ACV was established in January 2017, following consolidation of previous functions of the Advisory Committee on the Safety of Vaccines (ACSOV) and the pre-market functions for vaccines of the Advisory Committee on </w:t>
      </w:r>
      <w:r>
        <w:rPr>
          <w:rFonts w:eastAsia="Times New Roman" w:cs="Calibri"/>
          <w:color w:val="000000"/>
          <w:sz w:val="18"/>
          <w:szCs w:val="18"/>
          <w:lang w:eastAsia="en-AU"/>
        </w:rPr>
        <w:t>Prescription Medicines (ACPM).</w:t>
      </w:r>
    </w:p>
    <w:p w14:paraId="33A38442" w14:textId="4A4B884F" w:rsidR="00655033" w:rsidRPr="003F431A" w:rsidRDefault="00655033" w:rsidP="003F431A">
      <w:pPr>
        <w:spacing w:before="0" w:after="0" w:line="240" w:lineRule="auto"/>
        <w:rPr>
          <w:rFonts w:eastAsia="Times New Roman" w:cs="Calibri"/>
          <w:color w:val="000000"/>
          <w:sz w:val="18"/>
          <w:szCs w:val="18"/>
          <w:lang w:eastAsia="en-AU"/>
        </w:rPr>
      </w:pPr>
      <w:r w:rsidRPr="00810BB0">
        <w:rPr>
          <w:rFonts w:eastAsia="Times New Roman" w:cs="Calibri"/>
          <w:color w:val="000000"/>
          <w:sz w:val="18"/>
          <w:szCs w:val="18"/>
          <w:lang w:eastAsia="en-AU"/>
        </w:rPr>
        <w:t>Membership comprises professionals with expertise in specific scientific, medical or clinical fields, or consumer health issues.</w:t>
      </w:r>
    </w:p>
  </w:footnote>
  <w:footnote w:id="35">
    <w:p w14:paraId="548FE199" w14:textId="4581084F" w:rsidR="00655033" w:rsidRDefault="00655033">
      <w:pPr>
        <w:pStyle w:val="FootnoteText"/>
      </w:pPr>
      <w:r>
        <w:rPr>
          <w:rStyle w:val="FootnoteReference"/>
        </w:rPr>
        <w:footnoteRef/>
      </w:r>
      <w:r>
        <w:t xml:space="preserve"> </w:t>
      </w:r>
      <w:r w:rsidRPr="00BE55C5">
        <w:t>https://www.health.gov.au/news/joint-statement-from-atagi-and-thanz-on-thrombosis-with-thrombocytopenia-syndrome-tts-and-the-use-of-covid-19-vaccine-astrazeneca, dated 23 May 2021</w:t>
      </w:r>
    </w:p>
  </w:footnote>
  <w:footnote w:id="36">
    <w:p w14:paraId="340313F0" w14:textId="6907290C" w:rsidR="00655033" w:rsidRDefault="00655033">
      <w:pPr>
        <w:pStyle w:val="FootnoteText"/>
      </w:pPr>
      <w:r>
        <w:rPr>
          <w:rStyle w:val="FootnoteReference"/>
        </w:rPr>
        <w:footnoteRef/>
      </w:r>
      <w:r>
        <w:t xml:space="preserve"> Refer to ‘c</w:t>
      </w:r>
      <w:r w:rsidRPr="00350315">
        <w:t>linical study plan to support full registration</w:t>
      </w:r>
      <w:r>
        <w:t>’ in risk management plan section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8BB78" w14:textId="77777777" w:rsidR="00655033" w:rsidRDefault="0065503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257DA" w14:textId="77777777" w:rsidR="00655033" w:rsidRDefault="00655033">
    <w:pPr>
      <w:rPr>
        <w:noProof/>
        <w:lang w:eastAsia="en-AU"/>
      </w:rPr>
    </w:pPr>
    <w:r w:rsidRPr="00347824">
      <w:rPr>
        <w:noProof/>
        <w:lang w:eastAsia="en-AU"/>
      </w:rPr>
      <w:drawing>
        <wp:anchor distT="0" distB="0" distL="114300" distR="114300" simplePos="0" relativeHeight="251659264" behindDoc="1" locked="0" layoutInCell="1" allowOverlap="1" wp14:anchorId="78D42CFD" wp14:editId="7ECECBA9">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18105F6" w14:textId="77777777" w:rsidR="00655033" w:rsidRDefault="00655033"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C66FD" w14:textId="77777777" w:rsidR="00655033" w:rsidRDefault="006550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E50A2" w14:textId="77777777" w:rsidR="00655033" w:rsidRDefault="0065503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E435F" w14:textId="77777777" w:rsidR="00655033" w:rsidRDefault="0065503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7EDA1" w14:textId="77777777" w:rsidR="00655033" w:rsidRDefault="006550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5F3EB" w14:textId="77777777" w:rsidR="00655033" w:rsidRDefault="0065503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95057" w14:textId="77777777" w:rsidR="00655033" w:rsidRDefault="00655033" w:rsidP="006E08B3">
    <w:r>
      <w:t>Therapeutic Goods Administration</w:t>
    </w:r>
  </w:p>
  <w:p w14:paraId="0D1BFFBC" w14:textId="77777777" w:rsidR="00655033" w:rsidRDefault="0065503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D480F"/>
    <w:multiLevelType w:val="hybridMultilevel"/>
    <w:tmpl w:val="D1A651E4"/>
    <w:lvl w:ilvl="0" w:tplc="B256F99E">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1C14643"/>
    <w:multiLevelType w:val="hybridMultilevel"/>
    <w:tmpl w:val="80A6F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3"/>
  </w:num>
  <w:num w:numId="29">
    <w:abstractNumId w:val="7"/>
  </w:num>
  <w:num w:numId="30">
    <w:abstractNumId w:val="9"/>
  </w:num>
  <w:num w:numId="31">
    <w:abstractNumId w:val="4"/>
  </w:num>
  <w:num w:numId="32">
    <w:abstractNumId w:val="11"/>
  </w:num>
  <w:num w:numId="33">
    <w:abstractNumId w:val="12"/>
  </w:num>
  <w:num w:numId="34">
    <w:abstractNumId w:val="5"/>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B83"/>
    <w:rsid w:val="00002031"/>
    <w:rsid w:val="00004734"/>
    <w:rsid w:val="00006B22"/>
    <w:rsid w:val="00006FAB"/>
    <w:rsid w:val="0001276A"/>
    <w:rsid w:val="00014352"/>
    <w:rsid w:val="00017ADD"/>
    <w:rsid w:val="00021AD2"/>
    <w:rsid w:val="000246AE"/>
    <w:rsid w:val="00025C67"/>
    <w:rsid w:val="00027335"/>
    <w:rsid w:val="000324E9"/>
    <w:rsid w:val="00037314"/>
    <w:rsid w:val="00044772"/>
    <w:rsid w:val="0004541C"/>
    <w:rsid w:val="000467FB"/>
    <w:rsid w:val="0005559E"/>
    <w:rsid w:val="000604D6"/>
    <w:rsid w:val="00071F01"/>
    <w:rsid w:val="000734D8"/>
    <w:rsid w:val="00077775"/>
    <w:rsid w:val="00090471"/>
    <w:rsid w:val="00096AA7"/>
    <w:rsid w:val="000A2ECB"/>
    <w:rsid w:val="000A3AED"/>
    <w:rsid w:val="000B3532"/>
    <w:rsid w:val="000B3A75"/>
    <w:rsid w:val="000C00C2"/>
    <w:rsid w:val="000C0656"/>
    <w:rsid w:val="000C1229"/>
    <w:rsid w:val="000C622C"/>
    <w:rsid w:val="000C690F"/>
    <w:rsid w:val="000D1295"/>
    <w:rsid w:val="000D391B"/>
    <w:rsid w:val="000D3D6D"/>
    <w:rsid w:val="000D4FC7"/>
    <w:rsid w:val="000D6528"/>
    <w:rsid w:val="000E6196"/>
    <w:rsid w:val="000E6BC3"/>
    <w:rsid w:val="000F4869"/>
    <w:rsid w:val="000F4ED1"/>
    <w:rsid w:val="000F5B42"/>
    <w:rsid w:val="000F6E6F"/>
    <w:rsid w:val="0010601F"/>
    <w:rsid w:val="001070E0"/>
    <w:rsid w:val="0010788A"/>
    <w:rsid w:val="00107A31"/>
    <w:rsid w:val="00110EA5"/>
    <w:rsid w:val="00111388"/>
    <w:rsid w:val="00112F56"/>
    <w:rsid w:val="0011403D"/>
    <w:rsid w:val="00122C2E"/>
    <w:rsid w:val="00124ACD"/>
    <w:rsid w:val="00125318"/>
    <w:rsid w:val="00126461"/>
    <w:rsid w:val="001305A2"/>
    <w:rsid w:val="00133238"/>
    <w:rsid w:val="00133A1B"/>
    <w:rsid w:val="00140EC5"/>
    <w:rsid w:val="0014197B"/>
    <w:rsid w:val="001447CD"/>
    <w:rsid w:val="001516B1"/>
    <w:rsid w:val="0015416B"/>
    <w:rsid w:val="00154EBB"/>
    <w:rsid w:val="00156316"/>
    <w:rsid w:val="00161181"/>
    <w:rsid w:val="00162D14"/>
    <w:rsid w:val="00163780"/>
    <w:rsid w:val="00165389"/>
    <w:rsid w:val="0017693F"/>
    <w:rsid w:val="0018110E"/>
    <w:rsid w:val="00181684"/>
    <w:rsid w:val="001843C6"/>
    <w:rsid w:val="001850E0"/>
    <w:rsid w:val="001A03AF"/>
    <w:rsid w:val="001A2158"/>
    <w:rsid w:val="001A525F"/>
    <w:rsid w:val="001B09F9"/>
    <w:rsid w:val="001B51B3"/>
    <w:rsid w:val="001B5997"/>
    <w:rsid w:val="001B5C90"/>
    <w:rsid w:val="001B6448"/>
    <w:rsid w:val="001C32CD"/>
    <w:rsid w:val="001D2984"/>
    <w:rsid w:val="001E07CF"/>
    <w:rsid w:val="001E481A"/>
    <w:rsid w:val="001E59F1"/>
    <w:rsid w:val="001E7F96"/>
    <w:rsid w:val="001F2CEE"/>
    <w:rsid w:val="001F459D"/>
    <w:rsid w:val="001F49EB"/>
    <w:rsid w:val="001F5AE9"/>
    <w:rsid w:val="001F6A83"/>
    <w:rsid w:val="001F6CBA"/>
    <w:rsid w:val="00201D4E"/>
    <w:rsid w:val="00202C73"/>
    <w:rsid w:val="00203C72"/>
    <w:rsid w:val="002076C9"/>
    <w:rsid w:val="00220B8A"/>
    <w:rsid w:val="002257F3"/>
    <w:rsid w:val="00233456"/>
    <w:rsid w:val="002339A5"/>
    <w:rsid w:val="00240463"/>
    <w:rsid w:val="00250271"/>
    <w:rsid w:val="00254282"/>
    <w:rsid w:val="00256D16"/>
    <w:rsid w:val="00257848"/>
    <w:rsid w:val="002578E8"/>
    <w:rsid w:val="00263AA2"/>
    <w:rsid w:val="0027084A"/>
    <w:rsid w:val="0028016A"/>
    <w:rsid w:val="00280265"/>
    <w:rsid w:val="00286434"/>
    <w:rsid w:val="00286C59"/>
    <w:rsid w:val="00291957"/>
    <w:rsid w:val="002942D1"/>
    <w:rsid w:val="0029501A"/>
    <w:rsid w:val="00295B95"/>
    <w:rsid w:val="002A3721"/>
    <w:rsid w:val="002B1638"/>
    <w:rsid w:val="002B18C6"/>
    <w:rsid w:val="002B3624"/>
    <w:rsid w:val="002B6A95"/>
    <w:rsid w:val="002D0952"/>
    <w:rsid w:val="002D2602"/>
    <w:rsid w:val="002D3051"/>
    <w:rsid w:val="002E40B3"/>
    <w:rsid w:val="002E4C9A"/>
    <w:rsid w:val="002F11F8"/>
    <w:rsid w:val="002F13D7"/>
    <w:rsid w:val="002F3F56"/>
    <w:rsid w:val="002F44B5"/>
    <w:rsid w:val="002F5122"/>
    <w:rsid w:val="00303D09"/>
    <w:rsid w:val="00311AC0"/>
    <w:rsid w:val="0031650C"/>
    <w:rsid w:val="003176FC"/>
    <w:rsid w:val="00324E45"/>
    <w:rsid w:val="00325830"/>
    <w:rsid w:val="0032583B"/>
    <w:rsid w:val="00327883"/>
    <w:rsid w:val="00335504"/>
    <w:rsid w:val="003378E0"/>
    <w:rsid w:val="00340C18"/>
    <w:rsid w:val="00342633"/>
    <w:rsid w:val="003442FD"/>
    <w:rsid w:val="003448FF"/>
    <w:rsid w:val="00347824"/>
    <w:rsid w:val="00350315"/>
    <w:rsid w:val="00350567"/>
    <w:rsid w:val="003521E8"/>
    <w:rsid w:val="0035373F"/>
    <w:rsid w:val="00354CD5"/>
    <w:rsid w:val="003552E8"/>
    <w:rsid w:val="00356A6D"/>
    <w:rsid w:val="00360591"/>
    <w:rsid w:val="00370CE3"/>
    <w:rsid w:val="003728F3"/>
    <w:rsid w:val="00373590"/>
    <w:rsid w:val="003735BC"/>
    <w:rsid w:val="0037496E"/>
    <w:rsid w:val="0037652E"/>
    <w:rsid w:val="00383221"/>
    <w:rsid w:val="00386150"/>
    <w:rsid w:val="003874CE"/>
    <w:rsid w:val="00390900"/>
    <w:rsid w:val="003A27B8"/>
    <w:rsid w:val="003A7F6C"/>
    <w:rsid w:val="003B4D60"/>
    <w:rsid w:val="003B7E39"/>
    <w:rsid w:val="003C383F"/>
    <w:rsid w:val="003C5243"/>
    <w:rsid w:val="003C58DC"/>
    <w:rsid w:val="003D1E62"/>
    <w:rsid w:val="003D3792"/>
    <w:rsid w:val="003D7018"/>
    <w:rsid w:val="003E0B99"/>
    <w:rsid w:val="003E2486"/>
    <w:rsid w:val="003E3208"/>
    <w:rsid w:val="003E5C3A"/>
    <w:rsid w:val="003E654A"/>
    <w:rsid w:val="003F0B04"/>
    <w:rsid w:val="003F431A"/>
    <w:rsid w:val="00400C7F"/>
    <w:rsid w:val="0040134E"/>
    <w:rsid w:val="00413187"/>
    <w:rsid w:val="00415E70"/>
    <w:rsid w:val="0042423E"/>
    <w:rsid w:val="00425DB1"/>
    <w:rsid w:val="004334C7"/>
    <w:rsid w:val="00440A2D"/>
    <w:rsid w:val="00441C3F"/>
    <w:rsid w:val="00444D1A"/>
    <w:rsid w:val="0045186A"/>
    <w:rsid w:val="00455C97"/>
    <w:rsid w:val="004564A7"/>
    <w:rsid w:val="00456765"/>
    <w:rsid w:val="00460036"/>
    <w:rsid w:val="004617BF"/>
    <w:rsid w:val="00463658"/>
    <w:rsid w:val="004637A0"/>
    <w:rsid w:val="004671A5"/>
    <w:rsid w:val="00467DC9"/>
    <w:rsid w:val="004718C9"/>
    <w:rsid w:val="004722CC"/>
    <w:rsid w:val="00472741"/>
    <w:rsid w:val="00477054"/>
    <w:rsid w:val="00477E1C"/>
    <w:rsid w:val="00480539"/>
    <w:rsid w:val="00483F6C"/>
    <w:rsid w:val="00485CBF"/>
    <w:rsid w:val="00490483"/>
    <w:rsid w:val="004936E4"/>
    <w:rsid w:val="00494E60"/>
    <w:rsid w:val="00496882"/>
    <w:rsid w:val="00497487"/>
    <w:rsid w:val="00497FBF"/>
    <w:rsid w:val="004A2771"/>
    <w:rsid w:val="004A509D"/>
    <w:rsid w:val="004A6189"/>
    <w:rsid w:val="004A7390"/>
    <w:rsid w:val="004B7B76"/>
    <w:rsid w:val="004C01E5"/>
    <w:rsid w:val="004C239D"/>
    <w:rsid w:val="004C2DCA"/>
    <w:rsid w:val="004C4036"/>
    <w:rsid w:val="004C4FBE"/>
    <w:rsid w:val="004C61D2"/>
    <w:rsid w:val="004D4EA1"/>
    <w:rsid w:val="004D6391"/>
    <w:rsid w:val="004E10D1"/>
    <w:rsid w:val="004E6D39"/>
    <w:rsid w:val="004F0AC1"/>
    <w:rsid w:val="004F0C4A"/>
    <w:rsid w:val="004F0F38"/>
    <w:rsid w:val="004F322B"/>
    <w:rsid w:val="004F47D6"/>
    <w:rsid w:val="00500337"/>
    <w:rsid w:val="00501921"/>
    <w:rsid w:val="00505343"/>
    <w:rsid w:val="00505F06"/>
    <w:rsid w:val="005136CA"/>
    <w:rsid w:val="00525BAE"/>
    <w:rsid w:val="00530354"/>
    <w:rsid w:val="00531FE6"/>
    <w:rsid w:val="00535397"/>
    <w:rsid w:val="0053625B"/>
    <w:rsid w:val="005434C6"/>
    <w:rsid w:val="00543B39"/>
    <w:rsid w:val="00546154"/>
    <w:rsid w:val="00550096"/>
    <w:rsid w:val="0055257A"/>
    <w:rsid w:val="00555280"/>
    <w:rsid w:val="005557E5"/>
    <w:rsid w:val="00557FF9"/>
    <w:rsid w:val="00562327"/>
    <w:rsid w:val="005711D5"/>
    <w:rsid w:val="005747CE"/>
    <w:rsid w:val="00574994"/>
    <w:rsid w:val="00576378"/>
    <w:rsid w:val="00577130"/>
    <w:rsid w:val="00577945"/>
    <w:rsid w:val="00577E38"/>
    <w:rsid w:val="005845F4"/>
    <w:rsid w:val="00585322"/>
    <w:rsid w:val="005857C6"/>
    <w:rsid w:val="00592F6E"/>
    <w:rsid w:val="00593AD1"/>
    <w:rsid w:val="00594FFE"/>
    <w:rsid w:val="005A68B6"/>
    <w:rsid w:val="005A7F34"/>
    <w:rsid w:val="005C51EA"/>
    <w:rsid w:val="005C5570"/>
    <w:rsid w:val="005C5B66"/>
    <w:rsid w:val="005C7845"/>
    <w:rsid w:val="005C79A4"/>
    <w:rsid w:val="005D5442"/>
    <w:rsid w:val="00600281"/>
    <w:rsid w:val="00603DB3"/>
    <w:rsid w:val="00603F32"/>
    <w:rsid w:val="0060480C"/>
    <w:rsid w:val="0060553C"/>
    <w:rsid w:val="00605AD4"/>
    <w:rsid w:val="006101AE"/>
    <w:rsid w:val="006136D7"/>
    <w:rsid w:val="006167B8"/>
    <w:rsid w:val="00625A6E"/>
    <w:rsid w:val="0063021D"/>
    <w:rsid w:val="00632398"/>
    <w:rsid w:val="00633269"/>
    <w:rsid w:val="0063755A"/>
    <w:rsid w:val="00640EDE"/>
    <w:rsid w:val="00640FC3"/>
    <w:rsid w:val="00642020"/>
    <w:rsid w:val="006430EE"/>
    <w:rsid w:val="0065337B"/>
    <w:rsid w:val="0065419D"/>
    <w:rsid w:val="00654A9B"/>
    <w:rsid w:val="00655033"/>
    <w:rsid w:val="0065766D"/>
    <w:rsid w:val="006603BC"/>
    <w:rsid w:val="006604D8"/>
    <w:rsid w:val="00664A5B"/>
    <w:rsid w:val="0066735C"/>
    <w:rsid w:val="00671DDE"/>
    <w:rsid w:val="00673E4C"/>
    <w:rsid w:val="006763D2"/>
    <w:rsid w:val="00680C08"/>
    <w:rsid w:val="0068151C"/>
    <w:rsid w:val="0068495F"/>
    <w:rsid w:val="006916A0"/>
    <w:rsid w:val="006931B1"/>
    <w:rsid w:val="00694954"/>
    <w:rsid w:val="006A15C0"/>
    <w:rsid w:val="006A58A8"/>
    <w:rsid w:val="006B1F9B"/>
    <w:rsid w:val="006B30C7"/>
    <w:rsid w:val="006C17BB"/>
    <w:rsid w:val="006C3E2A"/>
    <w:rsid w:val="006C642F"/>
    <w:rsid w:val="006C7376"/>
    <w:rsid w:val="006D03E5"/>
    <w:rsid w:val="006D5D3E"/>
    <w:rsid w:val="006D6A0E"/>
    <w:rsid w:val="006E06A8"/>
    <w:rsid w:val="006E08B3"/>
    <w:rsid w:val="006E2D41"/>
    <w:rsid w:val="006F16AE"/>
    <w:rsid w:val="006F17AC"/>
    <w:rsid w:val="006F25B8"/>
    <w:rsid w:val="006F46EC"/>
    <w:rsid w:val="006F572E"/>
    <w:rsid w:val="00702B64"/>
    <w:rsid w:val="007046D6"/>
    <w:rsid w:val="00705DB0"/>
    <w:rsid w:val="00705E80"/>
    <w:rsid w:val="00722B57"/>
    <w:rsid w:val="0072621B"/>
    <w:rsid w:val="00730F8A"/>
    <w:rsid w:val="00734FB9"/>
    <w:rsid w:val="00735A8C"/>
    <w:rsid w:val="007407AC"/>
    <w:rsid w:val="0074253D"/>
    <w:rsid w:val="00744121"/>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94F56"/>
    <w:rsid w:val="00795316"/>
    <w:rsid w:val="007A0806"/>
    <w:rsid w:val="007A46F5"/>
    <w:rsid w:val="007A6505"/>
    <w:rsid w:val="007B6132"/>
    <w:rsid w:val="007B6E9F"/>
    <w:rsid w:val="007C1216"/>
    <w:rsid w:val="007C1AF7"/>
    <w:rsid w:val="007C6B9B"/>
    <w:rsid w:val="007C6E17"/>
    <w:rsid w:val="007D2380"/>
    <w:rsid w:val="007D53B6"/>
    <w:rsid w:val="007F2F0C"/>
    <w:rsid w:val="007F4D87"/>
    <w:rsid w:val="007F6C02"/>
    <w:rsid w:val="00803BEE"/>
    <w:rsid w:val="00805D27"/>
    <w:rsid w:val="00806DCB"/>
    <w:rsid w:val="00821776"/>
    <w:rsid w:val="0082207D"/>
    <w:rsid w:val="008301F5"/>
    <w:rsid w:val="0083191B"/>
    <w:rsid w:val="008321F5"/>
    <w:rsid w:val="00832269"/>
    <w:rsid w:val="00832369"/>
    <w:rsid w:val="00834660"/>
    <w:rsid w:val="008351D4"/>
    <w:rsid w:val="00836918"/>
    <w:rsid w:val="00836BC2"/>
    <w:rsid w:val="00847859"/>
    <w:rsid w:val="0085156D"/>
    <w:rsid w:val="00852B28"/>
    <w:rsid w:val="0085641B"/>
    <w:rsid w:val="00857136"/>
    <w:rsid w:val="0086347D"/>
    <w:rsid w:val="00867F82"/>
    <w:rsid w:val="00875A6B"/>
    <w:rsid w:val="00876721"/>
    <w:rsid w:val="00885B11"/>
    <w:rsid w:val="00886D15"/>
    <w:rsid w:val="00887DD8"/>
    <w:rsid w:val="00891BA9"/>
    <w:rsid w:val="008947C1"/>
    <w:rsid w:val="00896018"/>
    <w:rsid w:val="008960DD"/>
    <w:rsid w:val="0089635C"/>
    <w:rsid w:val="008A2B9D"/>
    <w:rsid w:val="008A3D9F"/>
    <w:rsid w:val="008A4227"/>
    <w:rsid w:val="008A5E0B"/>
    <w:rsid w:val="008A6D59"/>
    <w:rsid w:val="008B4B03"/>
    <w:rsid w:val="008B596F"/>
    <w:rsid w:val="008C159F"/>
    <w:rsid w:val="008C1623"/>
    <w:rsid w:val="008C1850"/>
    <w:rsid w:val="008C51A9"/>
    <w:rsid w:val="008E0E76"/>
    <w:rsid w:val="008E45B7"/>
    <w:rsid w:val="008E7846"/>
    <w:rsid w:val="008F02E5"/>
    <w:rsid w:val="008F1CCC"/>
    <w:rsid w:val="008F2967"/>
    <w:rsid w:val="008F6943"/>
    <w:rsid w:val="0090273D"/>
    <w:rsid w:val="00902A21"/>
    <w:rsid w:val="00906E57"/>
    <w:rsid w:val="0091523F"/>
    <w:rsid w:val="00920330"/>
    <w:rsid w:val="009219D7"/>
    <w:rsid w:val="00922D53"/>
    <w:rsid w:val="00923B70"/>
    <w:rsid w:val="00924482"/>
    <w:rsid w:val="00924C21"/>
    <w:rsid w:val="00930237"/>
    <w:rsid w:val="00937C17"/>
    <w:rsid w:val="00940A89"/>
    <w:rsid w:val="00941F77"/>
    <w:rsid w:val="009426AC"/>
    <w:rsid w:val="00946EA5"/>
    <w:rsid w:val="0095433A"/>
    <w:rsid w:val="009603EA"/>
    <w:rsid w:val="00960520"/>
    <w:rsid w:val="00962FD5"/>
    <w:rsid w:val="00963C08"/>
    <w:rsid w:val="00963D92"/>
    <w:rsid w:val="00967613"/>
    <w:rsid w:val="00972995"/>
    <w:rsid w:val="009752A5"/>
    <w:rsid w:val="00984B83"/>
    <w:rsid w:val="0098585A"/>
    <w:rsid w:val="0099191D"/>
    <w:rsid w:val="00994ADE"/>
    <w:rsid w:val="00996A34"/>
    <w:rsid w:val="009A289B"/>
    <w:rsid w:val="009A4CED"/>
    <w:rsid w:val="009A55C2"/>
    <w:rsid w:val="009A690D"/>
    <w:rsid w:val="009B1D12"/>
    <w:rsid w:val="009B228A"/>
    <w:rsid w:val="009B416B"/>
    <w:rsid w:val="009C0F54"/>
    <w:rsid w:val="009C3A4C"/>
    <w:rsid w:val="009C4BD5"/>
    <w:rsid w:val="009D3B60"/>
    <w:rsid w:val="009D3C4D"/>
    <w:rsid w:val="009D7B77"/>
    <w:rsid w:val="009E0BB0"/>
    <w:rsid w:val="009E3FBB"/>
    <w:rsid w:val="009F7353"/>
    <w:rsid w:val="00A03EF6"/>
    <w:rsid w:val="00A04F85"/>
    <w:rsid w:val="00A05FA4"/>
    <w:rsid w:val="00A102E4"/>
    <w:rsid w:val="00A1219C"/>
    <w:rsid w:val="00A12C42"/>
    <w:rsid w:val="00A14DF7"/>
    <w:rsid w:val="00A22D57"/>
    <w:rsid w:val="00A2484C"/>
    <w:rsid w:val="00A27C96"/>
    <w:rsid w:val="00A3246D"/>
    <w:rsid w:val="00A36C4A"/>
    <w:rsid w:val="00A36FA7"/>
    <w:rsid w:val="00A37108"/>
    <w:rsid w:val="00A44DDB"/>
    <w:rsid w:val="00A475B7"/>
    <w:rsid w:val="00A47AF7"/>
    <w:rsid w:val="00A47C3E"/>
    <w:rsid w:val="00A50226"/>
    <w:rsid w:val="00A60BAD"/>
    <w:rsid w:val="00A706CD"/>
    <w:rsid w:val="00A76D7C"/>
    <w:rsid w:val="00A77F87"/>
    <w:rsid w:val="00A80207"/>
    <w:rsid w:val="00A80B5B"/>
    <w:rsid w:val="00A84E11"/>
    <w:rsid w:val="00A84E36"/>
    <w:rsid w:val="00A9255A"/>
    <w:rsid w:val="00A964D1"/>
    <w:rsid w:val="00AA0543"/>
    <w:rsid w:val="00AA0ED0"/>
    <w:rsid w:val="00AB0ABA"/>
    <w:rsid w:val="00AB393B"/>
    <w:rsid w:val="00AC20DB"/>
    <w:rsid w:val="00AC2738"/>
    <w:rsid w:val="00AC2B40"/>
    <w:rsid w:val="00AC2BB2"/>
    <w:rsid w:val="00AC2C3C"/>
    <w:rsid w:val="00AC512D"/>
    <w:rsid w:val="00AC780B"/>
    <w:rsid w:val="00AD0083"/>
    <w:rsid w:val="00AD3935"/>
    <w:rsid w:val="00AE58C0"/>
    <w:rsid w:val="00AE65EB"/>
    <w:rsid w:val="00AE67A7"/>
    <w:rsid w:val="00AF0766"/>
    <w:rsid w:val="00AF1D94"/>
    <w:rsid w:val="00AF60C5"/>
    <w:rsid w:val="00AF71A4"/>
    <w:rsid w:val="00B009C6"/>
    <w:rsid w:val="00B01548"/>
    <w:rsid w:val="00B0340B"/>
    <w:rsid w:val="00B03D59"/>
    <w:rsid w:val="00B130C5"/>
    <w:rsid w:val="00B132BE"/>
    <w:rsid w:val="00B13EBD"/>
    <w:rsid w:val="00B16A50"/>
    <w:rsid w:val="00B21D29"/>
    <w:rsid w:val="00B25034"/>
    <w:rsid w:val="00B268AD"/>
    <w:rsid w:val="00B33588"/>
    <w:rsid w:val="00B33863"/>
    <w:rsid w:val="00B339E1"/>
    <w:rsid w:val="00B37D17"/>
    <w:rsid w:val="00B37F5C"/>
    <w:rsid w:val="00B4175E"/>
    <w:rsid w:val="00B41C85"/>
    <w:rsid w:val="00B452CE"/>
    <w:rsid w:val="00B5214E"/>
    <w:rsid w:val="00B54C25"/>
    <w:rsid w:val="00B76B91"/>
    <w:rsid w:val="00B77EB1"/>
    <w:rsid w:val="00B811C6"/>
    <w:rsid w:val="00B82D18"/>
    <w:rsid w:val="00B855B0"/>
    <w:rsid w:val="00B92E08"/>
    <w:rsid w:val="00BA2655"/>
    <w:rsid w:val="00BA4452"/>
    <w:rsid w:val="00BB5FAF"/>
    <w:rsid w:val="00BC0112"/>
    <w:rsid w:val="00BC16F0"/>
    <w:rsid w:val="00BC4C3D"/>
    <w:rsid w:val="00BC622A"/>
    <w:rsid w:val="00BE0A78"/>
    <w:rsid w:val="00BE4C97"/>
    <w:rsid w:val="00BE51A3"/>
    <w:rsid w:val="00BE55C5"/>
    <w:rsid w:val="00BE79F0"/>
    <w:rsid w:val="00BF046D"/>
    <w:rsid w:val="00BF0A3E"/>
    <w:rsid w:val="00BF1190"/>
    <w:rsid w:val="00BF27ED"/>
    <w:rsid w:val="00BF3774"/>
    <w:rsid w:val="00BF38E9"/>
    <w:rsid w:val="00BF5D04"/>
    <w:rsid w:val="00BF6174"/>
    <w:rsid w:val="00C009AA"/>
    <w:rsid w:val="00C05E18"/>
    <w:rsid w:val="00C0680D"/>
    <w:rsid w:val="00C103C4"/>
    <w:rsid w:val="00C1164D"/>
    <w:rsid w:val="00C16861"/>
    <w:rsid w:val="00C346AB"/>
    <w:rsid w:val="00C404A6"/>
    <w:rsid w:val="00C40A36"/>
    <w:rsid w:val="00C44419"/>
    <w:rsid w:val="00C45E7B"/>
    <w:rsid w:val="00C471B1"/>
    <w:rsid w:val="00C525A2"/>
    <w:rsid w:val="00C52E24"/>
    <w:rsid w:val="00C56430"/>
    <w:rsid w:val="00C6316B"/>
    <w:rsid w:val="00C634A9"/>
    <w:rsid w:val="00C64586"/>
    <w:rsid w:val="00C70A36"/>
    <w:rsid w:val="00C70D53"/>
    <w:rsid w:val="00C73D0B"/>
    <w:rsid w:val="00C74F54"/>
    <w:rsid w:val="00C74F5C"/>
    <w:rsid w:val="00C76DB5"/>
    <w:rsid w:val="00C772FF"/>
    <w:rsid w:val="00C80137"/>
    <w:rsid w:val="00C801AF"/>
    <w:rsid w:val="00C80256"/>
    <w:rsid w:val="00C94CD4"/>
    <w:rsid w:val="00C9747E"/>
    <w:rsid w:val="00CB6BC0"/>
    <w:rsid w:val="00CC1B7C"/>
    <w:rsid w:val="00CC5461"/>
    <w:rsid w:val="00CC5638"/>
    <w:rsid w:val="00CC727F"/>
    <w:rsid w:val="00CD0C2A"/>
    <w:rsid w:val="00CF15C3"/>
    <w:rsid w:val="00CF2B6F"/>
    <w:rsid w:val="00CF2F3E"/>
    <w:rsid w:val="00CF58B6"/>
    <w:rsid w:val="00CF5DAD"/>
    <w:rsid w:val="00D0062D"/>
    <w:rsid w:val="00D017ED"/>
    <w:rsid w:val="00D040D3"/>
    <w:rsid w:val="00D04C65"/>
    <w:rsid w:val="00D153D8"/>
    <w:rsid w:val="00D201D2"/>
    <w:rsid w:val="00D224FE"/>
    <w:rsid w:val="00D23139"/>
    <w:rsid w:val="00D263D1"/>
    <w:rsid w:val="00D32529"/>
    <w:rsid w:val="00D35313"/>
    <w:rsid w:val="00D41A9D"/>
    <w:rsid w:val="00D425BB"/>
    <w:rsid w:val="00D453FA"/>
    <w:rsid w:val="00D52787"/>
    <w:rsid w:val="00D61EFB"/>
    <w:rsid w:val="00D6444C"/>
    <w:rsid w:val="00D6493E"/>
    <w:rsid w:val="00D7195D"/>
    <w:rsid w:val="00D7301E"/>
    <w:rsid w:val="00D83AE1"/>
    <w:rsid w:val="00D83F25"/>
    <w:rsid w:val="00D84C43"/>
    <w:rsid w:val="00D855D4"/>
    <w:rsid w:val="00D876F0"/>
    <w:rsid w:val="00D902C9"/>
    <w:rsid w:val="00D93466"/>
    <w:rsid w:val="00D937B0"/>
    <w:rsid w:val="00D95112"/>
    <w:rsid w:val="00DA1124"/>
    <w:rsid w:val="00DA64CB"/>
    <w:rsid w:val="00DB06B8"/>
    <w:rsid w:val="00DB3A58"/>
    <w:rsid w:val="00DB3F9A"/>
    <w:rsid w:val="00DB6124"/>
    <w:rsid w:val="00DB750B"/>
    <w:rsid w:val="00DB75B7"/>
    <w:rsid w:val="00DC0A2F"/>
    <w:rsid w:val="00DC1948"/>
    <w:rsid w:val="00DC6E02"/>
    <w:rsid w:val="00DD0B18"/>
    <w:rsid w:val="00DD20D9"/>
    <w:rsid w:val="00DD28CD"/>
    <w:rsid w:val="00DD5570"/>
    <w:rsid w:val="00DE02AE"/>
    <w:rsid w:val="00DE39D1"/>
    <w:rsid w:val="00DF1D7F"/>
    <w:rsid w:val="00DF4BE4"/>
    <w:rsid w:val="00E02382"/>
    <w:rsid w:val="00E02FB4"/>
    <w:rsid w:val="00E035E5"/>
    <w:rsid w:val="00E03E4A"/>
    <w:rsid w:val="00E07EDD"/>
    <w:rsid w:val="00E13FC7"/>
    <w:rsid w:val="00E20571"/>
    <w:rsid w:val="00E235F7"/>
    <w:rsid w:val="00E23659"/>
    <w:rsid w:val="00E239D4"/>
    <w:rsid w:val="00E26130"/>
    <w:rsid w:val="00E300F5"/>
    <w:rsid w:val="00E30787"/>
    <w:rsid w:val="00E3110D"/>
    <w:rsid w:val="00E3205B"/>
    <w:rsid w:val="00E33D42"/>
    <w:rsid w:val="00E40111"/>
    <w:rsid w:val="00E40B22"/>
    <w:rsid w:val="00E44ED1"/>
    <w:rsid w:val="00E45619"/>
    <w:rsid w:val="00E4588F"/>
    <w:rsid w:val="00E46DA3"/>
    <w:rsid w:val="00E51BB1"/>
    <w:rsid w:val="00E55CB0"/>
    <w:rsid w:val="00E624A5"/>
    <w:rsid w:val="00E64BA4"/>
    <w:rsid w:val="00E7344E"/>
    <w:rsid w:val="00E76F72"/>
    <w:rsid w:val="00E8210D"/>
    <w:rsid w:val="00E82665"/>
    <w:rsid w:val="00E94053"/>
    <w:rsid w:val="00E96104"/>
    <w:rsid w:val="00EB0798"/>
    <w:rsid w:val="00EB2E45"/>
    <w:rsid w:val="00EB40AD"/>
    <w:rsid w:val="00EB586E"/>
    <w:rsid w:val="00EB5FC8"/>
    <w:rsid w:val="00EC463D"/>
    <w:rsid w:val="00EC7A85"/>
    <w:rsid w:val="00ED28EA"/>
    <w:rsid w:val="00ED2922"/>
    <w:rsid w:val="00ED3CAD"/>
    <w:rsid w:val="00ED555E"/>
    <w:rsid w:val="00ED5A41"/>
    <w:rsid w:val="00ED755A"/>
    <w:rsid w:val="00EE1DE8"/>
    <w:rsid w:val="00EE27C2"/>
    <w:rsid w:val="00EF1313"/>
    <w:rsid w:val="00EF4BAD"/>
    <w:rsid w:val="00EF59DC"/>
    <w:rsid w:val="00EF7F28"/>
    <w:rsid w:val="00F033EC"/>
    <w:rsid w:val="00F04F68"/>
    <w:rsid w:val="00F12670"/>
    <w:rsid w:val="00F14B27"/>
    <w:rsid w:val="00F204A2"/>
    <w:rsid w:val="00F2092F"/>
    <w:rsid w:val="00F3148D"/>
    <w:rsid w:val="00F325C5"/>
    <w:rsid w:val="00F32FE0"/>
    <w:rsid w:val="00F35298"/>
    <w:rsid w:val="00F415DE"/>
    <w:rsid w:val="00F446BB"/>
    <w:rsid w:val="00F47333"/>
    <w:rsid w:val="00F473C6"/>
    <w:rsid w:val="00F47E37"/>
    <w:rsid w:val="00F51FE6"/>
    <w:rsid w:val="00F53C07"/>
    <w:rsid w:val="00F54B65"/>
    <w:rsid w:val="00F63DBF"/>
    <w:rsid w:val="00F640B6"/>
    <w:rsid w:val="00F66DF2"/>
    <w:rsid w:val="00F6789B"/>
    <w:rsid w:val="00F80E40"/>
    <w:rsid w:val="00F848D9"/>
    <w:rsid w:val="00F91BD8"/>
    <w:rsid w:val="00FA5069"/>
    <w:rsid w:val="00FA5B82"/>
    <w:rsid w:val="00FA639E"/>
    <w:rsid w:val="00FB5F40"/>
    <w:rsid w:val="00FB74D4"/>
    <w:rsid w:val="00FC1FCA"/>
    <w:rsid w:val="00FC25E4"/>
    <w:rsid w:val="00FC4EF7"/>
    <w:rsid w:val="00FC7D70"/>
    <w:rsid w:val="00FD0824"/>
    <w:rsid w:val="00FD119B"/>
    <w:rsid w:val="00FD1EDC"/>
    <w:rsid w:val="00FD330D"/>
    <w:rsid w:val="00FE1595"/>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00A0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68495F"/>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68495F"/>
    <w:rPr>
      <w:rFonts w:ascii="Cambria" w:eastAsia="Times New Roman" w:hAnsi="Cambria" w:cs="Times New Roman"/>
      <w:snapToGrid w:val="0"/>
      <w:kern w:val="16"/>
      <w:sz w:val="23"/>
      <w:szCs w:val="24"/>
    </w:rPr>
  </w:style>
  <w:style w:type="paragraph" w:styleId="BodyText">
    <w:name w:val="Body Text"/>
    <w:basedOn w:val="Normal"/>
    <w:link w:val="BodyTextChar"/>
    <w:qFormat/>
    <w:rsid w:val="0068495F"/>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rsid w:val="0068495F"/>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342633"/>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StandardChar"/>
    <w:link w:val="Tabletext"/>
    <w:rsid w:val="00BE4C97"/>
    <w:rPr>
      <w:rFonts w:ascii="Cambria" w:eastAsia="Cambria" w:hAnsi="Cambria" w:cs="Times New Roman"/>
      <w:snapToGrid/>
      <w:kern w:val="16"/>
      <w:sz w:val="19"/>
      <w:szCs w:val="24"/>
    </w:rPr>
  </w:style>
  <w:style w:type="paragraph" w:customStyle="1" w:styleId="Default">
    <w:name w:val="Default"/>
    <w:rsid w:val="0099191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853670">
      <w:bodyDiv w:val="1"/>
      <w:marLeft w:val="0"/>
      <w:marRight w:val="0"/>
      <w:marTop w:val="0"/>
      <w:marBottom w:val="0"/>
      <w:divBdr>
        <w:top w:val="none" w:sz="0" w:space="0" w:color="auto"/>
        <w:left w:val="none" w:sz="0" w:space="0" w:color="auto"/>
        <w:bottom w:val="none" w:sz="0" w:space="0" w:color="auto"/>
        <w:right w:val="none" w:sz="0" w:space="0" w:color="auto"/>
      </w:divBdr>
    </w:div>
    <w:div w:id="553389518">
      <w:bodyDiv w:val="1"/>
      <w:marLeft w:val="0"/>
      <w:marRight w:val="0"/>
      <w:marTop w:val="0"/>
      <w:marBottom w:val="0"/>
      <w:divBdr>
        <w:top w:val="none" w:sz="0" w:space="0" w:color="auto"/>
        <w:left w:val="none" w:sz="0" w:space="0" w:color="auto"/>
        <w:bottom w:val="none" w:sz="0" w:space="0" w:color="auto"/>
        <w:right w:val="none" w:sz="0" w:space="0" w:color="auto"/>
      </w:divBdr>
    </w:div>
    <w:div w:id="719986649">
      <w:bodyDiv w:val="1"/>
      <w:marLeft w:val="0"/>
      <w:marRight w:val="0"/>
      <w:marTop w:val="0"/>
      <w:marBottom w:val="0"/>
      <w:divBdr>
        <w:top w:val="none" w:sz="0" w:space="0" w:color="auto"/>
        <w:left w:val="none" w:sz="0" w:space="0" w:color="auto"/>
        <w:bottom w:val="none" w:sz="0" w:space="0" w:color="auto"/>
        <w:right w:val="none" w:sz="0" w:space="0" w:color="auto"/>
      </w:divBdr>
    </w:div>
    <w:div w:id="1152989876">
      <w:bodyDiv w:val="1"/>
      <w:marLeft w:val="0"/>
      <w:marRight w:val="0"/>
      <w:marTop w:val="0"/>
      <w:marBottom w:val="0"/>
      <w:divBdr>
        <w:top w:val="none" w:sz="0" w:space="0" w:color="auto"/>
        <w:left w:val="none" w:sz="0" w:space="0" w:color="auto"/>
        <w:bottom w:val="none" w:sz="0" w:space="0" w:color="auto"/>
        <w:right w:val="none" w:sz="0" w:space="0" w:color="auto"/>
      </w:divBdr>
    </w:div>
    <w:div w:id="1239900078">
      <w:bodyDiv w:val="1"/>
      <w:marLeft w:val="0"/>
      <w:marRight w:val="0"/>
      <w:marTop w:val="0"/>
      <w:marBottom w:val="0"/>
      <w:divBdr>
        <w:top w:val="none" w:sz="0" w:space="0" w:color="auto"/>
        <w:left w:val="none" w:sz="0" w:space="0" w:color="auto"/>
        <w:bottom w:val="none" w:sz="0" w:space="0" w:color="auto"/>
        <w:right w:val="none" w:sz="0" w:space="0" w:color="auto"/>
      </w:divBdr>
    </w:div>
    <w:div w:id="1522014124">
      <w:bodyDiv w:val="1"/>
      <w:marLeft w:val="0"/>
      <w:marRight w:val="0"/>
      <w:marTop w:val="0"/>
      <w:marBottom w:val="0"/>
      <w:divBdr>
        <w:top w:val="none" w:sz="0" w:space="0" w:color="auto"/>
        <w:left w:val="none" w:sz="0" w:space="0" w:color="auto"/>
        <w:bottom w:val="none" w:sz="0" w:space="0" w:color="auto"/>
        <w:right w:val="none" w:sz="0" w:space="0" w:color="auto"/>
      </w:divBdr>
    </w:div>
    <w:div w:id="1595623287">
      <w:bodyDiv w:val="1"/>
      <w:marLeft w:val="0"/>
      <w:marRight w:val="0"/>
      <w:marTop w:val="0"/>
      <w:marBottom w:val="0"/>
      <w:divBdr>
        <w:top w:val="none" w:sz="0" w:space="0" w:color="auto"/>
        <w:left w:val="none" w:sz="0" w:space="0" w:color="auto"/>
        <w:bottom w:val="none" w:sz="0" w:space="0" w:color="auto"/>
        <w:right w:val="none" w:sz="0" w:space="0" w:color="auto"/>
      </w:divBdr>
    </w:div>
    <w:div w:id="1748262932">
      <w:bodyDiv w:val="1"/>
      <w:marLeft w:val="0"/>
      <w:marRight w:val="0"/>
      <w:marTop w:val="0"/>
      <w:marBottom w:val="0"/>
      <w:divBdr>
        <w:top w:val="none" w:sz="0" w:space="0" w:color="auto"/>
        <w:left w:val="none" w:sz="0" w:space="0" w:color="auto"/>
        <w:bottom w:val="none" w:sz="0" w:space="0" w:color="auto"/>
        <w:right w:val="none" w:sz="0" w:space="0" w:color="auto"/>
      </w:divBdr>
    </w:div>
    <w:div w:id="2056000020">
      <w:bodyDiv w:val="1"/>
      <w:marLeft w:val="0"/>
      <w:marRight w:val="0"/>
      <w:marTop w:val="0"/>
      <w:marBottom w:val="0"/>
      <w:divBdr>
        <w:top w:val="none" w:sz="0" w:space="0" w:color="auto"/>
        <w:left w:val="none" w:sz="0" w:space="0" w:color="auto"/>
        <w:bottom w:val="none" w:sz="0" w:space="0" w:color="auto"/>
        <w:right w:val="none" w:sz="0" w:space="0" w:color="auto"/>
      </w:divBdr>
    </w:div>
    <w:div w:id="211825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tga.gov.au/product-information-pi"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tga.gov.au/form/certified-product-details-cpd-biological-prescriptionmedicines" TargetMode="Externa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tga.gov.au/guidance-7-certified-product-details" TargetMode="External"/><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en/activities/tracking-SARS-CoV-2-variants/" TargetMode="External"/><Relationship Id="rId2" Type="http://schemas.openxmlformats.org/officeDocument/2006/relationships/hyperlink" Target="https://www.who.int/en/activities/tracking-SARS-CoV-2-variants/" TargetMode="External"/><Relationship Id="rId1" Type="http://schemas.openxmlformats.org/officeDocument/2006/relationships/hyperlink" Target="https://www.ncbi.nlm.nih.gov/pmc/articles/PMC7228321/" TargetMode="External"/><Relationship Id="rId4" Type="http://schemas.openxmlformats.org/officeDocument/2006/relationships/hyperlink" Target="https://www.who.int/en/activities/tracking-SARS-CoV-2-varia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B2404-E673-441E-8E85-079CD162F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12636</Words>
  <Characters>68490</Characters>
  <Application>Microsoft Office Word</Application>
  <DocSecurity>0</DocSecurity>
  <Lines>1556</Lines>
  <Paragraphs>1126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Prescription medicines</cp:keywords>
  <cp:lastModifiedBy/>
  <cp:revision>1</cp:revision>
  <dcterms:created xsi:type="dcterms:W3CDTF">2021-06-25T09:47:00Z</dcterms:created>
  <dcterms:modified xsi:type="dcterms:W3CDTF">2021-06-25T09:47:00Z</dcterms:modified>
  <cp:category/>
</cp:coreProperties>
</file>